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charts/chart21.xml" ContentType="application/vnd.openxmlformats-officedocument.drawingml.chart+xml"/>
  <Override PartName="/word/theme/themeOverride21.xml" ContentType="application/vnd.openxmlformats-officedocument.themeOverride+xml"/>
  <Override PartName="/word/charts/chart22.xml" ContentType="application/vnd.openxmlformats-officedocument.drawingml.chart+xml"/>
  <Override PartName="/word/theme/themeOverride22.xml" ContentType="application/vnd.openxmlformats-officedocument.themeOverride+xml"/>
  <Override PartName="/word/charts/chart23.xml" ContentType="application/vnd.openxmlformats-officedocument.drawingml.chart+xml"/>
  <Override PartName="/word/theme/themeOverride23.xml" ContentType="application/vnd.openxmlformats-officedocument.themeOverride+xml"/>
  <Override PartName="/word/charts/chart24.xml" ContentType="application/vnd.openxmlformats-officedocument.drawingml.chart+xml"/>
  <Override PartName="/word/theme/themeOverride24.xml" ContentType="application/vnd.openxmlformats-officedocument.themeOverride+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harts/chart25.xml" ContentType="application/vnd.openxmlformats-officedocument.drawingml.chart+xml"/>
  <Override PartName="/word/theme/themeOverride25.xml" ContentType="application/vnd.openxmlformats-officedocument.themeOverride+xml"/>
  <Override PartName="/word/charts/chart26.xml" ContentType="application/vnd.openxmlformats-officedocument.drawingml.chart+xml"/>
  <Override PartName="/word/theme/themeOverride26.xml" ContentType="application/vnd.openxmlformats-officedocument.themeOverride+xml"/>
  <Override PartName="/word/charts/chart27.xml" ContentType="application/vnd.openxmlformats-officedocument.drawingml.chart+xml"/>
  <Override PartName="/word/theme/themeOverride27.xml" ContentType="application/vnd.openxmlformats-officedocument.themeOverride+xml"/>
  <Override PartName="/word/charts/chart28.xml" ContentType="application/vnd.openxmlformats-officedocument.drawingml.chart+xml"/>
  <Override PartName="/word/theme/themeOverride28.xml" ContentType="application/vnd.openxmlformats-officedocument.themeOverride+xml"/>
  <Override PartName="/word/charts/chart29.xml" ContentType="application/vnd.openxmlformats-officedocument.drawingml.chart+xml"/>
  <Override PartName="/word/theme/themeOverride29.xml" ContentType="application/vnd.openxmlformats-officedocument.themeOverride+xml"/>
  <Override PartName="/word/charts/chart30.xml" ContentType="application/vnd.openxmlformats-officedocument.drawingml.chart+xml"/>
  <Override PartName="/word/theme/themeOverride30.xml" ContentType="application/vnd.openxmlformats-officedocument.themeOverride+xml"/>
  <Override PartName="/word/charts/chart31.xml" ContentType="application/vnd.openxmlformats-officedocument.drawingml.chart+xml"/>
  <Override PartName="/word/theme/themeOverride31.xml" ContentType="application/vnd.openxmlformats-officedocument.themeOverride+xml"/>
  <Override PartName="/word/charts/chart32.xml" ContentType="application/vnd.openxmlformats-officedocument.drawingml.chart+xml"/>
  <Override PartName="/word/theme/themeOverride32.xml" ContentType="application/vnd.openxmlformats-officedocument.themeOverride+xml"/>
  <Override PartName="/word/charts/chart33.xml" ContentType="application/vnd.openxmlformats-officedocument.drawingml.chart+xml"/>
  <Override PartName="/word/theme/themeOverride33.xml" ContentType="application/vnd.openxmlformats-officedocument.themeOverride+xml"/>
  <Override PartName="/word/charts/chart34.xml" ContentType="application/vnd.openxmlformats-officedocument.drawingml.chart+xml"/>
  <Override PartName="/word/theme/themeOverride34.xml" ContentType="application/vnd.openxmlformats-officedocument.themeOverride+xml"/>
  <Override PartName="/word/charts/chart35.xml" ContentType="application/vnd.openxmlformats-officedocument.drawingml.chart+xml"/>
  <Override PartName="/word/theme/themeOverride35.xml" ContentType="application/vnd.openxmlformats-officedocument.themeOverride+xml"/>
  <Override PartName="/word/charts/chart36.xml" ContentType="application/vnd.openxmlformats-officedocument.drawingml.chart+xml"/>
  <Override PartName="/word/theme/themeOverride36.xml" ContentType="application/vnd.openxmlformats-officedocument.themeOverride+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B793BB5" w14:textId="31240375" w:rsidR="000942F9" w:rsidRPr="002448E1" w:rsidRDefault="00021461" w:rsidP="002448E1">
      <w:pPr>
        <w:pStyle w:val="Title"/>
        <w:jc w:val="both"/>
        <w:rPr>
          <w:rFonts w:asciiTheme="minorHAnsi" w:hAnsiTheme="minorHAnsi" w:cstheme="minorHAnsi"/>
          <w:sz w:val="44"/>
          <w:szCs w:val="44"/>
          <w:lang w:val="en-GB"/>
        </w:rPr>
      </w:pPr>
      <w:r w:rsidRPr="002448E1">
        <w:rPr>
          <w:rFonts w:asciiTheme="minorHAnsi" w:hAnsiTheme="minorHAnsi" w:cstheme="minorHAnsi"/>
          <w:sz w:val="44"/>
          <w:szCs w:val="44"/>
          <w:lang w:val="en-GB"/>
        </w:rPr>
        <w:t>Annex 4 -</w:t>
      </w:r>
      <w:r w:rsidR="001E7D2C" w:rsidRPr="002448E1">
        <w:rPr>
          <w:rFonts w:asciiTheme="minorHAnsi" w:hAnsiTheme="minorHAnsi" w:cstheme="minorHAnsi"/>
          <w:sz w:val="44"/>
          <w:szCs w:val="44"/>
          <w:lang w:val="en-GB"/>
        </w:rPr>
        <w:t>Territorial Analysis of the Romania – Bulgaria</w:t>
      </w:r>
      <w:r w:rsidR="002448E1">
        <w:rPr>
          <w:rFonts w:asciiTheme="minorHAnsi" w:hAnsiTheme="minorHAnsi" w:cstheme="minorHAnsi"/>
          <w:sz w:val="44"/>
          <w:szCs w:val="44"/>
          <w:lang w:val="en-GB"/>
        </w:rPr>
        <w:t xml:space="preserve"> </w:t>
      </w:r>
      <w:r w:rsidR="001E7D2C" w:rsidRPr="002448E1">
        <w:rPr>
          <w:rFonts w:asciiTheme="minorHAnsi" w:hAnsiTheme="minorHAnsi" w:cstheme="minorHAnsi"/>
          <w:sz w:val="44"/>
          <w:szCs w:val="44"/>
          <w:lang w:val="en-GB"/>
        </w:rPr>
        <w:t>Cross-Border Area</w:t>
      </w:r>
    </w:p>
    <w:p w14:paraId="44F43485" w14:textId="77777777" w:rsidR="001E7D2C" w:rsidRPr="006645DC" w:rsidRDefault="001E7D2C" w:rsidP="001E7D2C">
      <w:pPr>
        <w:rPr>
          <w:lang w:val="en-GB"/>
        </w:rPr>
      </w:pPr>
    </w:p>
    <w:p w14:paraId="678F9AC5" w14:textId="77777777" w:rsidR="004D5E2E" w:rsidRPr="006645DC" w:rsidRDefault="004D5E2E" w:rsidP="004D5E2E">
      <w:pPr>
        <w:ind w:left="1208" w:hanging="357"/>
        <w:rPr>
          <w:lang w:val="en-GB"/>
        </w:rPr>
        <w:sectPr w:rsidR="004D5E2E" w:rsidRPr="006645DC" w:rsidSect="001B4D8E">
          <w:headerReference w:type="default" r:id="rId20"/>
          <w:footerReference w:type="default" r:id="rId21"/>
          <w:pgSz w:w="12240" w:h="15840"/>
          <w:pgMar w:top="1440" w:right="1440" w:bottom="1440" w:left="1440" w:header="397" w:footer="567" w:gutter="0"/>
          <w:cols w:space="720"/>
          <w:docGrid w:linePitch="360"/>
        </w:sectPr>
      </w:pPr>
      <w:bookmarkStart w:id="0" w:name="_GoBack"/>
      <w:bookmarkEnd w:id="0"/>
    </w:p>
    <w:p w14:paraId="0B316A36" w14:textId="77777777" w:rsidR="00AF2A77" w:rsidRPr="006645DC" w:rsidRDefault="00AD1831" w:rsidP="00AF2A77">
      <w:pPr>
        <w:spacing w:before="0" w:after="0"/>
        <w:rPr>
          <w:b/>
          <w:color w:val="365F91"/>
          <w:sz w:val="28"/>
          <w:szCs w:val="28"/>
          <w:lang w:val="en-GB" w:eastAsia="ro-RO"/>
        </w:rPr>
      </w:pPr>
      <w:r w:rsidRPr="006645DC">
        <w:rPr>
          <w:b/>
          <w:color w:val="365F91"/>
          <w:sz w:val="28"/>
          <w:szCs w:val="28"/>
          <w:lang w:val="en-GB" w:eastAsia="ro-RO"/>
        </w:rPr>
        <w:lastRenderedPageBreak/>
        <w:t>Table of Contents</w:t>
      </w:r>
    </w:p>
    <w:p w14:paraId="01C449A6" w14:textId="77777777" w:rsidR="00761E98" w:rsidRPr="006645DC" w:rsidRDefault="00761E98" w:rsidP="00C22A61">
      <w:pPr>
        <w:spacing w:before="0" w:after="0"/>
        <w:rPr>
          <w:b/>
          <w:color w:val="365F91"/>
          <w:sz w:val="28"/>
          <w:szCs w:val="28"/>
          <w:lang w:val="en-GB" w:eastAsia="ro-RO"/>
        </w:rPr>
      </w:pPr>
    </w:p>
    <w:p w14:paraId="06383C27" w14:textId="77777777" w:rsidR="00B5425F" w:rsidRDefault="005979EB">
      <w:pPr>
        <w:pStyle w:val="TOC1"/>
        <w:rPr>
          <w:rFonts w:asciiTheme="minorHAnsi" w:eastAsiaTheme="minorEastAsia" w:hAnsiTheme="minorHAnsi" w:cstheme="minorBidi"/>
          <w:noProof/>
        </w:rPr>
      </w:pPr>
      <w:r w:rsidRPr="006645DC">
        <w:rPr>
          <w:b/>
          <w:color w:val="365F91"/>
          <w:sz w:val="28"/>
          <w:szCs w:val="28"/>
          <w:lang w:val="en-GB" w:eastAsia="ro-RO"/>
        </w:rPr>
        <w:fldChar w:fldCharType="begin"/>
      </w:r>
      <w:r w:rsidR="00AF2A77" w:rsidRPr="006645DC">
        <w:rPr>
          <w:b/>
          <w:color w:val="365F91"/>
          <w:sz w:val="28"/>
          <w:szCs w:val="28"/>
          <w:lang w:val="en-GB" w:eastAsia="ro-RO"/>
        </w:rPr>
        <w:instrText xml:space="preserve"> TOC \o "1-2" </w:instrText>
      </w:r>
      <w:r w:rsidRPr="006645DC">
        <w:rPr>
          <w:b/>
          <w:color w:val="365F91"/>
          <w:sz w:val="28"/>
          <w:szCs w:val="28"/>
          <w:lang w:val="en-GB" w:eastAsia="ro-RO"/>
        </w:rPr>
        <w:fldChar w:fldCharType="separate"/>
      </w:r>
      <w:r w:rsidR="00B5425F" w:rsidRPr="00E452DB">
        <w:rPr>
          <w:noProof/>
          <w:lang w:val="en-GB"/>
        </w:rPr>
        <w:t>I.</w:t>
      </w:r>
      <w:r w:rsidR="00B5425F">
        <w:rPr>
          <w:rFonts w:asciiTheme="minorHAnsi" w:eastAsiaTheme="minorEastAsia" w:hAnsiTheme="minorHAnsi" w:cstheme="minorBidi"/>
          <w:noProof/>
        </w:rPr>
        <w:tab/>
      </w:r>
      <w:r w:rsidR="00B5425F" w:rsidRPr="00E452DB">
        <w:rPr>
          <w:noProof/>
          <w:lang w:val="en-GB"/>
        </w:rPr>
        <w:t>Introduction</w:t>
      </w:r>
      <w:r w:rsidR="00B5425F">
        <w:rPr>
          <w:noProof/>
        </w:rPr>
        <w:tab/>
      </w:r>
      <w:r w:rsidR="00B5425F">
        <w:rPr>
          <w:noProof/>
        </w:rPr>
        <w:fldChar w:fldCharType="begin"/>
      </w:r>
      <w:r w:rsidR="00B5425F">
        <w:rPr>
          <w:noProof/>
        </w:rPr>
        <w:instrText xml:space="preserve"> PAGEREF _Toc391150156 \h </w:instrText>
      </w:r>
      <w:r w:rsidR="00B5425F">
        <w:rPr>
          <w:noProof/>
        </w:rPr>
      </w:r>
      <w:r w:rsidR="00B5425F">
        <w:rPr>
          <w:noProof/>
        </w:rPr>
        <w:fldChar w:fldCharType="separate"/>
      </w:r>
      <w:r w:rsidR="00523DE6">
        <w:rPr>
          <w:noProof/>
        </w:rPr>
        <w:t>5</w:t>
      </w:r>
      <w:r w:rsidR="00B5425F">
        <w:rPr>
          <w:noProof/>
        </w:rPr>
        <w:fldChar w:fldCharType="end"/>
      </w:r>
    </w:p>
    <w:p w14:paraId="36684FED"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A.</w:t>
      </w:r>
      <w:r>
        <w:rPr>
          <w:rFonts w:asciiTheme="minorHAnsi" w:eastAsiaTheme="minorEastAsia" w:hAnsiTheme="minorHAnsi" w:cstheme="minorBidi"/>
          <w:noProof/>
        </w:rPr>
        <w:tab/>
      </w:r>
      <w:r w:rsidRPr="00E452DB">
        <w:rPr>
          <w:noProof/>
          <w:lang w:val="en-GB"/>
        </w:rPr>
        <w:t>EU level vision &amp; strategic framework</w:t>
      </w:r>
      <w:r>
        <w:rPr>
          <w:noProof/>
        </w:rPr>
        <w:tab/>
      </w:r>
      <w:r>
        <w:rPr>
          <w:noProof/>
        </w:rPr>
        <w:fldChar w:fldCharType="begin"/>
      </w:r>
      <w:r>
        <w:rPr>
          <w:noProof/>
        </w:rPr>
        <w:instrText xml:space="preserve"> PAGEREF _Toc391150157 \h </w:instrText>
      </w:r>
      <w:r>
        <w:rPr>
          <w:noProof/>
        </w:rPr>
      </w:r>
      <w:r>
        <w:rPr>
          <w:noProof/>
        </w:rPr>
        <w:fldChar w:fldCharType="separate"/>
      </w:r>
      <w:r w:rsidR="00523DE6">
        <w:rPr>
          <w:noProof/>
        </w:rPr>
        <w:t>9</w:t>
      </w:r>
      <w:r>
        <w:rPr>
          <w:noProof/>
        </w:rPr>
        <w:fldChar w:fldCharType="end"/>
      </w:r>
    </w:p>
    <w:p w14:paraId="5ACF13EF"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B.</w:t>
      </w:r>
      <w:r>
        <w:rPr>
          <w:rFonts w:asciiTheme="minorHAnsi" w:eastAsiaTheme="minorEastAsia" w:hAnsiTheme="minorHAnsi" w:cstheme="minorBidi"/>
          <w:noProof/>
        </w:rPr>
        <w:tab/>
      </w:r>
      <w:r w:rsidRPr="00E452DB">
        <w:rPr>
          <w:noProof/>
          <w:lang w:val="en-GB"/>
        </w:rPr>
        <w:t>The territorial analysis of the Romania Bulgaria Cross-Border area</w:t>
      </w:r>
      <w:r>
        <w:rPr>
          <w:noProof/>
        </w:rPr>
        <w:tab/>
      </w:r>
      <w:r>
        <w:rPr>
          <w:noProof/>
        </w:rPr>
        <w:fldChar w:fldCharType="begin"/>
      </w:r>
      <w:r>
        <w:rPr>
          <w:noProof/>
        </w:rPr>
        <w:instrText xml:space="preserve"> PAGEREF _Toc391150158 \h </w:instrText>
      </w:r>
      <w:r>
        <w:rPr>
          <w:noProof/>
        </w:rPr>
      </w:r>
      <w:r>
        <w:rPr>
          <w:noProof/>
        </w:rPr>
        <w:fldChar w:fldCharType="separate"/>
      </w:r>
      <w:r w:rsidR="00523DE6">
        <w:rPr>
          <w:noProof/>
        </w:rPr>
        <w:t>13</w:t>
      </w:r>
      <w:r>
        <w:rPr>
          <w:noProof/>
        </w:rPr>
        <w:fldChar w:fldCharType="end"/>
      </w:r>
    </w:p>
    <w:p w14:paraId="553C93AF" w14:textId="77777777" w:rsidR="00B5425F" w:rsidRDefault="00B5425F">
      <w:pPr>
        <w:pStyle w:val="TOC1"/>
        <w:rPr>
          <w:rFonts w:asciiTheme="minorHAnsi" w:eastAsiaTheme="minorEastAsia" w:hAnsiTheme="minorHAnsi" w:cstheme="minorBidi"/>
          <w:noProof/>
        </w:rPr>
      </w:pPr>
      <w:r w:rsidRPr="00E452DB">
        <w:rPr>
          <w:noProof/>
          <w:lang w:val="en-GB"/>
        </w:rPr>
        <w:t>II.</w:t>
      </w:r>
      <w:r>
        <w:rPr>
          <w:rFonts w:asciiTheme="minorHAnsi" w:eastAsiaTheme="minorEastAsia" w:hAnsiTheme="minorHAnsi" w:cstheme="minorBidi"/>
          <w:noProof/>
        </w:rPr>
        <w:tab/>
      </w:r>
      <w:r w:rsidRPr="00E452DB">
        <w:rPr>
          <w:noProof/>
          <w:lang w:val="en-GB"/>
        </w:rPr>
        <w:t>Globalisation/Economic development</w:t>
      </w:r>
      <w:r>
        <w:rPr>
          <w:noProof/>
        </w:rPr>
        <w:tab/>
      </w:r>
      <w:r>
        <w:rPr>
          <w:noProof/>
        </w:rPr>
        <w:fldChar w:fldCharType="begin"/>
      </w:r>
      <w:r>
        <w:rPr>
          <w:noProof/>
        </w:rPr>
        <w:instrText xml:space="preserve"> PAGEREF _Toc391150159 \h </w:instrText>
      </w:r>
      <w:r>
        <w:rPr>
          <w:noProof/>
        </w:rPr>
      </w:r>
      <w:r>
        <w:rPr>
          <w:noProof/>
        </w:rPr>
        <w:fldChar w:fldCharType="separate"/>
      </w:r>
      <w:r w:rsidR="00523DE6">
        <w:rPr>
          <w:noProof/>
        </w:rPr>
        <w:t>16</w:t>
      </w:r>
      <w:r>
        <w:rPr>
          <w:noProof/>
        </w:rPr>
        <w:fldChar w:fldCharType="end"/>
      </w:r>
    </w:p>
    <w:p w14:paraId="0FFA94F1"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A.</w:t>
      </w:r>
      <w:r>
        <w:rPr>
          <w:rFonts w:asciiTheme="minorHAnsi" w:eastAsiaTheme="minorEastAsia" w:hAnsiTheme="minorHAnsi" w:cstheme="minorBidi"/>
          <w:noProof/>
        </w:rPr>
        <w:tab/>
      </w:r>
      <w:r w:rsidRPr="00E452DB">
        <w:rPr>
          <w:noProof/>
          <w:lang w:val="en-GB"/>
        </w:rPr>
        <w:t>Economic development</w:t>
      </w:r>
      <w:r>
        <w:rPr>
          <w:noProof/>
        </w:rPr>
        <w:tab/>
      </w:r>
      <w:r>
        <w:rPr>
          <w:noProof/>
        </w:rPr>
        <w:fldChar w:fldCharType="begin"/>
      </w:r>
      <w:r>
        <w:rPr>
          <w:noProof/>
        </w:rPr>
        <w:instrText xml:space="preserve"> PAGEREF _Toc391150160 \h </w:instrText>
      </w:r>
      <w:r>
        <w:rPr>
          <w:noProof/>
        </w:rPr>
      </w:r>
      <w:r>
        <w:rPr>
          <w:noProof/>
        </w:rPr>
        <w:fldChar w:fldCharType="separate"/>
      </w:r>
      <w:r w:rsidR="00523DE6">
        <w:rPr>
          <w:noProof/>
        </w:rPr>
        <w:t>16</w:t>
      </w:r>
      <w:r>
        <w:rPr>
          <w:noProof/>
        </w:rPr>
        <w:fldChar w:fldCharType="end"/>
      </w:r>
    </w:p>
    <w:p w14:paraId="1B309867"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B.</w:t>
      </w:r>
      <w:r>
        <w:rPr>
          <w:rFonts w:asciiTheme="minorHAnsi" w:eastAsiaTheme="minorEastAsia" w:hAnsiTheme="minorHAnsi" w:cstheme="minorBidi"/>
          <w:noProof/>
        </w:rPr>
        <w:tab/>
      </w:r>
      <w:r w:rsidRPr="00E452DB">
        <w:rPr>
          <w:noProof/>
          <w:lang w:val="en-GB"/>
        </w:rPr>
        <w:t>Competitiveness</w:t>
      </w:r>
      <w:r>
        <w:rPr>
          <w:noProof/>
        </w:rPr>
        <w:tab/>
      </w:r>
      <w:r>
        <w:rPr>
          <w:noProof/>
        </w:rPr>
        <w:fldChar w:fldCharType="begin"/>
      </w:r>
      <w:r>
        <w:rPr>
          <w:noProof/>
        </w:rPr>
        <w:instrText xml:space="preserve"> PAGEREF _Toc391150161 \h </w:instrText>
      </w:r>
      <w:r>
        <w:rPr>
          <w:noProof/>
        </w:rPr>
      </w:r>
      <w:r>
        <w:rPr>
          <w:noProof/>
        </w:rPr>
        <w:fldChar w:fldCharType="separate"/>
      </w:r>
      <w:r w:rsidR="00523DE6">
        <w:rPr>
          <w:noProof/>
        </w:rPr>
        <w:t>26</w:t>
      </w:r>
      <w:r>
        <w:rPr>
          <w:noProof/>
        </w:rPr>
        <w:fldChar w:fldCharType="end"/>
      </w:r>
    </w:p>
    <w:p w14:paraId="32535965"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C.</w:t>
      </w:r>
      <w:r>
        <w:rPr>
          <w:rFonts w:asciiTheme="minorHAnsi" w:eastAsiaTheme="minorEastAsia" w:hAnsiTheme="minorHAnsi" w:cstheme="minorBidi"/>
          <w:noProof/>
        </w:rPr>
        <w:tab/>
      </w:r>
      <w:r w:rsidRPr="00E452DB">
        <w:rPr>
          <w:noProof/>
          <w:lang w:val="en-GB"/>
        </w:rPr>
        <w:t>Research and innovation</w:t>
      </w:r>
      <w:r>
        <w:rPr>
          <w:noProof/>
        </w:rPr>
        <w:tab/>
      </w:r>
      <w:r>
        <w:rPr>
          <w:noProof/>
        </w:rPr>
        <w:fldChar w:fldCharType="begin"/>
      </w:r>
      <w:r>
        <w:rPr>
          <w:noProof/>
        </w:rPr>
        <w:instrText xml:space="preserve"> PAGEREF _Toc391150162 \h </w:instrText>
      </w:r>
      <w:r>
        <w:rPr>
          <w:noProof/>
        </w:rPr>
      </w:r>
      <w:r>
        <w:rPr>
          <w:noProof/>
        </w:rPr>
        <w:fldChar w:fldCharType="separate"/>
      </w:r>
      <w:r w:rsidR="00523DE6">
        <w:rPr>
          <w:noProof/>
        </w:rPr>
        <w:t>34</w:t>
      </w:r>
      <w:r>
        <w:rPr>
          <w:noProof/>
        </w:rPr>
        <w:fldChar w:fldCharType="end"/>
      </w:r>
    </w:p>
    <w:p w14:paraId="42995773"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D.</w:t>
      </w:r>
      <w:r>
        <w:rPr>
          <w:rFonts w:asciiTheme="minorHAnsi" w:eastAsiaTheme="minorEastAsia" w:hAnsiTheme="minorHAnsi" w:cstheme="minorBidi"/>
          <w:noProof/>
        </w:rPr>
        <w:tab/>
      </w:r>
      <w:r w:rsidRPr="00E452DB">
        <w:rPr>
          <w:noProof/>
          <w:lang w:val="en-GB"/>
        </w:rPr>
        <w:t>Tourism</w:t>
      </w:r>
      <w:r>
        <w:rPr>
          <w:noProof/>
        </w:rPr>
        <w:tab/>
      </w:r>
      <w:r>
        <w:rPr>
          <w:noProof/>
        </w:rPr>
        <w:fldChar w:fldCharType="begin"/>
      </w:r>
      <w:r>
        <w:rPr>
          <w:noProof/>
        </w:rPr>
        <w:instrText xml:space="preserve"> PAGEREF _Toc391150163 \h </w:instrText>
      </w:r>
      <w:r>
        <w:rPr>
          <w:noProof/>
        </w:rPr>
      </w:r>
      <w:r>
        <w:rPr>
          <w:noProof/>
        </w:rPr>
        <w:fldChar w:fldCharType="separate"/>
      </w:r>
      <w:r w:rsidR="00523DE6">
        <w:rPr>
          <w:noProof/>
        </w:rPr>
        <w:t>39</w:t>
      </w:r>
      <w:r>
        <w:rPr>
          <w:noProof/>
        </w:rPr>
        <w:fldChar w:fldCharType="end"/>
      </w:r>
    </w:p>
    <w:p w14:paraId="0FBCB5DD"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E.</w:t>
      </w:r>
      <w:r>
        <w:rPr>
          <w:rFonts w:asciiTheme="minorHAnsi" w:eastAsiaTheme="minorEastAsia" w:hAnsiTheme="minorHAnsi" w:cstheme="minorBidi"/>
          <w:noProof/>
        </w:rPr>
        <w:tab/>
      </w:r>
      <w:r w:rsidRPr="00E452DB">
        <w:rPr>
          <w:noProof/>
          <w:lang w:val="en-GB"/>
        </w:rPr>
        <w:t>Business environment perception</w:t>
      </w:r>
      <w:r>
        <w:rPr>
          <w:noProof/>
        </w:rPr>
        <w:tab/>
      </w:r>
      <w:r>
        <w:rPr>
          <w:noProof/>
        </w:rPr>
        <w:fldChar w:fldCharType="begin"/>
      </w:r>
      <w:r>
        <w:rPr>
          <w:noProof/>
        </w:rPr>
        <w:instrText xml:space="preserve"> PAGEREF _Toc391150164 \h </w:instrText>
      </w:r>
      <w:r>
        <w:rPr>
          <w:noProof/>
        </w:rPr>
      </w:r>
      <w:r>
        <w:rPr>
          <w:noProof/>
        </w:rPr>
        <w:fldChar w:fldCharType="separate"/>
      </w:r>
      <w:r w:rsidR="00523DE6">
        <w:rPr>
          <w:noProof/>
        </w:rPr>
        <w:t>46</w:t>
      </w:r>
      <w:r>
        <w:rPr>
          <w:noProof/>
        </w:rPr>
        <w:fldChar w:fldCharType="end"/>
      </w:r>
    </w:p>
    <w:p w14:paraId="5599A604"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F.</w:t>
      </w:r>
      <w:r>
        <w:rPr>
          <w:rFonts w:asciiTheme="minorHAnsi" w:eastAsiaTheme="minorEastAsia" w:hAnsiTheme="minorHAnsi" w:cstheme="minorBidi"/>
          <w:noProof/>
        </w:rPr>
        <w:tab/>
      </w:r>
      <w:r w:rsidRPr="00E452DB">
        <w:rPr>
          <w:noProof/>
          <w:lang w:val="en-GB"/>
        </w:rPr>
        <w:t>SWOT and problem tree</w:t>
      </w:r>
      <w:r>
        <w:rPr>
          <w:noProof/>
        </w:rPr>
        <w:tab/>
      </w:r>
      <w:r>
        <w:rPr>
          <w:noProof/>
        </w:rPr>
        <w:fldChar w:fldCharType="begin"/>
      </w:r>
      <w:r>
        <w:rPr>
          <w:noProof/>
        </w:rPr>
        <w:instrText xml:space="preserve"> PAGEREF _Toc391150165 \h </w:instrText>
      </w:r>
      <w:r>
        <w:rPr>
          <w:noProof/>
        </w:rPr>
      </w:r>
      <w:r>
        <w:rPr>
          <w:noProof/>
        </w:rPr>
        <w:fldChar w:fldCharType="separate"/>
      </w:r>
      <w:r w:rsidR="00523DE6">
        <w:rPr>
          <w:noProof/>
        </w:rPr>
        <w:t>48</w:t>
      </w:r>
      <w:r>
        <w:rPr>
          <w:noProof/>
        </w:rPr>
        <w:fldChar w:fldCharType="end"/>
      </w:r>
    </w:p>
    <w:p w14:paraId="0282D347"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G.</w:t>
      </w:r>
      <w:r>
        <w:rPr>
          <w:rFonts w:asciiTheme="minorHAnsi" w:eastAsiaTheme="minorEastAsia" w:hAnsiTheme="minorHAnsi" w:cstheme="minorBidi"/>
          <w:noProof/>
        </w:rPr>
        <w:tab/>
      </w:r>
      <w:r w:rsidRPr="00E452DB">
        <w:rPr>
          <w:noProof/>
          <w:lang w:val="en-GB"/>
        </w:rPr>
        <w:t>Challenges and needs</w:t>
      </w:r>
      <w:r>
        <w:rPr>
          <w:noProof/>
        </w:rPr>
        <w:tab/>
      </w:r>
      <w:r>
        <w:rPr>
          <w:noProof/>
        </w:rPr>
        <w:fldChar w:fldCharType="begin"/>
      </w:r>
      <w:r>
        <w:rPr>
          <w:noProof/>
        </w:rPr>
        <w:instrText xml:space="preserve"> PAGEREF _Toc391150166 \h </w:instrText>
      </w:r>
      <w:r>
        <w:rPr>
          <w:noProof/>
        </w:rPr>
      </w:r>
      <w:r>
        <w:rPr>
          <w:noProof/>
        </w:rPr>
        <w:fldChar w:fldCharType="separate"/>
      </w:r>
      <w:r w:rsidR="00523DE6">
        <w:rPr>
          <w:noProof/>
        </w:rPr>
        <w:t>50</w:t>
      </w:r>
      <w:r>
        <w:rPr>
          <w:noProof/>
        </w:rPr>
        <w:fldChar w:fldCharType="end"/>
      </w:r>
    </w:p>
    <w:p w14:paraId="6FF00CE1" w14:textId="77777777" w:rsidR="00B5425F" w:rsidRDefault="00B5425F">
      <w:pPr>
        <w:pStyle w:val="TOC1"/>
        <w:rPr>
          <w:rFonts w:asciiTheme="minorHAnsi" w:eastAsiaTheme="minorEastAsia" w:hAnsiTheme="minorHAnsi" w:cstheme="minorBidi"/>
          <w:noProof/>
        </w:rPr>
      </w:pPr>
      <w:r w:rsidRPr="00E452DB">
        <w:rPr>
          <w:noProof/>
          <w:lang w:val="en-GB"/>
        </w:rPr>
        <w:t>III.</w:t>
      </w:r>
      <w:r>
        <w:rPr>
          <w:rFonts w:asciiTheme="minorHAnsi" w:eastAsiaTheme="minorEastAsia" w:hAnsiTheme="minorHAnsi" w:cstheme="minorBidi"/>
          <w:noProof/>
        </w:rPr>
        <w:tab/>
      </w:r>
      <w:r w:rsidRPr="00E452DB">
        <w:rPr>
          <w:noProof/>
          <w:lang w:val="en-GB"/>
        </w:rPr>
        <w:t>Accessibility</w:t>
      </w:r>
      <w:r>
        <w:rPr>
          <w:noProof/>
        </w:rPr>
        <w:tab/>
      </w:r>
      <w:r>
        <w:rPr>
          <w:noProof/>
        </w:rPr>
        <w:fldChar w:fldCharType="begin"/>
      </w:r>
      <w:r>
        <w:rPr>
          <w:noProof/>
        </w:rPr>
        <w:instrText xml:space="preserve"> PAGEREF _Toc391150167 \h </w:instrText>
      </w:r>
      <w:r>
        <w:rPr>
          <w:noProof/>
        </w:rPr>
      </w:r>
      <w:r>
        <w:rPr>
          <w:noProof/>
        </w:rPr>
        <w:fldChar w:fldCharType="separate"/>
      </w:r>
      <w:r w:rsidR="00523DE6">
        <w:rPr>
          <w:noProof/>
        </w:rPr>
        <w:t>52</w:t>
      </w:r>
      <w:r>
        <w:rPr>
          <w:noProof/>
        </w:rPr>
        <w:fldChar w:fldCharType="end"/>
      </w:r>
    </w:p>
    <w:p w14:paraId="672AF585"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A.</w:t>
      </w:r>
      <w:r>
        <w:rPr>
          <w:rFonts w:asciiTheme="minorHAnsi" w:eastAsiaTheme="minorEastAsia" w:hAnsiTheme="minorHAnsi" w:cstheme="minorBidi"/>
          <w:noProof/>
        </w:rPr>
        <w:tab/>
      </w:r>
      <w:r w:rsidRPr="00E452DB">
        <w:rPr>
          <w:noProof/>
          <w:lang w:val="en-GB"/>
        </w:rPr>
        <w:t>Transport infrastructure in the cross-border region</w:t>
      </w:r>
      <w:r>
        <w:rPr>
          <w:noProof/>
        </w:rPr>
        <w:tab/>
      </w:r>
      <w:r>
        <w:rPr>
          <w:noProof/>
        </w:rPr>
        <w:fldChar w:fldCharType="begin"/>
      </w:r>
      <w:r>
        <w:rPr>
          <w:noProof/>
        </w:rPr>
        <w:instrText xml:space="preserve"> PAGEREF _Toc391150168 \h </w:instrText>
      </w:r>
      <w:r>
        <w:rPr>
          <w:noProof/>
        </w:rPr>
      </w:r>
      <w:r>
        <w:rPr>
          <w:noProof/>
        </w:rPr>
        <w:fldChar w:fldCharType="separate"/>
      </w:r>
      <w:r w:rsidR="00523DE6">
        <w:rPr>
          <w:noProof/>
        </w:rPr>
        <w:t>52</w:t>
      </w:r>
      <w:r>
        <w:rPr>
          <w:noProof/>
        </w:rPr>
        <w:fldChar w:fldCharType="end"/>
      </w:r>
    </w:p>
    <w:p w14:paraId="7619E1BB"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B.</w:t>
      </w:r>
      <w:r>
        <w:rPr>
          <w:rFonts w:asciiTheme="minorHAnsi" w:eastAsiaTheme="minorEastAsia" w:hAnsiTheme="minorHAnsi" w:cstheme="minorBidi"/>
          <w:noProof/>
        </w:rPr>
        <w:tab/>
      </w:r>
      <w:r w:rsidRPr="00E452DB">
        <w:rPr>
          <w:noProof/>
          <w:lang w:val="en-GB"/>
        </w:rPr>
        <w:t xml:space="preserve">Border crossing infrastructure </w:t>
      </w:r>
      <w:r w:rsidRPr="006645DC">
        <w:rPr>
          <w:noProof/>
          <w:lang w:val="bg-BG" w:eastAsia="bg-BG"/>
        </w:rPr>
        <w:drawing>
          <wp:inline distT="0" distB="0" distL="0" distR="0" wp14:anchorId="736B498D" wp14:editId="75F1AA8B">
            <wp:extent cx="19050" cy="19050"/>
            <wp:effectExtent l="19050" t="0" r="0" b="0"/>
            <wp:docPr id="8" name="Imag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2"/>
                    <a:srcRect/>
                    <a:stretch>
                      <a:fillRect/>
                    </a:stretch>
                  </pic:blipFill>
                  <pic:spPr bwMode="auto">
                    <a:xfrm>
                      <a:off x="0" y="0"/>
                      <a:ext cx="19050" cy="19050"/>
                    </a:xfrm>
                    <a:prstGeom prst="rect">
                      <a:avLst/>
                    </a:prstGeom>
                    <a:solidFill>
                      <a:srgbClr val="FFFFFF"/>
                    </a:solidFill>
                    <a:ln w="9525">
                      <a:noFill/>
                      <a:miter lim="800000"/>
                      <a:headEnd/>
                      <a:tailEnd/>
                    </a:ln>
                  </pic:spPr>
                </pic:pic>
              </a:graphicData>
            </a:graphic>
          </wp:inline>
        </w:drawing>
      </w:r>
      <w:r>
        <w:rPr>
          <w:noProof/>
        </w:rPr>
        <w:tab/>
      </w:r>
      <w:r>
        <w:rPr>
          <w:noProof/>
        </w:rPr>
        <w:fldChar w:fldCharType="begin"/>
      </w:r>
      <w:r>
        <w:rPr>
          <w:noProof/>
        </w:rPr>
        <w:instrText xml:space="preserve"> PAGEREF _Toc391150169 \h </w:instrText>
      </w:r>
      <w:r>
        <w:rPr>
          <w:noProof/>
        </w:rPr>
      </w:r>
      <w:r>
        <w:rPr>
          <w:noProof/>
        </w:rPr>
        <w:fldChar w:fldCharType="separate"/>
      </w:r>
      <w:r w:rsidR="00523DE6">
        <w:rPr>
          <w:noProof/>
        </w:rPr>
        <w:t>67</w:t>
      </w:r>
      <w:r>
        <w:rPr>
          <w:noProof/>
        </w:rPr>
        <w:fldChar w:fldCharType="end"/>
      </w:r>
    </w:p>
    <w:p w14:paraId="59F5AAC8"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C.</w:t>
      </w:r>
      <w:r>
        <w:rPr>
          <w:rFonts w:asciiTheme="minorHAnsi" w:eastAsiaTheme="minorEastAsia" w:hAnsiTheme="minorHAnsi" w:cstheme="minorBidi"/>
          <w:noProof/>
        </w:rPr>
        <w:tab/>
      </w:r>
      <w:r w:rsidRPr="00E452DB">
        <w:rPr>
          <w:noProof/>
          <w:lang w:val="en-GB"/>
        </w:rPr>
        <w:t>Communication - Broadband connection</w:t>
      </w:r>
      <w:r>
        <w:rPr>
          <w:noProof/>
        </w:rPr>
        <w:tab/>
      </w:r>
      <w:r>
        <w:rPr>
          <w:noProof/>
        </w:rPr>
        <w:fldChar w:fldCharType="begin"/>
      </w:r>
      <w:r>
        <w:rPr>
          <w:noProof/>
        </w:rPr>
        <w:instrText xml:space="preserve"> PAGEREF _Toc391150170 \h </w:instrText>
      </w:r>
      <w:r>
        <w:rPr>
          <w:noProof/>
        </w:rPr>
      </w:r>
      <w:r>
        <w:rPr>
          <w:noProof/>
        </w:rPr>
        <w:fldChar w:fldCharType="separate"/>
      </w:r>
      <w:r w:rsidR="00523DE6">
        <w:rPr>
          <w:noProof/>
        </w:rPr>
        <w:t>72</w:t>
      </w:r>
      <w:r>
        <w:rPr>
          <w:noProof/>
        </w:rPr>
        <w:fldChar w:fldCharType="end"/>
      </w:r>
    </w:p>
    <w:p w14:paraId="40A5B16B"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D.</w:t>
      </w:r>
      <w:r>
        <w:rPr>
          <w:rFonts w:asciiTheme="minorHAnsi" w:eastAsiaTheme="minorEastAsia" w:hAnsiTheme="minorHAnsi" w:cstheme="minorBidi"/>
          <w:noProof/>
        </w:rPr>
        <w:tab/>
      </w:r>
      <w:r w:rsidRPr="00E452DB">
        <w:rPr>
          <w:noProof/>
          <w:lang w:val="en-GB"/>
        </w:rPr>
        <w:t>SWOT and problem tree</w:t>
      </w:r>
      <w:r>
        <w:rPr>
          <w:noProof/>
        </w:rPr>
        <w:tab/>
      </w:r>
      <w:r>
        <w:rPr>
          <w:noProof/>
        </w:rPr>
        <w:fldChar w:fldCharType="begin"/>
      </w:r>
      <w:r>
        <w:rPr>
          <w:noProof/>
        </w:rPr>
        <w:instrText xml:space="preserve"> PAGEREF _Toc391150171 \h </w:instrText>
      </w:r>
      <w:r>
        <w:rPr>
          <w:noProof/>
        </w:rPr>
      </w:r>
      <w:r>
        <w:rPr>
          <w:noProof/>
        </w:rPr>
        <w:fldChar w:fldCharType="separate"/>
      </w:r>
      <w:r w:rsidR="00523DE6">
        <w:rPr>
          <w:noProof/>
        </w:rPr>
        <w:t>74</w:t>
      </w:r>
      <w:r>
        <w:rPr>
          <w:noProof/>
        </w:rPr>
        <w:fldChar w:fldCharType="end"/>
      </w:r>
    </w:p>
    <w:p w14:paraId="2F942BE4"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E.</w:t>
      </w:r>
      <w:r>
        <w:rPr>
          <w:rFonts w:asciiTheme="minorHAnsi" w:eastAsiaTheme="minorEastAsia" w:hAnsiTheme="minorHAnsi" w:cstheme="minorBidi"/>
          <w:noProof/>
        </w:rPr>
        <w:tab/>
      </w:r>
      <w:r w:rsidRPr="00E452DB">
        <w:rPr>
          <w:noProof/>
          <w:lang w:val="en-GB"/>
        </w:rPr>
        <w:t>Challenges and needs</w:t>
      </w:r>
      <w:r>
        <w:rPr>
          <w:noProof/>
        </w:rPr>
        <w:tab/>
      </w:r>
      <w:r>
        <w:rPr>
          <w:noProof/>
        </w:rPr>
        <w:fldChar w:fldCharType="begin"/>
      </w:r>
      <w:r>
        <w:rPr>
          <w:noProof/>
        </w:rPr>
        <w:instrText xml:space="preserve"> PAGEREF _Toc391150172 \h </w:instrText>
      </w:r>
      <w:r>
        <w:rPr>
          <w:noProof/>
        </w:rPr>
      </w:r>
      <w:r>
        <w:rPr>
          <w:noProof/>
        </w:rPr>
        <w:fldChar w:fldCharType="separate"/>
      </w:r>
      <w:r w:rsidR="00523DE6">
        <w:rPr>
          <w:noProof/>
        </w:rPr>
        <w:t>76</w:t>
      </w:r>
      <w:r>
        <w:rPr>
          <w:noProof/>
        </w:rPr>
        <w:fldChar w:fldCharType="end"/>
      </w:r>
    </w:p>
    <w:p w14:paraId="62649162" w14:textId="77777777" w:rsidR="00B5425F" w:rsidRDefault="00B5425F">
      <w:pPr>
        <w:pStyle w:val="TOC1"/>
        <w:rPr>
          <w:rFonts w:asciiTheme="minorHAnsi" w:eastAsiaTheme="minorEastAsia" w:hAnsiTheme="minorHAnsi" w:cstheme="minorBidi"/>
          <w:noProof/>
        </w:rPr>
      </w:pPr>
      <w:r w:rsidRPr="00E452DB">
        <w:rPr>
          <w:noProof/>
          <w:lang w:val="en-GB"/>
        </w:rPr>
        <w:t>IV.</w:t>
      </w:r>
      <w:r>
        <w:rPr>
          <w:rFonts w:asciiTheme="minorHAnsi" w:eastAsiaTheme="minorEastAsia" w:hAnsiTheme="minorHAnsi" w:cstheme="minorBidi"/>
          <w:noProof/>
        </w:rPr>
        <w:tab/>
      </w:r>
      <w:r w:rsidRPr="00E452DB">
        <w:rPr>
          <w:noProof/>
          <w:lang w:val="en-GB"/>
        </w:rPr>
        <w:t>Demographic Change</w:t>
      </w:r>
      <w:r>
        <w:rPr>
          <w:noProof/>
        </w:rPr>
        <w:tab/>
      </w:r>
      <w:r>
        <w:rPr>
          <w:noProof/>
        </w:rPr>
        <w:fldChar w:fldCharType="begin"/>
      </w:r>
      <w:r>
        <w:rPr>
          <w:noProof/>
        </w:rPr>
        <w:instrText xml:space="preserve"> PAGEREF _Toc391150173 \h </w:instrText>
      </w:r>
      <w:r>
        <w:rPr>
          <w:noProof/>
        </w:rPr>
      </w:r>
      <w:r>
        <w:rPr>
          <w:noProof/>
        </w:rPr>
        <w:fldChar w:fldCharType="separate"/>
      </w:r>
      <w:r w:rsidR="00523DE6">
        <w:rPr>
          <w:noProof/>
        </w:rPr>
        <w:t>79</w:t>
      </w:r>
      <w:r>
        <w:rPr>
          <w:noProof/>
        </w:rPr>
        <w:fldChar w:fldCharType="end"/>
      </w:r>
    </w:p>
    <w:p w14:paraId="472A4859"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A.</w:t>
      </w:r>
      <w:r>
        <w:rPr>
          <w:rFonts w:asciiTheme="minorHAnsi" w:eastAsiaTheme="minorEastAsia" w:hAnsiTheme="minorHAnsi" w:cstheme="minorBidi"/>
          <w:noProof/>
        </w:rPr>
        <w:tab/>
      </w:r>
      <w:r w:rsidRPr="00E452DB">
        <w:rPr>
          <w:noProof/>
          <w:lang w:val="en-GB"/>
        </w:rPr>
        <w:t>Changing population/depopulation of the area</w:t>
      </w:r>
      <w:r>
        <w:rPr>
          <w:noProof/>
        </w:rPr>
        <w:tab/>
      </w:r>
      <w:r>
        <w:rPr>
          <w:noProof/>
        </w:rPr>
        <w:fldChar w:fldCharType="begin"/>
      </w:r>
      <w:r>
        <w:rPr>
          <w:noProof/>
        </w:rPr>
        <w:instrText xml:space="preserve"> PAGEREF _Toc391150174 \h </w:instrText>
      </w:r>
      <w:r>
        <w:rPr>
          <w:noProof/>
        </w:rPr>
      </w:r>
      <w:r>
        <w:rPr>
          <w:noProof/>
        </w:rPr>
        <w:fldChar w:fldCharType="separate"/>
      </w:r>
      <w:r w:rsidR="00523DE6">
        <w:rPr>
          <w:noProof/>
        </w:rPr>
        <w:t>79</w:t>
      </w:r>
      <w:r>
        <w:rPr>
          <w:noProof/>
        </w:rPr>
        <w:fldChar w:fldCharType="end"/>
      </w:r>
    </w:p>
    <w:p w14:paraId="3C265FD0"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B.</w:t>
      </w:r>
      <w:r>
        <w:rPr>
          <w:rFonts w:asciiTheme="minorHAnsi" w:eastAsiaTheme="minorEastAsia" w:hAnsiTheme="minorHAnsi" w:cstheme="minorBidi"/>
          <w:noProof/>
        </w:rPr>
        <w:tab/>
      </w:r>
      <w:r w:rsidRPr="00E452DB">
        <w:rPr>
          <w:noProof/>
          <w:lang w:val="en-GB"/>
        </w:rPr>
        <w:t>Ageing population/life expectancy</w:t>
      </w:r>
      <w:r>
        <w:rPr>
          <w:noProof/>
        </w:rPr>
        <w:tab/>
      </w:r>
      <w:r>
        <w:rPr>
          <w:noProof/>
        </w:rPr>
        <w:fldChar w:fldCharType="begin"/>
      </w:r>
      <w:r>
        <w:rPr>
          <w:noProof/>
        </w:rPr>
        <w:instrText xml:space="preserve"> PAGEREF _Toc391150175 \h </w:instrText>
      </w:r>
      <w:r>
        <w:rPr>
          <w:noProof/>
        </w:rPr>
      </w:r>
      <w:r>
        <w:rPr>
          <w:noProof/>
        </w:rPr>
        <w:fldChar w:fldCharType="separate"/>
      </w:r>
      <w:r w:rsidR="00523DE6">
        <w:rPr>
          <w:noProof/>
        </w:rPr>
        <w:t>84</w:t>
      </w:r>
      <w:r>
        <w:rPr>
          <w:noProof/>
        </w:rPr>
        <w:fldChar w:fldCharType="end"/>
      </w:r>
    </w:p>
    <w:p w14:paraId="27369478"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C.</w:t>
      </w:r>
      <w:r>
        <w:rPr>
          <w:rFonts w:asciiTheme="minorHAnsi" w:eastAsiaTheme="minorEastAsia" w:hAnsiTheme="minorHAnsi" w:cstheme="minorBidi"/>
          <w:noProof/>
        </w:rPr>
        <w:tab/>
      </w:r>
      <w:r w:rsidRPr="00E452DB">
        <w:rPr>
          <w:noProof/>
          <w:lang w:val="en-GB"/>
        </w:rPr>
        <w:t>Natural movement</w:t>
      </w:r>
      <w:r>
        <w:rPr>
          <w:noProof/>
        </w:rPr>
        <w:tab/>
      </w:r>
      <w:r>
        <w:rPr>
          <w:noProof/>
        </w:rPr>
        <w:fldChar w:fldCharType="begin"/>
      </w:r>
      <w:r>
        <w:rPr>
          <w:noProof/>
        </w:rPr>
        <w:instrText xml:space="preserve"> PAGEREF _Toc391150176 \h </w:instrText>
      </w:r>
      <w:r>
        <w:rPr>
          <w:noProof/>
        </w:rPr>
      </w:r>
      <w:r>
        <w:rPr>
          <w:noProof/>
        </w:rPr>
        <w:fldChar w:fldCharType="separate"/>
      </w:r>
      <w:r w:rsidR="00523DE6">
        <w:rPr>
          <w:noProof/>
        </w:rPr>
        <w:t>86</w:t>
      </w:r>
      <w:r>
        <w:rPr>
          <w:noProof/>
        </w:rPr>
        <w:fldChar w:fldCharType="end"/>
      </w:r>
    </w:p>
    <w:p w14:paraId="73EA7444"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D.</w:t>
      </w:r>
      <w:r>
        <w:rPr>
          <w:rFonts w:asciiTheme="minorHAnsi" w:eastAsiaTheme="minorEastAsia" w:hAnsiTheme="minorHAnsi" w:cstheme="minorBidi"/>
          <w:noProof/>
        </w:rPr>
        <w:tab/>
      </w:r>
      <w:r w:rsidRPr="00E452DB">
        <w:rPr>
          <w:noProof/>
          <w:lang w:val="en-GB"/>
        </w:rPr>
        <w:t>Fertility rate</w:t>
      </w:r>
      <w:r>
        <w:rPr>
          <w:noProof/>
        </w:rPr>
        <w:tab/>
      </w:r>
      <w:r>
        <w:rPr>
          <w:noProof/>
        </w:rPr>
        <w:fldChar w:fldCharType="begin"/>
      </w:r>
      <w:r>
        <w:rPr>
          <w:noProof/>
        </w:rPr>
        <w:instrText xml:space="preserve"> PAGEREF _Toc391150177 \h </w:instrText>
      </w:r>
      <w:r>
        <w:rPr>
          <w:noProof/>
        </w:rPr>
      </w:r>
      <w:r>
        <w:rPr>
          <w:noProof/>
        </w:rPr>
        <w:fldChar w:fldCharType="separate"/>
      </w:r>
      <w:r w:rsidR="00523DE6">
        <w:rPr>
          <w:noProof/>
        </w:rPr>
        <w:t>90</w:t>
      </w:r>
      <w:r>
        <w:rPr>
          <w:noProof/>
        </w:rPr>
        <w:fldChar w:fldCharType="end"/>
      </w:r>
    </w:p>
    <w:p w14:paraId="047B4925"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E.</w:t>
      </w:r>
      <w:r>
        <w:rPr>
          <w:rFonts w:asciiTheme="minorHAnsi" w:eastAsiaTheme="minorEastAsia" w:hAnsiTheme="minorHAnsi" w:cstheme="minorBidi"/>
          <w:noProof/>
        </w:rPr>
        <w:tab/>
      </w:r>
      <w:r w:rsidRPr="00E452DB">
        <w:rPr>
          <w:noProof/>
          <w:lang w:val="en-GB"/>
        </w:rPr>
        <w:t>Migration trends</w:t>
      </w:r>
      <w:r>
        <w:rPr>
          <w:noProof/>
        </w:rPr>
        <w:tab/>
      </w:r>
      <w:r>
        <w:rPr>
          <w:noProof/>
        </w:rPr>
        <w:fldChar w:fldCharType="begin"/>
      </w:r>
      <w:r>
        <w:rPr>
          <w:noProof/>
        </w:rPr>
        <w:instrText xml:space="preserve"> PAGEREF _Toc391150178 \h </w:instrText>
      </w:r>
      <w:r>
        <w:rPr>
          <w:noProof/>
        </w:rPr>
      </w:r>
      <w:r>
        <w:rPr>
          <w:noProof/>
        </w:rPr>
        <w:fldChar w:fldCharType="separate"/>
      </w:r>
      <w:r w:rsidR="00523DE6">
        <w:rPr>
          <w:noProof/>
        </w:rPr>
        <w:t>92</w:t>
      </w:r>
      <w:r>
        <w:rPr>
          <w:noProof/>
        </w:rPr>
        <w:fldChar w:fldCharType="end"/>
      </w:r>
    </w:p>
    <w:p w14:paraId="08B1CE43"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F.</w:t>
      </w:r>
      <w:r>
        <w:rPr>
          <w:rFonts w:asciiTheme="minorHAnsi" w:eastAsiaTheme="minorEastAsia" w:hAnsiTheme="minorHAnsi" w:cstheme="minorBidi"/>
          <w:noProof/>
        </w:rPr>
        <w:tab/>
      </w:r>
      <w:r w:rsidRPr="00E452DB">
        <w:rPr>
          <w:noProof/>
          <w:lang w:val="en-GB"/>
        </w:rPr>
        <w:t>SWOT and problem tree</w:t>
      </w:r>
      <w:r>
        <w:rPr>
          <w:noProof/>
        </w:rPr>
        <w:tab/>
      </w:r>
      <w:r>
        <w:rPr>
          <w:noProof/>
        </w:rPr>
        <w:fldChar w:fldCharType="begin"/>
      </w:r>
      <w:r>
        <w:rPr>
          <w:noProof/>
        </w:rPr>
        <w:instrText xml:space="preserve"> PAGEREF _Toc391150179 \h </w:instrText>
      </w:r>
      <w:r>
        <w:rPr>
          <w:noProof/>
        </w:rPr>
      </w:r>
      <w:r>
        <w:rPr>
          <w:noProof/>
        </w:rPr>
        <w:fldChar w:fldCharType="separate"/>
      </w:r>
      <w:r w:rsidR="00523DE6">
        <w:rPr>
          <w:noProof/>
        </w:rPr>
        <w:t>97</w:t>
      </w:r>
      <w:r>
        <w:rPr>
          <w:noProof/>
        </w:rPr>
        <w:fldChar w:fldCharType="end"/>
      </w:r>
    </w:p>
    <w:p w14:paraId="28428E33"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G.</w:t>
      </w:r>
      <w:r>
        <w:rPr>
          <w:rFonts w:asciiTheme="minorHAnsi" w:eastAsiaTheme="minorEastAsia" w:hAnsiTheme="minorHAnsi" w:cstheme="minorBidi"/>
          <w:noProof/>
        </w:rPr>
        <w:tab/>
      </w:r>
      <w:r w:rsidRPr="00E452DB">
        <w:rPr>
          <w:noProof/>
          <w:lang w:val="en-GB"/>
        </w:rPr>
        <w:t>Challenges and needs</w:t>
      </w:r>
      <w:r>
        <w:rPr>
          <w:noProof/>
        </w:rPr>
        <w:tab/>
      </w:r>
      <w:r>
        <w:rPr>
          <w:noProof/>
        </w:rPr>
        <w:fldChar w:fldCharType="begin"/>
      </w:r>
      <w:r>
        <w:rPr>
          <w:noProof/>
        </w:rPr>
        <w:instrText xml:space="preserve"> PAGEREF _Toc391150180 \h </w:instrText>
      </w:r>
      <w:r>
        <w:rPr>
          <w:noProof/>
        </w:rPr>
      </w:r>
      <w:r>
        <w:rPr>
          <w:noProof/>
        </w:rPr>
        <w:fldChar w:fldCharType="separate"/>
      </w:r>
      <w:r w:rsidR="00523DE6">
        <w:rPr>
          <w:noProof/>
        </w:rPr>
        <w:t>99</w:t>
      </w:r>
      <w:r>
        <w:rPr>
          <w:noProof/>
        </w:rPr>
        <w:fldChar w:fldCharType="end"/>
      </w:r>
    </w:p>
    <w:p w14:paraId="1C55F44D" w14:textId="77777777" w:rsidR="00B5425F" w:rsidRDefault="00B5425F">
      <w:pPr>
        <w:pStyle w:val="TOC1"/>
        <w:rPr>
          <w:rFonts w:asciiTheme="minorHAnsi" w:eastAsiaTheme="minorEastAsia" w:hAnsiTheme="minorHAnsi" w:cstheme="minorBidi"/>
          <w:noProof/>
        </w:rPr>
      </w:pPr>
      <w:r w:rsidRPr="00E452DB">
        <w:rPr>
          <w:noProof/>
          <w:lang w:val="en-GB"/>
        </w:rPr>
        <w:t>V.</w:t>
      </w:r>
      <w:r>
        <w:rPr>
          <w:rFonts w:asciiTheme="minorHAnsi" w:eastAsiaTheme="minorEastAsia" w:hAnsiTheme="minorHAnsi" w:cstheme="minorBidi"/>
          <w:noProof/>
        </w:rPr>
        <w:tab/>
      </w:r>
      <w:r w:rsidRPr="00E452DB">
        <w:rPr>
          <w:noProof/>
          <w:lang w:val="en-GB"/>
        </w:rPr>
        <w:t>Social Cohesion</w:t>
      </w:r>
      <w:r>
        <w:rPr>
          <w:noProof/>
        </w:rPr>
        <w:tab/>
      </w:r>
      <w:r>
        <w:rPr>
          <w:noProof/>
        </w:rPr>
        <w:fldChar w:fldCharType="begin"/>
      </w:r>
      <w:r>
        <w:rPr>
          <w:noProof/>
        </w:rPr>
        <w:instrText xml:space="preserve"> PAGEREF _Toc391150181 \h </w:instrText>
      </w:r>
      <w:r>
        <w:rPr>
          <w:noProof/>
        </w:rPr>
      </w:r>
      <w:r>
        <w:rPr>
          <w:noProof/>
        </w:rPr>
        <w:fldChar w:fldCharType="separate"/>
      </w:r>
      <w:r w:rsidR="00523DE6">
        <w:rPr>
          <w:noProof/>
        </w:rPr>
        <w:t>101</w:t>
      </w:r>
      <w:r>
        <w:rPr>
          <w:noProof/>
        </w:rPr>
        <w:fldChar w:fldCharType="end"/>
      </w:r>
    </w:p>
    <w:p w14:paraId="2889E32C"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A.</w:t>
      </w:r>
      <w:r>
        <w:rPr>
          <w:rFonts w:asciiTheme="minorHAnsi" w:eastAsiaTheme="minorEastAsia" w:hAnsiTheme="minorHAnsi" w:cstheme="minorBidi"/>
          <w:noProof/>
        </w:rPr>
        <w:tab/>
      </w:r>
      <w:r w:rsidRPr="00E452DB">
        <w:rPr>
          <w:noProof/>
          <w:lang w:val="en-GB"/>
        </w:rPr>
        <w:t>Employment and labour mobility</w:t>
      </w:r>
      <w:r>
        <w:rPr>
          <w:noProof/>
        </w:rPr>
        <w:tab/>
      </w:r>
      <w:r>
        <w:rPr>
          <w:noProof/>
        </w:rPr>
        <w:fldChar w:fldCharType="begin"/>
      </w:r>
      <w:r>
        <w:rPr>
          <w:noProof/>
        </w:rPr>
        <w:instrText xml:space="preserve"> PAGEREF _Toc391150182 \h </w:instrText>
      </w:r>
      <w:r>
        <w:rPr>
          <w:noProof/>
        </w:rPr>
      </w:r>
      <w:r>
        <w:rPr>
          <w:noProof/>
        </w:rPr>
        <w:fldChar w:fldCharType="separate"/>
      </w:r>
      <w:r w:rsidR="00523DE6">
        <w:rPr>
          <w:noProof/>
        </w:rPr>
        <w:t>101</w:t>
      </w:r>
      <w:r>
        <w:rPr>
          <w:noProof/>
        </w:rPr>
        <w:fldChar w:fldCharType="end"/>
      </w:r>
    </w:p>
    <w:p w14:paraId="4CDCE779"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lastRenderedPageBreak/>
        <w:t>B.</w:t>
      </w:r>
      <w:r>
        <w:rPr>
          <w:rFonts w:asciiTheme="minorHAnsi" w:eastAsiaTheme="minorEastAsia" w:hAnsiTheme="minorHAnsi" w:cstheme="minorBidi"/>
          <w:noProof/>
        </w:rPr>
        <w:tab/>
      </w:r>
      <w:r w:rsidRPr="00E452DB">
        <w:rPr>
          <w:noProof/>
          <w:lang w:val="en-GB"/>
        </w:rPr>
        <w:t>Education</w:t>
      </w:r>
      <w:r>
        <w:rPr>
          <w:noProof/>
        </w:rPr>
        <w:tab/>
      </w:r>
      <w:r>
        <w:rPr>
          <w:noProof/>
        </w:rPr>
        <w:fldChar w:fldCharType="begin"/>
      </w:r>
      <w:r>
        <w:rPr>
          <w:noProof/>
        </w:rPr>
        <w:instrText xml:space="preserve"> PAGEREF _Toc391150183 \h </w:instrText>
      </w:r>
      <w:r>
        <w:rPr>
          <w:noProof/>
        </w:rPr>
      </w:r>
      <w:r>
        <w:rPr>
          <w:noProof/>
        </w:rPr>
        <w:fldChar w:fldCharType="separate"/>
      </w:r>
      <w:r w:rsidR="00523DE6">
        <w:rPr>
          <w:noProof/>
        </w:rPr>
        <w:t>115</w:t>
      </w:r>
      <w:r>
        <w:rPr>
          <w:noProof/>
        </w:rPr>
        <w:fldChar w:fldCharType="end"/>
      </w:r>
    </w:p>
    <w:p w14:paraId="51A8FAA7"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C.</w:t>
      </w:r>
      <w:r>
        <w:rPr>
          <w:rFonts w:asciiTheme="minorHAnsi" w:eastAsiaTheme="minorEastAsia" w:hAnsiTheme="minorHAnsi" w:cstheme="minorBidi"/>
          <w:noProof/>
        </w:rPr>
        <w:tab/>
      </w:r>
      <w:r w:rsidRPr="00E452DB">
        <w:rPr>
          <w:noProof/>
          <w:lang w:val="en-GB"/>
        </w:rPr>
        <w:t>Social services</w:t>
      </w:r>
      <w:r>
        <w:rPr>
          <w:noProof/>
        </w:rPr>
        <w:tab/>
      </w:r>
      <w:r>
        <w:rPr>
          <w:noProof/>
        </w:rPr>
        <w:fldChar w:fldCharType="begin"/>
      </w:r>
      <w:r>
        <w:rPr>
          <w:noProof/>
        </w:rPr>
        <w:instrText xml:space="preserve"> PAGEREF _Toc391150184 \h </w:instrText>
      </w:r>
      <w:r>
        <w:rPr>
          <w:noProof/>
        </w:rPr>
      </w:r>
      <w:r>
        <w:rPr>
          <w:noProof/>
        </w:rPr>
        <w:fldChar w:fldCharType="separate"/>
      </w:r>
      <w:r w:rsidR="00523DE6">
        <w:rPr>
          <w:noProof/>
        </w:rPr>
        <w:t>119</w:t>
      </w:r>
      <w:r>
        <w:rPr>
          <w:noProof/>
        </w:rPr>
        <w:fldChar w:fldCharType="end"/>
      </w:r>
    </w:p>
    <w:p w14:paraId="5AA4AF82"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D.</w:t>
      </w:r>
      <w:r>
        <w:rPr>
          <w:rFonts w:asciiTheme="minorHAnsi" w:eastAsiaTheme="minorEastAsia" w:hAnsiTheme="minorHAnsi" w:cstheme="minorBidi"/>
          <w:noProof/>
        </w:rPr>
        <w:tab/>
      </w:r>
      <w:r w:rsidRPr="00E452DB">
        <w:rPr>
          <w:noProof/>
          <w:lang w:val="en-GB"/>
        </w:rPr>
        <w:t>Poverty</w:t>
      </w:r>
      <w:r>
        <w:rPr>
          <w:noProof/>
        </w:rPr>
        <w:tab/>
      </w:r>
      <w:r>
        <w:rPr>
          <w:noProof/>
        </w:rPr>
        <w:fldChar w:fldCharType="begin"/>
      </w:r>
      <w:r>
        <w:rPr>
          <w:noProof/>
        </w:rPr>
        <w:instrText xml:space="preserve"> PAGEREF _Toc391150185 \h </w:instrText>
      </w:r>
      <w:r>
        <w:rPr>
          <w:noProof/>
        </w:rPr>
      </w:r>
      <w:r>
        <w:rPr>
          <w:noProof/>
        </w:rPr>
        <w:fldChar w:fldCharType="separate"/>
      </w:r>
      <w:r w:rsidR="00523DE6">
        <w:rPr>
          <w:noProof/>
        </w:rPr>
        <w:t>132</w:t>
      </w:r>
      <w:r>
        <w:rPr>
          <w:noProof/>
        </w:rPr>
        <w:fldChar w:fldCharType="end"/>
      </w:r>
    </w:p>
    <w:p w14:paraId="7AEDFC11"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E.</w:t>
      </w:r>
      <w:r>
        <w:rPr>
          <w:rFonts w:asciiTheme="minorHAnsi" w:eastAsiaTheme="minorEastAsia" w:hAnsiTheme="minorHAnsi" w:cstheme="minorBidi"/>
          <w:noProof/>
        </w:rPr>
        <w:tab/>
      </w:r>
      <w:r w:rsidRPr="00E452DB">
        <w:rPr>
          <w:noProof/>
          <w:lang w:val="en-GB"/>
        </w:rPr>
        <w:t>SWOT and problem tree</w:t>
      </w:r>
      <w:r>
        <w:rPr>
          <w:noProof/>
        </w:rPr>
        <w:tab/>
      </w:r>
      <w:r>
        <w:rPr>
          <w:noProof/>
        </w:rPr>
        <w:fldChar w:fldCharType="begin"/>
      </w:r>
      <w:r>
        <w:rPr>
          <w:noProof/>
        </w:rPr>
        <w:instrText xml:space="preserve"> PAGEREF _Toc391150186 \h </w:instrText>
      </w:r>
      <w:r>
        <w:rPr>
          <w:noProof/>
        </w:rPr>
      </w:r>
      <w:r>
        <w:rPr>
          <w:noProof/>
        </w:rPr>
        <w:fldChar w:fldCharType="separate"/>
      </w:r>
      <w:r w:rsidR="00523DE6">
        <w:rPr>
          <w:noProof/>
        </w:rPr>
        <w:t>134</w:t>
      </w:r>
      <w:r>
        <w:rPr>
          <w:noProof/>
        </w:rPr>
        <w:fldChar w:fldCharType="end"/>
      </w:r>
    </w:p>
    <w:p w14:paraId="16EC2352"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F.</w:t>
      </w:r>
      <w:r>
        <w:rPr>
          <w:rFonts w:asciiTheme="minorHAnsi" w:eastAsiaTheme="minorEastAsia" w:hAnsiTheme="minorHAnsi" w:cstheme="minorBidi"/>
          <w:noProof/>
        </w:rPr>
        <w:tab/>
      </w:r>
      <w:r w:rsidRPr="00E452DB">
        <w:rPr>
          <w:noProof/>
          <w:lang w:val="en-GB"/>
        </w:rPr>
        <w:t>Challenges and needs</w:t>
      </w:r>
      <w:r>
        <w:rPr>
          <w:noProof/>
        </w:rPr>
        <w:tab/>
      </w:r>
      <w:r>
        <w:rPr>
          <w:noProof/>
        </w:rPr>
        <w:fldChar w:fldCharType="begin"/>
      </w:r>
      <w:r>
        <w:rPr>
          <w:noProof/>
        </w:rPr>
        <w:instrText xml:space="preserve"> PAGEREF _Toc391150187 \h </w:instrText>
      </w:r>
      <w:r>
        <w:rPr>
          <w:noProof/>
        </w:rPr>
      </w:r>
      <w:r>
        <w:rPr>
          <w:noProof/>
        </w:rPr>
        <w:fldChar w:fldCharType="separate"/>
      </w:r>
      <w:r w:rsidR="00523DE6">
        <w:rPr>
          <w:noProof/>
        </w:rPr>
        <w:t>136</w:t>
      </w:r>
      <w:r>
        <w:rPr>
          <w:noProof/>
        </w:rPr>
        <w:fldChar w:fldCharType="end"/>
      </w:r>
    </w:p>
    <w:p w14:paraId="7C13C01A" w14:textId="77777777" w:rsidR="00B5425F" w:rsidRDefault="00B5425F">
      <w:pPr>
        <w:pStyle w:val="TOC1"/>
        <w:rPr>
          <w:rFonts w:asciiTheme="minorHAnsi" w:eastAsiaTheme="minorEastAsia" w:hAnsiTheme="minorHAnsi" w:cstheme="minorBidi"/>
          <w:noProof/>
        </w:rPr>
      </w:pPr>
      <w:r w:rsidRPr="00E452DB">
        <w:rPr>
          <w:noProof/>
          <w:lang w:val="en-GB"/>
        </w:rPr>
        <w:t>VI.</w:t>
      </w:r>
      <w:r>
        <w:rPr>
          <w:rFonts w:asciiTheme="minorHAnsi" w:eastAsiaTheme="minorEastAsia" w:hAnsiTheme="minorHAnsi" w:cstheme="minorBidi"/>
          <w:noProof/>
        </w:rPr>
        <w:tab/>
      </w:r>
      <w:r w:rsidRPr="00E452DB">
        <w:rPr>
          <w:noProof/>
          <w:lang w:val="en-GB"/>
        </w:rPr>
        <w:t>Climate Change</w:t>
      </w:r>
      <w:r>
        <w:rPr>
          <w:noProof/>
        </w:rPr>
        <w:tab/>
      </w:r>
      <w:r>
        <w:rPr>
          <w:noProof/>
        </w:rPr>
        <w:fldChar w:fldCharType="begin"/>
      </w:r>
      <w:r>
        <w:rPr>
          <w:noProof/>
        </w:rPr>
        <w:instrText xml:space="preserve"> PAGEREF _Toc391150188 \h </w:instrText>
      </w:r>
      <w:r>
        <w:rPr>
          <w:noProof/>
        </w:rPr>
      </w:r>
      <w:r>
        <w:rPr>
          <w:noProof/>
        </w:rPr>
        <w:fldChar w:fldCharType="separate"/>
      </w:r>
      <w:r w:rsidR="00523DE6">
        <w:rPr>
          <w:noProof/>
        </w:rPr>
        <w:t>139</w:t>
      </w:r>
      <w:r>
        <w:rPr>
          <w:noProof/>
        </w:rPr>
        <w:fldChar w:fldCharType="end"/>
      </w:r>
    </w:p>
    <w:p w14:paraId="1CBD91F2"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A.</w:t>
      </w:r>
      <w:r>
        <w:rPr>
          <w:rFonts w:asciiTheme="minorHAnsi" w:eastAsiaTheme="minorEastAsia" w:hAnsiTheme="minorHAnsi" w:cstheme="minorBidi"/>
          <w:noProof/>
        </w:rPr>
        <w:tab/>
      </w:r>
      <w:r w:rsidRPr="00E452DB">
        <w:rPr>
          <w:noProof/>
          <w:lang w:val="en-GB"/>
        </w:rPr>
        <w:t>Climate and climate change</w:t>
      </w:r>
      <w:r>
        <w:rPr>
          <w:noProof/>
        </w:rPr>
        <w:tab/>
      </w:r>
      <w:r>
        <w:rPr>
          <w:noProof/>
        </w:rPr>
        <w:fldChar w:fldCharType="begin"/>
      </w:r>
      <w:r>
        <w:rPr>
          <w:noProof/>
        </w:rPr>
        <w:instrText xml:space="preserve"> PAGEREF _Toc391150189 \h </w:instrText>
      </w:r>
      <w:r>
        <w:rPr>
          <w:noProof/>
        </w:rPr>
      </w:r>
      <w:r>
        <w:rPr>
          <w:noProof/>
        </w:rPr>
        <w:fldChar w:fldCharType="separate"/>
      </w:r>
      <w:r w:rsidR="00523DE6">
        <w:rPr>
          <w:noProof/>
        </w:rPr>
        <w:t>139</w:t>
      </w:r>
      <w:r>
        <w:rPr>
          <w:noProof/>
        </w:rPr>
        <w:fldChar w:fldCharType="end"/>
      </w:r>
    </w:p>
    <w:p w14:paraId="2F94A4FE"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B.</w:t>
      </w:r>
      <w:r>
        <w:rPr>
          <w:rFonts w:asciiTheme="minorHAnsi" w:eastAsiaTheme="minorEastAsia" w:hAnsiTheme="minorHAnsi" w:cstheme="minorBidi"/>
          <w:noProof/>
        </w:rPr>
        <w:tab/>
      </w:r>
      <w:r w:rsidRPr="00E452DB">
        <w:rPr>
          <w:noProof/>
          <w:lang w:val="en-GB"/>
        </w:rPr>
        <w:t>Greenhouse gas emissions</w:t>
      </w:r>
      <w:r>
        <w:rPr>
          <w:noProof/>
        </w:rPr>
        <w:tab/>
      </w:r>
      <w:r>
        <w:rPr>
          <w:noProof/>
        </w:rPr>
        <w:fldChar w:fldCharType="begin"/>
      </w:r>
      <w:r>
        <w:rPr>
          <w:noProof/>
        </w:rPr>
        <w:instrText xml:space="preserve"> PAGEREF _Toc391150190 \h </w:instrText>
      </w:r>
      <w:r>
        <w:rPr>
          <w:noProof/>
        </w:rPr>
      </w:r>
      <w:r>
        <w:rPr>
          <w:noProof/>
        </w:rPr>
        <w:fldChar w:fldCharType="separate"/>
      </w:r>
      <w:r w:rsidR="00523DE6">
        <w:rPr>
          <w:noProof/>
        </w:rPr>
        <w:t>145</w:t>
      </w:r>
      <w:r>
        <w:rPr>
          <w:noProof/>
        </w:rPr>
        <w:fldChar w:fldCharType="end"/>
      </w:r>
    </w:p>
    <w:p w14:paraId="748A60F6"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C.</w:t>
      </w:r>
      <w:r>
        <w:rPr>
          <w:rFonts w:asciiTheme="minorHAnsi" w:eastAsiaTheme="minorEastAsia" w:hAnsiTheme="minorHAnsi" w:cstheme="minorBidi"/>
          <w:noProof/>
        </w:rPr>
        <w:tab/>
      </w:r>
      <w:r w:rsidRPr="00E452DB">
        <w:rPr>
          <w:noProof/>
          <w:lang w:val="en-GB"/>
        </w:rPr>
        <w:t>SWOT and problem tree</w:t>
      </w:r>
      <w:r>
        <w:rPr>
          <w:noProof/>
        </w:rPr>
        <w:tab/>
      </w:r>
      <w:r>
        <w:rPr>
          <w:noProof/>
        </w:rPr>
        <w:fldChar w:fldCharType="begin"/>
      </w:r>
      <w:r>
        <w:rPr>
          <w:noProof/>
        </w:rPr>
        <w:instrText xml:space="preserve"> PAGEREF _Toc391150191 \h </w:instrText>
      </w:r>
      <w:r>
        <w:rPr>
          <w:noProof/>
        </w:rPr>
      </w:r>
      <w:r>
        <w:rPr>
          <w:noProof/>
        </w:rPr>
        <w:fldChar w:fldCharType="separate"/>
      </w:r>
      <w:r w:rsidR="00523DE6">
        <w:rPr>
          <w:noProof/>
        </w:rPr>
        <w:t>147</w:t>
      </w:r>
      <w:r>
        <w:rPr>
          <w:noProof/>
        </w:rPr>
        <w:fldChar w:fldCharType="end"/>
      </w:r>
    </w:p>
    <w:p w14:paraId="7BB6C283"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D.</w:t>
      </w:r>
      <w:r>
        <w:rPr>
          <w:rFonts w:asciiTheme="minorHAnsi" w:eastAsiaTheme="minorEastAsia" w:hAnsiTheme="minorHAnsi" w:cstheme="minorBidi"/>
          <w:noProof/>
        </w:rPr>
        <w:tab/>
      </w:r>
      <w:r w:rsidRPr="00E452DB">
        <w:rPr>
          <w:noProof/>
          <w:lang w:val="en-GB"/>
        </w:rPr>
        <w:t>Challenges and needs:</w:t>
      </w:r>
      <w:r>
        <w:rPr>
          <w:noProof/>
        </w:rPr>
        <w:tab/>
      </w:r>
      <w:r>
        <w:rPr>
          <w:noProof/>
        </w:rPr>
        <w:fldChar w:fldCharType="begin"/>
      </w:r>
      <w:r>
        <w:rPr>
          <w:noProof/>
        </w:rPr>
        <w:instrText xml:space="preserve"> PAGEREF _Toc391150192 \h </w:instrText>
      </w:r>
      <w:r>
        <w:rPr>
          <w:noProof/>
        </w:rPr>
      </w:r>
      <w:r>
        <w:rPr>
          <w:noProof/>
        </w:rPr>
        <w:fldChar w:fldCharType="separate"/>
      </w:r>
      <w:r w:rsidR="00523DE6">
        <w:rPr>
          <w:noProof/>
        </w:rPr>
        <w:t>149</w:t>
      </w:r>
      <w:r>
        <w:rPr>
          <w:noProof/>
        </w:rPr>
        <w:fldChar w:fldCharType="end"/>
      </w:r>
    </w:p>
    <w:p w14:paraId="2D511340" w14:textId="77777777" w:rsidR="00B5425F" w:rsidRDefault="00B5425F">
      <w:pPr>
        <w:pStyle w:val="TOC1"/>
        <w:rPr>
          <w:rFonts w:asciiTheme="minorHAnsi" w:eastAsiaTheme="minorEastAsia" w:hAnsiTheme="minorHAnsi" w:cstheme="minorBidi"/>
          <w:noProof/>
        </w:rPr>
      </w:pPr>
      <w:r w:rsidRPr="00E452DB">
        <w:rPr>
          <w:noProof/>
          <w:lang w:val="en-GB"/>
        </w:rPr>
        <w:t>VII.</w:t>
      </w:r>
      <w:r>
        <w:rPr>
          <w:rFonts w:asciiTheme="minorHAnsi" w:eastAsiaTheme="minorEastAsia" w:hAnsiTheme="minorHAnsi" w:cstheme="minorBidi"/>
          <w:noProof/>
        </w:rPr>
        <w:tab/>
      </w:r>
      <w:r w:rsidRPr="00E452DB">
        <w:rPr>
          <w:noProof/>
          <w:lang w:val="en-GB"/>
        </w:rPr>
        <w:t>Energy sector</w:t>
      </w:r>
      <w:r>
        <w:rPr>
          <w:noProof/>
        </w:rPr>
        <w:tab/>
      </w:r>
      <w:r>
        <w:rPr>
          <w:noProof/>
        </w:rPr>
        <w:fldChar w:fldCharType="begin"/>
      </w:r>
      <w:r>
        <w:rPr>
          <w:noProof/>
        </w:rPr>
        <w:instrText xml:space="preserve"> PAGEREF _Toc391150193 \h </w:instrText>
      </w:r>
      <w:r>
        <w:rPr>
          <w:noProof/>
        </w:rPr>
      </w:r>
      <w:r>
        <w:rPr>
          <w:noProof/>
        </w:rPr>
        <w:fldChar w:fldCharType="separate"/>
      </w:r>
      <w:r w:rsidR="00523DE6">
        <w:rPr>
          <w:noProof/>
        </w:rPr>
        <w:t>151</w:t>
      </w:r>
      <w:r>
        <w:rPr>
          <w:noProof/>
        </w:rPr>
        <w:fldChar w:fldCharType="end"/>
      </w:r>
    </w:p>
    <w:p w14:paraId="1A5C5B3D"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A.</w:t>
      </w:r>
      <w:r>
        <w:rPr>
          <w:rFonts w:asciiTheme="minorHAnsi" w:eastAsiaTheme="minorEastAsia" w:hAnsiTheme="minorHAnsi" w:cstheme="minorBidi"/>
          <w:noProof/>
        </w:rPr>
        <w:tab/>
      </w:r>
      <w:r w:rsidRPr="00E452DB">
        <w:rPr>
          <w:noProof/>
          <w:lang w:val="en-GB"/>
        </w:rPr>
        <w:t>National strategies concerning the energy sector</w:t>
      </w:r>
      <w:r>
        <w:rPr>
          <w:noProof/>
        </w:rPr>
        <w:tab/>
      </w:r>
      <w:r>
        <w:rPr>
          <w:noProof/>
        </w:rPr>
        <w:fldChar w:fldCharType="begin"/>
      </w:r>
      <w:r>
        <w:rPr>
          <w:noProof/>
        </w:rPr>
        <w:instrText xml:space="preserve"> PAGEREF _Toc391150194 \h </w:instrText>
      </w:r>
      <w:r>
        <w:rPr>
          <w:noProof/>
        </w:rPr>
      </w:r>
      <w:r>
        <w:rPr>
          <w:noProof/>
        </w:rPr>
        <w:fldChar w:fldCharType="separate"/>
      </w:r>
      <w:r w:rsidR="00523DE6">
        <w:rPr>
          <w:noProof/>
        </w:rPr>
        <w:t>151</w:t>
      </w:r>
      <w:r>
        <w:rPr>
          <w:noProof/>
        </w:rPr>
        <w:fldChar w:fldCharType="end"/>
      </w:r>
    </w:p>
    <w:p w14:paraId="6424F698"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B.</w:t>
      </w:r>
      <w:r>
        <w:rPr>
          <w:rFonts w:asciiTheme="minorHAnsi" w:eastAsiaTheme="minorEastAsia" w:hAnsiTheme="minorHAnsi" w:cstheme="minorBidi"/>
          <w:noProof/>
        </w:rPr>
        <w:tab/>
      </w:r>
      <w:r w:rsidRPr="00E452DB">
        <w:rPr>
          <w:noProof/>
          <w:lang w:val="en-GB"/>
        </w:rPr>
        <w:t>Energy consumption</w:t>
      </w:r>
      <w:r>
        <w:rPr>
          <w:noProof/>
        </w:rPr>
        <w:tab/>
      </w:r>
      <w:r>
        <w:rPr>
          <w:noProof/>
        </w:rPr>
        <w:fldChar w:fldCharType="begin"/>
      </w:r>
      <w:r>
        <w:rPr>
          <w:noProof/>
        </w:rPr>
        <w:instrText xml:space="preserve"> PAGEREF _Toc391150195 \h </w:instrText>
      </w:r>
      <w:r>
        <w:rPr>
          <w:noProof/>
        </w:rPr>
      </w:r>
      <w:r>
        <w:rPr>
          <w:noProof/>
        </w:rPr>
        <w:fldChar w:fldCharType="separate"/>
      </w:r>
      <w:r w:rsidR="00523DE6">
        <w:rPr>
          <w:noProof/>
        </w:rPr>
        <w:t>153</w:t>
      </w:r>
      <w:r>
        <w:rPr>
          <w:noProof/>
        </w:rPr>
        <w:fldChar w:fldCharType="end"/>
      </w:r>
    </w:p>
    <w:p w14:paraId="79151156"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C.</w:t>
      </w:r>
      <w:r>
        <w:rPr>
          <w:rFonts w:asciiTheme="minorHAnsi" w:eastAsiaTheme="minorEastAsia" w:hAnsiTheme="minorHAnsi" w:cstheme="minorBidi"/>
          <w:noProof/>
        </w:rPr>
        <w:tab/>
      </w:r>
      <w:r w:rsidRPr="00E452DB">
        <w:rPr>
          <w:noProof/>
          <w:lang w:val="en-GB"/>
        </w:rPr>
        <w:t>Energy production</w:t>
      </w:r>
      <w:r>
        <w:rPr>
          <w:noProof/>
        </w:rPr>
        <w:tab/>
      </w:r>
      <w:r>
        <w:rPr>
          <w:noProof/>
        </w:rPr>
        <w:fldChar w:fldCharType="begin"/>
      </w:r>
      <w:r>
        <w:rPr>
          <w:noProof/>
        </w:rPr>
        <w:instrText xml:space="preserve"> PAGEREF _Toc391150196 \h </w:instrText>
      </w:r>
      <w:r>
        <w:rPr>
          <w:noProof/>
        </w:rPr>
      </w:r>
      <w:r>
        <w:rPr>
          <w:noProof/>
        </w:rPr>
        <w:fldChar w:fldCharType="separate"/>
      </w:r>
      <w:r w:rsidR="00523DE6">
        <w:rPr>
          <w:noProof/>
        </w:rPr>
        <w:t>154</w:t>
      </w:r>
      <w:r>
        <w:rPr>
          <w:noProof/>
        </w:rPr>
        <w:fldChar w:fldCharType="end"/>
      </w:r>
    </w:p>
    <w:p w14:paraId="38471491"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D.</w:t>
      </w:r>
      <w:r>
        <w:rPr>
          <w:rFonts w:asciiTheme="minorHAnsi" w:eastAsiaTheme="minorEastAsia" w:hAnsiTheme="minorHAnsi" w:cstheme="minorBidi"/>
          <w:noProof/>
        </w:rPr>
        <w:tab/>
      </w:r>
      <w:r w:rsidRPr="00E452DB">
        <w:rPr>
          <w:noProof/>
          <w:lang w:val="en-GB"/>
        </w:rPr>
        <w:t>Energy intensity</w:t>
      </w:r>
      <w:r>
        <w:rPr>
          <w:noProof/>
        </w:rPr>
        <w:tab/>
      </w:r>
      <w:r>
        <w:rPr>
          <w:noProof/>
        </w:rPr>
        <w:fldChar w:fldCharType="begin"/>
      </w:r>
      <w:r>
        <w:rPr>
          <w:noProof/>
        </w:rPr>
        <w:instrText xml:space="preserve"> PAGEREF _Toc391150197 \h </w:instrText>
      </w:r>
      <w:r>
        <w:rPr>
          <w:noProof/>
        </w:rPr>
      </w:r>
      <w:r>
        <w:rPr>
          <w:noProof/>
        </w:rPr>
        <w:fldChar w:fldCharType="separate"/>
      </w:r>
      <w:r w:rsidR="00523DE6">
        <w:rPr>
          <w:noProof/>
        </w:rPr>
        <w:t>155</w:t>
      </w:r>
      <w:r>
        <w:rPr>
          <w:noProof/>
        </w:rPr>
        <w:fldChar w:fldCharType="end"/>
      </w:r>
    </w:p>
    <w:p w14:paraId="19ECCFFA"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E.</w:t>
      </w:r>
      <w:r>
        <w:rPr>
          <w:rFonts w:asciiTheme="minorHAnsi" w:eastAsiaTheme="minorEastAsia" w:hAnsiTheme="minorHAnsi" w:cstheme="minorBidi"/>
          <w:noProof/>
        </w:rPr>
        <w:tab/>
      </w:r>
      <w:r w:rsidRPr="00E452DB">
        <w:rPr>
          <w:noProof/>
          <w:lang w:val="en-GB"/>
        </w:rPr>
        <w:t>Energy dependence</w:t>
      </w:r>
      <w:r>
        <w:rPr>
          <w:noProof/>
        </w:rPr>
        <w:tab/>
      </w:r>
      <w:r>
        <w:rPr>
          <w:noProof/>
        </w:rPr>
        <w:fldChar w:fldCharType="begin"/>
      </w:r>
      <w:r>
        <w:rPr>
          <w:noProof/>
        </w:rPr>
        <w:instrText xml:space="preserve"> PAGEREF _Toc391150198 \h </w:instrText>
      </w:r>
      <w:r>
        <w:rPr>
          <w:noProof/>
        </w:rPr>
      </w:r>
      <w:r>
        <w:rPr>
          <w:noProof/>
        </w:rPr>
        <w:fldChar w:fldCharType="separate"/>
      </w:r>
      <w:r w:rsidR="00523DE6">
        <w:rPr>
          <w:noProof/>
        </w:rPr>
        <w:t>156</w:t>
      </w:r>
      <w:r>
        <w:rPr>
          <w:noProof/>
        </w:rPr>
        <w:fldChar w:fldCharType="end"/>
      </w:r>
    </w:p>
    <w:p w14:paraId="2CF3605F"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F.</w:t>
      </w:r>
      <w:r>
        <w:rPr>
          <w:rFonts w:asciiTheme="minorHAnsi" w:eastAsiaTheme="minorEastAsia" w:hAnsiTheme="minorHAnsi" w:cstheme="minorBidi"/>
          <w:noProof/>
        </w:rPr>
        <w:tab/>
      </w:r>
      <w:r w:rsidRPr="00E452DB">
        <w:rPr>
          <w:noProof/>
          <w:lang w:val="en-GB"/>
        </w:rPr>
        <w:t>Renewable energy sources</w:t>
      </w:r>
      <w:r>
        <w:rPr>
          <w:noProof/>
        </w:rPr>
        <w:tab/>
      </w:r>
      <w:r>
        <w:rPr>
          <w:noProof/>
        </w:rPr>
        <w:fldChar w:fldCharType="begin"/>
      </w:r>
      <w:r>
        <w:rPr>
          <w:noProof/>
        </w:rPr>
        <w:instrText xml:space="preserve"> PAGEREF _Toc391150199 \h </w:instrText>
      </w:r>
      <w:r>
        <w:rPr>
          <w:noProof/>
        </w:rPr>
      </w:r>
      <w:r>
        <w:rPr>
          <w:noProof/>
        </w:rPr>
        <w:fldChar w:fldCharType="separate"/>
      </w:r>
      <w:r w:rsidR="00523DE6">
        <w:rPr>
          <w:noProof/>
        </w:rPr>
        <w:t>156</w:t>
      </w:r>
      <w:r>
        <w:rPr>
          <w:noProof/>
        </w:rPr>
        <w:fldChar w:fldCharType="end"/>
      </w:r>
    </w:p>
    <w:p w14:paraId="0FC4D8FB"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G.</w:t>
      </w:r>
      <w:r>
        <w:rPr>
          <w:rFonts w:asciiTheme="minorHAnsi" w:eastAsiaTheme="minorEastAsia" w:hAnsiTheme="minorHAnsi" w:cstheme="minorBidi"/>
          <w:noProof/>
        </w:rPr>
        <w:tab/>
      </w:r>
      <w:r w:rsidRPr="00E452DB">
        <w:rPr>
          <w:noProof/>
          <w:lang w:val="en-GB"/>
        </w:rPr>
        <w:t>Energy poverty</w:t>
      </w:r>
      <w:r>
        <w:rPr>
          <w:noProof/>
        </w:rPr>
        <w:tab/>
      </w:r>
      <w:r>
        <w:rPr>
          <w:noProof/>
        </w:rPr>
        <w:fldChar w:fldCharType="begin"/>
      </w:r>
      <w:r>
        <w:rPr>
          <w:noProof/>
        </w:rPr>
        <w:instrText xml:space="preserve"> PAGEREF _Toc391150200 \h </w:instrText>
      </w:r>
      <w:r>
        <w:rPr>
          <w:noProof/>
        </w:rPr>
      </w:r>
      <w:r>
        <w:rPr>
          <w:noProof/>
        </w:rPr>
        <w:fldChar w:fldCharType="separate"/>
      </w:r>
      <w:r w:rsidR="00523DE6">
        <w:rPr>
          <w:noProof/>
        </w:rPr>
        <w:t>159</w:t>
      </w:r>
      <w:r>
        <w:rPr>
          <w:noProof/>
        </w:rPr>
        <w:fldChar w:fldCharType="end"/>
      </w:r>
    </w:p>
    <w:p w14:paraId="0DC4DF11"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H.</w:t>
      </w:r>
      <w:r>
        <w:rPr>
          <w:rFonts w:asciiTheme="minorHAnsi" w:eastAsiaTheme="minorEastAsia" w:hAnsiTheme="minorHAnsi" w:cstheme="minorBidi"/>
          <w:noProof/>
        </w:rPr>
        <w:tab/>
      </w:r>
      <w:r w:rsidRPr="00E452DB">
        <w:rPr>
          <w:noProof/>
          <w:lang w:val="en-GB"/>
        </w:rPr>
        <w:t>Energy efficiency</w:t>
      </w:r>
      <w:r>
        <w:rPr>
          <w:noProof/>
        </w:rPr>
        <w:tab/>
      </w:r>
      <w:r>
        <w:rPr>
          <w:noProof/>
        </w:rPr>
        <w:fldChar w:fldCharType="begin"/>
      </w:r>
      <w:r>
        <w:rPr>
          <w:noProof/>
        </w:rPr>
        <w:instrText xml:space="preserve"> PAGEREF _Toc391150201 \h </w:instrText>
      </w:r>
      <w:r>
        <w:rPr>
          <w:noProof/>
        </w:rPr>
      </w:r>
      <w:r>
        <w:rPr>
          <w:noProof/>
        </w:rPr>
        <w:fldChar w:fldCharType="separate"/>
      </w:r>
      <w:r w:rsidR="00523DE6">
        <w:rPr>
          <w:noProof/>
        </w:rPr>
        <w:t>161</w:t>
      </w:r>
      <w:r>
        <w:rPr>
          <w:noProof/>
        </w:rPr>
        <w:fldChar w:fldCharType="end"/>
      </w:r>
    </w:p>
    <w:p w14:paraId="54AE4666"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I.</w:t>
      </w:r>
      <w:r>
        <w:rPr>
          <w:rFonts w:asciiTheme="minorHAnsi" w:eastAsiaTheme="minorEastAsia" w:hAnsiTheme="minorHAnsi" w:cstheme="minorBidi"/>
          <w:noProof/>
        </w:rPr>
        <w:tab/>
      </w:r>
      <w:r w:rsidRPr="00E452DB">
        <w:rPr>
          <w:noProof/>
          <w:lang w:val="en-GB"/>
        </w:rPr>
        <w:t>SWOT and problem tree</w:t>
      </w:r>
      <w:r>
        <w:rPr>
          <w:noProof/>
        </w:rPr>
        <w:tab/>
      </w:r>
      <w:r>
        <w:rPr>
          <w:noProof/>
        </w:rPr>
        <w:fldChar w:fldCharType="begin"/>
      </w:r>
      <w:r>
        <w:rPr>
          <w:noProof/>
        </w:rPr>
        <w:instrText xml:space="preserve"> PAGEREF _Toc391150202 \h </w:instrText>
      </w:r>
      <w:r>
        <w:rPr>
          <w:noProof/>
        </w:rPr>
      </w:r>
      <w:r>
        <w:rPr>
          <w:noProof/>
        </w:rPr>
        <w:fldChar w:fldCharType="separate"/>
      </w:r>
      <w:r w:rsidR="00523DE6">
        <w:rPr>
          <w:noProof/>
        </w:rPr>
        <w:t>162</w:t>
      </w:r>
      <w:r>
        <w:rPr>
          <w:noProof/>
        </w:rPr>
        <w:fldChar w:fldCharType="end"/>
      </w:r>
    </w:p>
    <w:p w14:paraId="3CCF8BE0"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J.</w:t>
      </w:r>
      <w:r>
        <w:rPr>
          <w:rFonts w:asciiTheme="minorHAnsi" w:eastAsiaTheme="minorEastAsia" w:hAnsiTheme="minorHAnsi" w:cstheme="minorBidi"/>
          <w:noProof/>
        </w:rPr>
        <w:tab/>
      </w:r>
      <w:r w:rsidRPr="00E452DB">
        <w:rPr>
          <w:noProof/>
          <w:lang w:val="en-GB"/>
        </w:rPr>
        <w:t>Challenges and needs</w:t>
      </w:r>
      <w:r>
        <w:rPr>
          <w:noProof/>
        </w:rPr>
        <w:tab/>
      </w:r>
      <w:r>
        <w:rPr>
          <w:noProof/>
        </w:rPr>
        <w:fldChar w:fldCharType="begin"/>
      </w:r>
      <w:r>
        <w:rPr>
          <w:noProof/>
        </w:rPr>
        <w:instrText xml:space="preserve"> PAGEREF _Toc391150203 \h </w:instrText>
      </w:r>
      <w:r>
        <w:rPr>
          <w:noProof/>
        </w:rPr>
      </w:r>
      <w:r>
        <w:rPr>
          <w:noProof/>
        </w:rPr>
        <w:fldChar w:fldCharType="separate"/>
      </w:r>
      <w:r w:rsidR="00523DE6">
        <w:rPr>
          <w:noProof/>
        </w:rPr>
        <w:t>164</w:t>
      </w:r>
      <w:r>
        <w:rPr>
          <w:noProof/>
        </w:rPr>
        <w:fldChar w:fldCharType="end"/>
      </w:r>
    </w:p>
    <w:p w14:paraId="0135DB88" w14:textId="77777777" w:rsidR="00B5425F" w:rsidRDefault="00B5425F">
      <w:pPr>
        <w:pStyle w:val="TOC1"/>
        <w:rPr>
          <w:rFonts w:asciiTheme="minorHAnsi" w:eastAsiaTheme="minorEastAsia" w:hAnsiTheme="minorHAnsi" w:cstheme="minorBidi"/>
          <w:noProof/>
        </w:rPr>
      </w:pPr>
      <w:r w:rsidRPr="00E452DB">
        <w:rPr>
          <w:noProof/>
          <w:lang w:val="en-GB"/>
        </w:rPr>
        <w:t>VIII.</w:t>
      </w:r>
      <w:r>
        <w:rPr>
          <w:rFonts w:asciiTheme="minorHAnsi" w:eastAsiaTheme="minorEastAsia" w:hAnsiTheme="minorHAnsi" w:cstheme="minorBidi"/>
          <w:noProof/>
        </w:rPr>
        <w:tab/>
      </w:r>
      <w:r w:rsidRPr="00E452DB">
        <w:rPr>
          <w:noProof/>
          <w:lang w:val="en-GB"/>
        </w:rPr>
        <w:t>Environment</w:t>
      </w:r>
      <w:r>
        <w:rPr>
          <w:noProof/>
        </w:rPr>
        <w:tab/>
      </w:r>
      <w:r>
        <w:rPr>
          <w:noProof/>
        </w:rPr>
        <w:fldChar w:fldCharType="begin"/>
      </w:r>
      <w:r>
        <w:rPr>
          <w:noProof/>
        </w:rPr>
        <w:instrText xml:space="preserve"> PAGEREF _Toc391150204 \h </w:instrText>
      </w:r>
      <w:r>
        <w:rPr>
          <w:noProof/>
        </w:rPr>
      </w:r>
      <w:r>
        <w:rPr>
          <w:noProof/>
        </w:rPr>
        <w:fldChar w:fldCharType="separate"/>
      </w:r>
      <w:r w:rsidR="00523DE6">
        <w:rPr>
          <w:noProof/>
        </w:rPr>
        <w:t>166</w:t>
      </w:r>
      <w:r>
        <w:rPr>
          <w:noProof/>
        </w:rPr>
        <w:fldChar w:fldCharType="end"/>
      </w:r>
    </w:p>
    <w:p w14:paraId="0A33AB01"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rFonts w:eastAsia="Arial"/>
          <w:noProof/>
          <w:lang w:val="en-GB"/>
        </w:rPr>
        <w:t>A.</w:t>
      </w:r>
      <w:r>
        <w:rPr>
          <w:rFonts w:asciiTheme="minorHAnsi" w:eastAsiaTheme="minorEastAsia" w:hAnsiTheme="minorHAnsi" w:cstheme="minorBidi"/>
          <w:noProof/>
        </w:rPr>
        <w:tab/>
      </w:r>
      <w:r w:rsidRPr="00E452DB">
        <w:rPr>
          <w:noProof/>
          <w:lang w:val="en-GB"/>
        </w:rPr>
        <w:t>Relief</w:t>
      </w:r>
      <w:r>
        <w:rPr>
          <w:noProof/>
        </w:rPr>
        <w:tab/>
      </w:r>
      <w:r>
        <w:rPr>
          <w:noProof/>
        </w:rPr>
        <w:fldChar w:fldCharType="begin"/>
      </w:r>
      <w:r>
        <w:rPr>
          <w:noProof/>
        </w:rPr>
        <w:instrText xml:space="preserve"> PAGEREF _Toc391150205 \h </w:instrText>
      </w:r>
      <w:r>
        <w:rPr>
          <w:noProof/>
        </w:rPr>
      </w:r>
      <w:r>
        <w:rPr>
          <w:noProof/>
        </w:rPr>
        <w:fldChar w:fldCharType="separate"/>
      </w:r>
      <w:r w:rsidR="00523DE6">
        <w:rPr>
          <w:noProof/>
        </w:rPr>
        <w:t>166</w:t>
      </w:r>
      <w:r>
        <w:rPr>
          <w:noProof/>
        </w:rPr>
        <w:fldChar w:fldCharType="end"/>
      </w:r>
    </w:p>
    <w:p w14:paraId="7B33FA7C"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B.</w:t>
      </w:r>
      <w:r>
        <w:rPr>
          <w:rFonts w:asciiTheme="minorHAnsi" w:eastAsiaTheme="minorEastAsia" w:hAnsiTheme="minorHAnsi" w:cstheme="minorBidi"/>
          <w:noProof/>
        </w:rPr>
        <w:tab/>
      </w:r>
      <w:r w:rsidRPr="00E452DB">
        <w:rPr>
          <w:noProof/>
          <w:lang w:val="en-GB"/>
        </w:rPr>
        <w:t>Mineral and energy resources</w:t>
      </w:r>
      <w:r>
        <w:rPr>
          <w:noProof/>
        </w:rPr>
        <w:tab/>
      </w:r>
      <w:r>
        <w:rPr>
          <w:noProof/>
        </w:rPr>
        <w:fldChar w:fldCharType="begin"/>
      </w:r>
      <w:r>
        <w:rPr>
          <w:noProof/>
        </w:rPr>
        <w:instrText xml:space="preserve"> PAGEREF _Toc391150206 \h </w:instrText>
      </w:r>
      <w:r>
        <w:rPr>
          <w:noProof/>
        </w:rPr>
      </w:r>
      <w:r>
        <w:rPr>
          <w:noProof/>
        </w:rPr>
        <w:fldChar w:fldCharType="separate"/>
      </w:r>
      <w:r w:rsidR="00523DE6">
        <w:rPr>
          <w:noProof/>
        </w:rPr>
        <w:t>167</w:t>
      </w:r>
      <w:r>
        <w:rPr>
          <w:noProof/>
        </w:rPr>
        <w:fldChar w:fldCharType="end"/>
      </w:r>
    </w:p>
    <w:p w14:paraId="141D6A70"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C.</w:t>
      </w:r>
      <w:r>
        <w:rPr>
          <w:rFonts w:asciiTheme="minorHAnsi" w:eastAsiaTheme="minorEastAsia" w:hAnsiTheme="minorHAnsi" w:cstheme="minorBidi"/>
          <w:noProof/>
        </w:rPr>
        <w:tab/>
      </w:r>
      <w:r w:rsidRPr="00E452DB">
        <w:rPr>
          <w:noProof/>
          <w:lang w:val="en-GB"/>
        </w:rPr>
        <w:t>Agricultural land resources</w:t>
      </w:r>
      <w:r>
        <w:rPr>
          <w:noProof/>
        </w:rPr>
        <w:tab/>
      </w:r>
      <w:r>
        <w:rPr>
          <w:noProof/>
        </w:rPr>
        <w:fldChar w:fldCharType="begin"/>
      </w:r>
      <w:r>
        <w:rPr>
          <w:noProof/>
        </w:rPr>
        <w:instrText xml:space="preserve"> PAGEREF _Toc391150207 \h </w:instrText>
      </w:r>
      <w:r>
        <w:rPr>
          <w:noProof/>
        </w:rPr>
      </w:r>
      <w:r>
        <w:rPr>
          <w:noProof/>
        </w:rPr>
        <w:fldChar w:fldCharType="separate"/>
      </w:r>
      <w:r w:rsidR="00523DE6">
        <w:rPr>
          <w:noProof/>
        </w:rPr>
        <w:t>167</w:t>
      </w:r>
      <w:r>
        <w:rPr>
          <w:noProof/>
        </w:rPr>
        <w:fldChar w:fldCharType="end"/>
      </w:r>
    </w:p>
    <w:p w14:paraId="4788FE76"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D.</w:t>
      </w:r>
      <w:r>
        <w:rPr>
          <w:rFonts w:asciiTheme="minorHAnsi" w:eastAsiaTheme="minorEastAsia" w:hAnsiTheme="minorHAnsi" w:cstheme="minorBidi"/>
          <w:noProof/>
        </w:rPr>
        <w:tab/>
      </w:r>
      <w:r w:rsidRPr="00E452DB">
        <w:rPr>
          <w:noProof/>
          <w:lang w:val="en-GB"/>
        </w:rPr>
        <w:t>Protected areas</w:t>
      </w:r>
      <w:r>
        <w:rPr>
          <w:noProof/>
        </w:rPr>
        <w:tab/>
      </w:r>
      <w:r>
        <w:rPr>
          <w:noProof/>
        </w:rPr>
        <w:fldChar w:fldCharType="begin"/>
      </w:r>
      <w:r>
        <w:rPr>
          <w:noProof/>
        </w:rPr>
        <w:instrText xml:space="preserve"> PAGEREF _Toc391150208 \h </w:instrText>
      </w:r>
      <w:r>
        <w:rPr>
          <w:noProof/>
        </w:rPr>
      </w:r>
      <w:r>
        <w:rPr>
          <w:noProof/>
        </w:rPr>
        <w:fldChar w:fldCharType="separate"/>
      </w:r>
      <w:r w:rsidR="00523DE6">
        <w:rPr>
          <w:noProof/>
        </w:rPr>
        <w:t>169</w:t>
      </w:r>
      <w:r>
        <w:rPr>
          <w:noProof/>
        </w:rPr>
        <w:fldChar w:fldCharType="end"/>
      </w:r>
    </w:p>
    <w:p w14:paraId="6D96E269"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E.</w:t>
      </w:r>
      <w:r>
        <w:rPr>
          <w:rFonts w:asciiTheme="minorHAnsi" w:eastAsiaTheme="minorEastAsia" w:hAnsiTheme="minorHAnsi" w:cstheme="minorBidi"/>
          <w:noProof/>
        </w:rPr>
        <w:tab/>
      </w:r>
      <w:r w:rsidRPr="00E452DB">
        <w:rPr>
          <w:noProof/>
          <w:lang w:val="en-GB"/>
        </w:rPr>
        <w:t>Quality of the environment</w:t>
      </w:r>
      <w:r>
        <w:rPr>
          <w:noProof/>
        </w:rPr>
        <w:tab/>
      </w:r>
      <w:r>
        <w:rPr>
          <w:noProof/>
        </w:rPr>
        <w:fldChar w:fldCharType="begin"/>
      </w:r>
      <w:r>
        <w:rPr>
          <w:noProof/>
        </w:rPr>
        <w:instrText xml:space="preserve"> PAGEREF _Toc391150209 \h </w:instrText>
      </w:r>
      <w:r>
        <w:rPr>
          <w:noProof/>
        </w:rPr>
      </w:r>
      <w:r>
        <w:rPr>
          <w:noProof/>
        </w:rPr>
        <w:fldChar w:fldCharType="separate"/>
      </w:r>
      <w:r w:rsidR="00523DE6">
        <w:rPr>
          <w:noProof/>
        </w:rPr>
        <w:t>172</w:t>
      </w:r>
      <w:r>
        <w:rPr>
          <w:noProof/>
        </w:rPr>
        <w:fldChar w:fldCharType="end"/>
      </w:r>
    </w:p>
    <w:p w14:paraId="5078C56A"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F.</w:t>
      </w:r>
      <w:r>
        <w:rPr>
          <w:rFonts w:asciiTheme="minorHAnsi" w:eastAsiaTheme="minorEastAsia" w:hAnsiTheme="minorHAnsi" w:cstheme="minorBidi"/>
          <w:noProof/>
        </w:rPr>
        <w:tab/>
      </w:r>
      <w:r w:rsidRPr="00E452DB">
        <w:rPr>
          <w:noProof/>
          <w:lang w:val="en-GB"/>
        </w:rPr>
        <w:t>Waste Water</w:t>
      </w:r>
      <w:r>
        <w:rPr>
          <w:noProof/>
        </w:rPr>
        <w:tab/>
      </w:r>
      <w:r>
        <w:rPr>
          <w:noProof/>
        </w:rPr>
        <w:fldChar w:fldCharType="begin"/>
      </w:r>
      <w:r>
        <w:rPr>
          <w:noProof/>
        </w:rPr>
        <w:instrText xml:space="preserve"> PAGEREF _Toc391150210 \h </w:instrText>
      </w:r>
      <w:r>
        <w:rPr>
          <w:noProof/>
        </w:rPr>
      </w:r>
      <w:r>
        <w:rPr>
          <w:noProof/>
        </w:rPr>
        <w:fldChar w:fldCharType="separate"/>
      </w:r>
      <w:r w:rsidR="00523DE6">
        <w:rPr>
          <w:noProof/>
        </w:rPr>
        <w:t>174</w:t>
      </w:r>
      <w:r>
        <w:rPr>
          <w:noProof/>
        </w:rPr>
        <w:fldChar w:fldCharType="end"/>
      </w:r>
    </w:p>
    <w:p w14:paraId="443A434E"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G.</w:t>
      </w:r>
      <w:r>
        <w:rPr>
          <w:rFonts w:asciiTheme="minorHAnsi" w:eastAsiaTheme="minorEastAsia" w:hAnsiTheme="minorHAnsi" w:cstheme="minorBidi"/>
          <w:noProof/>
        </w:rPr>
        <w:tab/>
      </w:r>
      <w:r w:rsidRPr="00E452DB">
        <w:rPr>
          <w:noProof/>
          <w:lang w:val="en-GB"/>
        </w:rPr>
        <w:t>Waste Management</w:t>
      </w:r>
      <w:r>
        <w:rPr>
          <w:noProof/>
        </w:rPr>
        <w:tab/>
      </w:r>
      <w:r>
        <w:rPr>
          <w:noProof/>
        </w:rPr>
        <w:fldChar w:fldCharType="begin"/>
      </w:r>
      <w:r>
        <w:rPr>
          <w:noProof/>
        </w:rPr>
        <w:instrText xml:space="preserve"> PAGEREF _Toc391150211 \h </w:instrText>
      </w:r>
      <w:r>
        <w:rPr>
          <w:noProof/>
        </w:rPr>
      </w:r>
      <w:r>
        <w:rPr>
          <w:noProof/>
        </w:rPr>
        <w:fldChar w:fldCharType="separate"/>
      </w:r>
      <w:r w:rsidR="00523DE6">
        <w:rPr>
          <w:noProof/>
        </w:rPr>
        <w:t>175</w:t>
      </w:r>
      <w:r>
        <w:rPr>
          <w:noProof/>
        </w:rPr>
        <w:fldChar w:fldCharType="end"/>
      </w:r>
    </w:p>
    <w:p w14:paraId="0A34F256"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rFonts w:eastAsia="Arial"/>
          <w:noProof/>
          <w:lang w:val="en-GB"/>
        </w:rPr>
        <w:lastRenderedPageBreak/>
        <w:t>H.</w:t>
      </w:r>
      <w:r>
        <w:rPr>
          <w:rFonts w:asciiTheme="minorHAnsi" w:eastAsiaTheme="minorEastAsia" w:hAnsiTheme="minorHAnsi" w:cstheme="minorBidi"/>
          <w:noProof/>
        </w:rPr>
        <w:tab/>
      </w:r>
      <w:r w:rsidRPr="00E452DB">
        <w:rPr>
          <w:noProof/>
          <w:lang w:val="en-GB"/>
        </w:rPr>
        <w:t>Natural and Industrial Risk Areas</w:t>
      </w:r>
      <w:r>
        <w:rPr>
          <w:noProof/>
        </w:rPr>
        <w:tab/>
      </w:r>
      <w:r>
        <w:rPr>
          <w:noProof/>
        </w:rPr>
        <w:fldChar w:fldCharType="begin"/>
      </w:r>
      <w:r>
        <w:rPr>
          <w:noProof/>
        </w:rPr>
        <w:instrText xml:space="preserve"> PAGEREF _Toc391150212 \h </w:instrText>
      </w:r>
      <w:r>
        <w:rPr>
          <w:noProof/>
        </w:rPr>
      </w:r>
      <w:r>
        <w:rPr>
          <w:noProof/>
        </w:rPr>
        <w:fldChar w:fldCharType="separate"/>
      </w:r>
      <w:r w:rsidR="00523DE6">
        <w:rPr>
          <w:noProof/>
        </w:rPr>
        <w:t>177</w:t>
      </w:r>
      <w:r>
        <w:rPr>
          <w:noProof/>
        </w:rPr>
        <w:fldChar w:fldCharType="end"/>
      </w:r>
    </w:p>
    <w:p w14:paraId="2C418F68"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I.</w:t>
      </w:r>
      <w:r>
        <w:rPr>
          <w:rFonts w:asciiTheme="minorHAnsi" w:eastAsiaTheme="minorEastAsia" w:hAnsiTheme="minorHAnsi" w:cstheme="minorBidi"/>
          <w:noProof/>
        </w:rPr>
        <w:tab/>
      </w:r>
      <w:r w:rsidRPr="00E452DB">
        <w:rPr>
          <w:noProof/>
          <w:lang w:val="en-GB"/>
        </w:rPr>
        <w:t>SWOT and problem tree</w:t>
      </w:r>
      <w:r>
        <w:rPr>
          <w:noProof/>
        </w:rPr>
        <w:tab/>
      </w:r>
      <w:r>
        <w:rPr>
          <w:noProof/>
        </w:rPr>
        <w:fldChar w:fldCharType="begin"/>
      </w:r>
      <w:r>
        <w:rPr>
          <w:noProof/>
        </w:rPr>
        <w:instrText xml:space="preserve"> PAGEREF _Toc391150213 \h </w:instrText>
      </w:r>
      <w:r>
        <w:rPr>
          <w:noProof/>
        </w:rPr>
      </w:r>
      <w:r>
        <w:rPr>
          <w:noProof/>
        </w:rPr>
        <w:fldChar w:fldCharType="separate"/>
      </w:r>
      <w:r w:rsidR="00523DE6">
        <w:rPr>
          <w:noProof/>
        </w:rPr>
        <w:t>182</w:t>
      </w:r>
      <w:r>
        <w:rPr>
          <w:noProof/>
        </w:rPr>
        <w:fldChar w:fldCharType="end"/>
      </w:r>
    </w:p>
    <w:p w14:paraId="6A274B2A"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J.</w:t>
      </w:r>
      <w:r>
        <w:rPr>
          <w:rFonts w:asciiTheme="minorHAnsi" w:eastAsiaTheme="minorEastAsia" w:hAnsiTheme="minorHAnsi" w:cstheme="minorBidi"/>
          <w:noProof/>
        </w:rPr>
        <w:tab/>
      </w:r>
      <w:r w:rsidRPr="00E452DB">
        <w:rPr>
          <w:noProof/>
          <w:lang w:val="en-GB"/>
        </w:rPr>
        <w:t>Challenges and needs</w:t>
      </w:r>
      <w:r>
        <w:rPr>
          <w:noProof/>
        </w:rPr>
        <w:tab/>
      </w:r>
      <w:r>
        <w:rPr>
          <w:noProof/>
        </w:rPr>
        <w:fldChar w:fldCharType="begin"/>
      </w:r>
      <w:r>
        <w:rPr>
          <w:noProof/>
        </w:rPr>
        <w:instrText xml:space="preserve"> PAGEREF _Toc391150214 \h </w:instrText>
      </w:r>
      <w:r>
        <w:rPr>
          <w:noProof/>
        </w:rPr>
      </w:r>
      <w:r>
        <w:rPr>
          <w:noProof/>
        </w:rPr>
        <w:fldChar w:fldCharType="separate"/>
      </w:r>
      <w:r w:rsidR="00523DE6">
        <w:rPr>
          <w:noProof/>
        </w:rPr>
        <w:t>184</w:t>
      </w:r>
      <w:r>
        <w:rPr>
          <w:noProof/>
        </w:rPr>
        <w:fldChar w:fldCharType="end"/>
      </w:r>
    </w:p>
    <w:p w14:paraId="007B87EB" w14:textId="77777777" w:rsidR="00B5425F" w:rsidRDefault="00B5425F">
      <w:pPr>
        <w:pStyle w:val="TOC1"/>
        <w:rPr>
          <w:rFonts w:asciiTheme="minorHAnsi" w:eastAsiaTheme="minorEastAsia" w:hAnsiTheme="minorHAnsi" w:cstheme="minorBidi"/>
          <w:noProof/>
        </w:rPr>
      </w:pPr>
      <w:r w:rsidRPr="00E452DB">
        <w:rPr>
          <w:noProof/>
          <w:lang w:val="en-GB"/>
        </w:rPr>
        <w:t>IX.</w:t>
      </w:r>
      <w:r>
        <w:rPr>
          <w:rFonts w:asciiTheme="minorHAnsi" w:eastAsiaTheme="minorEastAsia" w:hAnsiTheme="minorHAnsi" w:cstheme="minorBidi"/>
          <w:noProof/>
        </w:rPr>
        <w:tab/>
      </w:r>
      <w:r w:rsidRPr="00E452DB">
        <w:rPr>
          <w:noProof/>
          <w:lang w:val="en-GB"/>
        </w:rPr>
        <w:t>Governance</w:t>
      </w:r>
      <w:r>
        <w:rPr>
          <w:noProof/>
        </w:rPr>
        <w:tab/>
      </w:r>
      <w:r>
        <w:rPr>
          <w:noProof/>
        </w:rPr>
        <w:fldChar w:fldCharType="begin"/>
      </w:r>
      <w:r>
        <w:rPr>
          <w:noProof/>
        </w:rPr>
        <w:instrText xml:space="preserve"> PAGEREF _Toc391150215 \h </w:instrText>
      </w:r>
      <w:r>
        <w:rPr>
          <w:noProof/>
        </w:rPr>
      </w:r>
      <w:r>
        <w:rPr>
          <w:noProof/>
        </w:rPr>
        <w:fldChar w:fldCharType="separate"/>
      </w:r>
      <w:r w:rsidR="00523DE6">
        <w:rPr>
          <w:noProof/>
        </w:rPr>
        <w:t>186</w:t>
      </w:r>
      <w:r>
        <w:rPr>
          <w:noProof/>
        </w:rPr>
        <w:fldChar w:fldCharType="end"/>
      </w:r>
    </w:p>
    <w:p w14:paraId="1E19E6F0"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A.</w:t>
      </w:r>
      <w:r>
        <w:rPr>
          <w:rFonts w:asciiTheme="minorHAnsi" w:eastAsiaTheme="minorEastAsia" w:hAnsiTheme="minorHAnsi" w:cstheme="minorBidi"/>
          <w:noProof/>
        </w:rPr>
        <w:tab/>
      </w:r>
      <w:r w:rsidRPr="00E452DB">
        <w:rPr>
          <w:noProof/>
          <w:lang w:val="en-GB"/>
        </w:rPr>
        <w:t>The administrative structure</w:t>
      </w:r>
      <w:r>
        <w:rPr>
          <w:noProof/>
        </w:rPr>
        <w:tab/>
      </w:r>
      <w:r>
        <w:rPr>
          <w:noProof/>
        </w:rPr>
        <w:fldChar w:fldCharType="begin"/>
      </w:r>
      <w:r>
        <w:rPr>
          <w:noProof/>
        </w:rPr>
        <w:instrText xml:space="preserve"> PAGEREF _Toc391150216 \h </w:instrText>
      </w:r>
      <w:r>
        <w:rPr>
          <w:noProof/>
        </w:rPr>
      </w:r>
      <w:r>
        <w:rPr>
          <w:noProof/>
        </w:rPr>
        <w:fldChar w:fldCharType="separate"/>
      </w:r>
      <w:r w:rsidR="00523DE6">
        <w:rPr>
          <w:noProof/>
        </w:rPr>
        <w:t>187</w:t>
      </w:r>
      <w:r>
        <w:rPr>
          <w:noProof/>
        </w:rPr>
        <w:fldChar w:fldCharType="end"/>
      </w:r>
    </w:p>
    <w:p w14:paraId="62BD513D"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B.</w:t>
      </w:r>
      <w:r>
        <w:rPr>
          <w:rFonts w:asciiTheme="minorHAnsi" w:eastAsiaTheme="minorEastAsia" w:hAnsiTheme="minorHAnsi" w:cstheme="minorBidi"/>
          <w:noProof/>
        </w:rPr>
        <w:tab/>
      </w:r>
      <w:r w:rsidRPr="00E452DB">
        <w:rPr>
          <w:noProof/>
          <w:lang w:val="en-GB"/>
        </w:rPr>
        <w:t>The RO-BG cross-border area</w:t>
      </w:r>
      <w:r>
        <w:rPr>
          <w:noProof/>
        </w:rPr>
        <w:tab/>
      </w:r>
      <w:r>
        <w:rPr>
          <w:noProof/>
        </w:rPr>
        <w:fldChar w:fldCharType="begin"/>
      </w:r>
      <w:r>
        <w:rPr>
          <w:noProof/>
        </w:rPr>
        <w:instrText xml:space="preserve"> PAGEREF _Toc391150217 \h </w:instrText>
      </w:r>
      <w:r>
        <w:rPr>
          <w:noProof/>
        </w:rPr>
      </w:r>
      <w:r>
        <w:rPr>
          <w:noProof/>
        </w:rPr>
        <w:fldChar w:fldCharType="separate"/>
      </w:r>
      <w:r w:rsidR="00523DE6">
        <w:rPr>
          <w:noProof/>
        </w:rPr>
        <w:t>191</w:t>
      </w:r>
      <w:r>
        <w:rPr>
          <w:noProof/>
        </w:rPr>
        <w:fldChar w:fldCharType="end"/>
      </w:r>
    </w:p>
    <w:p w14:paraId="13E28484"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C.</w:t>
      </w:r>
      <w:r>
        <w:rPr>
          <w:rFonts w:asciiTheme="minorHAnsi" w:eastAsiaTheme="minorEastAsia" w:hAnsiTheme="minorHAnsi" w:cstheme="minorBidi"/>
          <w:noProof/>
        </w:rPr>
        <w:tab/>
      </w:r>
      <w:r w:rsidRPr="00E452DB">
        <w:rPr>
          <w:noProof/>
          <w:lang w:val="en-GB"/>
        </w:rPr>
        <w:t>Decentralization and cooperation</w:t>
      </w:r>
      <w:r>
        <w:rPr>
          <w:noProof/>
        </w:rPr>
        <w:tab/>
      </w:r>
      <w:r>
        <w:rPr>
          <w:noProof/>
        </w:rPr>
        <w:fldChar w:fldCharType="begin"/>
      </w:r>
      <w:r>
        <w:rPr>
          <w:noProof/>
        </w:rPr>
        <w:instrText xml:space="preserve"> PAGEREF _Toc391150218 \h </w:instrText>
      </w:r>
      <w:r>
        <w:rPr>
          <w:noProof/>
        </w:rPr>
      </w:r>
      <w:r>
        <w:rPr>
          <w:noProof/>
        </w:rPr>
        <w:fldChar w:fldCharType="separate"/>
      </w:r>
      <w:r w:rsidR="00523DE6">
        <w:rPr>
          <w:noProof/>
        </w:rPr>
        <w:t>194</w:t>
      </w:r>
      <w:r>
        <w:rPr>
          <w:noProof/>
        </w:rPr>
        <w:fldChar w:fldCharType="end"/>
      </w:r>
    </w:p>
    <w:p w14:paraId="740274AC"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D.</w:t>
      </w:r>
      <w:r>
        <w:rPr>
          <w:rFonts w:asciiTheme="minorHAnsi" w:eastAsiaTheme="minorEastAsia" w:hAnsiTheme="minorHAnsi" w:cstheme="minorBidi"/>
          <w:noProof/>
        </w:rPr>
        <w:tab/>
      </w:r>
      <w:r w:rsidRPr="00E452DB">
        <w:rPr>
          <w:noProof/>
          <w:lang w:val="en-GB"/>
        </w:rPr>
        <w:t>SWOT and problem tree</w:t>
      </w:r>
      <w:r>
        <w:rPr>
          <w:noProof/>
        </w:rPr>
        <w:tab/>
      </w:r>
      <w:r>
        <w:rPr>
          <w:noProof/>
        </w:rPr>
        <w:fldChar w:fldCharType="begin"/>
      </w:r>
      <w:r>
        <w:rPr>
          <w:noProof/>
        </w:rPr>
        <w:instrText xml:space="preserve"> PAGEREF _Toc391150219 \h </w:instrText>
      </w:r>
      <w:r>
        <w:rPr>
          <w:noProof/>
        </w:rPr>
      </w:r>
      <w:r>
        <w:rPr>
          <w:noProof/>
        </w:rPr>
        <w:fldChar w:fldCharType="separate"/>
      </w:r>
      <w:r w:rsidR="00523DE6">
        <w:rPr>
          <w:noProof/>
        </w:rPr>
        <w:t>197</w:t>
      </w:r>
      <w:r>
        <w:rPr>
          <w:noProof/>
        </w:rPr>
        <w:fldChar w:fldCharType="end"/>
      </w:r>
    </w:p>
    <w:p w14:paraId="1D42D795"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E.</w:t>
      </w:r>
      <w:r>
        <w:rPr>
          <w:rFonts w:asciiTheme="minorHAnsi" w:eastAsiaTheme="minorEastAsia" w:hAnsiTheme="minorHAnsi" w:cstheme="minorBidi"/>
          <w:noProof/>
        </w:rPr>
        <w:tab/>
      </w:r>
      <w:r w:rsidRPr="00E452DB">
        <w:rPr>
          <w:noProof/>
          <w:lang w:val="en-GB"/>
        </w:rPr>
        <w:t>Challenges and needs</w:t>
      </w:r>
      <w:r>
        <w:rPr>
          <w:noProof/>
        </w:rPr>
        <w:tab/>
      </w:r>
      <w:r>
        <w:rPr>
          <w:noProof/>
        </w:rPr>
        <w:fldChar w:fldCharType="begin"/>
      </w:r>
      <w:r>
        <w:rPr>
          <w:noProof/>
        </w:rPr>
        <w:instrText xml:space="preserve"> PAGEREF _Toc391150220 \h </w:instrText>
      </w:r>
      <w:r>
        <w:rPr>
          <w:noProof/>
        </w:rPr>
      </w:r>
      <w:r>
        <w:rPr>
          <w:noProof/>
        </w:rPr>
        <w:fldChar w:fldCharType="separate"/>
      </w:r>
      <w:r w:rsidR="00523DE6">
        <w:rPr>
          <w:noProof/>
        </w:rPr>
        <w:t>199</w:t>
      </w:r>
      <w:r>
        <w:rPr>
          <w:noProof/>
        </w:rPr>
        <w:fldChar w:fldCharType="end"/>
      </w:r>
    </w:p>
    <w:p w14:paraId="28553497" w14:textId="77777777" w:rsidR="00B5425F" w:rsidRDefault="00B5425F">
      <w:pPr>
        <w:pStyle w:val="TOC1"/>
        <w:rPr>
          <w:rFonts w:asciiTheme="minorHAnsi" w:eastAsiaTheme="minorEastAsia" w:hAnsiTheme="minorHAnsi" w:cstheme="minorBidi"/>
          <w:noProof/>
        </w:rPr>
      </w:pPr>
      <w:r w:rsidRPr="00E452DB">
        <w:rPr>
          <w:noProof/>
          <w:lang w:val="en-GB"/>
        </w:rPr>
        <w:t>X.</w:t>
      </w:r>
      <w:r>
        <w:rPr>
          <w:rFonts w:asciiTheme="minorHAnsi" w:eastAsiaTheme="minorEastAsia" w:hAnsiTheme="minorHAnsi" w:cstheme="minorBidi"/>
          <w:noProof/>
        </w:rPr>
        <w:tab/>
      </w:r>
      <w:r w:rsidRPr="00E452DB">
        <w:rPr>
          <w:noProof/>
          <w:lang w:val="en-GB"/>
        </w:rPr>
        <w:t>The stakeholders` point of view</w:t>
      </w:r>
      <w:r>
        <w:rPr>
          <w:noProof/>
        </w:rPr>
        <w:tab/>
      </w:r>
      <w:r>
        <w:rPr>
          <w:noProof/>
        </w:rPr>
        <w:fldChar w:fldCharType="begin"/>
      </w:r>
      <w:r>
        <w:rPr>
          <w:noProof/>
        </w:rPr>
        <w:instrText xml:space="preserve"> PAGEREF _Toc391150221 \h </w:instrText>
      </w:r>
      <w:r>
        <w:rPr>
          <w:noProof/>
        </w:rPr>
      </w:r>
      <w:r>
        <w:rPr>
          <w:noProof/>
        </w:rPr>
        <w:fldChar w:fldCharType="separate"/>
      </w:r>
      <w:r w:rsidR="00523DE6">
        <w:rPr>
          <w:noProof/>
        </w:rPr>
        <w:t>201</w:t>
      </w:r>
      <w:r>
        <w:rPr>
          <w:noProof/>
        </w:rPr>
        <w:fldChar w:fldCharType="end"/>
      </w:r>
    </w:p>
    <w:p w14:paraId="67CF46F1"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A.</w:t>
      </w:r>
      <w:r>
        <w:rPr>
          <w:rFonts w:asciiTheme="minorHAnsi" w:eastAsiaTheme="minorEastAsia" w:hAnsiTheme="minorHAnsi" w:cstheme="minorBidi"/>
          <w:noProof/>
        </w:rPr>
        <w:tab/>
      </w:r>
      <w:r w:rsidRPr="00E452DB">
        <w:rPr>
          <w:noProof/>
          <w:lang w:val="en-GB"/>
        </w:rPr>
        <w:t>The methodology</w:t>
      </w:r>
      <w:r>
        <w:rPr>
          <w:noProof/>
        </w:rPr>
        <w:tab/>
      </w:r>
      <w:r>
        <w:rPr>
          <w:noProof/>
        </w:rPr>
        <w:fldChar w:fldCharType="begin"/>
      </w:r>
      <w:r>
        <w:rPr>
          <w:noProof/>
        </w:rPr>
        <w:instrText xml:space="preserve"> PAGEREF _Toc391150222 \h </w:instrText>
      </w:r>
      <w:r>
        <w:rPr>
          <w:noProof/>
        </w:rPr>
      </w:r>
      <w:r>
        <w:rPr>
          <w:noProof/>
        </w:rPr>
        <w:fldChar w:fldCharType="separate"/>
      </w:r>
      <w:r w:rsidR="00523DE6">
        <w:rPr>
          <w:noProof/>
        </w:rPr>
        <w:t>201</w:t>
      </w:r>
      <w:r>
        <w:rPr>
          <w:noProof/>
        </w:rPr>
        <w:fldChar w:fldCharType="end"/>
      </w:r>
    </w:p>
    <w:p w14:paraId="15E16D56"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B.</w:t>
      </w:r>
      <w:r>
        <w:rPr>
          <w:rFonts w:asciiTheme="minorHAnsi" w:eastAsiaTheme="minorEastAsia" w:hAnsiTheme="minorHAnsi" w:cstheme="minorBidi"/>
          <w:noProof/>
        </w:rPr>
        <w:tab/>
      </w:r>
      <w:r w:rsidRPr="00E452DB">
        <w:rPr>
          <w:noProof/>
          <w:lang w:val="en-GB"/>
        </w:rPr>
        <w:t>The territorial challenges according to stakeholders (on-line questionnaire)</w:t>
      </w:r>
      <w:r>
        <w:rPr>
          <w:noProof/>
        </w:rPr>
        <w:tab/>
      </w:r>
      <w:r>
        <w:rPr>
          <w:noProof/>
        </w:rPr>
        <w:fldChar w:fldCharType="begin"/>
      </w:r>
      <w:r>
        <w:rPr>
          <w:noProof/>
        </w:rPr>
        <w:instrText xml:space="preserve"> PAGEREF _Toc391150223 \h </w:instrText>
      </w:r>
      <w:r>
        <w:rPr>
          <w:noProof/>
        </w:rPr>
      </w:r>
      <w:r>
        <w:rPr>
          <w:noProof/>
        </w:rPr>
        <w:fldChar w:fldCharType="separate"/>
      </w:r>
      <w:r w:rsidR="00523DE6">
        <w:rPr>
          <w:noProof/>
        </w:rPr>
        <w:t>204</w:t>
      </w:r>
      <w:r>
        <w:rPr>
          <w:noProof/>
        </w:rPr>
        <w:fldChar w:fldCharType="end"/>
      </w:r>
    </w:p>
    <w:p w14:paraId="042C314C"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C.</w:t>
      </w:r>
      <w:r>
        <w:rPr>
          <w:rFonts w:asciiTheme="minorHAnsi" w:eastAsiaTheme="minorEastAsia" w:hAnsiTheme="minorHAnsi" w:cstheme="minorBidi"/>
          <w:noProof/>
        </w:rPr>
        <w:tab/>
      </w:r>
      <w:r w:rsidRPr="00E452DB">
        <w:rPr>
          <w:noProof/>
          <w:lang w:val="en-GB"/>
        </w:rPr>
        <w:t>The needs according to stakeholders (on-line questionnaire)</w:t>
      </w:r>
      <w:r>
        <w:rPr>
          <w:noProof/>
        </w:rPr>
        <w:tab/>
      </w:r>
      <w:r>
        <w:rPr>
          <w:noProof/>
        </w:rPr>
        <w:fldChar w:fldCharType="begin"/>
      </w:r>
      <w:r>
        <w:rPr>
          <w:noProof/>
        </w:rPr>
        <w:instrText xml:space="preserve"> PAGEREF _Toc391150224 \h </w:instrText>
      </w:r>
      <w:r>
        <w:rPr>
          <w:noProof/>
        </w:rPr>
      </w:r>
      <w:r>
        <w:rPr>
          <w:noProof/>
        </w:rPr>
        <w:fldChar w:fldCharType="separate"/>
      </w:r>
      <w:r w:rsidR="00523DE6">
        <w:rPr>
          <w:noProof/>
        </w:rPr>
        <w:t>213</w:t>
      </w:r>
      <w:r>
        <w:rPr>
          <w:noProof/>
        </w:rPr>
        <w:fldChar w:fldCharType="end"/>
      </w:r>
    </w:p>
    <w:p w14:paraId="2E6BD4CD"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D.</w:t>
      </w:r>
      <w:r>
        <w:rPr>
          <w:rFonts w:asciiTheme="minorHAnsi" w:eastAsiaTheme="minorEastAsia" w:hAnsiTheme="minorHAnsi" w:cstheme="minorBidi"/>
          <w:noProof/>
        </w:rPr>
        <w:tab/>
      </w:r>
      <w:r w:rsidRPr="00E452DB">
        <w:rPr>
          <w:noProof/>
          <w:lang w:val="en-GB"/>
        </w:rPr>
        <w:t>The summary of the interviews’ results</w:t>
      </w:r>
      <w:r>
        <w:rPr>
          <w:noProof/>
        </w:rPr>
        <w:tab/>
      </w:r>
      <w:r>
        <w:rPr>
          <w:noProof/>
        </w:rPr>
        <w:fldChar w:fldCharType="begin"/>
      </w:r>
      <w:r>
        <w:rPr>
          <w:noProof/>
        </w:rPr>
        <w:instrText xml:space="preserve"> PAGEREF _Toc391150225 \h </w:instrText>
      </w:r>
      <w:r>
        <w:rPr>
          <w:noProof/>
        </w:rPr>
      </w:r>
      <w:r>
        <w:rPr>
          <w:noProof/>
        </w:rPr>
        <w:fldChar w:fldCharType="separate"/>
      </w:r>
      <w:r w:rsidR="00523DE6">
        <w:rPr>
          <w:noProof/>
        </w:rPr>
        <w:t>223</w:t>
      </w:r>
      <w:r>
        <w:rPr>
          <w:noProof/>
        </w:rPr>
        <w:fldChar w:fldCharType="end"/>
      </w:r>
    </w:p>
    <w:p w14:paraId="79CF8C0B" w14:textId="77777777" w:rsidR="00B5425F" w:rsidRDefault="00B5425F">
      <w:pPr>
        <w:pStyle w:val="TOC1"/>
        <w:rPr>
          <w:rFonts w:asciiTheme="minorHAnsi" w:eastAsiaTheme="minorEastAsia" w:hAnsiTheme="minorHAnsi" w:cstheme="minorBidi"/>
          <w:noProof/>
        </w:rPr>
      </w:pPr>
      <w:r w:rsidRPr="00E452DB">
        <w:rPr>
          <w:noProof/>
          <w:lang w:val="en-GB"/>
        </w:rPr>
        <w:t>XI.</w:t>
      </w:r>
      <w:r>
        <w:rPr>
          <w:rFonts w:asciiTheme="minorHAnsi" w:eastAsiaTheme="minorEastAsia" w:hAnsiTheme="minorHAnsi" w:cstheme="minorBidi"/>
          <w:noProof/>
        </w:rPr>
        <w:tab/>
      </w:r>
      <w:r w:rsidRPr="00E452DB">
        <w:rPr>
          <w:noProof/>
          <w:lang w:val="en-GB"/>
        </w:rPr>
        <w:t>SWOT tables</w:t>
      </w:r>
      <w:r>
        <w:rPr>
          <w:noProof/>
        </w:rPr>
        <w:tab/>
      </w:r>
      <w:r>
        <w:rPr>
          <w:noProof/>
        </w:rPr>
        <w:fldChar w:fldCharType="begin"/>
      </w:r>
      <w:r>
        <w:rPr>
          <w:noProof/>
        </w:rPr>
        <w:instrText xml:space="preserve"> PAGEREF _Toc391150226 \h </w:instrText>
      </w:r>
      <w:r>
        <w:rPr>
          <w:noProof/>
        </w:rPr>
      </w:r>
      <w:r>
        <w:rPr>
          <w:noProof/>
        </w:rPr>
        <w:fldChar w:fldCharType="separate"/>
      </w:r>
      <w:r w:rsidR="00523DE6">
        <w:rPr>
          <w:noProof/>
        </w:rPr>
        <w:t>225</w:t>
      </w:r>
      <w:r>
        <w:rPr>
          <w:noProof/>
        </w:rPr>
        <w:fldChar w:fldCharType="end"/>
      </w:r>
    </w:p>
    <w:p w14:paraId="2A3C7E74"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A.</w:t>
      </w:r>
      <w:r>
        <w:rPr>
          <w:rFonts w:asciiTheme="minorHAnsi" w:eastAsiaTheme="minorEastAsia" w:hAnsiTheme="minorHAnsi" w:cstheme="minorBidi"/>
          <w:noProof/>
        </w:rPr>
        <w:tab/>
      </w:r>
      <w:r w:rsidRPr="00E452DB">
        <w:rPr>
          <w:noProof/>
          <w:lang w:val="en-GB"/>
        </w:rPr>
        <w:t>The sectorial SWOT tables</w:t>
      </w:r>
      <w:r>
        <w:rPr>
          <w:noProof/>
        </w:rPr>
        <w:tab/>
      </w:r>
      <w:r>
        <w:rPr>
          <w:noProof/>
        </w:rPr>
        <w:fldChar w:fldCharType="begin"/>
      </w:r>
      <w:r>
        <w:rPr>
          <w:noProof/>
        </w:rPr>
        <w:instrText xml:space="preserve"> PAGEREF _Toc391150227 \h </w:instrText>
      </w:r>
      <w:r>
        <w:rPr>
          <w:noProof/>
        </w:rPr>
      </w:r>
      <w:r>
        <w:rPr>
          <w:noProof/>
        </w:rPr>
        <w:fldChar w:fldCharType="separate"/>
      </w:r>
      <w:r w:rsidR="00523DE6">
        <w:rPr>
          <w:noProof/>
        </w:rPr>
        <w:t>225</w:t>
      </w:r>
      <w:r>
        <w:rPr>
          <w:noProof/>
        </w:rPr>
        <w:fldChar w:fldCharType="end"/>
      </w:r>
    </w:p>
    <w:p w14:paraId="6DCBF6BD"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B.</w:t>
      </w:r>
      <w:r>
        <w:rPr>
          <w:rFonts w:asciiTheme="minorHAnsi" w:eastAsiaTheme="minorEastAsia" w:hAnsiTheme="minorHAnsi" w:cstheme="minorBidi"/>
          <w:noProof/>
        </w:rPr>
        <w:tab/>
      </w:r>
      <w:r w:rsidRPr="00E452DB">
        <w:rPr>
          <w:noProof/>
          <w:lang w:val="en-GB"/>
        </w:rPr>
        <w:t>The final swot table</w:t>
      </w:r>
      <w:r>
        <w:rPr>
          <w:noProof/>
        </w:rPr>
        <w:tab/>
      </w:r>
      <w:r>
        <w:rPr>
          <w:noProof/>
        </w:rPr>
        <w:fldChar w:fldCharType="begin"/>
      </w:r>
      <w:r>
        <w:rPr>
          <w:noProof/>
        </w:rPr>
        <w:instrText xml:space="preserve"> PAGEREF _Toc391150228 \h </w:instrText>
      </w:r>
      <w:r>
        <w:rPr>
          <w:noProof/>
        </w:rPr>
      </w:r>
      <w:r>
        <w:rPr>
          <w:noProof/>
        </w:rPr>
        <w:fldChar w:fldCharType="separate"/>
      </w:r>
      <w:r w:rsidR="00523DE6">
        <w:rPr>
          <w:noProof/>
        </w:rPr>
        <w:t>236</w:t>
      </w:r>
      <w:r>
        <w:rPr>
          <w:noProof/>
        </w:rPr>
        <w:fldChar w:fldCharType="end"/>
      </w:r>
    </w:p>
    <w:p w14:paraId="44C59F41"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C.</w:t>
      </w:r>
      <w:r>
        <w:rPr>
          <w:rFonts w:asciiTheme="minorHAnsi" w:eastAsiaTheme="minorEastAsia" w:hAnsiTheme="minorHAnsi" w:cstheme="minorBidi"/>
          <w:noProof/>
        </w:rPr>
        <w:tab/>
      </w:r>
      <w:r w:rsidRPr="00E452DB">
        <w:rPr>
          <w:noProof/>
          <w:lang w:val="en-GB"/>
        </w:rPr>
        <w:t>Comparison of the SWOT analysis between the two programming periods</w:t>
      </w:r>
      <w:r>
        <w:rPr>
          <w:noProof/>
        </w:rPr>
        <w:tab/>
      </w:r>
      <w:r>
        <w:rPr>
          <w:noProof/>
        </w:rPr>
        <w:fldChar w:fldCharType="begin"/>
      </w:r>
      <w:r>
        <w:rPr>
          <w:noProof/>
        </w:rPr>
        <w:instrText xml:space="preserve"> PAGEREF _Toc391150229 \h </w:instrText>
      </w:r>
      <w:r>
        <w:rPr>
          <w:noProof/>
        </w:rPr>
      </w:r>
      <w:r>
        <w:rPr>
          <w:noProof/>
        </w:rPr>
        <w:fldChar w:fldCharType="separate"/>
      </w:r>
      <w:r w:rsidR="00523DE6">
        <w:rPr>
          <w:noProof/>
        </w:rPr>
        <w:t>238</w:t>
      </w:r>
      <w:r>
        <w:rPr>
          <w:noProof/>
        </w:rPr>
        <w:fldChar w:fldCharType="end"/>
      </w:r>
    </w:p>
    <w:p w14:paraId="6C7B5E59" w14:textId="77777777" w:rsidR="00B5425F" w:rsidRDefault="00B5425F">
      <w:pPr>
        <w:pStyle w:val="TOC1"/>
        <w:rPr>
          <w:rFonts w:asciiTheme="minorHAnsi" w:eastAsiaTheme="minorEastAsia" w:hAnsiTheme="minorHAnsi" w:cstheme="minorBidi"/>
          <w:noProof/>
        </w:rPr>
      </w:pPr>
      <w:r w:rsidRPr="00E452DB">
        <w:rPr>
          <w:noProof/>
          <w:lang w:val="en-GB"/>
        </w:rPr>
        <w:t>XII.</w:t>
      </w:r>
      <w:r>
        <w:rPr>
          <w:rFonts w:asciiTheme="minorHAnsi" w:eastAsiaTheme="minorEastAsia" w:hAnsiTheme="minorHAnsi" w:cstheme="minorBidi"/>
          <w:noProof/>
        </w:rPr>
        <w:tab/>
      </w:r>
      <w:r w:rsidRPr="00E452DB">
        <w:rPr>
          <w:noProof/>
          <w:lang w:val="en-GB"/>
        </w:rPr>
        <w:t>Programme Vision</w:t>
      </w:r>
      <w:r>
        <w:rPr>
          <w:noProof/>
        </w:rPr>
        <w:tab/>
      </w:r>
      <w:r>
        <w:rPr>
          <w:noProof/>
        </w:rPr>
        <w:fldChar w:fldCharType="begin"/>
      </w:r>
      <w:r>
        <w:rPr>
          <w:noProof/>
        </w:rPr>
        <w:instrText xml:space="preserve"> PAGEREF _Toc391150230 \h </w:instrText>
      </w:r>
      <w:r>
        <w:rPr>
          <w:noProof/>
        </w:rPr>
      </w:r>
      <w:r>
        <w:rPr>
          <w:noProof/>
        </w:rPr>
        <w:fldChar w:fldCharType="separate"/>
      </w:r>
      <w:r w:rsidR="00523DE6">
        <w:rPr>
          <w:noProof/>
        </w:rPr>
        <w:t>256</w:t>
      </w:r>
      <w:r>
        <w:rPr>
          <w:noProof/>
        </w:rPr>
        <w:fldChar w:fldCharType="end"/>
      </w:r>
    </w:p>
    <w:p w14:paraId="53DF5F16" w14:textId="77777777" w:rsidR="00B5425F" w:rsidRDefault="00B5425F">
      <w:pPr>
        <w:pStyle w:val="TOC1"/>
        <w:rPr>
          <w:rFonts w:asciiTheme="minorHAnsi" w:eastAsiaTheme="minorEastAsia" w:hAnsiTheme="minorHAnsi" w:cstheme="minorBidi"/>
          <w:noProof/>
        </w:rPr>
      </w:pPr>
      <w:r w:rsidRPr="00E452DB">
        <w:rPr>
          <w:noProof/>
          <w:lang w:val="en-GB"/>
        </w:rPr>
        <w:t>XIII.</w:t>
      </w:r>
      <w:r>
        <w:rPr>
          <w:rFonts w:asciiTheme="minorHAnsi" w:eastAsiaTheme="minorEastAsia" w:hAnsiTheme="minorHAnsi" w:cstheme="minorBidi"/>
          <w:noProof/>
        </w:rPr>
        <w:tab/>
      </w:r>
      <w:r w:rsidRPr="00E452DB">
        <w:rPr>
          <w:noProof/>
          <w:lang w:val="en-GB"/>
        </w:rPr>
        <w:t>Strategy for the cooperation programme’s contribution to the union strategy for smart, sustainable and inclusive growth and the achievement of economic, social and territorial cohesion</w:t>
      </w:r>
      <w:r>
        <w:rPr>
          <w:noProof/>
        </w:rPr>
        <w:tab/>
      </w:r>
      <w:r>
        <w:rPr>
          <w:noProof/>
        </w:rPr>
        <w:fldChar w:fldCharType="begin"/>
      </w:r>
      <w:r>
        <w:rPr>
          <w:noProof/>
        </w:rPr>
        <w:instrText xml:space="preserve"> PAGEREF _Toc391150231 \h </w:instrText>
      </w:r>
      <w:r>
        <w:rPr>
          <w:noProof/>
        </w:rPr>
      </w:r>
      <w:r>
        <w:rPr>
          <w:noProof/>
        </w:rPr>
        <w:fldChar w:fldCharType="separate"/>
      </w:r>
      <w:r w:rsidR="00523DE6">
        <w:rPr>
          <w:noProof/>
        </w:rPr>
        <w:t>266</w:t>
      </w:r>
      <w:r>
        <w:rPr>
          <w:noProof/>
        </w:rPr>
        <w:fldChar w:fldCharType="end"/>
      </w:r>
    </w:p>
    <w:p w14:paraId="3B4FB844"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A.</w:t>
      </w:r>
      <w:r>
        <w:rPr>
          <w:rFonts w:asciiTheme="minorHAnsi" w:eastAsiaTheme="minorEastAsia" w:hAnsiTheme="minorHAnsi" w:cstheme="minorBidi"/>
          <w:noProof/>
        </w:rPr>
        <w:tab/>
      </w:r>
      <w:r w:rsidRPr="00E452DB">
        <w:rPr>
          <w:noProof/>
          <w:lang w:val="en-GB"/>
        </w:rPr>
        <w:t>European policy context</w:t>
      </w:r>
      <w:r>
        <w:rPr>
          <w:noProof/>
        </w:rPr>
        <w:tab/>
      </w:r>
      <w:r>
        <w:rPr>
          <w:noProof/>
        </w:rPr>
        <w:fldChar w:fldCharType="begin"/>
      </w:r>
      <w:r>
        <w:rPr>
          <w:noProof/>
        </w:rPr>
        <w:instrText xml:space="preserve"> PAGEREF _Toc391150232 \h </w:instrText>
      </w:r>
      <w:r>
        <w:rPr>
          <w:noProof/>
        </w:rPr>
      </w:r>
      <w:r>
        <w:rPr>
          <w:noProof/>
        </w:rPr>
        <w:fldChar w:fldCharType="separate"/>
      </w:r>
      <w:r w:rsidR="00523DE6">
        <w:rPr>
          <w:noProof/>
        </w:rPr>
        <w:t>266</w:t>
      </w:r>
      <w:r>
        <w:rPr>
          <w:noProof/>
        </w:rPr>
        <w:fldChar w:fldCharType="end"/>
      </w:r>
    </w:p>
    <w:p w14:paraId="7C5CEA68" w14:textId="77777777" w:rsidR="00B5425F" w:rsidRDefault="00B5425F">
      <w:pPr>
        <w:pStyle w:val="TOC2"/>
        <w:tabs>
          <w:tab w:val="left" w:pos="660"/>
          <w:tab w:val="right" w:leader="dot" w:pos="9350"/>
        </w:tabs>
        <w:rPr>
          <w:rFonts w:asciiTheme="minorHAnsi" w:eastAsiaTheme="minorEastAsia" w:hAnsiTheme="minorHAnsi" w:cstheme="minorBidi"/>
          <w:noProof/>
        </w:rPr>
      </w:pPr>
      <w:r w:rsidRPr="00E452DB">
        <w:rPr>
          <w:noProof/>
          <w:lang w:val="en-GB"/>
        </w:rPr>
        <w:t>B.</w:t>
      </w:r>
      <w:r>
        <w:rPr>
          <w:rFonts w:asciiTheme="minorHAnsi" w:eastAsiaTheme="minorEastAsia" w:hAnsiTheme="minorHAnsi" w:cstheme="minorBidi"/>
          <w:noProof/>
        </w:rPr>
        <w:tab/>
      </w:r>
      <w:r w:rsidRPr="00E452DB">
        <w:rPr>
          <w:noProof/>
          <w:lang w:val="en-GB"/>
        </w:rPr>
        <w:t>Selection of Thematic Objectives</w:t>
      </w:r>
      <w:r>
        <w:rPr>
          <w:noProof/>
        </w:rPr>
        <w:tab/>
      </w:r>
      <w:r>
        <w:rPr>
          <w:noProof/>
        </w:rPr>
        <w:fldChar w:fldCharType="begin"/>
      </w:r>
      <w:r>
        <w:rPr>
          <w:noProof/>
        </w:rPr>
        <w:instrText xml:space="preserve"> PAGEREF _Toc391150233 \h </w:instrText>
      </w:r>
      <w:r>
        <w:rPr>
          <w:noProof/>
        </w:rPr>
      </w:r>
      <w:r>
        <w:rPr>
          <w:noProof/>
        </w:rPr>
        <w:fldChar w:fldCharType="separate"/>
      </w:r>
      <w:r w:rsidR="00523DE6">
        <w:rPr>
          <w:noProof/>
        </w:rPr>
        <w:t>273</w:t>
      </w:r>
      <w:r>
        <w:rPr>
          <w:noProof/>
        </w:rPr>
        <w:fldChar w:fldCharType="end"/>
      </w:r>
    </w:p>
    <w:p w14:paraId="5956A17B" w14:textId="77777777" w:rsidR="00761E98" w:rsidRPr="006645DC" w:rsidRDefault="005979EB" w:rsidP="00C22A61">
      <w:pPr>
        <w:spacing w:before="0" w:after="0"/>
        <w:rPr>
          <w:b/>
          <w:color w:val="365F91"/>
          <w:sz w:val="28"/>
          <w:szCs w:val="28"/>
          <w:lang w:val="en-GB" w:eastAsia="ro-RO"/>
        </w:rPr>
      </w:pPr>
      <w:r w:rsidRPr="006645DC">
        <w:rPr>
          <w:b/>
          <w:color w:val="365F91"/>
          <w:sz w:val="28"/>
          <w:szCs w:val="28"/>
          <w:lang w:val="en-GB" w:eastAsia="ro-RO"/>
        </w:rPr>
        <w:fldChar w:fldCharType="end"/>
      </w:r>
    </w:p>
    <w:p w14:paraId="6B7DE01F" w14:textId="77777777" w:rsidR="00761E98" w:rsidRPr="006645DC" w:rsidRDefault="00761E98" w:rsidP="00C22A61">
      <w:pPr>
        <w:spacing w:before="0" w:after="0"/>
        <w:rPr>
          <w:b/>
          <w:color w:val="365F91"/>
          <w:sz w:val="28"/>
          <w:szCs w:val="28"/>
          <w:lang w:val="en-GB" w:eastAsia="ro-RO"/>
        </w:rPr>
      </w:pPr>
    </w:p>
    <w:p w14:paraId="570BE971" w14:textId="77777777" w:rsidR="00761E98" w:rsidRPr="006645DC" w:rsidRDefault="00761E98" w:rsidP="00C22A61">
      <w:pPr>
        <w:spacing w:before="0" w:after="0"/>
        <w:rPr>
          <w:b/>
          <w:color w:val="365F91"/>
          <w:sz w:val="28"/>
          <w:szCs w:val="28"/>
          <w:lang w:val="en-GB" w:eastAsia="ro-RO"/>
        </w:rPr>
      </w:pPr>
    </w:p>
    <w:p w14:paraId="7F076857" w14:textId="77777777" w:rsidR="00761E98" w:rsidRPr="006645DC" w:rsidRDefault="00761E98" w:rsidP="00C22A61">
      <w:pPr>
        <w:spacing w:before="0" w:after="0"/>
        <w:rPr>
          <w:b/>
          <w:color w:val="365F91"/>
          <w:sz w:val="28"/>
          <w:szCs w:val="28"/>
          <w:lang w:val="en-GB" w:eastAsia="ro-RO"/>
        </w:rPr>
      </w:pPr>
    </w:p>
    <w:p w14:paraId="5A3ADF12" w14:textId="77777777" w:rsidR="00761E98" w:rsidRPr="006645DC" w:rsidRDefault="00761E98" w:rsidP="00C22A61">
      <w:pPr>
        <w:spacing w:before="0" w:after="0"/>
        <w:rPr>
          <w:b/>
          <w:color w:val="365F91"/>
          <w:sz w:val="28"/>
          <w:szCs w:val="28"/>
          <w:lang w:val="en-GB" w:eastAsia="ro-RO"/>
        </w:rPr>
      </w:pPr>
    </w:p>
    <w:p w14:paraId="1F8C8CFC" w14:textId="77777777" w:rsidR="00761E98" w:rsidRPr="006645DC" w:rsidRDefault="00761E98" w:rsidP="00C22A61">
      <w:pPr>
        <w:spacing w:before="0" w:after="0"/>
        <w:rPr>
          <w:b/>
          <w:color w:val="365F91"/>
          <w:sz w:val="28"/>
          <w:szCs w:val="28"/>
          <w:lang w:val="en-GB" w:eastAsia="ro-RO"/>
        </w:rPr>
      </w:pPr>
    </w:p>
    <w:p w14:paraId="54D8EC93" w14:textId="77777777" w:rsidR="00761E98" w:rsidRPr="006645DC" w:rsidRDefault="00761E98" w:rsidP="00C22A61">
      <w:pPr>
        <w:spacing w:before="0" w:after="0"/>
        <w:rPr>
          <w:b/>
          <w:color w:val="365F91"/>
          <w:sz w:val="28"/>
          <w:szCs w:val="28"/>
          <w:lang w:val="en-GB" w:eastAsia="ro-RO"/>
        </w:rPr>
      </w:pPr>
    </w:p>
    <w:p w14:paraId="20F89A3F" w14:textId="77777777" w:rsidR="009D0D17" w:rsidRPr="006645DC" w:rsidRDefault="009D0D17" w:rsidP="00BB0A11">
      <w:pPr>
        <w:pStyle w:val="Heading1"/>
        <w:rPr>
          <w:lang w:val="en-GB"/>
        </w:rPr>
      </w:pPr>
      <w:bookmarkStart w:id="1" w:name="_Toc376198400"/>
      <w:bookmarkStart w:id="2" w:name="_Toc254543735"/>
      <w:bookmarkStart w:id="3" w:name="_Toc391150156"/>
      <w:r w:rsidRPr="006645DC">
        <w:rPr>
          <w:lang w:val="en-GB"/>
        </w:rPr>
        <w:lastRenderedPageBreak/>
        <w:t>Introduction</w:t>
      </w:r>
      <w:bookmarkEnd w:id="1"/>
      <w:bookmarkEnd w:id="2"/>
      <w:bookmarkEnd w:id="3"/>
    </w:p>
    <w:p w14:paraId="7C422A5D" w14:textId="77777777" w:rsidR="00D0188E" w:rsidRPr="006645DC" w:rsidRDefault="00D0188E" w:rsidP="00D0188E">
      <w:pPr>
        <w:rPr>
          <w:lang w:val="en-GB"/>
        </w:rPr>
      </w:pPr>
      <w:r w:rsidRPr="006645DC">
        <w:rPr>
          <w:lang w:val="en-GB"/>
        </w:rPr>
        <w:t>The Managing Authority of the RO-BG Cross Border Programme commissioned Détente Consultants SRL to carry out the drafting of the Romania-Bulgaria Cross Border Cooperation Programme 2014-2020 to be submitted to the European Commission. The preparation of the OP for the ROBG 2014-2020 will be in line with the need of giving to the new generation of the Cohesion Policy programmes a more results-oriented approach and presenting a clear contribution to the achievement of the Europe 2020 targets. In line with Article 2.1 of the draft ETC regulation, the Programme shall contribute to the area integrated development and thus contributing to territorial cohesion across the Union. Moreover, the new OP must show a clear intervention and orientation towards results, in order to tackle effectively the identified needs and challenges, and include also adequate provisions for an integrated approach to development and an effective implementation of the funds.</w:t>
      </w:r>
    </w:p>
    <w:p w14:paraId="11603CEE" w14:textId="77777777" w:rsidR="00D0188E" w:rsidRPr="006645DC" w:rsidRDefault="00D0188E" w:rsidP="00D0188E">
      <w:pPr>
        <w:rPr>
          <w:lang w:val="en-GB"/>
        </w:rPr>
      </w:pPr>
      <w:r w:rsidRPr="006645DC">
        <w:rPr>
          <w:lang w:val="en-GB"/>
        </w:rPr>
        <w:t xml:space="preserve">The first step of this contract is to elaborate a territorial analysis covering the strengths, weaknesses, opportunities and threats (SWOT analysis) of the Romanian-Bulgarian border region. According to the </w:t>
      </w:r>
      <w:r w:rsidR="0067328A" w:rsidRPr="006645DC">
        <w:rPr>
          <w:bCs/>
          <w:lang w:val="en-GB"/>
        </w:rPr>
        <w:t>INTERACT practical</w:t>
      </w:r>
      <w:r w:rsidRPr="006645DC">
        <w:rPr>
          <w:bCs/>
          <w:lang w:val="en-GB"/>
        </w:rPr>
        <w:t xml:space="preserve"> paper </w:t>
      </w:r>
      <w:r w:rsidRPr="006645DC">
        <w:rPr>
          <w:lang w:val="en-GB"/>
        </w:rPr>
        <w:t>“</w:t>
      </w:r>
      <w:r w:rsidRPr="006645DC">
        <w:rPr>
          <w:bCs/>
          <w:lang w:val="en-GB"/>
        </w:rPr>
        <w:t>Programming Process 2014-2020”,</w:t>
      </w:r>
      <w:r w:rsidR="0067328A" w:rsidRPr="006645DC">
        <w:rPr>
          <w:bCs/>
          <w:lang w:val="en-GB"/>
        </w:rPr>
        <w:t xml:space="preserve"> </w:t>
      </w:r>
      <w:r w:rsidRPr="006645DC">
        <w:rPr>
          <w:lang w:val="en-GB"/>
        </w:rPr>
        <w:t>this territorial analysis aimed to analyse both the internal and external factors that have an effect on the programme area and to identify trends, forces, and conditions with potential to influence its development in the programme area, thus support the choice of appropriate strategy. The analysis must support the identification of the joint needs, and should evidence that the programme intervention provides the relevant mechanism to address these needs. The territorial analysis data collection focuses on: a) what are the aspects pertinent to the programming area that would benefit from joint actions; b) which European goals are relevant for the programme area and would benefit from joint actions; c) what aspects are better dealt with on national/ regional level and where would ETC add value.</w:t>
      </w:r>
    </w:p>
    <w:p w14:paraId="340E35C7" w14:textId="77777777" w:rsidR="00D0188E" w:rsidRPr="006645DC" w:rsidRDefault="00D0188E" w:rsidP="00D0188E">
      <w:pPr>
        <w:pStyle w:val="Heading3"/>
        <w:rPr>
          <w:lang w:val="en-GB"/>
        </w:rPr>
      </w:pPr>
      <w:bookmarkStart w:id="4" w:name="_Toc254543736"/>
      <w:r w:rsidRPr="006645DC">
        <w:rPr>
          <w:lang w:val="en-GB"/>
        </w:rPr>
        <w:t>Structure of the document:</w:t>
      </w:r>
      <w:bookmarkEnd w:id="4"/>
      <w:r w:rsidRPr="006645DC">
        <w:rPr>
          <w:lang w:val="en-GB"/>
        </w:rPr>
        <w:t xml:space="preserve"> </w:t>
      </w:r>
    </w:p>
    <w:p w14:paraId="73794B5A" w14:textId="5C2A1EEE" w:rsidR="00B55C50" w:rsidRPr="006645DC" w:rsidRDefault="00D0188E" w:rsidP="00D0188E">
      <w:pPr>
        <w:rPr>
          <w:lang w:val="en-GB"/>
        </w:rPr>
      </w:pPr>
      <w:r w:rsidRPr="006645DC">
        <w:rPr>
          <w:lang w:val="en-GB"/>
        </w:rPr>
        <w:t>The structure of the report is based on the analysis of the most relevant territorial challenges that the EU is facing according to studies such as Regions 2020</w:t>
      </w:r>
      <w:r w:rsidRPr="006645DC">
        <w:rPr>
          <w:rStyle w:val="FootnoteReference"/>
          <w:lang w:val="en-GB"/>
        </w:rPr>
        <w:footnoteReference w:id="2"/>
      </w:r>
      <w:r w:rsidRPr="006645DC">
        <w:rPr>
          <w:lang w:val="en-GB"/>
        </w:rPr>
        <w:t>, Scenar 2020</w:t>
      </w:r>
      <w:r w:rsidRPr="006645DC">
        <w:rPr>
          <w:rStyle w:val="FootnoteReference"/>
          <w:lang w:val="en-GB"/>
        </w:rPr>
        <w:footnoteReference w:id="3"/>
      </w:r>
      <w:r w:rsidRPr="006645DC">
        <w:rPr>
          <w:lang w:val="en-GB"/>
        </w:rPr>
        <w:t>, ESPON 3.2.6</w:t>
      </w:r>
      <w:r w:rsidRPr="006645DC">
        <w:rPr>
          <w:rStyle w:val="FootnoteReference"/>
          <w:lang w:val="en-GB"/>
        </w:rPr>
        <w:footnoteReference w:id="4"/>
      </w:r>
      <w:r w:rsidRPr="006645DC">
        <w:rPr>
          <w:lang w:val="en-GB"/>
        </w:rPr>
        <w:t>. All these studies list several challenges for the EU, eight of which we will focus on and can be found listed in all these studies</w:t>
      </w:r>
      <w:r w:rsidRPr="006645DC">
        <w:rPr>
          <w:rStyle w:val="FootnoteReference"/>
          <w:lang w:val="en-GB"/>
        </w:rPr>
        <w:footnoteReference w:id="5"/>
      </w:r>
      <w:r w:rsidRPr="006645DC">
        <w:rPr>
          <w:lang w:val="en-GB"/>
        </w:rPr>
        <w:t xml:space="preserve">: </w:t>
      </w:r>
    </w:p>
    <w:p w14:paraId="336F050A" w14:textId="77777777" w:rsidR="00D0188E" w:rsidRPr="006645DC" w:rsidRDefault="00D0188E" w:rsidP="00D0188E">
      <w:pPr>
        <w:numPr>
          <w:ilvl w:val="0"/>
          <w:numId w:val="11"/>
        </w:numPr>
        <w:spacing w:before="0"/>
        <w:ind w:left="1418" w:hanging="284"/>
        <w:rPr>
          <w:lang w:val="en-GB"/>
        </w:rPr>
      </w:pPr>
      <w:r w:rsidRPr="006645DC">
        <w:rPr>
          <w:lang w:val="en-GB"/>
        </w:rPr>
        <w:lastRenderedPageBreak/>
        <w:t xml:space="preserve">Globalisation/economic development </w:t>
      </w:r>
    </w:p>
    <w:p w14:paraId="45210D53" w14:textId="77777777" w:rsidR="00D0188E" w:rsidRPr="006645DC" w:rsidRDefault="00D0188E" w:rsidP="00D0188E">
      <w:pPr>
        <w:numPr>
          <w:ilvl w:val="0"/>
          <w:numId w:val="11"/>
        </w:numPr>
        <w:spacing w:before="0"/>
        <w:ind w:left="1418" w:hanging="284"/>
        <w:rPr>
          <w:lang w:val="en-GB"/>
        </w:rPr>
      </w:pPr>
      <w:r w:rsidRPr="006645DC">
        <w:rPr>
          <w:lang w:val="en-GB"/>
        </w:rPr>
        <w:t xml:space="preserve">Accessibility </w:t>
      </w:r>
    </w:p>
    <w:p w14:paraId="200907F0" w14:textId="77777777" w:rsidR="00D0188E" w:rsidRPr="006645DC" w:rsidRDefault="00D0188E" w:rsidP="00D0188E">
      <w:pPr>
        <w:numPr>
          <w:ilvl w:val="0"/>
          <w:numId w:val="11"/>
        </w:numPr>
        <w:spacing w:before="0"/>
        <w:ind w:left="1418" w:hanging="284"/>
        <w:rPr>
          <w:lang w:val="en-GB"/>
        </w:rPr>
      </w:pPr>
      <w:r w:rsidRPr="006645DC">
        <w:rPr>
          <w:lang w:val="en-GB"/>
        </w:rPr>
        <w:t xml:space="preserve">Demographic Change </w:t>
      </w:r>
    </w:p>
    <w:p w14:paraId="1582536A" w14:textId="77777777" w:rsidR="00D0188E" w:rsidRPr="006645DC" w:rsidRDefault="00D0188E" w:rsidP="00D0188E">
      <w:pPr>
        <w:numPr>
          <w:ilvl w:val="0"/>
          <w:numId w:val="11"/>
        </w:numPr>
        <w:spacing w:before="0"/>
        <w:ind w:left="1418" w:hanging="284"/>
        <w:rPr>
          <w:lang w:val="en-GB"/>
        </w:rPr>
      </w:pPr>
      <w:r w:rsidRPr="006645DC">
        <w:rPr>
          <w:lang w:val="en-GB"/>
        </w:rPr>
        <w:t xml:space="preserve">Social Cohesion </w:t>
      </w:r>
    </w:p>
    <w:p w14:paraId="43C6B916" w14:textId="77777777" w:rsidR="00D0188E" w:rsidRPr="006645DC" w:rsidRDefault="00D0188E" w:rsidP="00D0188E">
      <w:pPr>
        <w:numPr>
          <w:ilvl w:val="0"/>
          <w:numId w:val="11"/>
        </w:numPr>
        <w:spacing w:before="0"/>
        <w:ind w:left="1418" w:hanging="284"/>
        <w:rPr>
          <w:lang w:val="en-GB"/>
        </w:rPr>
      </w:pPr>
      <w:r w:rsidRPr="006645DC">
        <w:rPr>
          <w:lang w:val="en-GB"/>
        </w:rPr>
        <w:t xml:space="preserve">Climate Change </w:t>
      </w:r>
    </w:p>
    <w:p w14:paraId="39B767F2" w14:textId="77777777" w:rsidR="00D0188E" w:rsidRPr="006645DC" w:rsidRDefault="00D0188E" w:rsidP="00D0188E">
      <w:pPr>
        <w:numPr>
          <w:ilvl w:val="0"/>
          <w:numId w:val="11"/>
        </w:numPr>
        <w:spacing w:before="0"/>
        <w:ind w:left="1418" w:hanging="284"/>
        <w:rPr>
          <w:lang w:val="en-GB"/>
        </w:rPr>
      </w:pPr>
      <w:r w:rsidRPr="006645DC">
        <w:rPr>
          <w:lang w:val="en-GB"/>
        </w:rPr>
        <w:t xml:space="preserve">Energy  </w:t>
      </w:r>
    </w:p>
    <w:p w14:paraId="4C1B786B" w14:textId="77777777" w:rsidR="00D0188E" w:rsidRPr="006645DC" w:rsidRDefault="00D0188E" w:rsidP="00D0188E">
      <w:pPr>
        <w:numPr>
          <w:ilvl w:val="0"/>
          <w:numId w:val="11"/>
        </w:numPr>
        <w:spacing w:before="0"/>
        <w:ind w:left="1418" w:hanging="284"/>
        <w:rPr>
          <w:lang w:val="en-GB"/>
        </w:rPr>
      </w:pPr>
      <w:r w:rsidRPr="006645DC">
        <w:rPr>
          <w:lang w:val="en-GB"/>
        </w:rPr>
        <w:t xml:space="preserve">Environment </w:t>
      </w:r>
    </w:p>
    <w:p w14:paraId="54E781FA" w14:textId="77777777" w:rsidR="00D0188E" w:rsidRPr="006645DC" w:rsidRDefault="00D0188E" w:rsidP="00D0188E">
      <w:pPr>
        <w:numPr>
          <w:ilvl w:val="0"/>
          <w:numId w:val="11"/>
        </w:numPr>
        <w:spacing w:before="0"/>
        <w:ind w:left="1418" w:hanging="284"/>
        <w:rPr>
          <w:lang w:val="en-GB"/>
        </w:rPr>
      </w:pPr>
      <w:r w:rsidRPr="006645DC">
        <w:rPr>
          <w:lang w:val="en-GB"/>
        </w:rPr>
        <w:t xml:space="preserve">Governance Issues </w:t>
      </w:r>
    </w:p>
    <w:p w14:paraId="50723D3E" w14:textId="77777777" w:rsidR="00D0188E" w:rsidRPr="006645DC" w:rsidRDefault="00D0188E" w:rsidP="00D0188E">
      <w:pPr>
        <w:rPr>
          <w:lang w:val="en-GB"/>
        </w:rPr>
      </w:pPr>
      <w:r w:rsidRPr="006645DC">
        <w:rPr>
          <w:lang w:val="en-GB"/>
        </w:rPr>
        <w:t xml:space="preserve">For every challenge mentioned above, the following elements will be investigated: </w:t>
      </w:r>
    </w:p>
    <w:p w14:paraId="49A4632B" w14:textId="77777777" w:rsidR="00D0188E" w:rsidRPr="006645DC" w:rsidRDefault="00D0188E" w:rsidP="00C22A61">
      <w:pPr>
        <w:numPr>
          <w:ilvl w:val="0"/>
          <w:numId w:val="35"/>
        </w:numPr>
        <w:spacing w:before="0" w:line="276" w:lineRule="auto"/>
        <w:rPr>
          <w:lang w:val="en-GB"/>
        </w:rPr>
      </w:pPr>
      <w:r w:rsidRPr="006645DC">
        <w:rPr>
          <w:b/>
          <w:lang w:val="en-GB"/>
        </w:rPr>
        <w:t>Challenges</w:t>
      </w:r>
      <w:r w:rsidRPr="006645DC">
        <w:rPr>
          <w:lang w:val="en-GB"/>
        </w:rPr>
        <w:t>: the analysis will identify the main issues and challenges for the area with specific regard to relevant thematic objectives and investment priorities outlined in the EC proposal for the 2014-2020 legislative package, highlighting also the links between the challenges and the likely future trends for the area. The main challenges as well as the status quo and main issues are identified through desk research (regional information, strategic documents from the European Union, further studies).</w:t>
      </w:r>
    </w:p>
    <w:p w14:paraId="427D34D3" w14:textId="77777777" w:rsidR="00D0188E" w:rsidRPr="006645DC" w:rsidRDefault="00D0188E" w:rsidP="00C22A61">
      <w:pPr>
        <w:numPr>
          <w:ilvl w:val="0"/>
          <w:numId w:val="35"/>
        </w:numPr>
        <w:spacing w:before="0" w:line="276" w:lineRule="auto"/>
        <w:rPr>
          <w:lang w:val="en-GB"/>
        </w:rPr>
      </w:pPr>
      <w:r w:rsidRPr="006645DC">
        <w:rPr>
          <w:b/>
          <w:lang w:val="en-GB"/>
        </w:rPr>
        <w:t>Needs</w:t>
      </w:r>
      <w:r w:rsidRPr="006645DC">
        <w:rPr>
          <w:lang w:val="en-GB"/>
        </w:rPr>
        <w:t>: the analysis will describe the needs addressing the challenges identified. Based on the analysis of strategic documents of different levels (transnational, national, regional) and the primary data (online survey), the main common needs will be identified and ranked according to their importance for the Romanian and Bulgarian Cross-Border area.</w:t>
      </w:r>
    </w:p>
    <w:p w14:paraId="58605213" w14:textId="77777777" w:rsidR="00D0188E" w:rsidRPr="006645DC" w:rsidRDefault="00D0188E" w:rsidP="00C22A61">
      <w:pPr>
        <w:numPr>
          <w:ilvl w:val="0"/>
          <w:numId w:val="35"/>
        </w:numPr>
        <w:spacing w:before="0" w:line="276" w:lineRule="auto"/>
        <w:rPr>
          <w:lang w:val="en-GB"/>
        </w:rPr>
      </w:pPr>
      <w:r w:rsidRPr="006645DC">
        <w:rPr>
          <w:b/>
          <w:lang w:val="en-GB"/>
        </w:rPr>
        <w:t>Potentials</w:t>
      </w:r>
      <w:r w:rsidRPr="006645DC">
        <w:rPr>
          <w:lang w:val="en-GB"/>
        </w:rPr>
        <w:t>: the analysis shall identify the potentials of the cross-border area in relation to the capacity of the regions to face the identified challenges and needs.  The identified potentials will be gathered for future proposals of different developments.</w:t>
      </w:r>
    </w:p>
    <w:p w14:paraId="0239916D" w14:textId="77777777" w:rsidR="00D0188E" w:rsidRPr="006645DC" w:rsidRDefault="00D0188E" w:rsidP="00C22A61">
      <w:pPr>
        <w:numPr>
          <w:ilvl w:val="0"/>
          <w:numId w:val="35"/>
        </w:numPr>
        <w:spacing w:before="0" w:line="276" w:lineRule="auto"/>
        <w:rPr>
          <w:lang w:val="en-GB"/>
        </w:rPr>
      </w:pPr>
      <w:r w:rsidRPr="006645DC">
        <w:rPr>
          <w:b/>
          <w:lang w:val="en-GB"/>
        </w:rPr>
        <w:t>Synergies/overlaps</w:t>
      </w:r>
      <w:r w:rsidRPr="006645DC">
        <w:rPr>
          <w:lang w:val="en-GB"/>
        </w:rPr>
        <w:t xml:space="preserve">: the analysis shall take into consideration the scenarios related to national, regional and macro-regional strategies – such as the EU Strategy for the Danube Region  – as well as the Partnership Agreements of the two countries and investigate synergies between them. </w:t>
      </w:r>
    </w:p>
    <w:p w14:paraId="758CB300" w14:textId="77777777" w:rsidR="00D0188E" w:rsidRPr="006645DC" w:rsidRDefault="00D0188E" w:rsidP="00C22A61">
      <w:pPr>
        <w:numPr>
          <w:ilvl w:val="0"/>
          <w:numId w:val="35"/>
        </w:numPr>
        <w:spacing w:before="0" w:line="276" w:lineRule="auto"/>
        <w:rPr>
          <w:lang w:val="en-GB"/>
        </w:rPr>
      </w:pPr>
      <w:r w:rsidRPr="006645DC">
        <w:rPr>
          <w:b/>
          <w:bCs/>
          <w:lang w:val="en-GB"/>
        </w:rPr>
        <w:t>SWOT analysis</w:t>
      </w:r>
      <w:r w:rsidRPr="006645DC">
        <w:rPr>
          <w:lang w:val="en-GB"/>
        </w:rPr>
        <w:t xml:space="preserve">: The SWOT analysis is an analytical tool to assess the efficiency of policies and to get an overview highlighting positive and negative aspects for different policy and development options. The SWOT analysis will provide a formal way of identifying the internal factors (strengths and weaknesses), and external factors (opportunities and threats). In a first step, SWOT analyses will be performed at a thematic level then multi-thematic SWOT analysis will synthetized them. In a further step, the combination of these identified internal and external strengths, weaknesses, opportunities and threats will help to define the potentials and barriers </w:t>
      </w:r>
      <w:r w:rsidRPr="006645DC">
        <w:rPr>
          <w:lang w:val="en-GB"/>
        </w:rPr>
        <w:lastRenderedPageBreak/>
        <w:t xml:space="preserve">identified for the </w:t>
      </w:r>
      <w:r w:rsidRPr="006645DC">
        <w:rPr>
          <w:bCs/>
          <w:lang w:val="en-GB"/>
        </w:rPr>
        <w:t xml:space="preserve">Romania Bulgaria Cross-Border </w:t>
      </w:r>
      <w:r w:rsidRPr="006645DC">
        <w:rPr>
          <w:lang w:val="en-GB"/>
        </w:rPr>
        <w:t xml:space="preserve">region and will also show which potentials are resulting from the combination of the internal strengths of a region with the possible opportunities, identified from external strategic documents or current trends. On the other side, the analysis will show, how difficulties in the analysed regions (weaknesses) can illustrate a possible potential, if combined with current trends and possible opportunities. A comparison between the SWOT analysis of the current programme 2007-2013 and the future programme 2014-2020 will be performed in order to reflect whether significant changes occurred. </w:t>
      </w:r>
    </w:p>
    <w:p w14:paraId="31BBEDE1" w14:textId="77777777" w:rsidR="00D0188E" w:rsidRPr="006645DC" w:rsidRDefault="00D0188E" w:rsidP="00C22A61">
      <w:pPr>
        <w:pStyle w:val="ListParagraph"/>
        <w:numPr>
          <w:ilvl w:val="0"/>
          <w:numId w:val="35"/>
        </w:numPr>
        <w:rPr>
          <w:rFonts w:eastAsia="Palatino Linotype" w:cs="Calibri"/>
          <w:color w:val="000000"/>
          <w:szCs w:val="24"/>
          <w:lang w:val="en-GB" w:eastAsia="hu-HU"/>
        </w:rPr>
      </w:pPr>
      <w:r w:rsidRPr="006645DC">
        <w:rPr>
          <w:rFonts w:eastAsia="Palatino Linotype" w:cs="Calibri"/>
          <w:b/>
          <w:color w:val="000000"/>
          <w:szCs w:val="24"/>
          <w:lang w:val="en-GB" w:eastAsia="hu-HU"/>
        </w:rPr>
        <w:t>P</w:t>
      </w:r>
      <w:r w:rsidRPr="006645DC">
        <w:rPr>
          <w:rFonts w:eastAsia="Calibri"/>
          <w:b/>
          <w:bCs/>
          <w:lang w:val="en-GB" w:eastAsia="en-US"/>
        </w:rPr>
        <w:t>roblem tree: In order to organise the quantitative and qualitative information on the different challenges</w:t>
      </w:r>
      <w:r w:rsidRPr="006645DC">
        <w:rPr>
          <w:rFonts w:eastAsia="Palatino Linotype" w:cs="Calibri"/>
          <w:color w:val="000000"/>
          <w:szCs w:val="24"/>
          <w:lang w:val="en-GB" w:eastAsia="hu-HU"/>
        </w:rPr>
        <w:t xml:space="preserve">, as they manifest at the level of the ROBG cross-border territory, and to be able to make an operational hierarchy of needs, the Consultant used the “problem tree” method. This means proceeding by listing all the “territorial problems” concerning each analysed challenge and highlight the causal or interdependence relationship between them in order to identify general or important causes.  The causes can then be analysed and help connect the problems and challenges (that are their consequences at a territorial level) to specific needs in terms of territorial intervention. </w:t>
      </w:r>
    </w:p>
    <w:p w14:paraId="11A1AA48" w14:textId="77777777" w:rsidR="00D0188E" w:rsidRPr="006645DC" w:rsidRDefault="00D0188E" w:rsidP="00D0188E">
      <w:pPr>
        <w:pStyle w:val="Heading3"/>
        <w:rPr>
          <w:lang w:val="en-GB"/>
        </w:rPr>
      </w:pPr>
      <w:bookmarkStart w:id="5" w:name="_Toc254543737"/>
      <w:r w:rsidRPr="006645DC">
        <w:rPr>
          <w:lang w:val="en-GB"/>
        </w:rPr>
        <w:t>Methodology</w:t>
      </w:r>
      <w:bookmarkEnd w:id="5"/>
      <w:r w:rsidRPr="006645DC">
        <w:rPr>
          <w:lang w:val="en-GB"/>
        </w:rPr>
        <w:t xml:space="preserve"> </w:t>
      </w:r>
    </w:p>
    <w:p w14:paraId="020E41F5" w14:textId="77777777" w:rsidR="00D0188E" w:rsidRPr="006645DC" w:rsidRDefault="00D0188E" w:rsidP="00D0188E">
      <w:pPr>
        <w:rPr>
          <w:lang w:val="en-GB"/>
        </w:rPr>
      </w:pPr>
      <w:r w:rsidRPr="006645DC">
        <w:rPr>
          <w:lang w:val="en-GB"/>
        </w:rPr>
        <w:t xml:space="preserve">As mentioned above, the territorial analysis will focus on the most relevant challenges of the </w:t>
      </w:r>
      <w:r w:rsidRPr="006645DC">
        <w:rPr>
          <w:bCs/>
          <w:lang w:val="en-GB"/>
        </w:rPr>
        <w:t xml:space="preserve">Romania Bulgaria Cross-Border </w:t>
      </w:r>
      <w:r w:rsidRPr="006645DC">
        <w:rPr>
          <w:lang w:val="en-GB"/>
        </w:rPr>
        <w:t>area.</w:t>
      </w:r>
    </w:p>
    <w:p w14:paraId="78051783" w14:textId="77777777" w:rsidR="00D0188E" w:rsidRPr="006645DC" w:rsidRDefault="00D0188E" w:rsidP="00D0188E">
      <w:pPr>
        <w:rPr>
          <w:lang w:val="en-GB"/>
        </w:rPr>
      </w:pPr>
      <w:r w:rsidRPr="006645DC">
        <w:rPr>
          <w:lang w:val="en-GB"/>
        </w:rPr>
        <w:t xml:space="preserve"> The 3 logical steps of the process behind the Territorial Analysis will be:</w:t>
      </w:r>
    </w:p>
    <w:p w14:paraId="7663EFAE" w14:textId="77777777" w:rsidR="00D0188E" w:rsidRPr="006645DC" w:rsidRDefault="00D0188E" w:rsidP="00C951D5">
      <w:pPr>
        <w:pStyle w:val="ListParagraph"/>
        <w:numPr>
          <w:ilvl w:val="0"/>
          <w:numId w:val="38"/>
        </w:numPr>
        <w:spacing w:before="0"/>
        <w:rPr>
          <w:lang w:val="en-GB"/>
        </w:rPr>
      </w:pPr>
      <w:r w:rsidRPr="006645DC">
        <w:rPr>
          <w:rFonts w:eastAsia="Calibri"/>
          <w:lang w:val="en-GB" w:eastAsia="en-US"/>
        </w:rPr>
        <w:t xml:space="preserve">Collection and compilation of data from different sources (this step will include the quantitative, but also qualitative data available, e.g. statistics from SPATIAL, but also strategies for territorial development from the RO-BG cross-border area) </w:t>
      </w:r>
    </w:p>
    <w:p w14:paraId="72EED720" w14:textId="77777777" w:rsidR="00D0188E" w:rsidRPr="006645DC" w:rsidRDefault="00D0188E" w:rsidP="00C951D5">
      <w:pPr>
        <w:pStyle w:val="ListParagraph"/>
        <w:numPr>
          <w:ilvl w:val="0"/>
          <w:numId w:val="38"/>
        </w:numPr>
        <w:spacing w:before="0"/>
        <w:rPr>
          <w:lang w:val="en-GB"/>
        </w:rPr>
      </w:pPr>
      <w:r w:rsidRPr="006645DC">
        <w:rPr>
          <w:rFonts w:eastAsia="Calibri"/>
          <w:lang w:val="en-GB" w:eastAsia="en-US"/>
        </w:rPr>
        <w:t xml:space="preserve">Interpretation of information available </w:t>
      </w:r>
    </w:p>
    <w:p w14:paraId="4FBFDCA3" w14:textId="77777777" w:rsidR="00D0188E" w:rsidRPr="006645DC" w:rsidRDefault="00D0188E" w:rsidP="00C951D5">
      <w:pPr>
        <w:pStyle w:val="ListParagraph"/>
        <w:numPr>
          <w:ilvl w:val="0"/>
          <w:numId w:val="38"/>
        </w:numPr>
        <w:spacing w:before="0"/>
        <w:rPr>
          <w:lang w:val="en-GB"/>
        </w:rPr>
      </w:pPr>
      <w:r w:rsidRPr="006645DC">
        <w:rPr>
          <w:rFonts w:eastAsia="Calibri"/>
          <w:lang w:val="en-GB" w:eastAsia="en-US"/>
        </w:rPr>
        <w:t>Structuring of information around the 8 territorial challenges and their corresponding needs</w:t>
      </w:r>
    </w:p>
    <w:p w14:paraId="0E80365B" w14:textId="77777777" w:rsidR="00D0188E" w:rsidRPr="006645DC" w:rsidRDefault="00D0188E" w:rsidP="00D0188E">
      <w:pPr>
        <w:rPr>
          <w:lang w:val="en-GB"/>
        </w:rPr>
      </w:pPr>
      <w:r w:rsidRPr="006645DC">
        <w:rPr>
          <w:lang w:val="en-GB"/>
        </w:rPr>
        <w:t>The interpretation and structuring of information will be achieved through:</w:t>
      </w:r>
    </w:p>
    <w:p w14:paraId="67B1EC11" w14:textId="77777777" w:rsidR="00D0188E" w:rsidRPr="006645DC" w:rsidRDefault="00D0188E" w:rsidP="00C951D5">
      <w:pPr>
        <w:pStyle w:val="ListParagraph"/>
        <w:numPr>
          <w:ilvl w:val="0"/>
          <w:numId w:val="36"/>
        </w:numPr>
        <w:spacing w:before="0"/>
        <w:rPr>
          <w:lang w:val="en-GB"/>
        </w:rPr>
      </w:pPr>
      <w:r w:rsidRPr="006645DC">
        <w:rPr>
          <w:rFonts w:eastAsia="Calibri"/>
          <w:lang w:val="en-GB" w:eastAsia="en-US"/>
        </w:rPr>
        <w:t>The structural logic of this stage: its thematisation and linkage to the objectives of the ERDF draft regulation</w:t>
      </w:r>
    </w:p>
    <w:p w14:paraId="2FBA2C0E" w14:textId="77777777" w:rsidR="00D0188E" w:rsidRPr="006645DC" w:rsidRDefault="00D0188E" w:rsidP="00C951D5">
      <w:pPr>
        <w:pStyle w:val="ListParagraph"/>
        <w:numPr>
          <w:ilvl w:val="0"/>
          <w:numId w:val="36"/>
        </w:numPr>
        <w:spacing w:before="0"/>
        <w:rPr>
          <w:lang w:val="en-GB"/>
        </w:rPr>
      </w:pPr>
      <w:r w:rsidRPr="006645DC">
        <w:rPr>
          <w:rFonts w:eastAsia="Calibri"/>
          <w:lang w:val="en-GB" w:eastAsia="en-US"/>
        </w:rPr>
        <w:t xml:space="preserve">Highly qualitative instruments such as the online survey and the phone interviews. </w:t>
      </w:r>
    </w:p>
    <w:p w14:paraId="1438F3CC" w14:textId="77777777" w:rsidR="00D0188E" w:rsidRPr="006645DC" w:rsidRDefault="00D0188E" w:rsidP="00D0188E">
      <w:pPr>
        <w:rPr>
          <w:lang w:val="en-GB"/>
        </w:rPr>
      </w:pPr>
      <w:r w:rsidRPr="006645DC">
        <w:rPr>
          <w:lang w:val="en-GB"/>
        </w:rPr>
        <w:t xml:space="preserve">Our main methodological approach emphasizes the importance of “informed” and qualitative stakeholder’s opinion, while taking full advantage of the already existing statistical analysis of the main socio-economic and environmental aspects of the area. The Consultant key input at this stage will be to find, create and interpret the hard statistical data (through thematisation) at a cross-border level and recalibrate the first conclusions through stakeholder’s consultation. This consultation will not be exhaustive but will strive to be representative for the territory and the eligible beneficiaries of the RO-BG cross-border area. The representativeness should be understood (as in other drafting context around </w:t>
      </w:r>
      <w:r w:rsidRPr="006645DC">
        <w:rPr>
          <w:lang w:val="en-GB"/>
        </w:rPr>
        <w:lastRenderedPageBreak/>
        <w:t>Europe) in a limited manner, as the Consultant will strive to obtain several answers from each category of eligible/potential beneficiaries (ROBG 2007-2013 as basis) from:</w:t>
      </w:r>
    </w:p>
    <w:p w14:paraId="67EDA35C" w14:textId="77777777" w:rsidR="00D0188E" w:rsidRPr="006645DC" w:rsidRDefault="00D0188E" w:rsidP="00C951D5">
      <w:pPr>
        <w:pStyle w:val="ListParagraph"/>
        <w:numPr>
          <w:ilvl w:val="0"/>
          <w:numId w:val="37"/>
        </w:numPr>
        <w:spacing w:before="0"/>
        <w:rPr>
          <w:lang w:val="en-GB"/>
        </w:rPr>
      </w:pPr>
      <w:r w:rsidRPr="006645DC">
        <w:rPr>
          <w:rFonts w:eastAsia="Calibri"/>
          <w:lang w:val="en-GB" w:eastAsia="en-US"/>
        </w:rPr>
        <w:t xml:space="preserve">Each county/district in the cross-border area </w:t>
      </w:r>
    </w:p>
    <w:p w14:paraId="22A100DA" w14:textId="77777777" w:rsidR="00D0188E" w:rsidRPr="006645DC" w:rsidRDefault="00D0188E" w:rsidP="00C951D5">
      <w:pPr>
        <w:pStyle w:val="ListParagraph"/>
        <w:numPr>
          <w:ilvl w:val="0"/>
          <w:numId w:val="37"/>
        </w:numPr>
        <w:spacing w:before="0"/>
        <w:rPr>
          <w:lang w:val="en-GB"/>
        </w:rPr>
      </w:pPr>
      <w:r w:rsidRPr="006645DC">
        <w:rPr>
          <w:rFonts w:eastAsia="Calibri"/>
          <w:lang w:val="en-GB" w:eastAsia="en-US"/>
        </w:rPr>
        <w:t>From the rural and urban areas</w:t>
      </w:r>
    </w:p>
    <w:p w14:paraId="15AA6B69" w14:textId="77777777" w:rsidR="00D0188E" w:rsidRPr="006645DC" w:rsidRDefault="00D0188E" w:rsidP="00D0188E">
      <w:pPr>
        <w:rPr>
          <w:lang w:val="en-GB"/>
        </w:rPr>
      </w:pPr>
      <w:r w:rsidRPr="006645DC">
        <w:rPr>
          <w:lang w:val="en-GB"/>
        </w:rPr>
        <w:t>The methods adapted to the Territorial Analysis phase that will be applied are the following:</w:t>
      </w:r>
    </w:p>
    <w:p w14:paraId="45E7682C" w14:textId="77777777" w:rsidR="00D0188E" w:rsidRPr="006645DC" w:rsidRDefault="00D0188E" w:rsidP="00AE1E9E">
      <w:pPr>
        <w:pStyle w:val="Heading5"/>
        <w:rPr>
          <w:lang w:val="en-GB"/>
        </w:rPr>
      </w:pPr>
      <w:bookmarkStart w:id="6" w:name="_Toc241845677"/>
      <w:bookmarkStart w:id="7" w:name="_Toc254543738"/>
      <w:r w:rsidRPr="006645DC">
        <w:rPr>
          <w:lang w:val="en-GB"/>
        </w:rPr>
        <w:t>Document analysis</w:t>
      </w:r>
      <w:bookmarkEnd w:id="6"/>
      <w:bookmarkEnd w:id="7"/>
    </w:p>
    <w:p w14:paraId="59942F55" w14:textId="77777777" w:rsidR="00D0188E" w:rsidRPr="006645DC" w:rsidRDefault="00D0188E" w:rsidP="00D0188E">
      <w:pPr>
        <w:rPr>
          <w:lang w:val="en-GB"/>
        </w:rPr>
      </w:pPr>
      <w:r w:rsidRPr="006645DC">
        <w:rPr>
          <w:lang w:val="en-GB"/>
        </w:rPr>
        <w:t xml:space="preserve">Strategic documents on European, cross border, national and regional level (e.g. programming documents, policy papers, outputs of strategic projects like EVOLUTION and SPATIAL, etc.) and national statistics institutes databases are the main source of information to identify the challenges of the area. </w:t>
      </w:r>
    </w:p>
    <w:p w14:paraId="24E8B76F" w14:textId="77777777" w:rsidR="00A930CF" w:rsidRPr="006645DC" w:rsidRDefault="00A930CF" w:rsidP="00A930CF">
      <w:pPr>
        <w:rPr>
          <w:lang w:val="en-GB"/>
        </w:rPr>
      </w:pPr>
      <w:r w:rsidRPr="006645DC">
        <w:rPr>
          <w:lang w:val="en-GB"/>
        </w:rPr>
        <w:t xml:space="preserve">Therefore, an analysis has been made to choose consistent data, from each national and NUTS 2 level statistic authorities, in a form that allows for comparison between the two countries. Although very useful and innovative when compared to the usual domestic data sets, the Eurostat or ESPON data represented administrative levels (NUTS 2) that are too large for conducting a sufficiently differentiated territorial analysis at the scale of districts and lower territorial levels (NUTS 3, LAU 1 and 2). An interesting source of data could have been the Regional Development Programme for the 2014-2020 period, but </w:t>
      </w:r>
      <w:r w:rsidR="009954B2" w:rsidRPr="006645DC">
        <w:rPr>
          <w:lang w:val="en-GB"/>
        </w:rPr>
        <w:t>there are still not available and when it is the case, their draft version give very few information at NUTS 3 level</w:t>
      </w:r>
      <w:r w:rsidRPr="006645DC">
        <w:rPr>
          <w:lang w:val="en-GB"/>
        </w:rPr>
        <w:t>. Finally, also specific cross-border flow data (&amp; analyses) for various strategic sub-topics relevant for cross-border development were not available (e.g. traffic flows transiting the cross-border area, cross-border traffic flows within the co-operation area, cross-border labour market commuting, volume of goods &amp; services exchanged within a cross- border area, etc.)</w:t>
      </w:r>
      <w:r w:rsidR="009954B2" w:rsidRPr="006645DC">
        <w:rPr>
          <w:lang w:val="en-GB"/>
        </w:rPr>
        <w:t>. The statistica</w:t>
      </w:r>
      <w:r w:rsidR="00653540" w:rsidRPr="006645DC">
        <w:rPr>
          <w:lang w:val="en-GB"/>
        </w:rPr>
        <w:t xml:space="preserve">l data were not provided by the statistical authorities for 2012 or 2013 or were calculated in different manners that don’t allow us a relevant </w:t>
      </w:r>
      <w:r w:rsidR="00721B3E" w:rsidRPr="006645DC">
        <w:rPr>
          <w:lang w:val="en-GB"/>
        </w:rPr>
        <w:t xml:space="preserve">comparison. We have to notice here that on the Bulgarian side many economic data, especially on trade flows, are not available as they are considered as confidential data. The national programming strategies and other relevant sectorial analysis such as </w:t>
      </w:r>
      <w:r w:rsidR="004E78AE" w:rsidRPr="006645DC">
        <w:rPr>
          <w:lang w:val="en-GB"/>
        </w:rPr>
        <w:t xml:space="preserve">World Bank reports </w:t>
      </w:r>
      <w:r w:rsidR="00CF7A79" w:rsidRPr="006645DC">
        <w:rPr>
          <w:lang w:val="en-GB"/>
        </w:rPr>
        <w:t xml:space="preserve">have </w:t>
      </w:r>
      <w:r w:rsidR="004E78AE" w:rsidRPr="006645DC">
        <w:rPr>
          <w:lang w:val="en-GB"/>
        </w:rPr>
        <w:t xml:space="preserve">also been analysed but very few data were available at NUTS 3 level. </w:t>
      </w:r>
    </w:p>
    <w:p w14:paraId="0ED1D1DA" w14:textId="77777777" w:rsidR="00A930CF" w:rsidRPr="006645DC" w:rsidRDefault="00A930CF" w:rsidP="00D0188E">
      <w:pPr>
        <w:rPr>
          <w:lang w:val="en-GB"/>
        </w:rPr>
      </w:pPr>
      <w:r w:rsidRPr="006645DC">
        <w:rPr>
          <w:b/>
          <w:bCs/>
          <w:lang w:val="en-GB"/>
        </w:rPr>
        <w:t xml:space="preserve">Complementary desk research </w:t>
      </w:r>
      <w:r w:rsidRPr="006645DC">
        <w:rPr>
          <w:lang w:val="en-GB"/>
        </w:rPr>
        <w:t xml:space="preserve">was conducted in order to illustrate the statistical analysis with relevant examples and, where possible, to provide qualitative or up-to-date information. </w:t>
      </w:r>
    </w:p>
    <w:p w14:paraId="226C5856" w14:textId="77777777" w:rsidR="00D0188E" w:rsidRPr="006645DC" w:rsidRDefault="00D0188E" w:rsidP="00AE1E9E">
      <w:pPr>
        <w:pStyle w:val="Heading5"/>
        <w:rPr>
          <w:lang w:val="en-GB"/>
        </w:rPr>
      </w:pPr>
      <w:bookmarkStart w:id="8" w:name="_Toc241845678"/>
      <w:bookmarkStart w:id="9" w:name="_Toc254543739"/>
      <w:r w:rsidRPr="006645DC">
        <w:rPr>
          <w:lang w:val="en-GB"/>
        </w:rPr>
        <w:t>Questionnaire</w:t>
      </w:r>
      <w:bookmarkEnd w:id="8"/>
      <w:bookmarkEnd w:id="9"/>
    </w:p>
    <w:p w14:paraId="3185A14D" w14:textId="77777777" w:rsidR="00D0188E" w:rsidRPr="006645DC" w:rsidRDefault="00D0188E" w:rsidP="00D0188E">
      <w:pPr>
        <w:rPr>
          <w:lang w:val="en-GB"/>
        </w:rPr>
      </w:pPr>
      <w:r w:rsidRPr="006645DC">
        <w:rPr>
          <w:lang w:val="en-GB"/>
        </w:rPr>
        <w:t xml:space="preserve">The questionnaire aims at collecting perceived needs, suggestions, and strategic addresses directly from a broad group of different relevant stakeholders. This questionnaire targets stakeholders that are selected from each county/district of the RO-BG cross-border area. For each county and district, stakeholders from all the eligible beneficiaries group of the CBC Programme 2007-2013 are also targeted (if possible, given for instance the objective impossibility of selecting academic stakeholders from some of the counties of districts). </w:t>
      </w:r>
    </w:p>
    <w:p w14:paraId="6E89DA71" w14:textId="77777777" w:rsidR="00D0188E" w:rsidRPr="006645DC" w:rsidRDefault="00D0188E" w:rsidP="00D0188E">
      <w:pPr>
        <w:rPr>
          <w:lang w:val="en-GB"/>
        </w:rPr>
      </w:pPr>
      <w:r w:rsidRPr="006645DC">
        <w:rPr>
          <w:lang w:val="en-GB"/>
        </w:rPr>
        <w:t>This group has been invited via e-mail (obtained through the JTS or through our personal contacts with regional stakeholders) and phone to fill in the questionnaire and send them back. The questionnaire was also available via a link that has been posted on the RO-BG 2007-2013 webpage.</w:t>
      </w:r>
    </w:p>
    <w:p w14:paraId="398E083A" w14:textId="77777777" w:rsidR="00D0188E" w:rsidRPr="006645DC" w:rsidRDefault="00D0188E" w:rsidP="00D0188E">
      <w:pPr>
        <w:rPr>
          <w:lang w:val="en-GB"/>
        </w:rPr>
      </w:pPr>
      <w:r w:rsidRPr="006645DC">
        <w:rPr>
          <w:lang w:val="en-GB"/>
        </w:rPr>
        <w:lastRenderedPageBreak/>
        <w:t xml:space="preserve">The questionnaire has been programmed in a CMS web form tool and included text fields for optional free answers.  </w:t>
      </w:r>
    </w:p>
    <w:p w14:paraId="18DE778F" w14:textId="77777777" w:rsidR="00D0188E" w:rsidRPr="006645DC" w:rsidRDefault="00D0188E" w:rsidP="00AE1E9E">
      <w:pPr>
        <w:pStyle w:val="Heading5"/>
        <w:rPr>
          <w:lang w:val="en-GB"/>
        </w:rPr>
      </w:pPr>
      <w:bookmarkStart w:id="10" w:name="_Toc241845679"/>
      <w:bookmarkStart w:id="11" w:name="_Toc254543740"/>
      <w:r w:rsidRPr="006645DC">
        <w:rPr>
          <w:lang w:val="en-GB"/>
        </w:rPr>
        <w:t>Phone interviews</w:t>
      </w:r>
      <w:bookmarkEnd w:id="10"/>
      <w:bookmarkEnd w:id="11"/>
    </w:p>
    <w:p w14:paraId="299D5E4D" w14:textId="77777777" w:rsidR="00D0188E" w:rsidRPr="006645DC" w:rsidRDefault="00D0188E" w:rsidP="00D0188E">
      <w:pPr>
        <w:rPr>
          <w:lang w:val="en-GB"/>
        </w:rPr>
      </w:pPr>
      <w:r w:rsidRPr="006645DC">
        <w:rPr>
          <w:lang w:val="en-GB"/>
        </w:rPr>
        <w:t xml:space="preserve">In addition to the online survey, 40 phone interviews with stakeholders of the </w:t>
      </w:r>
      <w:r w:rsidRPr="006645DC">
        <w:rPr>
          <w:bCs/>
          <w:lang w:val="en-GB"/>
        </w:rPr>
        <w:t xml:space="preserve">Romania Bulgaria Cross-Border </w:t>
      </w:r>
      <w:r w:rsidRPr="006645DC">
        <w:rPr>
          <w:lang w:val="en-GB"/>
        </w:rPr>
        <w:t xml:space="preserve">region are currently being conducted to discuss and further qualify the outcomes of the questionnaire as well as the outcomes of the SWOT Analysis. The main purpose of the interviews will be to address the challenges and the needs in a more detailed way and to combine identified potentials with further investigations. Additionally, the first ideas for the potential strategic orientation scenarios will be discussed during the interviews. Interviews are being conducted, around half, in each Member State. The </w:t>
      </w:r>
      <w:r w:rsidR="00CF7A79" w:rsidRPr="006645DC">
        <w:rPr>
          <w:lang w:val="en-GB"/>
        </w:rPr>
        <w:t>interviews</w:t>
      </w:r>
      <w:r w:rsidRPr="006645DC">
        <w:rPr>
          <w:lang w:val="en-GB"/>
        </w:rPr>
        <w:t xml:space="preserve"> are currently being focused on Regional and local public authorities dealing with cross-border cooperation as e.g. the administrations of regions (provinces/states) and municipalities because we have for the moment a lower response rate from this category. </w:t>
      </w:r>
    </w:p>
    <w:p w14:paraId="1537700A" w14:textId="77777777" w:rsidR="00D0188E" w:rsidRPr="006645DC" w:rsidRDefault="00D0188E" w:rsidP="00D0188E">
      <w:pPr>
        <w:rPr>
          <w:lang w:val="en-GB"/>
        </w:rPr>
      </w:pPr>
      <w:r w:rsidRPr="006645DC">
        <w:rPr>
          <w:lang w:val="en-GB"/>
        </w:rPr>
        <w:t xml:space="preserve">It has to be pointed out and acknowledged, that this exercise will not be considered as a representative survey as it has no statistical representativeness. The interviews will serve as an additional input </w:t>
      </w:r>
      <w:r w:rsidR="00CF7A79" w:rsidRPr="006645DC">
        <w:rPr>
          <w:lang w:val="en-GB"/>
        </w:rPr>
        <w:t xml:space="preserve">for </w:t>
      </w:r>
      <w:r w:rsidRPr="006645DC">
        <w:rPr>
          <w:lang w:val="en-GB"/>
        </w:rPr>
        <w:t xml:space="preserve">the identification of regional needs and future thematic fields for the </w:t>
      </w:r>
      <w:r w:rsidRPr="006645DC">
        <w:rPr>
          <w:bCs/>
          <w:lang w:val="en-GB"/>
        </w:rPr>
        <w:t>Romania Bulgaria Cross-Border Programme</w:t>
      </w:r>
      <w:r w:rsidRPr="006645DC">
        <w:rPr>
          <w:lang w:val="en-GB"/>
        </w:rPr>
        <w:t xml:space="preserve"> and will deepen the findings from the preliminary SWOT analysis as well as the findings from the questionnaire.</w:t>
      </w:r>
    </w:p>
    <w:p w14:paraId="0AD1EEBA" w14:textId="77777777" w:rsidR="00D0188E" w:rsidRPr="006645DC" w:rsidRDefault="00D0188E" w:rsidP="00D0188E">
      <w:pPr>
        <w:pStyle w:val="Heading2"/>
        <w:rPr>
          <w:lang w:val="en-GB"/>
        </w:rPr>
      </w:pPr>
      <w:bookmarkStart w:id="12" w:name="_Toc376198401"/>
      <w:bookmarkStart w:id="13" w:name="_Toc254543741"/>
      <w:bookmarkStart w:id="14" w:name="_Toc391150157"/>
      <w:r w:rsidRPr="006645DC">
        <w:rPr>
          <w:lang w:val="en-GB"/>
        </w:rPr>
        <w:t>EU level vision &amp; strategic framework</w:t>
      </w:r>
      <w:bookmarkEnd w:id="12"/>
      <w:bookmarkEnd w:id="13"/>
      <w:bookmarkEnd w:id="14"/>
    </w:p>
    <w:p w14:paraId="32C006CD" w14:textId="77777777" w:rsidR="00D0188E" w:rsidRPr="006645DC" w:rsidRDefault="00D0188E" w:rsidP="00D0188E">
      <w:pPr>
        <w:pStyle w:val="Heading3"/>
        <w:numPr>
          <w:ilvl w:val="0"/>
          <w:numId w:val="10"/>
        </w:numPr>
        <w:rPr>
          <w:lang w:val="en-GB"/>
        </w:rPr>
      </w:pPr>
      <w:bookmarkStart w:id="15" w:name="_Toc254543742"/>
      <w:r w:rsidRPr="006645DC">
        <w:rPr>
          <w:lang w:val="en-GB"/>
        </w:rPr>
        <w:t>The EU Strategy for the Danube Region</w:t>
      </w:r>
      <w:bookmarkEnd w:id="15"/>
    </w:p>
    <w:p w14:paraId="0BD1A6EA" w14:textId="77777777" w:rsidR="00D0188E" w:rsidRPr="006645DC" w:rsidRDefault="00D0188E" w:rsidP="00D0188E">
      <w:pPr>
        <w:rPr>
          <w:bCs/>
          <w:lang w:val="en-GB"/>
        </w:rPr>
      </w:pPr>
      <w:r w:rsidRPr="006645DC">
        <w:rPr>
          <w:bCs/>
          <w:lang w:val="en-GB"/>
        </w:rPr>
        <w:t xml:space="preserve">This territorial analysis has, in part, focused on the EU Strategy for the Danube Region. The EUSDR is a macro-regional strategy adopted by the European Commission in December 2010 and endorsed by the European Council in 2011. The Strategy was jointly developed by the Commission, together with the Danube Region countries and stakeholders, in order to address common challenges. The Strategy seeks to create synergies and coordination between existing policies and initiatives taking place across the Danube Region. The area covers a fifth of the EU’s surface with over 100 million inhabitants. More precisely, it includes: Germany (Baden-Württemberg and Bavaria), Austria, the Slovak Republic, the Czech Republic, Croatia, Hungary, Slovenia, Romania and Bulgaria within the EU, and Serbia, Bosnia and Herzegovina, Montenegro, the Republic of Moldova and Ukraine (the regions along the Danube). The Strategy remains open to other partners in the region and as the Danube flows into the Black Sea, it should also look for synergies with the Black Sea programme. </w:t>
      </w:r>
    </w:p>
    <w:p w14:paraId="04FD1A94" w14:textId="77777777" w:rsidR="00D0188E" w:rsidRPr="006645DC" w:rsidRDefault="00D0188E" w:rsidP="00D0188E">
      <w:pPr>
        <w:rPr>
          <w:bCs/>
          <w:lang w:val="en-GB"/>
        </w:rPr>
      </w:pPr>
      <w:r w:rsidRPr="006645DC">
        <w:rPr>
          <w:bCs/>
          <w:lang w:val="en-GB"/>
        </w:rPr>
        <w:t>According to the EUSDR, the major challenges of the region that have to be addressed are:</w:t>
      </w:r>
    </w:p>
    <w:p w14:paraId="7CF162C0" w14:textId="77777777" w:rsidR="00D0188E" w:rsidRPr="006645DC" w:rsidRDefault="00D0188E" w:rsidP="00D0188E">
      <w:pPr>
        <w:pStyle w:val="ListParagraph"/>
        <w:rPr>
          <w:lang w:val="en-GB"/>
        </w:rPr>
      </w:pPr>
      <w:r w:rsidRPr="006645DC">
        <w:rPr>
          <w:b/>
          <w:i/>
          <w:iCs/>
          <w:lang w:val="en-GB"/>
        </w:rPr>
        <w:t>Mobility</w:t>
      </w:r>
      <w:r w:rsidRPr="006645DC">
        <w:rPr>
          <w:lang w:val="en-GB"/>
        </w:rPr>
        <w:t>: the Danube River itself is a major TEN-T Corridor, but it is used far below its full capacity. There is a particular need for greater multimodality, better interconnection with other river basins, the modernisation and extension of infrastructure of transport nodes such as inland ports.</w:t>
      </w:r>
    </w:p>
    <w:p w14:paraId="5366486D" w14:textId="77777777" w:rsidR="00D0188E" w:rsidRPr="006645DC" w:rsidRDefault="00D0188E" w:rsidP="00D0188E">
      <w:pPr>
        <w:pStyle w:val="ListParagraph"/>
        <w:rPr>
          <w:lang w:val="en-GB"/>
        </w:rPr>
      </w:pPr>
      <w:r w:rsidRPr="006645DC">
        <w:rPr>
          <w:b/>
          <w:i/>
          <w:iCs/>
          <w:lang w:val="en-GB"/>
        </w:rPr>
        <w:t>Energy</w:t>
      </w:r>
      <w:r w:rsidRPr="006645DC">
        <w:rPr>
          <w:lang w:val="en-GB"/>
        </w:rPr>
        <w:t>: the region is made up of fragmented markets that lead to higher costs, reduced competition and increased vulnerability, as periodic winter crises testify.</w:t>
      </w:r>
    </w:p>
    <w:p w14:paraId="15F54E00" w14:textId="77777777" w:rsidR="00D0188E" w:rsidRPr="006645DC" w:rsidRDefault="00D0188E" w:rsidP="00D0188E">
      <w:pPr>
        <w:pStyle w:val="ListParagraph"/>
        <w:rPr>
          <w:lang w:val="en-GB"/>
        </w:rPr>
      </w:pPr>
      <w:r w:rsidRPr="006645DC">
        <w:rPr>
          <w:b/>
          <w:i/>
          <w:iCs/>
          <w:lang w:val="en-GB"/>
        </w:rPr>
        <w:lastRenderedPageBreak/>
        <w:t>Environment</w:t>
      </w:r>
      <w:r w:rsidRPr="006645DC">
        <w:rPr>
          <w:lang w:val="en-GB"/>
        </w:rPr>
        <w:t>: the Danube Region is a major international hydrological basin and ecological corridor, but, unfortunately, highly polluted.</w:t>
      </w:r>
    </w:p>
    <w:p w14:paraId="7EBE05A7" w14:textId="77777777" w:rsidR="00D0188E" w:rsidRPr="006645DC" w:rsidRDefault="00D0188E" w:rsidP="00D0188E">
      <w:pPr>
        <w:pStyle w:val="ListParagraph"/>
        <w:rPr>
          <w:lang w:val="en-GB"/>
        </w:rPr>
      </w:pPr>
      <w:r w:rsidRPr="006645DC">
        <w:rPr>
          <w:b/>
          <w:i/>
          <w:iCs/>
          <w:lang w:val="en-GB"/>
        </w:rPr>
        <w:t>Risks</w:t>
      </w:r>
      <w:r w:rsidRPr="006645DC">
        <w:rPr>
          <w:lang w:val="en-GB"/>
        </w:rPr>
        <w:t>: major flooding, droughts, and industrial pollution events are major risks for the area.</w:t>
      </w:r>
    </w:p>
    <w:p w14:paraId="5AEBC596" w14:textId="77777777" w:rsidR="00D0188E" w:rsidRPr="006645DC" w:rsidRDefault="00D0188E" w:rsidP="00D0188E">
      <w:pPr>
        <w:pStyle w:val="ListParagraph"/>
        <w:rPr>
          <w:lang w:val="en-GB"/>
        </w:rPr>
      </w:pPr>
      <w:r w:rsidRPr="006645DC">
        <w:rPr>
          <w:b/>
          <w:i/>
          <w:iCs/>
          <w:lang w:val="en-GB"/>
        </w:rPr>
        <w:t>Socio-economic</w:t>
      </w:r>
      <w:r w:rsidRPr="006645DC">
        <w:rPr>
          <w:lang w:val="en-GB"/>
        </w:rPr>
        <w:t>: the Region comprises some of the EU’s most successful but also the poorest regions. Contacts and cooperation are often lacking, both financially and institutionally.</w:t>
      </w:r>
    </w:p>
    <w:p w14:paraId="2207F751" w14:textId="77777777" w:rsidR="00D0188E" w:rsidRPr="006645DC" w:rsidRDefault="00D0188E" w:rsidP="00D0188E">
      <w:pPr>
        <w:pStyle w:val="ListParagraph"/>
        <w:rPr>
          <w:lang w:val="en-GB"/>
        </w:rPr>
      </w:pPr>
      <w:r w:rsidRPr="006645DC">
        <w:rPr>
          <w:b/>
          <w:i/>
          <w:iCs/>
          <w:lang w:val="en-GB"/>
        </w:rPr>
        <w:t>Security</w:t>
      </w:r>
      <w:r w:rsidR="004E78AE" w:rsidRPr="006645DC">
        <w:rPr>
          <w:b/>
          <w:i/>
          <w:iCs/>
          <w:lang w:val="en-GB"/>
        </w:rPr>
        <w:t xml:space="preserve"> </w:t>
      </w:r>
      <w:r w:rsidRPr="006645DC">
        <w:rPr>
          <w:b/>
          <w:i/>
          <w:iCs/>
          <w:lang w:val="en-GB"/>
        </w:rPr>
        <w:t>and organised crime</w:t>
      </w:r>
      <w:r w:rsidRPr="006645DC">
        <w:rPr>
          <w:lang w:val="en-GB"/>
        </w:rPr>
        <w:t>: significant problems persist. Human trafficking, smuggling of goods and corruption are particular problems in several countries.</w:t>
      </w:r>
    </w:p>
    <w:p w14:paraId="26A7A084" w14:textId="77777777" w:rsidR="00D0188E" w:rsidRPr="006645DC" w:rsidRDefault="00D0188E" w:rsidP="00D0188E">
      <w:pPr>
        <w:rPr>
          <w:bCs/>
          <w:lang w:val="en-GB"/>
        </w:rPr>
      </w:pPr>
      <w:r w:rsidRPr="006645DC">
        <w:rPr>
          <w:bCs/>
          <w:lang w:val="en-GB"/>
        </w:rPr>
        <w:t xml:space="preserve">The Strategy proposes four Pillars to address the major issues. Each comprises distinct fields of action, the Priority Areas: </w:t>
      </w:r>
    </w:p>
    <w:p w14:paraId="07C5A360" w14:textId="77777777" w:rsidR="00137264" w:rsidRPr="006645DC" w:rsidRDefault="00AA4C82" w:rsidP="00137264">
      <w:pPr>
        <w:rPr>
          <w:bCs/>
          <w:lang w:val="en-GB"/>
        </w:rPr>
      </w:pPr>
      <w:r w:rsidRPr="006645DC">
        <w:rPr>
          <w:noProof/>
          <w:lang w:val="bg-BG" w:eastAsia="bg-BG"/>
        </w:rPr>
        <w:drawing>
          <wp:inline distT="0" distB="0" distL="0" distR="0" wp14:anchorId="25D4C553" wp14:editId="6EA2C2B6">
            <wp:extent cx="5206417" cy="4029843"/>
            <wp:effectExtent l="76200" t="38100" r="89535" b="8890"/>
            <wp:docPr id="471" name="Diagram 229"/>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bookmarkStart w:id="16" w:name="_Toc254543743"/>
    </w:p>
    <w:p w14:paraId="44194EED" w14:textId="77777777" w:rsidR="00137264" w:rsidRPr="006645DC" w:rsidRDefault="00137264" w:rsidP="00137264">
      <w:pPr>
        <w:rPr>
          <w:bCs/>
          <w:lang w:val="en-GB"/>
        </w:rPr>
      </w:pPr>
    </w:p>
    <w:p w14:paraId="19F5A4A7" w14:textId="77777777" w:rsidR="00D0188E" w:rsidRPr="006645DC" w:rsidRDefault="00D0188E" w:rsidP="00D0188E">
      <w:pPr>
        <w:pStyle w:val="Heading3"/>
        <w:rPr>
          <w:lang w:val="en-GB"/>
        </w:rPr>
      </w:pPr>
      <w:r w:rsidRPr="006645DC">
        <w:rPr>
          <w:lang w:val="en-GB"/>
        </w:rPr>
        <w:t>The Blue Growth strategy</w:t>
      </w:r>
      <w:bookmarkEnd w:id="16"/>
    </w:p>
    <w:p w14:paraId="7FBA6A3D" w14:textId="77777777" w:rsidR="00D0188E" w:rsidRPr="006645DC" w:rsidRDefault="00D0188E" w:rsidP="00D0188E">
      <w:pPr>
        <w:rPr>
          <w:lang w:val="en-GB"/>
        </w:rPr>
      </w:pPr>
      <w:r w:rsidRPr="006645DC">
        <w:rPr>
          <w:lang w:val="en-GB"/>
        </w:rPr>
        <w:t>The Blue Economy aims to create a sustainable sea-based and coastal economy, it involves, notably:</w:t>
      </w:r>
    </w:p>
    <w:p w14:paraId="2D8AA29E" w14:textId="77777777" w:rsidR="00D0188E" w:rsidRPr="006645DC" w:rsidRDefault="00D0188E" w:rsidP="00D0188E">
      <w:pPr>
        <w:pStyle w:val="ListParagraph"/>
        <w:rPr>
          <w:lang w:val="en-GB"/>
        </w:rPr>
      </w:pPr>
      <w:r w:rsidRPr="006645DC">
        <w:rPr>
          <w:lang w:val="en-GB"/>
        </w:rPr>
        <w:lastRenderedPageBreak/>
        <w:t>The sustainable protection and exploitation of resources (the potential of marine energy, the preservation of deep mineral resources, the protection of biodiversity);</w:t>
      </w:r>
    </w:p>
    <w:p w14:paraId="3A8D5600" w14:textId="77777777" w:rsidR="00D0188E" w:rsidRPr="006645DC" w:rsidRDefault="00D0188E" w:rsidP="00D0188E">
      <w:pPr>
        <w:pStyle w:val="ListParagraph"/>
        <w:rPr>
          <w:lang w:val="en-GB"/>
        </w:rPr>
      </w:pPr>
      <w:r w:rsidRPr="006645DC">
        <w:rPr>
          <w:lang w:val="en-GB"/>
        </w:rPr>
        <w:t>Introducing policies for sustainable fishing, aquaculture, and agriculture (and for the sustainable management of fisheries resources in particular);</w:t>
      </w:r>
    </w:p>
    <w:p w14:paraId="5B29063B" w14:textId="77777777" w:rsidR="00D0188E" w:rsidRPr="006645DC" w:rsidRDefault="00D0188E" w:rsidP="00D0188E">
      <w:pPr>
        <w:pStyle w:val="ListParagraph"/>
        <w:rPr>
          <w:lang w:val="en-GB"/>
        </w:rPr>
      </w:pPr>
      <w:r w:rsidRPr="006645DC">
        <w:rPr>
          <w:lang w:val="en-GB"/>
        </w:rPr>
        <w:t>Transforming industry and transportation (the development of maritime transport as an alternative solution to road transport, the social dimension of international maritime transport);</w:t>
      </w:r>
    </w:p>
    <w:p w14:paraId="4FE0E32B" w14:textId="77777777" w:rsidR="00D0188E" w:rsidRPr="006645DC" w:rsidRDefault="00D0188E" w:rsidP="00D0188E">
      <w:pPr>
        <w:pStyle w:val="ListParagraph"/>
        <w:rPr>
          <w:lang w:val="en-GB"/>
        </w:rPr>
      </w:pPr>
      <w:r w:rsidRPr="006645DC">
        <w:rPr>
          <w:lang w:val="en-GB"/>
        </w:rPr>
        <w:t>The management and sustainable development of ports;</w:t>
      </w:r>
    </w:p>
    <w:p w14:paraId="0177CB61" w14:textId="77777777" w:rsidR="00D0188E" w:rsidRPr="006645DC" w:rsidRDefault="00D0188E" w:rsidP="00D0188E">
      <w:pPr>
        <w:pStyle w:val="ListParagraph"/>
        <w:rPr>
          <w:lang w:val="en-GB"/>
        </w:rPr>
      </w:pPr>
      <w:r w:rsidRPr="006645DC">
        <w:rPr>
          <w:lang w:val="en-GB"/>
        </w:rPr>
        <w:t>Adopting sustainable development in sectors such as tourism, pleasure boating and other marine recreation activities.</w:t>
      </w:r>
    </w:p>
    <w:p w14:paraId="6BC20B26" w14:textId="77777777" w:rsidR="00D0188E" w:rsidRPr="006645DC" w:rsidRDefault="00D0188E" w:rsidP="00D0188E">
      <w:pPr>
        <w:rPr>
          <w:lang w:val="en-GB"/>
        </w:rPr>
      </w:pPr>
      <w:r w:rsidRPr="006645DC">
        <w:rPr>
          <w:lang w:val="en-GB"/>
        </w:rPr>
        <w:t>In 2012, the European Commission set out its definition of the Blue Economy by identifying five priority areas: blue energy, aquaculture, maritime, coastal and cruise tourism, marine mineral resources, and blue biotechnology.</w:t>
      </w:r>
    </w:p>
    <w:p w14:paraId="0E329284" w14:textId="77777777" w:rsidR="00D0188E" w:rsidRPr="006645DC" w:rsidRDefault="00D0188E" w:rsidP="00D0188E">
      <w:pPr>
        <w:rPr>
          <w:lang w:val="en-GB"/>
        </w:rPr>
      </w:pPr>
      <w:r w:rsidRPr="006645DC">
        <w:rPr>
          <w:lang w:val="en-GB"/>
        </w:rPr>
        <w:t xml:space="preserve">The RO-BG cross-border area has potential in terms of Blue Economy development through the Dobrich and Constanta area that already benefits from the Black Sea Basin Programme. There can be some synergies between the Danube and the Black Sea macro regional strategies: </w:t>
      </w:r>
    </w:p>
    <w:p w14:paraId="452B8B93" w14:textId="77777777" w:rsidR="00D0188E" w:rsidRPr="006645DC" w:rsidRDefault="00D0188E" w:rsidP="00D0188E">
      <w:pPr>
        <w:pStyle w:val="ListParagraph"/>
        <w:rPr>
          <w:lang w:val="en-GB"/>
        </w:rPr>
      </w:pPr>
      <w:r w:rsidRPr="006645DC">
        <w:rPr>
          <w:lang w:val="en-GB"/>
        </w:rPr>
        <w:t>In the case of tourism for example, there is a need to control the environmental impact of tourism and to explore ways to promote sustainable tourism;</w:t>
      </w:r>
    </w:p>
    <w:p w14:paraId="32965407" w14:textId="77777777" w:rsidR="00D0188E" w:rsidRPr="006645DC" w:rsidRDefault="00D0188E" w:rsidP="00D0188E">
      <w:pPr>
        <w:pStyle w:val="ListParagraph"/>
        <w:rPr>
          <w:lang w:val="en-GB"/>
        </w:rPr>
      </w:pPr>
      <w:r w:rsidRPr="006645DC">
        <w:rPr>
          <w:lang w:val="en-GB"/>
        </w:rPr>
        <w:t>In the case of ports, the standardisation of administrative procedures and norms, and of containers, in order to enable more rapid and efficient transportation logistics, and improved coordination between ports, maritime and river terminals and land transport, etc.</w:t>
      </w:r>
    </w:p>
    <w:p w14:paraId="4C227146" w14:textId="77777777" w:rsidR="00D0188E" w:rsidRPr="006645DC" w:rsidRDefault="00D0188E" w:rsidP="00D0188E">
      <w:pPr>
        <w:pStyle w:val="Heading3"/>
        <w:rPr>
          <w:lang w:val="en-GB"/>
        </w:rPr>
      </w:pPr>
      <w:bookmarkStart w:id="17" w:name="_Toc254543744"/>
      <w:r w:rsidRPr="006645DC">
        <w:rPr>
          <w:lang w:val="en-GB"/>
        </w:rPr>
        <w:t>The Europe 2020 Strategy</w:t>
      </w:r>
      <w:bookmarkEnd w:id="17"/>
    </w:p>
    <w:p w14:paraId="60607760" w14:textId="77777777" w:rsidR="00D0188E" w:rsidRPr="006645DC" w:rsidRDefault="00D0188E" w:rsidP="00D0188E">
      <w:pPr>
        <w:rPr>
          <w:lang w:val="en-GB"/>
        </w:rPr>
      </w:pPr>
      <w:r w:rsidRPr="006645DC">
        <w:rPr>
          <w:lang w:val="en-GB"/>
        </w:rPr>
        <w:t xml:space="preserve">The </w:t>
      </w:r>
      <w:r w:rsidRPr="006645DC">
        <w:rPr>
          <w:b/>
          <w:bCs/>
          <w:lang w:val="en-GB"/>
        </w:rPr>
        <w:t xml:space="preserve">Europe 2020 Strategy </w:t>
      </w:r>
      <w:r w:rsidRPr="006645DC">
        <w:rPr>
          <w:lang w:val="en-GB"/>
        </w:rPr>
        <w:t>for the intelligent and sustainable development was adopted by the Council of Europe on 17.06. 2012. In the Strategy, three priorities were defined:</w:t>
      </w:r>
    </w:p>
    <w:p w14:paraId="6FD07BC2" w14:textId="77777777" w:rsidR="00D0188E" w:rsidRPr="006645DC" w:rsidRDefault="00D0188E" w:rsidP="00C22A61">
      <w:pPr>
        <w:pStyle w:val="ListParagraph"/>
        <w:numPr>
          <w:ilvl w:val="0"/>
          <w:numId w:val="32"/>
        </w:numPr>
        <w:spacing w:before="0" w:after="0"/>
        <w:contextualSpacing/>
        <w:rPr>
          <w:lang w:val="en-GB"/>
        </w:rPr>
      </w:pPr>
      <w:r w:rsidRPr="006645DC">
        <w:rPr>
          <w:lang w:val="en-GB"/>
        </w:rPr>
        <w:t>Smart growth</w:t>
      </w:r>
    </w:p>
    <w:p w14:paraId="2C28B22C" w14:textId="77777777" w:rsidR="00D0188E" w:rsidRPr="006645DC" w:rsidRDefault="00D0188E" w:rsidP="00C22A61">
      <w:pPr>
        <w:pStyle w:val="ListParagraph"/>
        <w:numPr>
          <w:ilvl w:val="0"/>
          <w:numId w:val="32"/>
        </w:numPr>
        <w:spacing w:before="0" w:after="0"/>
        <w:contextualSpacing/>
        <w:rPr>
          <w:lang w:val="en-GB"/>
        </w:rPr>
      </w:pPr>
      <w:r w:rsidRPr="006645DC">
        <w:rPr>
          <w:lang w:val="en-GB"/>
        </w:rPr>
        <w:t>Sustainable growth</w:t>
      </w:r>
    </w:p>
    <w:p w14:paraId="3047FCA8" w14:textId="77777777" w:rsidR="00D0188E" w:rsidRPr="006645DC" w:rsidRDefault="00D0188E" w:rsidP="00C22A61">
      <w:pPr>
        <w:pStyle w:val="ListParagraph"/>
        <w:numPr>
          <w:ilvl w:val="0"/>
          <w:numId w:val="32"/>
        </w:numPr>
        <w:spacing w:before="0" w:after="0"/>
        <w:contextualSpacing/>
        <w:rPr>
          <w:lang w:val="en-GB"/>
        </w:rPr>
      </w:pPr>
      <w:r w:rsidRPr="006645DC">
        <w:rPr>
          <w:lang w:val="en-GB"/>
        </w:rPr>
        <w:t>Inclusive growth</w:t>
      </w:r>
    </w:p>
    <w:p w14:paraId="54B4751F" w14:textId="77777777" w:rsidR="00D0188E" w:rsidRPr="006645DC" w:rsidRDefault="00D0188E" w:rsidP="00D0188E">
      <w:pPr>
        <w:rPr>
          <w:lang w:val="en-GB"/>
        </w:rPr>
      </w:pPr>
      <w:r w:rsidRPr="006645DC">
        <w:rPr>
          <w:lang w:val="en-GB"/>
        </w:rPr>
        <w:t>As the effect of the priorities implementation 5 targets should be achieved:</w:t>
      </w:r>
    </w:p>
    <w:p w14:paraId="29FE1A07" w14:textId="77777777" w:rsidR="00D0188E" w:rsidRPr="006645DC" w:rsidRDefault="00D0188E" w:rsidP="00D0188E">
      <w:pPr>
        <w:rPr>
          <w:lang w:val="en-GB"/>
        </w:rPr>
      </w:pPr>
      <w:r w:rsidRPr="006645DC">
        <w:rPr>
          <w:lang w:val="en-GB"/>
        </w:rPr>
        <w:t>1.</w:t>
      </w:r>
      <w:r w:rsidRPr="006645DC">
        <w:rPr>
          <w:b/>
          <w:lang w:val="en-GB"/>
        </w:rPr>
        <w:t xml:space="preserve"> Employment</w:t>
      </w:r>
      <w:r w:rsidRPr="006645DC">
        <w:rPr>
          <w:lang w:val="en-GB"/>
        </w:rPr>
        <w:t xml:space="preserve"> - 75% of the 20-64 year-olds to be employed</w:t>
      </w:r>
    </w:p>
    <w:p w14:paraId="14394A60" w14:textId="77777777" w:rsidR="00D0188E" w:rsidRPr="006645DC" w:rsidRDefault="00D0188E" w:rsidP="00D0188E">
      <w:pPr>
        <w:rPr>
          <w:lang w:val="en-GB"/>
        </w:rPr>
      </w:pPr>
      <w:r w:rsidRPr="006645DC">
        <w:rPr>
          <w:lang w:val="en-GB"/>
        </w:rPr>
        <w:t xml:space="preserve">2. </w:t>
      </w:r>
      <w:r w:rsidRPr="006645DC">
        <w:rPr>
          <w:b/>
          <w:lang w:val="en-GB"/>
        </w:rPr>
        <w:t>R&amp;D</w:t>
      </w:r>
      <w:r w:rsidRPr="006645DC">
        <w:rPr>
          <w:lang w:val="en-GB"/>
        </w:rPr>
        <w:t xml:space="preserve"> - 3% of the EU's GDP to be invested in R&amp;D</w:t>
      </w:r>
    </w:p>
    <w:p w14:paraId="74E6F174" w14:textId="77777777" w:rsidR="00D0188E" w:rsidRPr="006645DC" w:rsidRDefault="00D0188E" w:rsidP="00D0188E">
      <w:pPr>
        <w:rPr>
          <w:lang w:val="en-GB"/>
        </w:rPr>
      </w:pPr>
      <w:r w:rsidRPr="006645DC">
        <w:rPr>
          <w:lang w:val="en-GB"/>
        </w:rPr>
        <w:t xml:space="preserve">3. </w:t>
      </w:r>
      <w:r w:rsidRPr="006645DC">
        <w:rPr>
          <w:b/>
          <w:lang w:val="en-GB"/>
        </w:rPr>
        <w:t>Climate change / energy:</w:t>
      </w:r>
    </w:p>
    <w:p w14:paraId="5AC9F244" w14:textId="77777777" w:rsidR="00D0188E" w:rsidRPr="006645DC" w:rsidRDefault="00D0188E" w:rsidP="00C22A61">
      <w:pPr>
        <w:pStyle w:val="ListParagraph"/>
        <w:numPr>
          <w:ilvl w:val="0"/>
          <w:numId w:val="33"/>
        </w:numPr>
        <w:spacing w:before="0" w:after="0"/>
        <w:contextualSpacing/>
        <w:rPr>
          <w:lang w:val="en-GB"/>
        </w:rPr>
      </w:pPr>
      <w:r w:rsidRPr="006645DC">
        <w:rPr>
          <w:lang w:val="en-GB"/>
        </w:rPr>
        <w:t>Greenhouse gas emissions 20% (or even 30%, if the conditions are right) lower than 1990</w:t>
      </w:r>
    </w:p>
    <w:p w14:paraId="105FEFC0" w14:textId="77777777" w:rsidR="00D0188E" w:rsidRPr="006645DC" w:rsidRDefault="00D0188E" w:rsidP="00C22A61">
      <w:pPr>
        <w:pStyle w:val="ListParagraph"/>
        <w:numPr>
          <w:ilvl w:val="0"/>
          <w:numId w:val="33"/>
        </w:numPr>
        <w:spacing w:before="0" w:after="0"/>
        <w:contextualSpacing/>
        <w:rPr>
          <w:lang w:val="en-GB"/>
        </w:rPr>
      </w:pPr>
      <w:r w:rsidRPr="006645DC">
        <w:rPr>
          <w:lang w:val="en-GB"/>
        </w:rPr>
        <w:t>20% of energy from renewables</w:t>
      </w:r>
    </w:p>
    <w:p w14:paraId="4B7D5272" w14:textId="77777777" w:rsidR="00D0188E" w:rsidRPr="006645DC" w:rsidRDefault="00D0188E" w:rsidP="00C22A61">
      <w:pPr>
        <w:pStyle w:val="ListParagraph"/>
        <w:numPr>
          <w:ilvl w:val="0"/>
          <w:numId w:val="33"/>
        </w:numPr>
        <w:spacing w:before="0" w:after="0"/>
        <w:contextualSpacing/>
        <w:rPr>
          <w:lang w:val="en-GB"/>
        </w:rPr>
      </w:pPr>
      <w:r w:rsidRPr="006645DC">
        <w:rPr>
          <w:lang w:val="en-GB"/>
        </w:rPr>
        <w:t>20% increase in energy efficiency</w:t>
      </w:r>
    </w:p>
    <w:p w14:paraId="21D0B403" w14:textId="77777777" w:rsidR="00D0188E" w:rsidRPr="006645DC" w:rsidRDefault="00D0188E" w:rsidP="00D0188E">
      <w:pPr>
        <w:rPr>
          <w:lang w:val="en-GB"/>
        </w:rPr>
      </w:pPr>
      <w:r w:rsidRPr="006645DC">
        <w:rPr>
          <w:lang w:val="en-GB"/>
        </w:rPr>
        <w:lastRenderedPageBreak/>
        <w:t xml:space="preserve">4. </w:t>
      </w:r>
      <w:r w:rsidRPr="006645DC">
        <w:rPr>
          <w:b/>
          <w:lang w:val="en-GB"/>
        </w:rPr>
        <w:t>Education</w:t>
      </w:r>
    </w:p>
    <w:p w14:paraId="5E968D56" w14:textId="77777777" w:rsidR="00D0188E" w:rsidRPr="006645DC" w:rsidRDefault="00D0188E" w:rsidP="00C22A61">
      <w:pPr>
        <w:pStyle w:val="ListParagraph"/>
        <w:numPr>
          <w:ilvl w:val="0"/>
          <w:numId w:val="34"/>
        </w:numPr>
        <w:spacing w:before="0" w:after="0"/>
        <w:contextualSpacing/>
        <w:rPr>
          <w:lang w:val="en-GB"/>
        </w:rPr>
      </w:pPr>
      <w:r w:rsidRPr="006645DC">
        <w:rPr>
          <w:lang w:val="en-GB"/>
        </w:rPr>
        <w:t>Educing school drop-out rates below 10%</w:t>
      </w:r>
    </w:p>
    <w:p w14:paraId="50B90990" w14:textId="77777777" w:rsidR="00D0188E" w:rsidRPr="006645DC" w:rsidRDefault="00D0188E" w:rsidP="00C22A61">
      <w:pPr>
        <w:pStyle w:val="ListParagraph"/>
        <w:numPr>
          <w:ilvl w:val="0"/>
          <w:numId w:val="34"/>
        </w:numPr>
        <w:spacing w:before="0" w:after="0"/>
        <w:contextualSpacing/>
        <w:rPr>
          <w:lang w:val="en-GB"/>
        </w:rPr>
      </w:pPr>
      <w:r w:rsidRPr="006645DC">
        <w:rPr>
          <w:lang w:val="en-GB"/>
        </w:rPr>
        <w:t>At least 40% of 30-34–year-olds completing third level education</w:t>
      </w:r>
    </w:p>
    <w:p w14:paraId="65B0B3AD" w14:textId="77777777" w:rsidR="00D0188E" w:rsidRPr="006645DC" w:rsidRDefault="00D0188E" w:rsidP="00D0188E">
      <w:pPr>
        <w:rPr>
          <w:lang w:val="en-GB"/>
        </w:rPr>
      </w:pPr>
      <w:r w:rsidRPr="006645DC">
        <w:rPr>
          <w:lang w:val="en-GB"/>
        </w:rPr>
        <w:t xml:space="preserve">5. </w:t>
      </w:r>
      <w:r w:rsidRPr="006645DC">
        <w:rPr>
          <w:b/>
          <w:lang w:val="en-GB"/>
        </w:rPr>
        <w:t>Poverty / social exclusion</w:t>
      </w:r>
      <w:r w:rsidRPr="006645DC">
        <w:rPr>
          <w:lang w:val="en-GB"/>
        </w:rPr>
        <w:t xml:space="preserve"> - at least 20 million fewer people in or at risk of poverty and social exclusion</w:t>
      </w:r>
    </w:p>
    <w:p w14:paraId="46E9CFEF" w14:textId="77777777" w:rsidR="00D0188E" w:rsidRPr="006645DC" w:rsidRDefault="00D0188E" w:rsidP="00D0188E">
      <w:pPr>
        <w:rPr>
          <w:lang w:val="en-GB"/>
        </w:rPr>
      </w:pPr>
      <w:r w:rsidRPr="006645DC">
        <w:rPr>
          <w:lang w:val="en-GB"/>
        </w:rPr>
        <w:t xml:space="preserve">As instruments leading to achievement of the stated above targets, 7 flagship projects (initiatives) have been established: </w:t>
      </w:r>
    </w:p>
    <w:p w14:paraId="12DAE6BC" w14:textId="77777777" w:rsidR="00D0188E" w:rsidRPr="006645DC" w:rsidRDefault="00D0188E" w:rsidP="00C22A61">
      <w:pPr>
        <w:pStyle w:val="ListParagraph"/>
        <w:numPr>
          <w:ilvl w:val="0"/>
          <w:numId w:val="31"/>
        </w:numPr>
        <w:rPr>
          <w:lang w:val="en-GB"/>
        </w:rPr>
      </w:pPr>
      <w:r w:rsidRPr="006645DC">
        <w:rPr>
          <w:iCs/>
          <w:lang w:val="en-GB"/>
        </w:rPr>
        <w:t>Innovation Union</w:t>
      </w:r>
      <w:r w:rsidRPr="006645DC">
        <w:rPr>
          <w:lang w:val="en-GB"/>
        </w:rPr>
        <w:t>,</w:t>
      </w:r>
    </w:p>
    <w:p w14:paraId="72D264C7" w14:textId="77777777" w:rsidR="00D0188E" w:rsidRPr="006645DC" w:rsidRDefault="00D0188E" w:rsidP="00C22A61">
      <w:pPr>
        <w:pStyle w:val="ListParagraph"/>
        <w:numPr>
          <w:ilvl w:val="0"/>
          <w:numId w:val="31"/>
        </w:numPr>
        <w:rPr>
          <w:lang w:val="en-GB"/>
        </w:rPr>
      </w:pPr>
      <w:r w:rsidRPr="006645DC">
        <w:rPr>
          <w:iCs/>
          <w:lang w:val="en-GB"/>
        </w:rPr>
        <w:t>Youth on the move</w:t>
      </w:r>
      <w:r w:rsidRPr="006645DC">
        <w:rPr>
          <w:lang w:val="en-GB"/>
        </w:rPr>
        <w:t xml:space="preserve">, </w:t>
      </w:r>
    </w:p>
    <w:p w14:paraId="0C712620" w14:textId="77777777" w:rsidR="00D0188E" w:rsidRPr="006645DC" w:rsidRDefault="00D0188E" w:rsidP="00C22A61">
      <w:pPr>
        <w:pStyle w:val="ListParagraph"/>
        <w:numPr>
          <w:ilvl w:val="0"/>
          <w:numId w:val="31"/>
        </w:numPr>
        <w:rPr>
          <w:lang w:val="en-GB"/>
        </w:rPr>
      </w:pPr>
      <w:r w:rsidRPr="006645DC">
        <w:rPr>
          <w:iCs/>
          <w:lang w:val="en-GB"/>
        </w:rPr>
        <w:t>A digital agenda for Europe</w:t>
      </w:r>
      <w:r w:rsidRPr="006645DC">
        <w:rPr>
          <w:lang w:val="en-GB"/>
        </w:rPr>
        <w:t xml:space="preserve">, </w:t>
      </w:r>
    </w:p>
    <w:p w14:paraId="6BD0489A" w14:textId="77777777" w:rsidR="00D0188E" w:rsidRPr="006645DC" w:rsidRDefault="00D0188E" w:rsidP="00C22A61">
      <w:pPr>
        <w:pStyle w:val="ListParagraph"/>
        <w:numPr>
          <w:ilvl w:val="0"/>
          <w:numId w:val="31"/>
        </w:numPr>
        <w:rPr>
          <w:lang w:val="en-GB"/>
        </w:rPr>
      </w:pPr>
      <w:r w:rsidRPr="006645DC">
        <w:rPr>
          <w:iCs/>
          <w:lang w:val="en-GB"/>
        </w:rPr>
        <w:t>Resource efficient Europe</w:t>
      </w:r>
      <w:r w:rsidRPr="006645DC">
        <w:rPr>
          <w:lang w:val="en-GB"/>
        </w:rPr>
        <w:t xml:space="preserve">, </w:t>
      </w:r>
    </w:p>
    <w:p w14:paraId="307E37E1" w14:textId="77777777" w:rsidR="00D0188E" w:rsidRPr="006645DC" w:rsidRDefault="00D0188E" w:rsidP="00C22A61">
      <w:pPr>
        <w:pStyle w:val="ListParagraph"/>
        <w:numPr>
          <w:ilvl w:val="0"/>
          <w:numId w:val="31"/>
        </w:numPr>
        <w:rPr>
          <w:lang w:val="en-GB"/>
        </w:rPr>
      </w:pPr>
      <w:r w:rsidRPr="006645DC">
        <w:rPr>
          <w:iCs/>
          <w:lang w:val="en-GB"/>
        </w:rPr>
        <w:t>Industrial policy for the globalisation era</w:t>
      </w:r>
      <w:r w:rsidRPr="006645DC">
        <w:rPr>
          <w:lang w:val="en-GB"/>
        </w:rPr>
        <w:t xml:space="preserve">, </w:t>
      </w:r>
    </w:p>
    <w:p w14:paraId="753276FF" w14:textId="77777777" w:rsidR="00D0188E" w:rsidRPr="006645DC" w:rsidRDefault="00D0188E" w:rsidP="00C22A61">
      <w:pPr>
        <w:pStyle w:val="ListParagraph"/>
        <w:numPr>
          <w:ilvl w:val="0"/>
          <w:numId w:val="31"/>
        </w:numPr>
        <w:rPr>
          <w:lang w:val="en-GB"/>
        </w:rPr>
      </w:pPr>
      <w:r w:rsidRPr="006645DC">
        <w:rPr>
          <w:iCs/>
          <w:lang w:val="en-GB"/>
        </w:rPr>
        <w:t>An agenda for new skills and jobs</w:t>
      </w:r>
      <w:r w:rsidRPr="006645DC">
        <w:rPr>
          <w:lang w:val="en-GB"/>
        </w:rPr>
        <w:t xml:space="preserve">, </w:t>
      </w:r>
    </w:p>
    <w:p w14:paraId="2C0C00AF" w14:textId="77777777" w:rsidR="00D0188E" w:rsidRPr="006645DC" w:rsidRDefault="00D0188E" w:rsidP="00C22A61">
      <w:pPr>
        <w:pStyle w:val="ListParagraph"/>
        <w:numPr>
          <w:ilvl w:val="0"/>
          <w:numId w:val="31"/>
        </w:numPr>
        <w:ind w:left="1434" w:hanging="357"/>
        <w:rPr>
          <w:lang w:val="en-GB"/>
        </w:rPr>
      </w:pPr>
      <w:r w:rsidRPr="006645DC">
        <w:rPr>
          <w:iCs/>
          <w:lang w:val="en-GB"/>
        </w:rPr>
        <w:t>European platform against poverty</w:t>
      </w:r>
      <w:r w:rsidRPr="006645DC">
        <w:rPr>
          <w:lang w:val="en-GB"/>
        </w:rPr>
        <w:t>.</w:t>
      </w:r>
    </w:p>
    <w:p w14:paraId="638310B7" w14:textId="77777777" w:rsidR="00D0188E" w:rsidRPr="006645DC" w:rsidRDefault="00D0188E" w:rsidP="00D0188E">
      <w:pPr>
        <w:pStyle w:val="Heading3"/>
        <w:rPr>
          <w:lang w:val="en-GB"/>
        </w:rPr>
      </w:pPr>
      <w:bookmarkStart w:id="18" w:name="_Toc254543745"/>
      <w:r w:rsidRPr="006645DC">
        <w:rPr>
          <w:lang w:val="en-GB"/>
        </w:rPr>
        <w:t>The proposal for a regulation of the European Parliament and of the council on specific provisions concerning the European Regional Development Fund and the Investment for growth and jobs goal and repealing Regulation (EC) No 1080/2006 (2011/0275)</w:t>
      </w:r>
      <w:bookmarkEnd w:id="18"/>
    </w:p>
    <w:p w14:paraId="36251FD6" w14:textId="77777777" w:rsidR="00D0188E" w:rsidRPr="006645DC" w:rsidRDefault="00D0188E" w:rsidP="00D0188E">
      <w:pPr>
        <w:rPr>
          <w:lang w:val="en-GB"/>
        </w:rPr>
      </w:pPr>
      <w:r w:rsidRPr="006645DC">
        <w:rPr>
          <w:lang w:val="en-GB"/>
        </w:rPr>
        <w:t xml:space="preserve">In the article 5 of the document, the thematic objectives for the CSF Funds and Common Strategic Framework are defined. There are 11 thematic objectives that should be implemented in order to contribute to the Union strategy for smart, sustainable and inclusive growth: </w:t>
      </w:r>
    </w:p>
    <w:p w14:paraId="49432909" w14:textId="77777777" w:rsidR="00D0188E" w:rsidRPr="006645DC" w:rsidRDefault="00D0188E" w:rsidP="00C22A61">
      <w:pPr>
        <w:pStyle w:val="ListParagraph"/>
        <w:numPr>
          <w:ilvl w:val="0"/>
          <w:numId w:val="30"/>
        </w:numPr>
        <w:spacing w:after="0"/>
        <w:ind w:left="1434" w:hanging="357"/>
        <w:jc w:val="left"/>
        <w:rPr>
          <w:lang w:val="en-GB"/>
        </w:rPr>
      </w:pPr>
      <w:r w:rsidRPr="006645DC">
        <w:rPr>
          <w:lang w:val="en-GB"/>
        </w:rPr>
        <w:t>Strengthening research, technological development and innovation;</w:t>
      </w:r>
    </w:p>
    <w:p w14:paraId="308A255F" w14:textId="77777777" w:rsidR="00D0188E" w:rsidRPr="006645DC" w:rsidRDefault="00D0188E" w:rsidP="00C22A61">
      <w:pPr>
        <w:pStyle w:val="ListParagraph"/>
        <w:numPr>
          <w:ilvl w:val="0"/>
          <w:numId w:val="30"/>
        </w:numPr>
        <w:spacing w:after="0"/>
        <w:ind w:left="1434" w:hanging="357"/>
        <w:jc w:val="left"/>
        <w:rPr>
          <w:lang w:val="en-GB"/>
        </w:rPr>
      </w:pPr>
      <w:r w:rsidRPr="006645DC">
        <w:rPr>
          <w:lang w:val="en-GB"/>
        </w:rPr>
        <w:t>Enhancing access to, and use and quality of, information and communication technologies;</w:t>
      </w:r>
    </w:p>
    <w:p w14:paraId="3EC884F4" w14:textId="77777777" w:rsidR="00D0188E" w:rsidRPr="006645DC" w:rsidRDefault="00D0188E" w:rsidP="00C22A61">
      <w:pPr>
        <w:pStyle w:val="ListParagraph"/>
        <w:numPr>
          <w:ilvl w:val="0"/>
          <w:numId w:val="30"/>
        </w:numPr>
        <w:spacing w:after="0"/>
        <w:ind w:left="1434" w:hanging="357"/>
        <w:jc w:val="left"/>
        <w:rPr>
          <w:lang w:val="en-GB"/>
        </w:rPr>
      </w:pPr>
      <w:r w:rsidRPr="006645DC">
        <w:rPr>
          <w:bCs/>
          <w:lang w:val="en-GB"/>
        </w:rPr>
        <w:t>Enhancing the competitiveness of small and medium-sized enterprises</w:t>
      </w:r>
      <w:r w:rsidRPr="006645DC">
        <w:rPr>
          <w:lang w:val="en-GB"/>
        </w:rPr>
        <w:t>, the agricultural sector (for the EAFRD) and the fisheries and aquaculture sector (for the EMFF);</w:t>
      </w:r>
    </w:p>
    <w:p w14:paraId="2DA15D82" w14:textId="77777777" w:rsidR="00D0188E" w:rsidRPr="006645DC" w:rsidRDefault="00D0188E" w:rsidP="00C22A61">
      <w:pPr>
        <w:pStyle w:val="ListParagraph"/>
        <w:numPr>
          <w:ilvl w:val="0"/>
          <w:numId w:val="30"/>
        </w:numPr>
        <w:spacing w:after="0"/>
        <w:ind w:left="1434" w:hanging="357"/>
        <w:jc w:val="left"/>
        <w:rPr>
          <w:lang w:val="en-GB"/>
        </w:rPr>
      </w:pPr>
      <w:r w:rsidRPr="006645DC">
        <w:rPr>
          <w:lang w:val="en-GB"/>
        </w:rPr>
        <w:t>Supporting the shift towards a low-carbon economy in all sectors;</w:t>
      </w:r>
    </w:p>
    <w:p w14:paraId="228D080A" w14:textId="77777777" w:rsidR="00D0188E" w:rsidRPr="006645DC" w:rsidRDefault="00D0188E" w:rsidP="00C22A61">
      <w:pPr>
        <w:pStyle w:val="ListParagraph"/>
        <w:numPr>
          <w:ilvl w:val="0"/>
          <w:numId w:val="30"/>
        </w:numPr>
        <w:spacing w:after="0"/>
        <w:ind w:left="1434" w:hanging="357"/>
        <w:jc w:val="left"/>
        <w:rPr>
          <w:lang w:val="en-GB"/>
        </w:rPr>
      </w:pPr>
      <w:r w:rsidRPr="006645DC">
        <w:rPr>
          <w:lang w:val="en-GB"/>
        </w:rPr>
        <w:t>Promoting climate change adaptation, risk prevention and management;</w:t>
      </w:r>
    </w:p>
    <w:p w14:paraId="177A29DF" w14:textId="77777777" w:rsidR="00D0188E" w:rsidRPr="006645DC" w:rsidRDefault="00D0188E" w:rsidP="00C22A61">
      <w:pPr>
        <w:pStyle w:val="ListParagraph"/>
        <w:numPr>
          <w:ilvl w:val="0"/>
          <w:numId w:val="30"/>
        </w:numPr>
        <w:spacing w:after="0"/>
        <w:ind w:left="1434" w:hanging="357"/>
        <w:jc w:val="left"/>
        <w:rPr>
          <w:lang w:val="en-GB"/>
        </w:rPr>
      </w:pPr>
      <w:r w:rsidRPr="006645DC">
        <w:rPr>
          <w:lang w:val="en-GB"/>
        </w:rPr>
        <w:t>Protecting the environment and promoting resource efficiency;</w:t>
      </w:r>
    </w:p>
    <w:p w14:paraId="44A5195E" w14:textId="77777777" w:rsidR="00D0188E" w:rsidRPr="006645DC" w:rsidRDefault="00D0188E" w:rsidP="00C22A61">
      <w:pPr>
        <w:pStyle w:val="ListParagraph"/>
        <w:numPr>
          <w:ilvl w:val="0"/>
          <w:numId w:val="30"/>
        </w:numPr>
        <w:spacing w:after="0"/>
        <w:ind w:left="1434" w:hanging="357"/>
        <w:jc w:val="left"/>
        <w:rPr>
          <w:lang w:val="en-GB"/>
        </w:rPr>
      </w:pPr>
      <w:r w:rsidRPr="006645DC">
        <w:rPr>
          <w:lang w:val="en-GB"/>
        </w:rPr>
        <w:t>Promoting sustainable transport and removing bottlenecks in key network infrastructures;</w:t>
      </w:r>
    </w:p>
    <w:p w14:paraId="0CCAFE53" w14:textId="77777777" w:rsidR="00D0188E" w:rsidRPr="006645DC" w:rsidRDefault="00D0188E" w:rsidP="00C22A61">
      <w:pPr>
        <w:pStyle w:val="ListParagraph"/>
        <w:numPr>
          <w:ilvl w:val="0"/>
          <w:numId w:val="30"/>
        </w:numPr>
        <w:spacing w:after="0"/>
        <w:ind w:left="1434" w:hanging="357"/>
        <w:jc w:val="left"/>
        <w:rPr>
          <w:lang w:val="en-GB"/>
        </w:rPr>
      </w:pPr>
      <w:r w:rsidRPr="006645DC">
        <w:rPr>
          <w:lang w:val="en-GB"/>
        </w:rPr>
        <w:t>Promoting employment and supporting labour mobility;</w:t>
      </w:r>
    </w:p>
    <w:p w14:paraId="628B5B17" w14:textId="77777777" w:rsidR="00D0188E" w:rsidRPr="006645DC" w:rsidRDefault="00D0188E" w:rsidP="00C22A61">
      <w:pPr>
        <w:pStyle w:val="ListParagraph"/>
        <w:numPr>
          <w:ilvl w:val="0"/>
          <w:numId w:val="30"/>
        </w:numPr>
        <w:spacing w:after="0"/>
        <w:ind w:left="1434" w:hanging="357"/>
        <w:jc w:val="left"/>
        <w:rPr>
          <w:lang w:val="en-GB"/>
        </w:rPr>
      </w:pPr>
      <w:r w:rsidRPr="006645DC">
        <w:rPr>
          <w:lang w:val="en-GB"/>
        </w:rPr>
        <w:t>Promoting social inclusion and combating poverty;</w:t>
      </w:r>
    </w:p>
    <w:p w14:paraId="17327041" w14:textId="77777777" w:rsidR="00D0188E" w:rsidRPr="006645DC" w:rsidRDefault="00D0188E" w:rsidP="00C22A61">
      <w:pPr>
        <w:pStyle w:val="ListParagraph"/>
        <w:numPr>
          <w:ilvl w:val="0"/>
          <w:numId w:val="30"/>
        </w:numPr>
        <w:spacing w:after="0"/>
        <w:ind w:left="1434" w:hanging="357"/>
        <w:jc w:val="left"/>
        <w:rPr>
          <w:bCs/>
          <w:lang w:val="en-GB"/>
        </w:rPr>
      </w:pPr>
      <w:r w:rsidRPr="006645DC">
        <w:rPr>
          <w:bCs/>
          <w:lang w:val="en-GB"/>
        </w:rPr>
        <w:lastRenderedPageBreak/>
        <w:t>Investing in education, skills and lifelong learning;</w:t>
      </w:r>
    </w:p>
    <w:p w14:paraId="05091A80" w14:textId="77777777" w:rsidR="00D0188E" w:rsidRPr="006645DC" w:rsidRDefault="00D0188E" w:rsidP="00C22A61">
      <w:pPr>
        <w:pStyle w:val="ListParagraph"/>
        <w:numPr>
          <w:ilvl w:val="0"/>
          <w:numId w:val="30"/>
        </w:numPr>
        <w:spacing w:after="0"/>
        <w:ind w:left="1434" w:hanging="357"/>
        <w:jc w:val="left"/>
        <w:rPr>
          <w:lang w:val="en-GB"/>
        </w:rPr>
      </w:pPr>
      <w:r w:rsidRPr="006645DC">
        <w:rPr>
          <w:lang w:val="en-GB"/>
        </w:rPr>
        <w:t>Enhancing institutional capacity and an efficient public administration.</w:t>
      </w:r>
    </w:p>
    <w:p w14:paraId="494A4C68" w14:textId="77777777" w:rsidR="00D0188E" w:rsidRPr="006645DC" w:rsidRDefault="00D0188E" w:rsidP="00D0188E">
      <w:pPr>
        <w:pStyle w:val="Heading3"/>
        <w:rPr>
          <w:lang w:val="en-GB"/>
        </w:rPr>
      </w:pPr>
      <w:bookmarkStart w:id="19" w:name="_Toc254543746"/>
      <w:r w:rsidRPr="006645DC">
        <w:rPr>
          <w:lang w:val="en-GB"/>
        </w:rPr>
        <w:t>Proposal for a Regulation of The European Parliament and of The Council on specific provisions for the support from the European Regional Development to the European Territorial Cooperation goal</w:t>
      </w:r>
      <w:bookmarkEnd w:id="19"/>
    </w:p>
    <w:p w14:paraId="42621C8E" w14:textId="77777777" w:rsidR="00D0188E" w:rsidRPr="006645DC" w:rsidRDefault="00D0188E" w:rsidP="00D0188E">
      <w:pPr>
        <w:rPr>
          <w:lang w:val="en-GB"/>
        </w:rPr>
      </w:pPr>
      <w:r w:rsidRPr="006645DC">
        <w:rPr>
          <w:lang w:val="en-GB"/>
        </w:rPr>
        <w:t xml:space="preserve">This document outlines the general rules for financial support within the European Territorial Cooperation. It presents a new rule concerning </w:t>
      </w:r>
      <w:r w:rsidRPr="006645DC">
        <w:rPr>
          <w:bCs/>
          <w:lang w:val="en-GB"/>
        </w:rPr>
        <w:t>thematic concentration and investment priorities</w:t>
      </w:r>
      <w:r w:rsidRPr="006645DC">
        <w:rPr>
          <w:lang w:val="en-GB"/>
        </w:rPr>
        <w:t xml:space="preserve"> that should facilitate the channelling of support towards the most important issues. According to this rule every cross-border</w:t>
      </w:r>
      <w:r w:rsidR="004E78AE" w:rsidRPr="006645DC">
        <w:rPr>
          <w:lang w:val="en-GB"/>
        </w:rPr>
        <w:t xml:space="preserve"> </w:t>
      </w:r>
      <w:r w:rsidRPr="006645DC">
        <w:rPr>
          <w:lang w:val="en-GB"/>
        </w:rPr>
        <w:t>or transnational cooperation programme should support projects from maximum 4 of the thematic</w:t>
      </w:r>
      <w:r w:rsidR="00290E9F" w:rsidRPr="006645DC">
        <w:rPr>
          <w:lang w:val="en-GB"/>
        </w:rPr>
        <w:t xml:space="preserve"> </w:t>
      </w:r>
      <w:r w:rsidRPr="006645DC">
        <w:rPr>
          <w:lang w:val="en-GB"/>
        </w:rPr>
        <w:t>are</w:t>
      </w:r>
      <w:r w:rsidR="00290E9F" w:rsidRPr="006645DC">
        <w:rPr>
          <w:lang w:val="en-GB"/>
        </w:rPr>
        <w:t xml:space="preserve"> </w:t>
      </w:r>
      <w:r w:rsidRPr="006645DC">
        <w:rPr>
          <w:lang w:val="en-GB"/>
        </w:rPr>
        <w:t>as listed in the previously mentioned document (Proposal for a REGULATION OF THE EUROPEANPARLIAMENT AND OF THE COUNCIL laying down common provisions on the European Regional</w:t>
      </w:r>
      <w:r w:rsidR="00290E9F" w:rsidRPr="006645DC">
        <w:rPr>
          <w:lang w:val="en-GB"/>
        </w:rPr>
        <w:t xml:space="preserve"> </w:t>
      </w:r>
      <w:r w:rsidRPr="006645DC">
        <w:rPr>
          <w:lang w:val="en-GB"/>
        </w:rPr>
        <w:t>Development Fund.). Besides the investment priorities resulting from the ERDF regulation, Article no. 6 lists the investment priorities, which can be additionally supported under cross-border cooperation:</w:t>
      </w:r>
    </w:p>
    <w:p w14:paraId="48EE4735" w14:textId="77777777" w:rsidR="00D0188E" w:rsidRPr="006645DC" w:rsidRDefault="00D0188E" w:rsidP="00D0188E">
      <w:pPr>
        <w:pStyle w:val="ListParagraph"/>
        <w:rPr>
          <w:lang w:val="en-GB"/>
        </w:rPr>
      </w:pPr>
      <w:r w:rsidRPr="006645DC">
        <w:rPr>
          <w:lang w:val="en-GB"/>
        </w:rPr>
        <w:t>Integrating cross-border labour markets, including cross-border mobility, joint local employment</w:t>
      </w:r>
    </w:p>
    <w:p w14:paraId="782E8B00" w14:textId="77777777" w:rsidR="00D0188E" w:rsidRPr="006645DC" w:rsidRDefault="00D0188E" w:rsidP="00D0188E">
      <w:pPr>
        <w:pStyle w:val="ListParagraph"/>
        <w:rPr>
          <w:lang w:val="en-GB"/>
        </w:rPr>
      </w:pPr>
      <w:r w:rsidRPr="006645DC">
        <w:rPr>
          <w:lang w:val="en-GB"/>
        </w:rPr>
        <w:t>Initiatives and joint training (within the thematic objective of promoting employment and supporting labour mobility);</w:t>
      </w:r>
    </w:p>
    <w:p w14:paraId="2C977B88" w14:textId="77777777" w:rsidR="00D0188E" w:rsidRPr="006645DC" w:rsidRDefault="00D0188E" w:rsidP="00D0188E">
      <w:pPr>
        <w:pStyle w:val="ListParagraph"/>
        <w:rPr>
          <w:lang w:val="en-GB"/>
        </w:rPr>
      </w:pPr>
      <w:r w:rsidRPr="006645DC">
        <w:rPr>
          <w:lang w:val="en-GB"/>
        </w:rPr>
        <w:t>Promoting gender equality and equal opportunities across borders, as well as promoting social</w:t>
      </w:r>
    </w:p>
    <w:p w14:paraId="4A6AE60D" w14:textId="77777777" w:rsidR="00D0188E" w:rsidRPr="006645DC" w:rsidRDefault="00D0188E" w:rsidP="00D0188E">
      <w:pPr>
        <w:pStyle w:val="ListParagraph"/>
        <w:rPr>
          <w:lang w:val="en-GB"/>
        </w:rPr>
      </w:pPr>
      <w:r w:rsidRPr="006645DC">
        <w:rPr>
          <w:lang w:val="en-GB"/>
        </w:rPr>
        <w:t>Inclusion across borders (within the thematic objective of promoting social inclusion and combating poverty);</w:t>
      </w:r>
    </w:p>
    <w:p w14:paraId="02084BCE" w14:textId="77777777" w:rsidR="00D0188E" w:rsidRPr="006645DC" w:rsidRDefault="00D0188E" w:rsidP="00D0188E">
      <w:pPr>
        <w:pStyle w:val="ListParagraph"/>
        <w:rPr>
          <w:lang w:val="en-GB"/>
        </w:rPr>
      </w:pPr>
      <w:r w:rsidRPr="006645DC">
        <w:rPr>
          <w:lang w:val="en-GB"/>
        </w:rPr>
        <w:t>Developing and implementing joint education and training schemes (within the thematic objective of investing in skills, education and lifelong learning);</w:t>
      </w:r>
    </w:p>
    <w:p w14:paraId="1350D177" w14:textId="77777777" w:rsidR="00D0188E" w:rsidRPr="006645DC" w:rsidRDefault="00D0188E" w:rsidP="00D0188E">
      <w:pPr>
        <w:pStyle w:val="ListParagraph"/>
        <w:rPr>
          <w:lang w:val="en-GB"/>
        </w:rPr>
      </w:pPr>
      <w:r w:rsidRPr="006645DC">
        <w:rPr>
          <w:lang w:val="en-GB"/>
        </w:rPr>
        <w:t>Promoting legal and administrative cooperation and cooperation between citizens and institutions (within the thematic objective of enhancing institutional capacity and an efficient public administration).</w:t>
      </w:r>
    </w:p>
    <w:p w14:paraId="1E807B7B" w14:textId="77777777" w:rsidR="00D0188E" w:rsidRPr="006645DC" w:rsidRDefault="00D0188E" w:rsidP="00D0188E">
      <w:pPr>
        <w:pStyle w:val="Heading2"/>
        <w:rPr>
          <w:lang w:val="en-GB"/>
        </w:rPr>
      </w:pPr>
      <w:bookmarkStart w:id="20" w:name="_Toc371284485"/>
      <w:bookmarkStart w:id="21" w:name="_Toc376198402"/>
      <w:bookmarkStart w:id="22" w:name="_Toc254543747"/>
      <w:bookmarkStart w:id="23" w:name="_Toc391150158"/>
      <w:r w:rsidRPr="006645DC">
        <w:rPr>
          <w:lang w:val="en-GB"/>
        </w:rPr>
        <w:t>The territorial analysis of the Romania Bulgaria Cross-Border area</w:t>
      </w:r>
      <w:bookmarkEnd w:id="20"/>
      <w:bookmarkEnd w:id="21"/>
      <w:bookmarkEnd w:id="22"/>
      <w:bookmarkEnd w:id="23"/>
    </w:p>
    <w:p w14:paraId="420DDF79" w14:textId="77777777" w:rsidR="00D0188E" w:rsidRPr="006645DC" w:rsidRDefault="00D0188E" w:rsidP="00C951D5">
      <w:pPr>
        <w:pStyle w:val="Heading3"/>
        <w:numPr>
          <w:ilvl w:val="0"/>
          <w:numId w:val="39"/>
        </w:numPr>
        <w:rPr>
          <w:lang w:val="en-GB"/>
        </w:rPr>
      </w:pPr>
      <w:bookmarkStart w:id="24" w:name="_Toc254543748"/>
      <w:r w:rsidRPr="006645DC">
        <w:rPr>
          <w:lang w:val="en-GB"/>
        </w:rPr>
        <w:t>Short geographical and historical presentation of the area</w:t>
      </w:r>
      <w:bookmarkEnd w:id="24"/>
    </w:p>
    <w:p w14:paraId="2942EADE" w14:textId="77777777" w:rsidR="00D0188E" w:rsidRPr="006645DC" w:rsidRDefault="00D0188E" w:rsidP="00D0188E">
      <w:pPr>
        <w:rPr>
          <w:lang w:val="en-GB"/>
        </w:rPr>
      </w:pPr>
      <w:r w:rsidRPr="006645DC">
        <w:rPr>
          <w:lang w:val="en-GB"/>
        </w:rPr>
        <w:t xml:space="preserve">The territorial analysis of the </w:t>
      </w:r>
      <w:r w:rsidRPr="006645DC">
        <w:rPr>
          <w:bCs/>
          <w:lang w:val="en-GB"/>
        </w:rPr>
        <w:t>Romania Bulgaria Cross-Border</w:t>
      </w:r>
      <w:r w:rsidRPr="006645DC">
        <w:rPr>
          <w:lang w:val="en-GB"/>
        </w:rPr>
        <w:t xml:space="preserve"> area will therefore look at the territorial challenges mentioned previously and analyse the situation within the programming area.  </w:t>
      </w:r>
    </w:p>
    <w:p w14:paraId="07390C30" w14:textId="77777777" w:rsidR="00D0188E" w:rsidRPr="006645DC" w:rsidRDefault="00D0188E" w:rsidP="00D0188E">
      <w:pPr>
        <w:rPr>
          <w:lang w:val="en-GB"/>
        </w:rPr>
      </w:pPr>
      <w:r w:rsidRPr="006645DC">
        <w:rPr>
          <w:lang w:val="en-GB"/>
        </w:rPr>
        <w:t xml:space="preserve">This territorial analysis regards the Romania-Bulgaria Cross-Border Cooperation Programme that covers seven Romanian counties and eight Bulgarian districts, located in northern Bulgaria and southern Romania along the national border, which lies between Serbia and the Black Sea. The border is 610 km </w:t>
      </w:r>
      <w:r w:rsidRPr="006645DC">
        <w:rPr>
          <w:lang w:val="en-GB"/>
        </w:rPr>
        <w:lastRenderedPageBreak/>
        <w:t>long, 470km of which are delineated by the Danube River. The 15 administrative units (NUTS III) included into the Programme Area are parts of six administrative regions (NUTS II), as it follows:</w:t>
      </w:r>
    </w:p>
    <w:p w14:paraId="32953021" w14:textId="77777777" w:rsidR="00D0188E" w:rsidRPr="006645DC" w:rsidRDefault="00D0188E" w:rsidP="00D0188E">
      <w:pPr>
        <w:pStyle w:val="ListParagraph"/>
        <w:rPr>
          <w:lang w:val="en-GB"/>
        </w:rPr>
      </w:pPr>
      <w:r w:rsidRPr="006645DC">
        <w:rPr>
          <w:lang w:val="en-GB"/>
        </w:rPr>
        <w:t>Mehedinti, Dolj and Olt counties - parts of the Romanian South-West Development Region Oltenia;</w:t>
      </w:r>
    </w:p>
    <w:p w14:paraId="20643FA7" w14:textId="77777777" w:rsidR="00D0188E" w:rsidRPr="006645DC" w:rsidRDefault="00D0188E" w:rsidP="00D0188E">
      <w:pPr>
        <w:pStyle w:val="ListParagraph"/>
        <w:rPr>
          <w:lang w:val="en-GB"/>
        </w:rPr>
      </w:pPr>
      <w:r w:rsidRPr="006645DC">
        <w:rPr>
          <w:lang w:val="en-GB"/>
        </w:rPr>
        <w:t>Teleorman, Giurgiu and Calarasi counties - parts of the Romanian South Muntenia Development Region;</w:t>
      </w:r>
    </w:p>
    <w:p w14:paraId="40EA9F18" w14:textId="77777777" w:rsidR="00D0188E" w:rsidRPr="006645DC" w:rsidRDefault="00D0188E" w:rsidP="00D0188E">
      <w:pPr>
        <w:pStyle w:val="ListParagraph"/>
        <w:rPr>
          <w:lang w:val="en-GB"/>
        </w:rPr>
      </w:pPr>
      <w:r w:rsidRPr="006645DC">
        <w:rPr>
          <w:lang w:val="en-GB"/>
        </w:rPr>
        <w:t>Constanta county is part of Romanian South-East Development;</w:t>
      </w:r>
    </w:p>
    <w:p w14:paraId="03E622C1" w14:textId="39A8C8A6" w:rsidR="00D0188E" w:rsidRPr="006645DC" w:rsidRDefault="00D0188E" w:rsidP="00D0188E">
      <w:pPr>
        <w:rPr>
          <w:lang w:val="en-GB"/>
        </w:rPr>
      </w:pPr>
      <w:r w:rsidRPr="006645DC">
        <w:rPr>
          <w:lang w:val="en-GB"/>
        </w:rPr>
        <w:t>The surface of these seven Romanian counties included into the Progra</w:t>
      </w:r>
      <w:r w:rsidR="00D96D26" w:rsidRPr="006645DC">
        <w:rPr>
          <w:lang w:val="en-GB"/>
        </w:rPr>
        <w:t>m</w:t>
      </w:r>
      <w:r w:rsidRPr="006645DC">
        <w:rPr>
          <w:lang w:val="en-GB"/>
        </w:rPr>
        <w:t>me Area represent 14,49% of the total surface of Romania.</w:t>
      </w:r>
    </w:p>
    <w:p w14:paraId="2ED00115" w14:textId="77777777" w:rsidR="00D0188E" w:rsidRPr="006645DC" w:rsidRDefault="00D0188E" w:rsidP="00D0188E">
      <w:pPr>
        <w:pStyle w:val="ListParagraph"/>
        <w:rPr>
          <w:lang w:val="en-GB"/>
        </w:rPr>
      </w:pPr>
      <w:r w:rsidRPr="006645DC">
        <w:rPr>
          <w:lang w:val="en-GB"/>
        </w:rPr>
        <w:t>Vidin, Vratsa, Montana and Pleven districts - parts of the Bulgarian North West Planning Region;</w:t>
      </w:r>
    </w:p>
    <w:p w14:paraId="7CC65A97" w14:textId="77777777" w:rsidR="00D0188E" w:rsidRPr="006645DC" w:rsidRDefault="00D0188E" w:rsidP="00D0188E">
      <w:pPr>
        <w:pStyle w:val="ListParagraph"/>
        <w:rPr>
          <w:lang w:val="en-GB"/>
        </w:rPr>
      </w:pPr>
      <w:r w:rsidRPr="006645DC">
        <w:rPr>
          <w:lang w:val="en-GB"/>
        </w:rPr>
        <w:t>Veliko- Tarnovo, Ruse and Silistra districts - part of the Bulgarian North Central Planning Region;</w:t>
      </w:r>
    </w:p>
    <w:p w14:paraId="608E5C7F" w14:textId="77777777" w:rsidR="00D0188E" w:rsidRPr="006645DC" w:rsidRDefault="00D0188E" w:rsidP="00D0188E">
      <w:pPr>
        <w:pStyle w:val="ListParagraph"/>
        <w:rPr>
          <w:lang w:val="en-GB"/>
        </w:rPr>
      </w:pPr>
      <w:r w:rsidRPr="006645DC">
        <w:rPr>
          <w:lang w:val="en-GB"/>
        </w:rPr>
        <w:t>Dobrich district is part of the Bulgarian North East Planning Region.</w:t>
      </w:r>
    </w:p>
    <w:p w14:paraId="507F67E6" w14:textId="77777777" w:rsidR="00D0188E" w:rsidRPr="006645DC" w:rsidRDefault="00D0188E" w:rsidP="00D0188E">
      <w:pPr>
        <w:rPr>
          <w:lang w:val="en-GB"/>
        </w:rPr>
      </w:pPr>
      <w:r w:rsidRPr="006645DC">
        <w:rPr>
          <w:lang w:val="en-GB"/>
        </w:rPr>
        <w:t xml:space="preserve">The surface of these eight Bulgarian districts included into the Programme Area represents 29,38% of the total surface of Bulgaria. </w:t>
      </w:r>
    </w:p>
    <w:p w14:paraId="249ED0ED" w14:textId="54378264" w:rsidR="00717722" w:rsidRPr="006645DC" w:rsidRDefault="00D0188E" w:rsidP="00717722">
      <w:pPr>
        <w:rPr>
          <w:lang w:val="en-GB"/>
        </w:rPr>
      </w:pPr>
      <w:r w:rsidRPr="006645DC">
        <w:rPr>
          <w:lang w:val="en-GB"/>
        </w:rPr>
        <w:t>The Program Area has a total surface of 69 285 km</w:t>
      </w:r>
      <w:r w:rsidRPr="006645DC">
        <w:rPr>
          <w:vertAlign w:val="superscript"/>
          <w:lang w:val="en-GB"/>
        </w:rPr>
        <w:t>2</w:t>
      </w:r>
      <w:r w:rsidRPr="006645DC">
        <w:rPr>
          <w:lang w:val="en-GB"/>
        </w:rPr>
        <w:t>, of which 56.75 % belongs to Romania (39.320 km</w:t>
      </w:r>
      <w:r w:rsidRPr="006645DC">
        <w:rPr>
          <w:vertAlign w:val="superscript"/>
          <w:lang w:val="en-GB"/>
        </w:rPr>
        <w:t>2</w:t>
      </w:r>
      <w:r w:rsidRPr="006645DC">
        <w:rPr>
          <w:lang w:val="en-GB"/>
        </w:rPr>
        <w:t>) and 43.25% to Bulgaria (29 965 km</w:t>
      </w:r>
      <w:r w:rsidRPr="006645DC">
        <w:rPr>
          <w:vertAlign w:val="superscript"/>
          <w:lang w:val="en-GB"/>
        </w:rPr>
        <w:t>2</w:t>
      </w:r>
      <w:r w:rsidRPr="006645DC">
        <w:rPr>
          <w:lang w:val="en-GB"/>
        </w:rPr>
        <w:t>). The Program area covers 19.8 % of the total area of the two countries and has a population</w:t>
      </w:r>
      <w:r w:rsidR="00717722" w:rsidRPr="006645DC">
        <w:rPr>
          <w:lang w:val="en-GB"/>
        </w:rPr>
        <w:t xml:space="preserve"> of over 5 million inhabitants.</w:t>
      </w:r>
    </w:p>
    <w:p w14:paraId="709226F1" w14:textId="77777777" w:rsidR="00717722" w:rsidRPr="006645DC" w:rsidRDefault="00717722" w:rsidP="00717722">
      <w:pPr>
        <w:rPr>
          <w:lang w:val="en-GB"/>
        </w:rPr>
        <w:sectPr w:rsidR="00717722" w:rsidRPr="006645DC" w:rsidSect="00187E88">
          <w:headerReference w:type="default" r:id="rId28"/>
          <w:footerReference w:type="default" r:id="rId29"/>
          <w:pgSz w:w="12240" w:h="15840"/>
          <w:pgMar w:top="1440" w:right="1440" w:bottom="1440" w:left="1440" w:header="720" w:footer="720" w:gutter="0"/>
          <w:cols w:space="720"/>
          <w:docGrid w:linePitch="360"/>
        </w:sectPr>
      </w:pPr>
    </w:p>
    <w:p w14:paraId="210B7656" w14:textId="657069FC" w:rsidR="00C571AB" w:rsidRPr="006645DC" w:rsidRDefault="00C571AB" w:rsidP="00D0188E">
      <w:pPr>
        <w:jc w:val="left"/>
        <w:rPr>
          <w:lang w:val="en-GB" w:eastAsia="fr-FR"/>
        </w:rPr>
      </w:pPr>
    </w:p>
    <w:p w14:paraId="4DF48EFA" w14:textId="77777777" w:rsidR="00717722" w:rsidRPr="006645DC" w:rsidRDefault="00AA4C82" w:rsidP="00C571AB">
      <w:pPr>
        <w:pStyle w:val="Caption"/>
        <w:rPr>
          <w:lang w:val="en-GB"/>
        </w:rPr>
      </w:pPr>
      <w:r w:rsidRPr="006645DC">
        <w:rPr>
          <w:noProof/>
          <w:snapToGrid/>
          <w:lang w:val="bg-BG" w:eastAsia="bg-BG"/>
        </w:rPr>
        <w:drawing>
          <wp:inline distT="0" distB="0" distL="0" distR="0" wp14:anchorId="7514BDD8" wp14:editId="39CF1A02">
            <wp:extent cx="8026733" cy="4144488"/>
            <wp:effectExtent l="0" t="0" r="0" b="8890"/>
            <wp:docPr id="470" name="Picture 82" descr="Description: C:\Documents and Settings\Office\Desktop\AO en cours\2013\MDRAP_consultanta elaborare prog coop transf Ro-Bg\Raport 2_Territorial analysis\Draft Final_Territorial Analysis\Harti 29 11 2013\New folder\harti 29 11 20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Description: C:\Documents and Settings\Office\Desktop\AO en cours\2013\MDRAP_consultanta elaborare prog coop transf Ro-Bg\Raport 2_Territorial analysis\Draft Final_Territorial Analysis\Harti 29 11 2013\New folder\harti 29 11 20133.jpg"/>
                    <pic:cNvPicPr>
                      <a:picLocks noChangeAspect="1" noChangeArrowheads="1"/>
                    </pic:cNvPicPr>
                  </pic:nvPicPr>
                  <pic:blipFill>
                    <a:blip r:embed="rId30"/>
                    <a:srcRect/>
                    <a:stretch>
                      <a:fillRect/>
                    </a:stretch>
                  </pic:blipFill>
                  <pic:spPr bwMode="auto">
                    <a:xfrm>
                      <a:off x="0" y="0"/>
                      <a:ext cx="8042861" cy="4152815"/>
                    </a:xfrm>
                    <a:prstGeom prst="rect">
                      <a:avLst/>
                    </a:prstGeom>
                    <a:noFill/>
                    <a:ln w="9525">
                      <a:noFill/>
                      <a:miter lim="800000"/>
                      <a:headEnd/>
                      <a:tailEnd/>
                    </a:ln>
                  </pic:spPr>
                </pic:pic>
              </a:graphicData>
            </a:graphic>
          </wp:inline>
        </w:drawing>
      </w:r>
    </w:p>
    <w:p w14:paraId="59259232" w14:textId="77777777" w:rsidR="00717722" w:rsidRPr="006645DC" w:rsidRDefault="00717722" w:rsidP="00C571AB">
      <w:pPr>
        <w:pStyle w:val="Caption"/>
        <w:rPr>
          <w:lang w:val="en-GB"/>
        </w:rPr>
      </w:pPr>
    </w:p>
    <w:p w14:paraId="4FC777A4" w14:textId="11666F58" w:rsidR="00717722" w:rsidRPr="006645DC" w:rsidRDefault="00C571AB" w:rsidP="00C571AB">
      <w:pPr>
        <w:pStyle w:val="Caption"/>
        <w:rPr>
          <w:lang w:val="en-GB"/>
        </w:rPr>
      </w:pPr>
      <w:bookmarkStart w:id="25" w:name="_Toc391150005"/>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1</w:t>
      </w:r>
      <w:r w:rsidR="005979EB" w:rsidRPr="006645DC">
        <w:rPr>
          <w:lang w:val="en-GB"/>
        </w:rPr>
        <w:fldChar w:fldCharType="end"/>
      </w:r>
      <w:r w:rsidRPr="006645DC">
        <w:rPr>
          <w:lang w:val="en-GB"/>
        </w:rPr>
        <w:t xml:space="preserve"> -  The ROBG cross-border area</w:t>
      </w:r>
      <w:bookmarkEnd w:id="25"/>
    </w:p>
    <w:p w14:paraId="5699EE89" w14:textId="10FAE7F5" w:rsidR="00717722" w:rsidRPr="006645DC" w:rsidRDefault="00717722" w:rsidP="00717722">
      <w:pPr>
        <w:jc w:val="right"/>
        <w:rPr>
          <w:bCs/>
          <w:i/>
          <w:iCs/>
          <w:sz w:val="18"/>
          <w:lang w:val="en-GB"/>
        </w:rPr>
      </w:pPr>
      <w:r w:rsidRPr="006645DC">
        <w:rPr>
          <w:i/>
          <w:iCs/>
          <w:sz w:val="18"/>
          <w:lang w:val="en-GB"/>
        </w:rPr>
        <w:t>S</w:t>
      </w:r>
      <w:r w:rsidRPr="006645DC">
        <w:rPr>
          <w:bCs/>
          <w:i/>
          <w:iCs/>
          <w:sz w:val="18"/>
          <w:lang w:val="en-GB"/>
        </w:rPr>
        <w:t xml:space="preserve">ource: Détente Consultants </w:t>
      </w:r>
    </w:p>
    <w:p w14:paraId="0C8A7B1B" w14:textId="77777777" w:rsidR="008937E6" w:rsidRPr="006645DC" w:rsidRDefault="008937E6" w:rsidP="003B4D0B">
      <w:pPr>
        <w:rPr>
          <w:lang w:val="en-GB"/>
        </w:rPr>
        <w:sectPr w:rsidR="008937E6" w:rsidRPr="006645DC" w:rsidSect="00717722">
          <w:pgSz w:w="15840" w:h="12240" w:orient="landscape"/>
          <w:pgMar w:top="1440" w:right="1440" w:bottom="1440" w:left="1440" w:header="720" w:footer="720" w:gutter="0"/>
          <w:cols w:space="720"/>
          <w:docGrid w:linePitch="360"/>
        </w:sectPr>
      </w:pPr>
    </w:p>
    <w:p w14:paraId="37A1704F" w14:textId="77777777" w:rsidR="001E7D2C" w:rsidRPr="006645DC" w:rsidRDefault="008937E6" w:rsidP="001E7D2C">
      <w:pPr>
        <w:pStyle w:val="Heading1"/>
        <w:rPr>
          <w:lang w:val="en-GB"/>
        </w:rPr>
      </w:pPr>
      <w:bookmarkStart w:id="26" w:name="_Toc376198403"/>
      <w:bookmarkStart w:id="27" w:name="_Toc254543749"/>
      <w:bookmarkStart w:id="28" w:name="_Toc391150159"/>
      <w:r w:rsidRPr="006645DC">
        <w:rPr>
          <w:lang w:val="en-GB"/>
        </w:rPr>
        <w:lastRenderedPageBreak/>
        <w:t>Globalis</w:t>
      </w:r>
      <w:r w:rsidR="001E7D2C" w:rsidRPr="006645DC">
        <w:rPr>
          <w:lang w:val="en-GB"/>
        </w:rPr>
        <w:t>ation/Economic development</w:t>
      </w:r>
      <w:bookmarkEnd w:id="26"/>
      <w:bookmarkEnd w:id="27"/>
      <w:bookmarkEnd w:id="28"/>
    </w:p>
    <w:p w14:paraId="475E54B3" w14:textId="77777777" w:rsidR="00B20E3C" w:rsidRPr="006645DC" w:rsidRDefault="00B20E3C" w:rsidP="00B20E3C">
      <w:pPr>
        <w:rPr>
          <w:lang w:val="en-GB"/>
        </w:rPr>
      </w:pPr>
      <w:r w:rsidRPr="006645DC">
        <w:rPr>
          <w:lang w:val="en-GB"/>
        </w:rPr>
        <w:t xml:space="preserve">The Romania-Bulgaria cross-border region is one of the European Union less developed region, 6 out of the 10 poorest EU regions are situated in the programme area. </w:t>
      </w:r>
    </w:p>
    <w:p w14:paraId="08E4343E" w14:textId="77777777" w:rsidR="00B20E3C" w:rsidRPr="006645DC" w:rsidRDefault="00B20E3C" w:rsidP="00B20E3C">
      <w:pPr>
        <w:pStyle w:val="BodyText"/>
        <w:rPr>
          <w:rFonts w:ascii="Calibri" w:hAnsi="Calibri" w:cs="Times New Roman"/>
          <w:lang w:val="en-GB"/>
        </w:rPr>
      </w:pPr>
    </w:p>
    <w:p w14:paraId="35B4E080" w14:textId="77777777" w:rsidR="00B20E3C" w:rsidRPr="006645DC" w:rsidRDefault="00B20E3C" w:rsidP="00B20E3C">
      <w:pPr>
        <w:pStyle w:val="BodyText"/>
        <w:ind w:left="540"/>
        <w:rPr>
          <w:rStyle w:val="Strong"/>
          <w:rFonts w:ascii="Calibri" w:hAnsi="Calibri"/>
          <w:sz w:val="22"/>
          <w:szCs w:val="22"/>
          <w:lang w:val="en-GB"/>
        </w:rPr>
      </w:pPr>
      <w:r w:rsidRPr="006645DC">
        <w:rPr>
          <w:rFonts w:ascii="Calibri" w:hAnsi="Calibri" w:cs="Times New Roman"/>
          <w:b/>
          <w:sz w:val="22"/>
          <w:szCs w:val="22"/>
          <w:lang w:val="en-GB"/>
        </w:rPr>
        <w:t>TOP 10 POOREST REGIONS IN THE EU</w:t>
      </w:r>
    </w:p>
    <w:p w14:paraId="77156E41" w14:textId="77777777" w:rsidR="00B20E3C" w:rsidRPr="006645DC" w:rsidRDefault="00B20E3C" w:rsidP="00C951D5">
      <w:pPr>
        <w:pStyle w:val="NormalWeb"/>
        <w:numPr>
          <w:ilvl w:val="0"/>
          <w:numId w:val="40"/>
        </w:numPr>
        <w:pBdr>
          <w:top w:val="single" w:sz="4" w:space="1" w:color="000000"/>
          <w:left w:val="single" w:sz="4" w:space="4" w:color="000000"/>
          <w:bottom w:val="single" w:sz="4" w:space="1" w:color="000000"/>
          <w:right w:val="single" w:sz="4" w:space="4" w:color="000000"/>
        </w:pBdr>
        <w:suppressAutoHyphens/>
        <w:spacing w:before="0" w:beforeAutospacing="0" w:after="0" w:afterAutospacing="0"/>
        <w:jc w:val="left"/>
        <w:rPr>
          <w:rFonts w:ascii="Calibri" w:hAnsi="Calibri" w:cs="Calibri"/>
          <w:sz w:val="22"/>
          <w:szCs w:val="22"/>
          <w:lang w:val="en-GB"/>
        </w:rPr>
      </w:pPr>
      <w:r w:rsidRPr="006645DC">
        <w:rPr>
          <w:rFonts w:ascii="Calibri" w:hAnsi="Calibri" w:cs="Calibri"/>
          <w:sz w:val="22"/>
          <w:szCs w:val="22"/>
          <w:lang w:val="en-GB"/>
        </w:rPr>
        <w:t>Severozapaden (Bulgaria)</w:t>
      </w:r>
      <w:r w:rsidR="00590B17" w:rsidRPr="006645DC">
        <w:rPr>
          <w:rFonts w:ascii="Calibri" w:hAnsi="Calibri" w:cs="Calibri"/>
          <w:b/>
          <w:sz w:val="22"/>
          <w:szCs w:val="22"/>
          <w:lang w:val="en-GB"/>
        </w:rPr>
        <w:t xml:space="preserve"> includes administrative units from </w:t>
      </w:r>
      <w:r w:rsidR="00290E9F" w:rsidRPr="006645DC">
        <w:rPr>
          <w:rFonts w:ascii="Calibri" w:hAnsi="Calibri" w:cs="Calibri"/>
          <w:b/>
          <w:sz w:val="22"/>
          <w:szCs w:val="22"/>
          <w:lang w:val="en-GB"/>
        </w:rPr>
        <w:t>the RO-</w:t>
      </w:r>
      <w:r w:rsidR="00590B17" w:rsidRPr="006645DC">
        <w:rPr>
          <w:rFonts w:ascii="Calibri" w:hAnsi="Calibri" w:cs="Calibri"/>
          <w:b/>
          <w:sz w:val="22"/>
          <w:szCs w:val="22"/>
          <w:lang w:val="en-GB"/>
        </w:rPr>
        <w:t>BG CBC area</w:t>
      </w:r>
    </w:p>
    <w:p w14:paraId="0C33B910" w14:textId="77777777" w:rsidR="00B20E3C" w:rsidRPr="006645DC" w:rsidRDefault="00B20E3C" w:rsidP="00C951D5">
      <w:pPr>
        <w:pStyle w:val="NormalWeb"/>
        <w:numPr>
          <w:ilvl w:val="0"/>
          <w:numId w:val="40"/>
        </w:numPr>
        <w:pBdr>
          <w:top w:val="single" w:sz="4" w:space="1" w:color="000000"/>
          <w:left w:val="single" w:sz="4" w:space="4" w:color="000000"/>
          <w:bottom w:val="single" w:sz="4" w:space="1" w:color="000000"/>
          <w:right w:val="single" w:sz="4" w:space="4" w:color="000000"/>
        </w:pBdr>
        <w:suppressAutoHyphens/>
        <w:spacing w:before="0" w:beforeAutospacing="0" w:after="0" w:afterAutospacing="0"/>
        <w:jc w:val="left"/>
        <w:rPr>
          <w:rFonts w:ascii="Calibri" w:hAnsi="Calibri" w:cs="Calibri"/>
          <w:sz w:val="22"/>
          <w:szCs w:val="22"/>
          <w:lang w:val="en-GB"/>
        </w:rPr>
      </w:pPr>
      <w:r w:rsidRPr="006645DC">
        <w:rPr>
          <w:rFonts w:ascii="Calibri" w:hAnsi="Calibri" w:cs="Calibri"/>
          <w:sz w:val="22"/>
          <w:szCs w:val="22"/>
          <w:lang w:val="en-GB"/>
        </w:rPr>
        <w:t>Severen tsentralen (Bulgaria)</w:t>
      </w:r>
      <w:r w:rsidR="00290E9F" w:rsidRPr="006645DC">
        <w:rPr>
          <w:rFonts w:ascii="Calibri" w:hAnsi="Calibri" w:cs="Calibri"/>
          <w:sz w:val="22"/>
          <w:szCs w:val="22"/>
          <w:lang w:val="en-GB"/>
        </w:rPr>
        <w:t xml:space="preserve"> </w:t>
      </w:r>
      <w:r w:rsidR="00590B17" w:rsidRPr="006645DC">
        <w:rPr>
          <w:rFonts w:ascii="Calibri" w:hAnsi="Calibri" w:cs="Calibri"/>
          <w:b/>
          <w:sz w:val="22"/>
          <w:szCs w:val="22"/>
          <w:lang w:val="en-GB"/>
        </w:rPr>
        <w:t xml:space="preserve">includes administrative units from </w:t>
      </w:r>
      <w:r w:rsidR="00290E9F" w:rsidRPr="006645DC">
        <w:rPr>
          <w:rFonts w:ascii="Calibri" w:hAnsi="Calibri" w:cs="Calibri"/>
          <w:b/>
          <w:sz w:val="22"/>
          <w:szCs w:val="22"/>
          <w:lang w:val="en-GB"/>
        </w:rPr>
        <w:t>the RO-</w:t>
      </w:r>
      <w:r w:rsidR="00590B17" w:rsidRPr="006645DC">
        <w:rPr>
          <w:rFonts w:ascii="Calibri" w:hAnsi="Calibri" w:cs="Calibri"/>
          <w:b/>
          <w:sz w:val="22"/>
          <w:szCs w:val="22"/>
          <w:lang w:val="en-GB"/>
        </w:rPr>
        <w:t>BG CBC area</w:t>
      </w:r>
    </w:p>
    <w:p w14:paraId="374F619F" w14:textId="77777777" w:rsidR="00B20E3C" w:rsidRPr="006645DC" w:rsidRDefault="00B20E3C" w:rsidP="00C951D5">
      <w:pPr>
        <w:pStyle w:val="NormalWeb"/>
        <w:numPr>
          <w:ilvl w:val="0"/>
          <w:numId w:val="40"/>
        </w:numPr>
        <w:pBdr>
          <w:top w:val="single" w:sz="4" w:space="1" w:color="000000"/>
          <w:left w:val="single" w:sz="4" w:space="4" w:color="000000"/>
          <w:bottom w:val="single" w:sz="4" w:space="1" w:color="000000"/>
          <w:right w:val="single" w:sz="4" w:space="4" w:color="000000"/>
        </w:pBdr>
        <w:suppressAutoHyphens/>
        <w:spacing w:before="0" w:beforeAutospacing="0" w:after="0" w:afterAutospacing="0"/>
        <w:jc w:val="left"/>
        <w:rPr>
          <w:rFonts w:ascii="Calibri" w:hAnsi="Calibri" w:cs="Calibri"/>
          <w:sz w:val="22"/>
          <w:szCs w:val="22"/>
          <w:lang w:val="en-GB"/>
        </w:rPr>
      </w:pPr>
      <w:r w:rsidRPr="006645DC">
        <w:rPr>
          <w:rFonts w:ascii="Calibri" w:hAnsi="Calibri" w:cs="Calibri"/>
          <w:sz w:val="22"/>
          <w:szCs w:val="22"/>
          <w:lang w:val="en-GB"/>
        </w:rPr>
        <w:t>North-East (Romania)</w:t>
      </w:r>
    </w:p>
    <w:p w14:paraId="7B60DD2F" w14:textId="77777777" w:rsidR="00B20E3C" w:rsidRPr="006645DC" w:rsidRDefault="00B20E3C" w:rsidP="00C951D5">
      <w:pPr>
        <w:pStyle w:val="NormalWeb"/>
        <w:numPr>
          <w:ilvl w:val="0"/>
          <w:numId w:val="40"/>
        </w:numPr>
        <w:pBdr>
          <w:top w:val="single" w:sz="4" w:space="1" w:color="000000"/>
          <w:left w:val="single" w:sz="4" w:space="4" w:color="000000"/>
          <w:bottom w:val="single" w:sz="4" w:space="1" w:color="000000"/>
          <w:right w:val="single" w:sz="4" w:space="4" w:color="000000"/>
        </w:pBdr>
        <w:suppressAutoHyphens/>
        <w:spacing w:before="0" w:beforeAutospacing="0" w:after="0" w:afterAutospacing="0"/>
        <w:jc w:val="left"/>
        <w:rPr>
          <w:rFonts w:ascii="Calibri" w:hAnsi="Calibri" w:cs="Calibri"/>
          <w:sz w:val="22"/>
          <w:szCs w:val="22"/>
          <w:lang w:val="en-GB"/>
        </w:rPr>
      </w:pPr>
      <w:r w:rsidRPr="006645DC">
        <w:rPr>
          <w:rFonts w:ascii="Calibri" w:hAnsi="Calibri" w:cs="Calibri"/>
          <w:sz w:val="22"/>
          <w:szCs w:val="22"/>
          <w:lang w:val="en-GB"/>
        </w:rPr>
        <w:t>Yuzhen tsentralen (Bulgaria)</w:t>
      </w:r>
    </w:p>
    <w:p w14:paraId="4E125EC4" w14:textId="77777777" w:rsidR="00B20E3C" w:rsidRPr="006645DC" w:rsidRDefault="00B20E3C" w:rsidP="00C951D5">
      <w:pPr>
        <w:pStyle w:val="NormalWeb"/>
        <w:numPr>
          <w:ilvl w:val="0"/>
          <w:numId w:val="40"/>
        </w:numPr>
        <w:pBdr>
          <w:top w:val="single" w:sz="4" w:space="1" w:color="000000"/>
          <w:left w:val="single" w:sz="4" w:space="4" w:color="000000"/>
          <w:bottom w:val="single" w:sz="4" w:space="1" w:color="000000"/>
          <w:right w:val="single" w:sz="4" w:space="4" w:color="000000"/>
        </w:pBdr>
        <w:suppressAutoHyphens/>
        <w:spacing w:before="0" w:beforeAutospacing="0" w:after="0" w:afterAutospacing="0"/>
        <w:jc w:val="left"/>
        <w:rPr>
          <w:rFonts w:ascii="Calibri" w:hAnsi="Calibri" w:cs="Calibri"/>
          <w:sz w:val="22"/>
          <w:szCs w:val="22"/>
          <w:lang w:val="en-GB"/>
        </w:rPr>
      </w:pPr>
      <w:r w:rsidRPr="006645DC">
        <w:rPr>
          <w:rFonts w:ascii="Calibri" w:hAnsi="Calibri" w:cs="Calibri"/>
          <w:sz w:val="22"/>
          <w:szCs w:val="22"/>
          <w:lang w:val="en-GB"/>
        </w:rPr>
        <w:t>Severoiztochen (Bulgaria)</w:t>
      </w:r>
      <w:r w:rsidR="00290E9F" w:rsidRPr="006645DC">
        <w:rPr>
          <w:rFonts w:ascii="Calibri" w:hAnsi="Calibri" w:cs="Calibri"/>
          <w:sz w:val="22"/>
          <w:szCs w:val="22"/>
          <w:lang w:val="en-GB"/>
        </w:rPr>
        <w:t xml:space="preserve"> </w:t>
      </w:r>
      <w:r w:rsidR="00590B17" w:rsidRPr="006645DC">
        <w:rPr>
          <w:rFonts w:ascii="Calibri" w:hAnsi="Calibri" w:cs="Calibri"/>
          <w:b/>
          <w:sz w:val="22"/>
          <w:szCs w:val="22"/>
          <w:lang w:val="en-GB"/>
        </w:rPr>
        <w:t xml:space="preserve">includes administrative units from </w:t>
      </w:r>
      <w:r w:rsidR="00290E9F" w:rsidRPr="006645DC">
        <w:rPr>
          <w:rFonts w:ascii="Calibri" w:hAnsi="Calibri" w:cs="Calibri"/>
          <w:b/>
          <w:sz w:val="22"/>
          <w:szCs w:val="22"/>
          <w:lang w:val="en-GB"/>
        </w:rPr>
        <w:t>the RO-</w:t>
      </w:r>
      <w:r w:rsidR="00590B17" w:rsidRPr="006645DC">
        <w:rPr>
          <w:rFonts w:ascii="Calibri" w:hAnsi="Calibri" w:cs="Calibri"/>
          <w:b/>
          <w:sz w:val="22"/>
          <w:szCs w:val="22"/>
          <w:lang w:val="en-GB"/>
        </w:rPr>
        <w:t>BG CBC area</w:t>
      </w:r>
    </w:p>
    <w:p w14:paraId="31CA676F" w14:textId="77777777" w:rsidR="00B20E3C" w:rsidRPr="006645DC" w:rsidRDefault="00B20E3C" w:rsidP="00C951D5">
      <w:pPr>
        <w:pStyle w:val="NormalWeb"/>
        <w:numPr>
          <w:ilvl w:val="0"/>
          <w:numId w:val="40"/>
        </w:numPr>
        <w:pBdr>
          <w:top w:val="single" w:sz="4" w:space="1" w:color="000000"/>
          <w:left w:val="single" w:sz="4" w:space="4" w:color="000000"/>
          <w:bottom w:val="single" w:sz="4" w:space="1" w:color="000000"/>
          <w:right w:val="single" w:sz="4" w:space="4" w:color="000000"/>
        </w:pBdr>
        <w:suppressAutoHyphens/>
        <w:spacing w:before="0" w:beforeAutospacing="0" w:after="0" w:afterAutospacing="0"/>
        <w:jc w:val="left"/>
        <w:rPr>
          <w:rFonts w:ascii="Calibri" w:hAnsi="Calibri" w:cs="Calibri"/>
          <w:sz w:val="22"/>
          <w:szCs w:val="22"/>
          <w:lang w:val="en-GB"/>
        </w:rPr>
      </w:pPr>
      <w:r w:rsidRPr="006645DC">
        <w:rPr>
          <w:rFonts w:ascii="Calibri" w:hAnsi="Calibri" w:cs="Calibri"/>
          <w:sz w:val="22"/>
          <w:szCs w:val="22"/>
          <w:lang w:val="en-GB"/>
        </w:rPr>
        <w:t>South-West Oltenia (Romania)</w:t>
      </w:r>
      <w:r w:rsidR="00290E9F" w:rsidRPr="006645DC">
        <w:rPr>
          <w:rFonts w:ascii="Calibri" w:hAnsi="Calibri" w:cs="Calibri"/>
          <w:sz w:val="22"/>
          <w:szCs w:val="22"/>
          <w:lang w:val="en-GB"/>
        </w:rPr>
        <w:t xml:space="preserve"> </w:t>
      </w:r>
      <w:r w:rsidR="00590B17" w:rsidRPr="006645DC">
        <w:rPr>
          <w:rFonts w:ascii="Calibri" w:hAnsi="Calibri" w:cs="Calibri"/>
          <w:b/>
          <w:sz w:val="22"/>
          <w:szCs w:val="22"/>
          <w:lang w:val="en-GB"/>
        </w:rPr>
        <w:t xml:space="preserve">includes administrative units from </w:t>
      </w:r>
      <w:r w:rsidR="00290E9F" w:rsidRPr="006645DC">
        <w:rPr>
          <w:rFonts w:ascii="Calibri" w:hAnsi="Calibri" w:cs="Calibri"/>
          <w:b/>
          <w:sz w:val="22"/>
          <w:szCs w:val="22"/>
          <w:lang w:val="en-GB"/>
        </w:rPr>
        <w:t>the RO-</w:t>
      </w:r>
      <w:r w:rsidR="00590B17" w:rsidRPr="006645DC">
        <w:rPr>
          <w:rFonts w:ascii="Calibri" w:hAnsi="Calibri" w:cs="Calibri"/>
          <w:b/>
          <w:sz w:val="22"/>
          <w:szCs w:val="22"/>
          <w:lang w:val="en-GB"/>
        </w:rPr>
        <w:t>BG CBC area</w:t>
      </w:r>
    </w:p>
    <w:p w14:paraId="3CEEEC2F" w14:textId="77777777" w:rsidR="00B20E3C" w:rsidRPr="006645DC" w:rsidRDefault="00B20E3C" w:rsidP="00C951D5">
      <w:pPr>
        <w:pStyle w:val="NormalWeb"/>
        <w:numPr>
          <w:ilvl w:val="0"/>
          <w:numId w:val="40"/>
        </w:numPr>
        <w:pBdr>
          <w:top w:val="single" w:sz="4" w:space="1" w:color="000000"/>
          <w:left w:val="single" w:sz="4" w:space="4" w:color="000000"/>
          <w:bottom w:val="single" w:sz="4" w:space="1" w:color="000000"/>
          <w:right w:val="single" w:sz="4" w:space="4" w:color="000000"/>
        </w:pBdr>
        <w:suppressAutoHyphens/>
        <w:spacing w:before="0" w:beforeAutospacing="0" w:after="0" w:afterAutospacing="0"/>
        <w:jc w:val="left"/>
        <w:rPr>
          <w:rFonts w:ascii="Calibri" w:hAnsi="Calibri" w:cs="Calibri"/>
          <w:sz w:val="22"/>
          <w:szCs w:val="22"/>
          <w:lang w:val="en-GB"/>
        </w:rPr>
      </w:pPr>
      <w:r w:rsidRPr="006645DC">
        <w:rPr>
          <w:rFonts w:ascii="Calibri" w:hAnsi="Calibri" w:cs="Calibri"/>
          <w:sz w:val="22"/>
          <w:szCs w:val="22"/>
          <w:lang w:val="en-GB"/>
        </w:rPr>
        <w:t>Yugoiztochen (Bulgaria)</w:t>
      </w:r>
    </w:p>
    <w:p w14:paraId="34E79F44" w14:textId="77777777" w:rsidR="00B20E3C" w:rsidRPr="006645DC" w:rsidRDefault="00B20E3C" w:rsidP="00C951D5">
      <w:pPr>
        <w:pStyle w:val="NormalWeb"/>
        <w:numPr>
          <w:ilvl w:val="0"/>
          <w:numId w:val="40"/>
        </w:numPr>
        <w:pBdr>
          <w:top w:val="single" w:sz="4" w:space="1" w:color="000000"/>
          <w:left w:val="single" w:sz="4" w:space="4" w:color="000000"/>
          <w:bottom w:val="single" w:sz="4" w:space="1" w:color="000000"/>
          <w:right w:val="single" w:sz="4" w:space="4" w:color="000000"/>
        </w:pBdr>
        <w:suppressAutoHyphens/>
        <w:spacing w:before="0" w:beforeAutospacing="0" w:after="0" w:afterAutospacing="0"/>
        <w:jc w:val="left"/>
        <w:rPr>
          <w:rFonts w:ascii="Calibri" w:hAnsi="Calibri" w:cs="Calibri"/>
          <w:sz w:val="22"/>
          <w:szCs w:val="22"/>
          <w:lang w:val="en-GB"/>
        </w:rPr>
      </w:pPr>
      <w:r w:rsidRPr="006645DC">
        <w:rPr>
          <w:rFonts w:ascii="Calibri" w:hAnsi="Calibri" w:cs="Calibri"/>
          <w:sz w:val="22"/>
          <w:szCs w:val="22"/>
          <w:lang w:val="en-GB"/>
        </w:rPr>
        <w:t>South-East (Romania)</w:t>
      </w:r>
      <w:r w:rsidR="00290E9F" w:rsidRPr="006645DC">
        <w:rPr>
          <w:rFonts w:ascii="Calibri" w:hAnsi="Calibri" w:cs="Calibri"/>
          <w:sz w:val="22"/>
          <w:szCs w:val="22"/>
          <w:lang w:val="en-GB"/>
        </w:rPr>
        <w:t xml:space="preserve"> </w:t>
      </w:r>
      <w:r w:rsidR="00590B17" w:rsidRPr="006645DC">
        <w:rPr>
          <w:rFonts w:ascii="Calibri" w:hAnsi="Calibri" w:cs="Calibri"/>
          <w:b/>
          <w:sz w:val="22"/>
          <w:szCs w:val="22"/>
          <w:lang w:val="en-GB"/>
        </w:rPr>
        <w:t xml:space="preserve">includes administrative units from </w:t>
      </w:r>
      <w:r w:rsidR="00290E9F" w:rsidRPr="006645DC">
        <w:rPr>
          <w:rFonts w:ascii="Calibri" w:hAnsi="Calibri" w:cs="Calibri"/>
          <w:b/>
          <w:sz w:val="22"/>
          <w:szCs w:val="22"/>
          <w:lang w:val="en-GB"/>
        </w:rPr>
        <w:t>the RO-</w:t>
      </w:r>
      <w:r w:rsidR="00590B17" w:rsidRPr="006645DC">
        <w:rPr>
          <w:rFonts w:ascii="Calibri" w:hAnsi="Calibri" w:cs="Calibri"/>
          <w:b/>
          <w:sz w:val="22"/>
          <w:szCs w:val="22"/>
          <w:lang w:val="en-GB"/>
        </w:rPr>
        <w:t>BG CBC area</w:t>
      </w:r>
    </w:p>
    <w:p w14:paraId="34D5C587" w14:textId="77777777" w:rsidR="00B20E3C" w:rsidRPr="006645DC" w:rsidRDefault="00B20E3C" w:rsidP="00C951D5">
      <w:pPr>
        <w:pStyle w:val="NormalWeb"/>
        <w:numPr>
          <w:ilvl w:val="0"/>
          <w:numId w:val="40"/>
        </w:numPr>
        <w:pBdr>
          <w:top w:val="single" w:sz="4" w:space="1" w:color="000000"/>
          <w:left w:val="single" w:sz="4" w:space="4" w:color="000000"/>
          <w:bottom w:val="single" w:sz="4" w:space="1" w:color="000000"/>
          <w:right w:val="single" w:sz="4" w:space="4" w:color="000000"/>
        </w:pBdr>
        <w:suppressAutoHyphens/>
        <w:spacing w:before="0" w:beforeAutospacing="0" w:after="0" w:afterAutospacing="0"/>
        <w:jc w:val="left"/>
        <w:rPr>
          <w:rFonts w:ascii="Calibri" w:hAnsi="Calibri" w:cs="Calibri"/>
          <w:sz w:val="22"/>
          <w:szCs w:val="22"/>
          <w:lang w:val="en-GB"/>
        </w:rPr>
      </w:pPr>
      <w:r w:rsidRPr="006645DC">
        <w:rPr>
          <w:rFonts w:ascii="Calibri" w:hAnsi="Calibri" w:cs="Calibri"/>
          <w:sz w:val="22"/>
          <w:szCs w:val="22"/>
          <w:lang w:val="en-GB"/>
        </w:rPr>
        <w:t>Eszak-Magyarorszag (Hungary)</w:t>
      </w:r>
    </w:p>
    <w:p w14:paraId="08078D02" w14:textId="77777777" w:rsidR="00B20E3C" w:rsidRPr="006645DC" w:rsidRDefault="00B20E3C" w:rsidP="00C951D5">
      <w:pPr>
        <w:pStyle w:val="NormalWeb"/>
        <w:numPr>
          <w:ilvl w:val="0"/>
          <w:numId w:val="40"/>
        </w:numPr>
        <w:pBdr>
          <w:top w:val="single" w:sz="4" w:space="1" w:color="000000"/>
          <w:left w:val="single" w:sz="4" w:space="4" w:color="000000"/>
          <w:bottom w:val="single" w:sz="4" w:space="1" w:color="000000"/>
          <w:right w:val="single" w:sz="4" w:space="4" w:color="000000"/>
        </w:pBdr>
        <w:suppressAutoHyphens/>
        <w:spacing w:before="0" w:beforeAutospacing="0" w:after="0" w:afterAutospacing="0"/>
        <w:jc w:val="left"/>
        <w:rPr>
          <w:rFonts w:ascii="Calibri" w:hAnsi="Calibri" w:cs="Calibri"/>
          <w:sz w:val="22"/>
          <w:szCs w:val="22"/>
          <w:lang w:val="en-GB"/>
        </w:rPr>
      </w:pPr>
      <w:r w:rsidRPr="006645DC">
        <w:rPr>
          <w:rFonts w:ascii="Calibri" w:hAnsi="Calibri" w:cs="Calibri"/>
          <w:sz w:val="22"/>
          <w:szCs w:val="22"/>
          <w:lang w:val="en-GB"/>
        </w:rPr>
        <w:t>South-Muntenia (Romania)</w:t>
      </w:r>
      <w:r w:rsidR="00290E9F" w:rsidRPr="006645DC">
        <w:rPr>
          <w:rFonts w:ascii="Calibri" w:hAnsi="Calibri" w:cs="Calibri"/>
          <w:sz w:val="22"/>
          <w:szCs w:val="22"/>
          <w:lang w:val="en-GB"/>
        </w:rPr>
        <w:t xml:space="preserve"> </w:t>
      </w:r>
      <w:r w:rsidR="00590B17" w:rsidRPr="006645DC">
        <w:rPr>
          <w:rFonts w:ascii="Calibri" w:hAnsi="Calibri" w:cs="Calibri"/>
          <w:b/>
          <w:sz w:val="22"/>
          <w:szCs w:val="22"/>
          <w:lang w:val="en-GB"/>
        </w:rPr>
        <w:t xml:space="preserve">includes administrative units from </w:t>
      </w:r>
      <w:r w:rsidR="00290E9F" w:rsidRPr="006645DC">
        <w:rPr>
          <w:rFonts w:ascii="Calibri" w:hAnsi="Calibri" w:cs="Calibri"/>
          <w:b/>
          <w:sz w:val="22"/>
          <w:szCs w:val="22"/>
          <w:lang w:val="en-GB"/>
        </w:rPr>
        <w:t>the RO-</w:t>
      </w:r>
      <w:r w:rsidR="00590B17" w:rsidRPr="006645DC">
        <w:rPr>
          <w:rFonts w:ascii="Calibri" w:hAnsi="Calibri" w:cs="Calibri"/>
          <w:b/>
          <w:sz w:val="22"/>
          <w:szCs w:val="22"/>
          <w:lang w:val="en-GB"/>
        </w:rPr>
        <w:t>BG CBC area</w:t>
      </w:r>
    </w:p>
    <w:p w14:paraId="24B94BB6" w14:textId="77777777" w:rsidR="006E1390" w:rsidRPr="006645DC" w:rsidRDefault="00B20E3C" w:rsidP="00B20E3C">
      <w:pPr>
        <w:pStyle w:val="Heading4"/>
        <w:rPr>
          <w:lang w:val="en-GB"/>
        </w:rPr>
      </w:pPr>
      <w:r w:rsidRPr="006645DC">
        <w:rPr>
          <w:lang w:val="en-GB"/>
        </w:rPr>
        <w:t>Classification of Eu</w:t>
      </w:r>
      <w:r w:rsidR="006E1390" w:rsidRPr="006645DC">
        <w:rPr>
          <w:lang w:val="en-GB"/>
        </w:rPr>
        <w:t xml:space="preserve">ropean regions function of GDP </w:t>
      </w:r>
    </w:p>
    <w:p w14:paraId="739A519E" w14:textId="77777777" w:rsidR="00B20E3C" w:rsidRPr="006645DC" w:rsidRDefault="00B20E3C" w:rsidP="00B20E3C">
      <w:pPr>
        <w:pStyle w:val="Heading4"/>
        <w:rPr>
          <w:lang w:val="en-GB"/>
        </w:rPr>
      </w:pPr>
      <w:r w:rsidRPr="006645DC">
        <w:rPr>
          <w:lang w:val="en-GB"/>
        </w:rPr>
        <w:t>source:</w:t>
      </w:r>
      <w:r w:rsidRPr="006645DC">
        <w:rPr>
          <w:rStyle w:val="Strong"/>
          <w:b w:val="0"/>
          <w:lang w:val="en-GB"/>
        </w:rPr>
        <w:t>Eurostat</w:t>
      </w:r>
      <w:r w:rsidRPr="006645DC">
        <w:rPr>
          <w:rStyle w:val="Strong"/>
          <w:i w:val="0"/>
          <w:lang w:val="en-GB"/>
        </w:rPr>
        <w:t xml:space="preserve">, </w:t>
      </w:r>
      <w:r w:rsidRPr="006645DC">
        <w:rPr>
          <w:rStyle w:val="Strong"/>
          <w:b w:val="0"/>
          <w:lang w:val="en-GB"/>
        </w:rPr>
        <w:t>2012</w:t>
      </w:r>
      <w:r w:rsidR="00590B17" w:rsidRPr="006645DC">
        <w:rPr>
          <w:rStyle w:val="Strong"/>
          <w:b w:val="0"/>
          <w:lang w:val="en-GB"/>
        </w:rPr>
        <w:t xml:space="preserve"> and comment by Détente Consultants</w:t>
      </w:r>
    </w:p>
    <w:p w14:paraId="023A05B3" w14:textId="77777777" w:rsidR="00B20E3C" w:rsidRPr="006645DC" w:rsidRDefault="00B20E3C" w:rsidP="00B20E3C">
      <w:pPr>
        <w:tabs>
          <w:tab w:val="left" w:pos="3680"/>
        </w:tabs>
        <w:rPr>
          <w:lang w:val="en-GB"/>
        </w:rPr>
      </w:pPr>
      <w:r w:rsidRPr="006645DC">
        <w:rPr>
          <w:lang w:val="en-GB"/>
        </w:rPr>
        <w:tab/>
      </w:r>
    </w:p>
    <w:p w14:paraId="06F95BB4" w14:textId="77777777" w:rsidR="00B20E3C" w:rsidRPr="006645DC" w:rsidRDefault="00B20E3C" w:rsidP="00B20E3C">
      <w:pPr>
        <w:rPr>
          <w:lang w:val="en-GB"/>
        </w:rPr>
      </w:pPr>
      <w:r w:rsidRPr="006645DC">
        <w:rPr>
          <w:lang w:val="en-GB"/>
        </w:rPr>
        <w:t xml:space="preserve">The economic development of the cross border area is therefore the key issue for enhancing the current situation. Our approach in analysing the economic development situation and potential will thus favour the economic areas/domains that can foster socio-economic development through strong multiplicative effects. The economic development key topics, promoted as such by the Europa 2020 Strategy, are research and innovation, SME’s competitiveness and enhancing human resource quality and mobility. We therefore structured our analysis around these aspects in order to identify where the cross-border EU funding can best serve the purpose of economic development.  </w:t>
      </w:r>
    </w:p>
    <w:p w14:paraId="273FBA4C" w14:textId="77777777" w:rsidR="00B20E3C" w:rsidRPr="006645DC" w:rsidRDefault="00B20E3C" w:rsidP="00BC27C5">
      <w:pPr>
        <w:pStyle w:val="Heading2"/>
        <w:numPr>
          <w:ilvl w:val="0"/>
          <w:numId w:val="9"/>
        </w:numPr>
        <w:rPr>
          <w:lang w:val="en-GB"/>
        </w:rPr>
      </w:pPr>
      <w:bookmarkStart w:id="29" w:name="_Toc373340822"/>
      <w:bookmarkStart w:id="30" w:name="_Toc376198404"/>
      <w:bookmarkStart w:id="31" w:name="_Toc254543750"/>
      <w:bookmarkStart w:id="32" w:name="_Toc391150160"/>
      <w:r w:rsidRPr="006645DC">
        <w:rPr>
          <w:lang w:val="en-GB"/>
        </w:rPr>
        <w:t>Economic development</w:t>
      </w:r>
      <w:bookmarkEnd w:id="29"/>
      <w:bookmarkEnd w:id="30"/>
      <w:bookmarkEnd w:id="31"/>
      <w:bookmarkEnd w:id="32"/>
    </w:p>
    <w:p w14:paraId="52DABF07" w14:textId="77777777" w:rsidR="00B20E3C" w:rsidRPr="006645DC" w:rsidRDefault="00B20E3C" w:rsidP="00C951D5">
      <w:pPr>
        <w:pStyle w:val="Heading3"/>
        <w:numPr>
          <w:ilvl w:val="0"/>
          <w:numId w:val="45"/>
        </w:numPr>
        <w:rPr>
          <w:lang w:val="en-GB"/>
        </w:rPr>
      </w:pPr>
      <w:bookmarkStart w:id="33" w:name="_Toc254543751"/>
      <w:r w:rsidRPr="006645DC">
        <w:rPr>
          <w:lang w:val="en-GB"/>
        </w:rPr>
        <w:t>General economic situation</w:t>
      </w:r>
      <w:bookmarkEnd w:id="33"/>
    </w:p>
    <w:p w14:paraId="2CDF60CC" w14:textId="77777777" w:rsidR="00B20E3C" w:rsidRPr="006645DC" w:rsidRDefault="00B20E3C" w:rsidP="00B20E3C">
      <w:pPr>
        <w:rPr>
          <w:lang w:val="en-GB"/>
        </w:rPr>
      </w:pPr>
      <w:r w:rsidRPr="006645DC">
        <w:rPr>
          <w:lang w:val="en-GB"/>
        </w:rPr>
        <w:t xml:space="preserve">The Romania-Bulgaria cross-border area includes, as we have already seen, one of the EU poorest NUTS 2 regions. At a NUTS 3 units level, we can see that all the cross border counties-districts, except Constanta, register less than 50% of the EU average GDP per inhabitant (in PPS).   </w:t>
      </w:r>
    </w:p>
    <w:p w14:paraId="10914DD3" w14:textId="77777777" w:rsidR="00B20E3C" w:rsidRPr="006645DC" w:rsidRDefault="00B20E3C" w:rsidP="00B20E3C">
      <w:pPr>
        <w:pStyle w:val="BodyText"/>
        <w:rPr>
          <w:rFonts w:ascii="Calibri" w:hAnsi="Calibri" w:cs="Times New Roman"/>
          <w:lang w:val="en-GB"/>
        </w:rPr>
      </w:pPr>
    </w:p>
    <w:p w14:paraId="316357B8" w14:textId="77777777" w:rsidR="00B20E3C" w:rsidRPr="006645DC" w:rsidRDefault="00AA4C82" w:rsidP="00B20E3C">
      <w:pPr>
        <w:pStyle w:val="BodyText"/>
        <w:jc w:val="center"/>
        <w:rPr>
          <w:rFonts w:ascii="Calibri" w:hAnsi="Calibri" w:cs="Times New Roman"/>
          <w:lang w:val="en-GB"/>
        </w:rPr>
      </w:pPr>
      <w:r w:rsidRPr="006645DC">
        <w:rPr>
          <w:noProof/>
          <w:snapToGrid/>
          <w:lang w:val="bg-BG" w:eastAsia="bg-BG"/>
        </w:rPr>
        <w:lastRenderedPageBreak/>
        <w:drawing>
          <wp:inline distT="0" distB="0" distL="0" distR="0" wp14:anchorId="753C30AE" wp14:editId="21246A2A">
            <wp:extent cx="5105400" cy="5724525"/>
            <wp:effectExtent l="19050" t="0" r="0" b="0"/>
            <wp:docPr id="469" name="Picture 15" descr="Description: http://epp.eurostat.ec.europa.eu/statistics_explained/images/7/7c/Gross_domestic_product_%28GDP%29_per_inhabitant%2C_in_purchasing_power_standard_%28PPS%29%2C_by_NUTS_3_regions%2C_2010_%281%29_%28%25_of_the_EU-27_average%2C_EU-27_%3D_100%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http://epp.eurostat.ec.europa.eu/statistics_explained/images/7/7c/Gross_domestic_product_%28GDP%29_per_inhabitant%2C_in_purchasing_power_standard_%28PPS%29%2C_by_NUTS_3_regions%2C_2010_%281%29_%28%25_of_the_EU-27_average%2C_EU-27_%3D_100%29.png"/>
                    <pic:cNvPicPr>
                      <a:picLocks noChangeAspect="1" noChangeArrowheads="1"/>
                    </pic:cNvPicPr>
                  </pic:nvPicPr>
                  <pic:blipFill>
                    <a:blip r:embed="rId31"/>
                    <a:srcRect/>
                    <a:stretch>
                      <a:fillRect/>
                    </a:stretch>
                  </pic:blipFill>
                  <pic:spPr bwMode="auto">
                    <a:xfrm>
                      <a:off x="0" y="0"/>
                      <a:ext cx="5105400" cy="5724525"/>
                    </a:xfrm>
                    <a:prstGeom prst="rect">
                      <a:avLst/>
                    </a:prstGeom>
                    <a:noFill/>
                    <a:ln w="9525">
                      <a:noFill/>
                      <a:miter lim="800000"/>
                      <a:headEnd/>
                      <a:tailEnd/>
                    </a:ln>
                  </pic:spPr>
                </pic:pic>
              </a:graphicData>
            </a:graphic>
          </wp:inline>
        </w:drawing>
      </w:r>
    </w:p>
    <w:p w14:paraId="4B28ECEF" w14:textId="77777777" w:rsidR="00B20E3C" w:rsidRPr="006645DC" w:rsidRDefault="006E1390" w:rsidP="006E1390">
      <w:pPr>
        <w:pStyle w:val="Caption"/>
        <w:rPr>
          <w:rFonts w:cs="Times New Roman"/>
          <w:lang w:val="en-GB"/>
        </w:rPr>
      </w:pPr>
      <w:bookmarkStart w:id="34" w:name="_Toc391150006"/>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2</w:t>
      </w:r>
      <w:r w:rsidR="005979EB" w:rsidRPr="006645DC">
        <w:rPr>
          <w:lang w:val="en-GB"/>
        </w:rPr>
        <w:fldChar w:fldCharType="end"/>
      </w:r>
      <w:r w:rsidRPr="006645DC">
        <w:rPr>
          <w:lang w:val="en-GB"/>
        </w:rPr>
        <w:t xml:space="preserve"> - </w:t>
      </w:r>
      <w:r w:rsidRPr="006645DC">
        <w:rPr>
          <w:rFonts w:cs="Times New Roman"/>
          <w:lang w:val="en-GB"/>
        </w:rPr>
        <w:t>Gross domestic product (GDP) per inhabitant, in purchasing power standard (PPS), by NUTS 3 regions, 2010</w:t>
      </w:r>
      <w:bookmarkEnd w:id="34"/>
    </w:p>
    <w:p w14:paraId="7C166469" w14:textId="77777777" w:rsidR="00B20E3C" w:rsidRPr="006645DC" w:rsidRDefault="00B20E3C" w:rsidP="006E1390">
      <w:pPr>
        <w:pStyle w:val="Heading4"/>
        <w:rPr>
          <w:lang w:val="en-GB"/>
        </w:rPr>
      </w:pPr>
      <w:r w:rsidRPr="006645DC">
        <w:rPr>
          <w:lang w:val="en-GB"/>
        </w:rPr>
        <w:t>Source</w:t>
      </w:r>
      <w:r w:rsidR="0047152B" w:rsidRPr="006645DC">
        <w:rPr>
          <w:lang w:val="en-GB"/>
        </w:rPr>
        <w:t xml:space="preserve">: </w:t>
      </w:r>
      <w:r w:rsidRPr="006645DC">
        <w:rPr>
          <w:lang w:val="en-GB"/>
        </w:rPr>
        <w:t>Eurostat</w:t>
      </w:r>
    </w:p>
    <w:p w14:paraId="02171D50" w14:textId="77777777" w:rsidR="006E1390" w:rsidRPr="006645DC" w:rsidRDefault="006E1390" w:rsidP="006E1390">
      <w:pPr>
        <w:rPr>
          <w:lang w:val="en-GB"/>
        </w:rPr>
      </w:pPr>
    </w:p>
    <w:p w14:paraId="4BCC41A1" w14:textId="77777777" w:rsidR="00B20E3C" w:rsidRPr="006645DC" w:rsidRDefault="00AA4C82" w:rsidP="00B20E3C">
      <w:pPr>
        <w:pStyle w:val="BodyText"/>
        <w:rPr>
          <w:rFonts w:ascii="Calibri" w:hAnsi="Calibri" w:cs="Times New Roman"/>
          <w:lang w:val="en-GB"/>
        </w:rPr>
      </w:pPr>
      <w:r w:rsidRPr="006645DC">
        <w:rPr>
          <w:rFonts w:ascii="Calibri" w:hAnsi="Calibri" w:cs="Times New Roman"/>
          <w:noProof/>
          <w:snapToGrid/>
          <w:lang w:val="bg-BG" w:eastAsia="bg-BG"/>
        </w:rPr>
        <w:lastRenderedPageBreak/>
        <w:drawing>
          <wp:inline distT="0" distB="0" distL="0" distR="0" wp14:anchorId="0D0996EA" wp14:editId="43EF57B0">
            <wp:extent cx="5495925" cy="3209925"/>
            <wp:effectExtent l="0" t="0" r="0" b="0"/>
            <wp:docPr id="468" name="Chart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5FEA6D6" w14:textId="77777777" w:rsidR="00181E7F" w:rsidRPr="006645DC" w:rsidRDefault="00181E7F" w:rsidP="00181E7F">
      <w:pPr>
        <w:pStyle w:val="Caption"/>
        <w:rPr>
          <w:lang w:val="en-GB"/>
        </w:rPr>
      </w:pPr>
      <w:bookmarkStart w:id="35" w:name="_Toc391150050"/>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1</w:t>
      </w:r>
      <w:r w:rsidR="005979EB" w:rsidRPr="006645DC">
        <w:rPr>
          <w:lang w:val="en-GB"/>
        </w:rPr>
        <w:fldChar w:fldCharType="end"/>
      </w:r>
      <w:r w:rsidRPr="006645DC">
        <w:rPr>
          <w:lang w:val="en-GB"/>
        </w:rPr>
        <w:t xml:space="preserve"> - Evolution of the GDP of cross-border counties/districts, 2008-2010</w:t>
      </w:r>
      <w:bookmarkEnd w:id="35"/>
    </w:p>
    <w:p w14:paraId="45535F6C" w14:textId="77777777" w:rsidR="00B20E3C" w:rsidRPr="006645DC" w:rsidRDefault="00B20E3C" w:rsidP="006E1390">
      <w:pPr>
        <w:pStyle w:val="Heading4"/>
        <w:rPr>
          <w:lang w:val="en-GB"/>
        </w:rPr>
      </w:pPr>
      <w:r w:rsidRPr="006645DC">
        <w:rPr>
          <w:lang w:val="en-GB"/>
        </w:rPr>
        <w:t>Source: INS, Eurostat</w:t>
      </w:r>
    </w:p>
    <w:p w14:paraId="2A80797E" w14:textId="77777777" w:rsidR="00B20E3C" w:rsidRPr="006645DC" w:rsidRDefault="00B20E3C" w:rsidP="00B20E3C">
      <w:pPr>
        <w:rPr>
          <w:lang w:val="en-GB"/>
        </w:rPr>
      </w:pPr>
      <w:r w:rsidRPr="006645DC">
        <w:rPr>
          <w:lang w:val="en-GB"/>
        </w:rPr>
        <w:t xml:space="preserve">The chart above illustrates the important disparities inside the cross border area. Constanta and Dolj produce several times more than the rest of the counties.  Inside the BG area, Ruse and Veliko Turnovo perform marginally better than the rest. Silistra and Vidin display worryingly low levels of GDP even at a cross-border level. </w:t>
      </w:r>
    </w:p>
    <w:p w14:paraId="1DC1A6A6" w14:textId="748DF9B2" w:rsidR="00B20E3C" w:rsidRPr="006645DC" w:rsidRDefault="00B20E3C" w:rsidP="00B20E3C">
      <w:pPr>
        <w:rPr>
          <w:lang w:val="en-GB"/>
        </w:rPr>
      </w:pPr>
      <w:r w:rsidRPr="006645DC">
        <w:rPr>
          <w:lang w:val="en-GB"/>
        </w:rPr>
        <w:t>The chart also indicates the impact of the economic crisis that started to be felt at the end of 2008. Then, 2009 was a year of general recession in all the cross border counties/districts, while 2010 saw a recovery in only some of them: Constanta, Olt, Giurgiu,</w:t>
      </w:r>
      <w:r w:rsidR="00290E9F" w:rsidRPr="006645DC">
        <w:rPr>
          <w:lang w:val="en-GB"/>
        </w:rPr>
        <w:t xml:space="preserve"> </w:t>
      </w:r>
      <w:r w:rsidR="00B55C50" w:rsidRPr="006645DC">
        <w:rPr>
          <w:lang w:val="en-GB"/>
        </w:rPr>
        <w:t>Calarasi and Vratsa. Veliko Turnovo,</w:t>
      </w:r>
      <w:r w:rsidRPr="006645DC">
        <w:rPr>
          <w:lang w:val="en-GB"/>
        </w:rPr>
        <w:t xml:space="preserve"> Dobric</w:t>
      </w:r>
      <w:r w:rsidR="00B55C50" w:rsidRPr="006645DC">
        <w:rPr>
          <w:lang w:val="en-GB"/>
        </w:rPr>
        <w:t>h</w:t>
      </w:r>
      <w:r w:rsidRPr="006645DC">
        <w:rPr>
          <w:lang w:val="en-GB"/>
        </w:rPr>
        <w:t xml:space="preserve">.  Vidin and Silistra, the lowest GDPs of the area, did not manage to overcome the crisis in 2010. </w:t>
      </w:r>
    </w:p>
    <w:p w14:paraId="2922F9E9" w14:textId="77777777" w:rsidR="00B20E3C" w:rsidRPr="006645DC" w:rsidRDefault="00B20E3C" w:rsidP="00B20E3C">
      <w:pPr>
        <w:rPr>
          <w:lang w:val="en-GB"/>
        </w:rPr>
      </w:pPr>
      <w:r w:rsidRPr="006645DC">
        <w:rPr>
          <w:lang w:val="en-GB"/>
        </w:rPr>
        <w:t xml:space="preserve">The cross border area share of each nation’s GDP is low: it produces less than its relative importance in terms of population and territorial size. The Romania cross-border area ratio of the Romanian GDP remained constant between 11%-12% (latest INS figures, expressed in EUR) and amounted to 14.7 billion EUR, with a slight increase during the crisis period. </w:t>
      </w:r>
      <w:r w:rsidRPr="006645DC">
        <w:rPr>
          <w:snapToGrid w:val="0"/>
          <w:lang w:val="en-GB" w:eastAsia="ro-RO"/>
        </w:rPr>
        <w:t>The Bulgarian cross-border area is one of the less developed Bulgarian regions as the latest NUTS 3 Eurostat data show. The cross-border region accounts for 13.51% of the Bulgarian GDP, which represented 4 801 million EUR in 2010.</w:t>
      </w:r>
    </w:p>
    <w:p w14:paraId="3DDA1DB0" w14:textId="77777777" w:rsidR="00B20E3C" w:rsidRPr="006645DC" w:rsidRDefault="00B20E3C" w:rsidP="00B20E3C">
      <w:pPr>
        <w:rPr>
          <w:snapToGrid w:val="0"/>
          <w:lang w:val="en-GB" w:eastAsia="ro-RO"/>
        </w:rPr>
      </w:pPr>
      <w:r w:rsidRPr="006645DC">
        <w:rPr>
          <w:snapToGrid w:val="0"/>
          <w:lang w:val="en-GB" w:eastAsia="ro-RO"/>
        </w:rPr>
        <w:t xml:space="preserve">The GDP per inhabitant in PPS (purchasing power standard) confirms the low economic development and low productivity levels of the cross-border area. </w:t>
      </w:r>
    </w:p>
    <w:p w14:paraId="73B1ABB2" w14:textId="77777777" w:rsidR="00B20E3C" w:rsidRPr="006645DC" w:rsidRDefault="00B20E3C" w:rsidP="00B20E3C">
      <w:pPr>
        <w:rPr>
          <w:snapToGrid w:val="0"/>
          <w:lang w:val="en-GB" w:eastAsia="ro-RO"/>
        </w:rPr>
      </w:pPr>
      <w:r w:rsidRPr="006645DC">
        <w:rPr>
          <w:snapToGrid w:val="0"/>
          <w:lang w:val="en-GB" w:eastAsia="ro-RO"/>
        </w:rPr>
        <w:t xml:space="preserve">The chart below indicates the situation in the cross border area during the 2008-2010 economic crisis period.  The overall values are some of the lowest in the European Union. Even at a national level, except Constanta with a higher GDP/inhabitant (in PPS) than the national average, all the other </w:t>
      </w:r>
      <w:r w:rsidRPr="006645DC">
        <w:rPr>
          <w:snapToGrid w:val="0"/>
          <w:lang w:val="en-GB" w:eastAsia="ro-RO"/>
        </w:rPr>
        <w:lastRenderedPageBreak/>
        <w:t>counties/districts displayed lower values than the national ones (Silistra had in 2010 only 48% of the national GDP/capita). Some of the counties/districts, such as Teleorman, Mehedinti, Olt Vidin and Silistra display around half of their respective national averages.</w:t>
      </w:r>
    </w:p>
    <w:p w14:paraId="0214C5CD" w14:textId="77777777" w:rsidR="00B20E3C" w:rsidRPr="006645DC" w:rsidRDefault="00B20E3C" w:rsidP="00137264">
      <w:pPr>
        <w:rPr>
          <w:lang w:val="en-GB" w:eastAsia="ro-RO"/>
        </w:rPr>
      </w:pPr>
      <w:r w:rsidRPr="006645DC">
        <w:rPr>
          <w:snapToGrid w:val="0"/>
          <w:lang w:val="en-GB" w:eastAsia="ro-RO"/>
        </w:rPr>
        <w:t xml:space="preserve">The disparities inside the cross-border region are also partially valid for the GDP per capita indicator with Constanta displaying almost the double of all the other counties. The Bulgarian districts display general lower level than the Romanian ones, with only Vratsa, Ruse and Dobric reaching the average of the Romanian counties. </w:t>
      </w:r>
    </w:p>
    <w:p w14:paraId="71F4FFF1" w14:textId="77777777" w:rsidR="00B20E3C" w:rsidRPr="006645DC" w:rsidRDefault="00AA4C82" w:rsidP="00B20E3C">
      <w:pPr>
        <w:jc w:val="center"/>
        <w:rPr>
          <w:lang w:val="en-GB" w:eastAsia="ro-RO"/>
        </w:rPr>
      </w:pPr>
      <w:r w:rsidRPr="006645DC">
        <w:rPr>
          <w:noProof/>
          <w:lang w:val="bg-BG" w:eastAsia="bg-BG"/>
        </w:rPr>
        <w:drawing>
          <wp:inline distT="0" distB="0" distL="0" distR="0" wp14:anchorId="5003DC1E" wp14:editId="3F205B4B">
            <wp:extent cx="5495925" cy="3209925"/>
            <wp:effectExtent l="0" t="0" r="0" b="0"/>
            <wp:docPr id="467" name="Chart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F0BC2C7" w14:textId="77777777" w:rsidR="006E1390" w:rsidRPr="006645DC" w:rsidRDefault="00181E7F" w:rsidP="00181E7F">
      <w:pPr>
        <w:pStyle w:val="Caption"/>
        <w:rPr>
          <w:lang w:val="en-GB"/>
        </w:rPr>
      </w:pPr>
      <w:bookmarkStart w:id="36" w:name="_Toc391150051"/>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2</w:t>
      </w:r>
      <w:r w:rsidR="005979EB" w:rsidRPr="006645DC">
        <w:rPr>
          <w:lang w:val="en-GB"/>
        </w:rPr>
        <w:fldChar w:fldCharType="end"/>
      </w:r>
      <w:r w:rsidRPr="006645DC">
        <w:rPr>
          <w:lang w:val="en-GB"/>
        </w:rPr>
        <w:t xml:space="preserve"> - </w:t>
      </w:r>
      <w:r w:rsidR="00B20E3C" w:rsidRPr="006645DC">
        <w:rPr>
          <w:lang w:val="en-GB"/>
        </w:rPr>
        <w:t>The cross-border counties evolution (2008-2010) of GDP per inhabitant in PPS in EUR</w:t>
      </w:r>
      <w:bookmarkEnd w:id="36"/>
    </w:p>
    <w:p w14:paraId="613C315F" w14:textId="77777777" w:rsidR="00B20E3C" w:rsidRPr="006645DC" w:rsidRDefault="00B20E3C" w:rsidP="00B20E3C">
      <w:pPr>
        <w:pStyle w:val="Heading4"/>
        <w:rPr>
          <w:lang w:val="en-GB" w:eastAsia="ro-RO"/>
        </w:rPr>
      </w:pPr>
      <w:r w:rsidRPr="006645DC">
        <w:rPr>
          <w:lang w:val="en-GB" w:eastAsia="ro-RO"/>
        </w:rPr>
        <w:t>source: INS Romania, NSI Bulgaria</w:t>
      </w:r>
    </w:p>
    <w:p w14:paraId="5D3EE4A0" w14:textId="77777777" w:rsidR="00B20E3C" w:rsidRPr="006645DC" w:rsidRDefault="00B20E3C" w:rsidP="00B20E3C">
      <w:pPr>
        <w:rPr>
          <w:snapToGrid w:val="0"/>
          <w:lang w:val="en-GB" w:eastAsia="ro-RO"/>
        </w:rPr>
      </w:pPr>
      <w:r w:rsidRPr="006645DC">
        <w:rPr>
          <w:snapToGrid w:val="0"/>
          <w:lang w:val="en-GB" w:eastAsia="ro-RO"/>
        </w:rPr>
        <w:t xml:space="preserve">The economic crisis had an important impact on the GDP per capita in PPP in the entire cross-border region. Some counties/districts managed to overcome this drop in 2010, while others like Teleroman, Mehedinti, Vidin, Montana, Pleven, Silistra and Ruse are facing constant decreases.  </w:t>
      </w:r>
    </w:p>
    <w:p w14:paraId="50D5A32B" w14:textId="77777777" w:rsidR="00B20E3C" w:rsidRPr="006645DC" w:rsidRDefault="00B20E3C" w:rsidP="00B20E3C">
      <w:pPr>
        <w:rPr>
          <w:snapToGrid w:val="0"/>
          <w:lang w:val="en-GB" w:eastAsia="ro-RO"/>
        </w:rPr>
      </w:pPr>
      <w:r w:rsidRPr="006645DC">
        <w:rPr>
          <w:snapToGrid w:val="0"/>
          <w:lang w:val="en-GB" w:eastAsia="ro-RO"/>
        </w:rPr>
        <w:t>Given these low macro-economic indicators, we will need a deeper analysis of the cross border companies</w:t>
      </w:r>
      <w:r w:rsidR="004D2DC0" w:rsidRPr="006645DC">
        <w:rPr>
          <w:snapToGrid w:val="0"/>
          <w:lang w:val="en-GB" w:eastAsia="ro-RO"/>
        </w:rPr>
        <w:t>’</w:t>
      </w:r>
      <w:r w:rsidRPr="006645DC">
        <w:rPr>
          <w:snapToGrid w:val="0"/>
          <w:lang w:val="en-GB" w:eastAsia="ro-RO"/>
        </w:rPr>
        <w:t xml:space="preserve"> economic indicators to better understand the programme area</w:t>
      </w:r>
      <w:r w:rsidR="004D2DC0" w:rsidRPr="006645DC">
        <w:rPr>
          <w:snapToGrid w:val="0"/>
          <w:lang w:val="en-GB" w:eastAsia="ro-RO"/>
        </w:rPr>
        <w:t>’s</w:t>
      </w:r>
      <w:r w:rsidRPr="006645DC">
        <w:rPr>
          <w:snapToGrid w:val="0"/>
          <w:lang w:val="en-GB" w:eastAsia="ro-RO"/>
        </w:rPr>
        <w:t xml:space="preserve"> economic structure, its actors and its disparities. </w:t>
      </w:r>
    </w:p>
    <w:p w14:paraId="2EE188AE" w14:textId="77777777" w:rsidR="00B20E3C" w:rsidRPr="006645DC" w:rsidRDefault="00B20E3C" w:rsidP="00B20E3C">
      <w:pPr>
        <w:pStyle w:val="Heading3"/>
        <w:rPr>
          <w:snapToGrid w:val="0"/>
          <w:lang w:val="en-GB" w:eastAsia="ro-RO"/>
        </w:rPr>
      </w:pPr>
      <w:bookmarkStart w:id="37" w:name="_Toc254543752"/>
      <w:r w:rsidRPr="006645DC">
        <w:rPr>
          <w:snapToGrid w:val="0"/>
          <w:lang w:val="en-GB" w:eastAsia="ro-RO"/>
        </w:rPr>
        <w:t>The structure of the economy</w:t>
      </w:r>
      <w:bookmarkEnd w:id="37"/>
      <w:r w:rsidRPr="006645DC">
        <w:rPr>
          <w:snapToGrid w:val="0"/>
          <w:lang w:val="en-GB" w:eastAsia="ro-RO"/>
        </w:rPr>
        <w:t xml:space="preserve"> </w:t>
      </w:r>
    </w:p>
    <w:p w14:paraId="1D454FCF" w14:textId="77777777" w:rsidR="00B20E3C" w:rsidRPr="006645DC" w:rsidRDefault="00B20E3C" w:rsidP="00B20E3C">
      <w:pPr>
        <w:rPr>
          <w:snapToGrid w:val="0"/>
          <w:lang w:val="en-GB" w:eastAsia="ro-RO"/>
        </w:rPr>
      </w:pPr>
      <w:r w:rsidRPr="006645DC">
        <w:rPr>
          <w:snapToGrid w:val="0"/>
          <w:lang w:val="en-GB" w:eastAsia="ro-RO"/>
        </w:rPr>
        <w:t xml:space="preserve">In the absence of statistics on the GDP per economic sector, we will use the turnover of the companies in the main economic sectors (agriculture, industry, constructions and services) in order to understand the area’s economic structure. </w:t>
      </w:r>
    </w:p>
    <w:p w14:paraId="07136E73" w14:textId="77777777" w:rsidR="00B20E3C" w:rsidRPr="006645DC" w:rsidRDefault="00B20E3C" w:rsidP="00B20E3C">
      <w:pPr>
        <w:rPr>
          <w:snapToGrid w:val="0"/>
          <w:lang w:val="en-GB" w:eastAsia="ro-RO"/>
        </w:rPr>
      </w:pPr>
      <w:r w:rsidRPr="006645DC">
        <w:rPr>
          <w:snapToGrid w:val="0"/>
          <w:lang w:val="en-GB" w:eastAsia="ro-RO"/>
        </w:rPr>
        <w:lastRenderedPageBreak/>
        <w:t>The charts below present the structure of the economy according to the turnover that companies registered in 2011 in each of the Romanian counties or Bulgarian districts in the cross-border area</w:t>
      </w:r>
      <w:r w:rsidRPr="006645DC">
        <w:rPr>
          <w:rStyle w:val="FootnoteReference"/>
          <w:snapToGrid w:val="0"/>
          <w:lang w:val="en-GB" w:eastAsia="ro-RO"/>
        </w:rPr>
        <w:footnoteReference w:id="6"/>
      </w:r>
      <w:r w:rsidRPr="006645DC">
        <w:rPr>
          <w:snapToGrid w:val="0"/>
          <w:lang w:val="en-GB" w:eastAsia="ro-RO"/>
        </w:rPr>
        <w:t>.</w:t>
      </w:r>
    </w:p>
    <w:p w14:paraId="0F80F8BD" w14:textId="77777777" w:rsidR="00B20E3C" w:rsidRPr="006645DC" w:rsidRDefault="00B20E3C" w:rsidP="00B20E3C">
      <w:pPr>
        <w:rPr>
          <w:lang w:val="en-GB" w:eastAsia="ro-RO"/>
        </w:rPr>
      </w:pPr>
    </w:p>
    <w:p w14:paraId="61D31EA9" w14:textId="77777777" w:rsidR="00B20E3C" w:rsidRPr="006645DC" w:rsidRDefault="00AA4C82" w:rsidP="00B20E3C">
      <w:pPr>
        <w:jc w:val="center"/>
        <w:rPr>
          <w:lang w:val="en-GB" w:eastAsia="ro-RO"/>
        </w:rPr>
      </w:pPr>
      <w:r w:rsidRPr="006645DC">
        <w:rPr>
          <w:noProof/>
          <w:lang w:val="bg-BG" w:eastAsia="bg-BG"/>
        </w:rPr>
        <w:drawing>
          <wp:inline distT="0" distB="0" distL="0" distR="0" wp14:anchorId="575B1167" wp14:editId="5BB78F5B">
            <wp:extent cx="5483739" cy="3197743"/>
            <wp:effectExtent l="6093" t="6091" r="6093" b="6091"/>
            <wp:docPr id="463" name="Char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7B4C157A" w14:textId="77777777" w:rsidR="006E1390" w:rsidRPr="006645DC" w:rsidRDefault="00181E7F" w:rsidP="00181E7F">
      <w:pPr>
        <w:pStyle w:val="Caption"/>
        <w:rPr>
          <w:lang w:val="en-GB"/>
        </w:rPr>
      </w:pPr>
      <w:bookmarkStart w:id="38" w:name="_Toc391150052"/>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3</w:t>
      </w:r>
      <w:r w:rsidR="005979EB" w:rsidRPr="006645DC">
        <w:rPr>
          <w:lang w:val="en-GB"/>
        </w:rPr>
        <w:fldChar w:fldCharType="end"/>
      </w:r>
      <w:r w:rsidRPr="006645DC">
        <w:rPr>
          <w:lang w:val="en-GB"/>
        </w:rPr>
        <w:t xml:space="preserve"> - </w:t>
      </w:r>
      <w:r w:rsidR="00B20E3C" w:rsidRPr="006645DC">
        <w:rPr>
          <w:lang w:val="en-GB"/>
        </w:rPr>
        <w:t>The distribution of the turnover of companies in the Romanian counties b</w:t>
      </w:r>
      <w:r w:rsidR="006E1390" w:rsidRPr="006645DC">
        <w:rPr>
          <w:lang w:val="en-GB"/>
        </w:rPr>
        <w:t>etween economic sectors – 2011</w:t>
      </w:r>
      <w:bookmarkEnd w:id="38"/>
    </w:p>
    <w:p w14:paraId="30E0F297" w14:textId="77777777" w:rsidR="00B20E3C" w:rsidRPr="006645DC" w:rsidRDefault="00B20E3C" w:rsidP="00B20E3C">
      <w:pPr>
        <w:pStyle w:val="Heading4"/>
        <w:rPr>
          <w:lang w:val="en-GB" w:eastAsia="ro-RO"/>
        </w:rPr>
      </w:pPr>
      <w:r w:rsidRPr="006645DC">
        <w:rPr>
          <w:lang w:val="en-GB" w:eastAsia="ro-RO"/>
        </w:rPr>
        <w:t>source: INS of the counties concerned (Constanta figures are for 2010) – millions of EUR  Detente calculation</w:t>
      </w:r>
    </w:p>
    <w:p w14:paraId="40C75BB4" w14:textId="77777777" w:rsidR="00181E7F" w:rsidRPr="006645DC" w:rsidRDefault="00181E7F" w:rsidP="00181E7F">
      <w:pPr>
        <w:rPr>
          <w:lang w:val="en-GB" w:eastAsia="ro-RO"/>
        </w:rPr>
      </w:pPr>
    </w:p>
    <w:p w14:paraId="3B15E1DB" w14:textId="77777777" w:rsidR="00B20E3C" w:rsidRPr="006645DC" w:rsidRDefault="00AA4C82" w:rsidP="00B20E3C">
      <w:pPr>
        <w:jc w:val="center"/>
        <w:rPr>
          <w:lang w:val="en-GB" w:eastAsia="ro-RO"/>
        </w:rPr>
      </w:pPr>
      <w:r w:rsidRPr="006645DC">
        <w:rPr>
          <w:noProof/>
          <w:lang w:val="bg-BG" w:eastAsia="bg-BG"/>
        </w:rPr>
        <w:lastRenderedPageBreak/>
        <w:drawing>
          <wp:inline distT="0" distB="0" distL="0" distR="0" wp14:anchorId="2C038853" wp14:editId="1E91B212">
            <wp:extent cx="5495925" cy="3209925"/>
            <wp:effectExtent l="0" t="0" r="0" b="0"/>
            <wp:docPr id="462"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518663C0" w14:textId="77777777" w:rsidR="006E1390" w:rsidRPr="006645DC" w:rsidRDefault="00181E7F" w:rsidP="00181E7F">
      <w:pPr>
        <w:pStyle w:val="Caption"/>
        <w:rPr>
          <w:lang w:val="en-GB"/>
        </w:rPr>
      </w:pPr>
      <w:bookmarkStart w:id="39" w:name="_Toc391150053"/>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4</w:t>
      </w:r>
      <w:r w:rsidR="005979EB" w:rsidRPr="006645DC">
        <w:rPr>
          <w:lang w:val="en-GB"/>
        </w:rPr>
        <w:fldChar w:fldCharType="end"/>
      </w:r>
      <w:r w:rsidRPr="006645DC">
        <w:rPr>
          <w:lang w:val="en-GB"/>
        </w:rPr>
        <w:t xml:space="preserve"> - </w:t>
      </w:r>
      <w:r w:rsidR="00B20E3C" w:rsidRPr="006645DC">
        <w:rPr>
          <w:lang w:val="en-GB"/>
        </w:rPr>
        <w:t>The distribution of the turnover of companies in the Bulgarian districts b</w:t>
      </w:r>
      <w:r w:rsidR="006E1390" w:rsidRPr="006645DC">
        <w:rPr>
          <w:lang w:val="en-GB"/>
        </w:rPr>
        <w:t>etween economic sectors – 2011</w:t>
      </w:r>
      <w:bookmarkEnd w:id="39"/>
    </w:p>
    <w:p w14:paraId="2BADAABF" w14:textId="77777777" w:rsidR="00B20E3C" w:rsidRPr="006645DC" w:rsidRDefault="00B20E3C" w:rsidP="00B20E3C">
      <w:pPr>
        <w:pStyle w:val="Heading4"/>
        <w:rPr>
          <w:lang w:val="en-GB" w:eastAsia="ro-RO"/>
        </w:rPr>
      </w:pPr>
      <w:r w:rsidRPr="006645DC">
        <w:rPr>
          <w:lang w:val="en-GB" w:eastAsia="ro-RO"/>
        </w:rPr>
        <w:t xml:space="preserve">source: NSI of the counties concerned  – millions of EUR.  Detente calculation </w:t>
      </w:r>
    </w:p>
    <w:p w14:paraId="407C2DBD" w14:textId="77777777" w:rsidR="00B20E3C" w:rsidRPr="006645DC" w:rsidRDefault="00B20E3C" w:rsidP="00B20E3C">
      <w:pPr>
        <w:rPr>
          <w:lang w:val="en-GB" w:eastAsia="ro-RO"/>
        </w:rPr>
      </w:pPr>
      <w:r w:rsidRPr="006645DC">
        <w:rPr>
          <w:lang w:val="en-GB" w:eastAsia="ro-RO"/>
        </w:rPr>
        <w:t xml:space="preserve">Even though there is a general dominance of the services sector, its level of development is still limited compared to Western Europe levels that are much higher. Moreover, considering the importance of the public services in rural areas’ economy, we can consider that the part of the private services sector is even less important. This illustrates the primary and secondary sectors constant importance in the overall economy of the cross-border region. </w:t>
      </w:r>
    </w:p>
    <w:p w14:paraId="76F38905" w14:textId="6386F5D2" w:rsidR="00B20E3C" w:rsidRPr="006645DC" w:rsidRDefault="00B20E3C" w:rsidP="00B20E3C">
      <w:pPr>
        <w:rPr>
          <w:lang w:val="en-GB" w:eastAsia="ro-RO"/>
        </w:rPr>
      </w:pPr>
      <w:r w:rsidRPr="006645DC">
        <w:rPr>
          <w:lang w:val="en-GB" w:eastAsia="ro-RO"/>
        </w:rPr>
        <w:t xml:space="preserve">The most </w:t>
      </w:r>
      <w:r w:rsidR="00A30BED" w:rsidRPr="006645DC">
        <w:rPr>
          <w:lang w:val="en-GB" w:eastAsia="ro-RO"/>
        </w:rPr>
        <w:t xml:space="preserve">economically </w:t>
      </w:r>
      <w:r w:rsidRPr="006645DC">
        <w:rPr>
          <w:lang w:val="en-GB" w:eastAsia="ro-RO"/>
        </w:rPr>
        <w:t>dynamic counties (Constanta, Dolj, Olt, Veliko Tu</w:t>
      </w:r>
      <w:r w:rsidR="00A30BED" w:rsidRPr="006645DC">
        <w:rPr>
          <w:lang w:val="en-GB" w:eastAsia="ro-RO"/>
        </w:rPr>
        <w:t>rnovo, Montana, Ruse) display</w:t>
      </w:r>
      <w:r w:rsidRPr="006645DC">
        <w:rPr>
          <w:lang w:val="en-GB" w:eastAsia="ro-RO"/>
        </w:rPr>
        <w:t xml:space="preserve"> turnovers for industrial companies that are almost equal and even </w:t>
      </w:r>
      <w:r w:rsidR="00D96D26" w:rsidRPr="006645DC">
        <w:rPr>
          <w:lang w:val="en-GB" w:eastAsia="ro-RO"/>
        </w:rPr>
        <w:t>higher than</w:t>
      </w:r>
      <w:r w:rsidRPr="006645DC">
        <w:rPr>
          <w:lang w:val="en-GB" w:eastAsia="ro-RO"/>
        </w:rPr>
        <w:t xml:space="preserve"> the turnover in the services sector. With agriculture and constructions being responsible for a small part of the regional economy turnover, this seems to indicate that the economic driver of the area remains the industry. The construction sector is logically more developed in the most developed counties/districts. </w:t>
      </w:r>
    </w:p>
    <w:p w14:paraId="77DC6B17" w14:textId="77777777" w:rsidR="00B20E3C" w:rsidRPr="006645DC" w:rsidRDefault="00B20E3C" w:rsidP="00B20E3C">
      <w:pPr>
        <w:rPr>
          <w:lang w:val="en-GB" w:eastAsia="ro-RO"/>
        </w:rPr>
      </w:pPr>
      <w:r w:rsidRPr="006645DC">
        <w:rPr>
          <w:lang w:val="en-GB" w:eastAsia="ro-RO"/>
        </w:rPr>
        <w:t xml:space="preserve">As in the case of GDP, the turnover figures indicate disparities inside the cross-border region, with many counties and districts displaying overall turnovers that are the tenth or the fifth of Constanta’s one.  Dolj has the second place with half of Constanta’s turnover, while the best performing BG districts, Veliko Turnovo and Ruse, display around a third of Constanta’s figures.  </w:t>
      </w:r>
    </w:p>
    <w:p w14:paraId="5E054F4F" w14:textId="1C87E520" w:rsidR="00B20E3C" w:rsidRPr="006645DC" w:rsidRDefault="00B20E3C" w:rsidP="00B20E3C">
      <w:pPr>
        <w:rPr>
          <w:lang w:val="en-GB" w:eastAsia="ro-RO"/>
        </w:rPr>
      </w:pPr>
      <w:r w:rsidRPr="006645DC">
        <w:rPr>
          <w:lang w:val="en-GB" w:eastAsia="ro-RO"/>
        </w:rPr>
        <w:t>The pie</w:t>
      </w:r>
      <w:r w:rsidR="00D96D26" w:rsidRPr="006645DC">
        <w:rPr>
          <w:lang w:val="en-GB" w:eastAsia="ro-RO"/>
        </w:rPr>
        <w:t xml:space="preserve"> </w:t>
      </w:r>
      <w:r w:rsidR="00717722" w:rsidRPr="006645DC">
        <w:rPr>
          <w:lang w:val="en-GB" w:eastAsia="ro-RO"/>
        </w:rPr>
        <w:t>chart below presents</w:t>
      </w:r>
      <w:r w:rsidRPr="006645DC">
        <w:rPr>
          <w:lang w:val="en-GB" w:eastAsia="ro-RO"/>
        </w:rPr>
        <w:t xml:space="preserve"> the distribution of turnover between sectors in the two cross-border areas. They indicate that the service sector is more developed on the Bulgarian side while the agriculture one is more important in Romania.  </w:t>
      </w:r>
    </w:p>
    <w:p w14:paraId="0CC07094" w14:textId="77777777" w:rsidR="00B20E3C" w:rsidRPr="006645DC" w:rsidRDefault="00B20E3C" w:rsidP="00B20E3C">
      <w:pPr>
        <w:jc w:val="center"/>
        <w:rPr>
          <w:lang w:val="en-GB"/>
        </w:rPr>
      </w:pPr>
    </w:p>
    <w:p w14:paraId="4DABA04D" w14:textId="77777777" w:rsidR="00B20E3C" w:rsidRPr="006645DC" w:rsidRDefault="00AA4C82" w:rsidP="00B20E3C">
      <w:pPr>
        <w:jc w:val="center"/>
        <w:rPr>
          <w:lang w:val="en-GB"/>
        </w:rPr>
      </w:pPr>
      <w:r w:rsidRPr="006645DC">
        <w:rPr>
          <w:noProof/>
          <w:lang w:val="bg-BG" w:eastAsia="bg-BG"/>
        </w:rPr>
        <w:lastRenderedPageBreak/>
        <w:drawing>
          <wp:inline distT="0" distB="0" distL="0" distR="0" wp14:anchorId="56690ED1" wp14:editId="176A3D32">
            <wp:extent cx="4486275" cy="2619375"/>
            <wp:effectExtent l="0" t="0" r="0" b="0"/>
            <wp:docPr id="461"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C318F33" w14:textId="77777777" w:rsidR="008804DC" w:rsidRPr="006645DC" w:rsidRDefault="008804DC" w:rsidP="008804DC">
      <w:pPr>
        <w:pStyle w:val="Caption"/>
        <w:rPr>
          <w:lang w:val="en-GB"/>
        </w:rPr>
      </w:pPr>
      <w:bookmarkStart w:id="40" w:name="_Toc391150054"/>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5</w:t>
      </w:r>
      <w:r w:rsidR="005979EB" w:rsidRPr="006645DC">
        <w:rPr>
          <w:lang w:val="en-GB"/>
        </w:rPr>
        <w:fldChar w:fldCharType="end"/>
      </w:r>
      <w:r w:rsidRPr="006645DC">
        <w:rPr>
          <w:lang w:val="en-GB"/>
        </w:rPr>
        <w:t xml:space="preserve"> - Romanian cross-border region – turnover of companies 2011</w:t>
      </w:r>
      <w:bookmarkEnd w:id="40"/>
    </w:p>
    <w:p w14:paraId="244F8094" w14:textId="77777777" w:rsidR="00B20E3C" w:rsidRPr="006645DC" w:rsidRDefault="00B20E3C" w:rsidP="00181E7F">
      <w:pPr>
        <w:pStyle w:val="Heading4"/>
        <w:rPr>
          <w:rFonts w:ascii="Times" w:hAnsi="Times"/>
          <w:sz w:val="20"/>
          <w:szCs w:val="20"/>
          <w:lang w:val="en-GB"/>
        </w:rPr>
      </w:pPr>
      <w:r w:rsidRPr="006645DC">
        <w:rPr>
          <w:lang w:val="en-GB" w:eastAsia="ro-RO"/>
        </w:rPr>
        <w:t>Source: Detente calculation</w:t>
      </w:r>
    </w:p>
    <w:p w14:paraId="19047A92" w14:textId="77777777" w:rsidR="00B20E3C" w:rsidRPr="006645DC" w:rsidRDefault="00B20E3C" w:rsidP="00B20E3C">
      <w:pPr>
        <w:jc w:val="center"/>
        <w:rPr>
          <w:lang w:val="en-GB"/>
        </w:rPr>
      </w:pPr>
    </w:p>
    <w:p w14:paraId="5BDEED7B" w14:textId="77777777" w:rsidR="00181E7F" w:rsidRPr="006645DC" w:rsidRDefault="00AA4C82" w:rsidP="00181E7F">
      <w:pPr>
        <w:jc w:val="center"/>
        <w:rPr>
          <w:lang w:val="en-GB" w:eastAsia="ro-RO"/>
        </w:rPr>
      </w:pPr>
      <w:r w:rsidRPr="006645DC">
        <w:rPr>
          <w:noProof/>
          <w:lang w:val="bg-BG" w:eastAsia="bg-BG"/>
        </w:rPr>
        <w:drawing>
          <wp:inline distT="0" distB="0" distL="0" distR="0" wp14:anchorId="61BA75C3" wp14:editId="4944A86F">
            <wp:extent cx="4569339" cy="2672347"/>
            <wp:effectExtent l="6093" t="6090" r="6093" b="7613"/>
            <wp:docPr id="460"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2497B9A" w14:textId="77777777" w:rsidR="008804DC" w:rsidRPr="006645DC" w:rsidRDefault="008804DC" w:rsidP="008804DC">
      <w:pPr>
        <w:pStyle w:val="Caption"/>
        <w:rPr>
          <w:lang w:val="en-GB"/>
        </w:rPr>
      </w:pPr>
      <w:bookmarkStart w:id="41" w:name="_Toc391150055"/>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6</w:t>
      </w:r>
      <w:r w:rsidR="005979EB" w:rsidRPr="006645DC">
        <w:rPr>
          <w:lang w:val="en-GB"/>
        </w:rPr>
        <w:fldChar w:fldCharType="end"/>
      </w:r>
      <w:r w:rsidRPr="006645DC">
        <w:rPr>
          <w:lang w:val="en-GB"/>
        </w:rPr>
        <w:t xml:space="preserve"> - Bulgarian cross-border region – turnover of companies 2011</w:t>
      </w:r>
      <w:bookmarkEnd w:id="41"/>
    </w:p>
    <w:p w14:paraId="28177659" w14:textId="77777777" w:rsidR="00181E7F" w:rsidRPr="006645DC" w:rsidRDefault="00B20E3C" w:rsidP="00181E7F">
      <w:pPr>
        <w:pStyle w:val="Heading4"/>
        <w:rPr>
          <w:lang w:val="en-GB" w:eastAsia="ro-RO"/>
        </w:rPr>
      </w:pPr>
      <w:r w:rsidRPr="006645DC">
        <w:rPr>
          <w:lang w:val="en-GB" w:eastAsia="ro-RO"/>
        </w:rPr>
        <w:t>Source: Detente calculation</w:t>
      </w:r>
    </w:p>
    <w:p w14:paraId="2723FF0A" w14:textId="77777777" w:rsidR="00181E7F" w:rsidRPr="006645DC" w:rsidRDefault="00181E7F" w:rsidP="00181E7F">
      <w:pPr>
        <w:jc w:val="center"/>
        <w:rPr>
          <w:lang w:val="en-GB" w:eastAsia="ro-RO"/>
        </w:rPr>
      </w:pPr>
    </w:p>
    <w:p w14:paraId="2AFBD9C8" w14:textId="77777777" w:rsidR="00181E7F" w:rsidRPr="006645DC" w:rsidRDefault="00181E7F" w:rsidP="00181E7F">
      <w:pPr>
        <w:jc w:val="center"/>
        <w:rPr>
          <w:lang w:val="en-GB" w:eastAsia="ro-RO"/>
        </w:rPr>
      </w:pPr>
    </w:p>
    <w:p w14:paraId="1ADE9B82" w14:textId="77777777" w:rsidR="00181E7F" w:rsidRPr="006645DC" w:rsidRDefault="00181E7F" w:rsidP="00181E7F">
      <w:pPr>
        <w:jc w:val="center"/>
        <w:rPr>
          <w:lang w:val="en-GB"/>
        </w:rPr>
      </w:pPr>
    </w:p>
    <w:p w14:paraId="69009980" w14:textId="77777777" w:rsidR="00B20E3C" w:rsidRPr="006645DC" w:rsidRDefault="00B20E3C" w:rsidP="00B20E3C">
      <w:pPr>
        <w:rPr>
          <w:lang w:val="en-GB"/>
        </w:rPr>
      </w:pPr>
      <w:r w:rsidRPr="006645DC">
        <w:rPr>
          <w:lang w:val="en-GB"/>
        </w:rPr>
        <w:lastRenderedPageBreak/>
        <w:t xml:space="preserve"> These differences are even clearer when we look at the occupancy profile.  This indicates that agriculture is in the RO part very </w:t>
      </w:r>
      <w:r w:rsidR="0047152B" w:rsidRPr="006645DC">
        <w:rPr>
          <w:lang w:val="en-GB"/>
        </w:rPr>
        <w:t>labour</w:t>
      </w:r>
      <w:r w:rsidRPr="006645DC">
        <w:rPr>
          <w:lang w:val="en-GB"/>
        </w:rPr>
        <w:t xml:space="preserve"> intensive, with a low added value</w:t>
      </w:r>
      <w:r w:rsidRPr="006645DC">
        <w:rPr>
          <w:rStyle w:val="FootnoteReference"/>
          <w:lang w:val="en-GB"/>
        </w:rPr>
        <w:footnoteReference w:id="7"/>
      </w:r>
      <w:r w:rsidRPr="006645DC">
        <w:rPr>
          <w:lang w:val="en-GB"/>
        </w:rPr>
        <w:t xml:space="preserve">. </w:t>
      </w:r>
    </w:p>
    <w:p w14:paraId="570DA415" w14:textId="77777777" w:rsidR="00B20E3C" w:rsidRPr="006645DC" w:rsidRDefault="00AA4C82" w:rsidP="00B20E3C">
      <w:pPr>
        <w:jc w:val="center"/>
        <w:rPr>
          <w:lang w:val="en-GB"/>
        </w:rPr>
      </w:pPr>
      <w:r w:rsidRPr="006645DC">
        <w:rPr>
          <w:noProof/>
          <w:lang w:val="bg-BG" w:eastAsia="bg-BG"/>
        </w:rPr>
        <w:drawing>
          <wp:inline distT="0" distB="0" distL="0" distR="0" wp14:anchorId="69FE880F" wp14:editId="64B68A34">
            <wp:extent cx="3971925" cy="2257425"/>
            <wp:effectExtent l="0" t="0" r="0" b="0"/>
            <wp:docPr id="459" name="Chart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415C98A3" w14:textId="77777777" w:rsidR="008804DC" w:rsidRPr="006645DC" w:rsidRDefault="008804DC" w:rsidP="008804DC">
      <w:pPr>
        <w:pStyle w:val="Caption"/>
        <w:rPr>
          <w:lang w:val="en-GB"/>
        </w:rPr>
      </w:pPr>
      <w:bookmarkStart w:id="42" w:name="_Toc391150056"/>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7</w:t>
      </w:r>
      <w:r w:rsidR="005979EB" w:rsidRPr="006645DC">
        <w:rPr>
          <w:lang w:val="en-GB"/>
        </w:rPr>
        <w:fldChar w:fldCharType="end"/>
      </w:r>
      <w:r w:rsidRPr="006645DC">
        <w:rPr>
          <w:lang w:val="en-GB"/>
        </w:rPr>
        <w:t xml:space="preserve"> - Occupied persons in the Romanian cross-border area</w:t>
      </w:r>
      <w:bookmarkEnd w:id="42"/>
    </w:p>
    <w:p w14:paraId="18588B58" w14:textId="77777777" w:rsidR="00B20E3C" w:rsidRPr="006645DC" w:rsidRDefault="00B20E3C" w:rsidP="00181E7F">
      <w:pPr>
        <w:pStyle w:val="Heading4"/>
        <w:rPr>
          <w:rFonts w:ascii="Times" w:hAnsi="Times"/>
          <w:sz w:val="20"/>
          <w:szCs w:val="20"/>
          <w:lang w:val="en-GB"/>
        </w:rPr>
      </w:pPr>
      <w:r w:rsidRPr="006645DC">
        <w:rPr>
          <w:lang w:val="en-GB" w:eastAsia="ro-RO"/>
        </w:rPr>
        <w:t>Source: Detente calculation</w:t>
      </w:r>
    </w:p>
    <w:p w14:paraId="17E6788D" w14:textId="77777777" w:rsidR="00B20E3C" w:rsidRPr="006645DC" w:rsidRDefault="00AA4C82" w:rsidP="00B20E3C">
      <w:pPr>
        <w:jc w:val="center"/>
        <w:rPr>
          <w:lang w:val="en-GB"/>
        </w:rPr>
      </w:pPr>
      <w:r w:rsidRPr="006645DC">
        <w:rPr>
          <w:noProof/>
          <w:lang w:val="bg-BG" w:eastAsia="bg-BG"/>
        </w:rPr>
        <w:drawing>
          <wp:inline distT="0" distB="0" distL="0" distR="0" wp14:anchorId="49E0D62A" wp14:editId="5184EAF7">
            <wp:extent cx="4438650" cy="2352675"/>
            <wp:effectExtent l="0" t="0" r="0" b="0"/>
            <wp:docPr id="458" name="Chart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FAB7AEE" w14:textId="77777777" w:rsidR="008804DC" w:rsidRPr="006645DC" w:rsidRDefault="008804DC" w:rsidP="008804DC">
      <w:pPr>
        <w:pStyle w:val="Caption"/>
        <w:rPr>
          <w:lang w:val="en-GB"/>
        </w:rPr>
      </w:pPr>
      <w:bookmarkStart w:id="43" w:name="_Toc391150057"/>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8</w:t>
      </w:r>
      <w:r w:rsidR="005979EB" w:rsidRPr="006645DC">
        <w:rPr>
          <w:lang w:val="en-GB"/>
        </w:rPr>
        <w:fldChar w:fldCharType="end"/>
      </w:r>
      <w:r w:rsidRPr="006645DC">
        <w:rPr>
          <w:lang w:val="en-GB"/>
        </w:rPr>
        <w:t xml:space="preserve"> - </w:t>
      </w:r>
      <w:r w:rsidR="00766830" w:rsidRPr="006645DC">
        <w:rPr>
          <w:lang w:val="en-GB"/>
        </w:rPr>
        <w:t>E</w:t>
      </w:r>
      <w:r w:rsidRPr="006645DC">
        <w:rPr>
          <w:lang w:val="en-GB"/>
        </w:rPr>
        <w:t>mployed pe</w:t>
      </w:r>
      <w:r w:rsidR="00766830" w:rsidRPr="006645DC">
        <w:rPr>
          <w:lang w:val="en-GB"/>
        </w:rPr>
        <w:t>rsons</w:t>
      </w:r>
      <w:r w:rsidRPr="006645DC">
        <w:rPr>
          <w:lang w:val="en-GB"/>
        </w:rPr>
        <w:t xml:space="preserve"> by economic sectors in the Bulgarian cross-border area</w:t>
      </w:r>
      <w:bookmarkEnd w:id="43"/>
    </w:p>
    <w:p w14:paraId="70980820" w14:textId="77777777" w:rsidR="00B20E3C" w:rsidRPr="006645DC" w:rsidRDefault="00B20E3C" w:rsidP="00181E7F">
      <w:pPr>
        <w:pStyle w:val="Heading4"/>
        <w:rPr>
          <w:rFonts w:ascii="Times" w:hAnsi="Times"/>
          <w:sz w:val="20"/>
          <w:szCs w:val="20"/>
          <w:lang w:val="en-GB"/>
        </w:rPr>
      </w:pPr>
      <w:r w:rsidRPr="006645DC">
        <w:rPr>
          <w:lang w:val="en-GB" w:eastAsia="ro-RO"/>
        </w:rPr>
        <w:t>Source: Detente calculation</w:t>
      </w:r>
    </w:p>
    <w:p w14:paraId="137CA3A5" w14:textId="77777777" w:rsidR="00B20E3C" w:rsidRPr="006645DC" w:rsidRDefault="00B20E3C" w:rsidP="00B20E3C">
      <w:pPr>
        <w:rPr>
          <w:lang w:val="en-GB"/>
        </w:rPr>
      </w:pPr>
    </w:p>
    <w:p w14:paraId="6D8C779D" w14:textId="6CA2A272" w:rsidR="00E7654C" w:rsidRPr="006645DC" w:rsidRDefault="00B20E3C" w:rsidP="00B20E3C">
      <w:pPr>
        <w:rPr>
          <w:lang w:val="en-GB"/>
        </w:rPr>
      </w:pPr>
      <w:r w:rsidRPr="006645DC">
        <w:rPr>
          <w:lang w:val="en-GB"/>
        </w:rPr>
        <w:lastRenderedPageBreak/>
        <w:t>The differences between counties/districts inside the area are obviously due to the specificities of local economies and their available resources. The services sector is very important in tourism counties/districts like Constanta, Dobric and Veliko Turnovo, while in others where tourism is almost absent – like Calarasi or where industry developed through FDI</w:t>
      </w:r>
      <w:r w:rsidR="00B55C50" w:rsidRPr="006645DC">
        <w:rPr>
          <w:lang w:val="en-GB"/>
        </w:rPr>
        <w:t xml:space="preserve"> like Olt- industry dominates. </w:t>
      </w:r>
      <w:r w:rsidRPr="006645DC">
        <w:rPr>
          <w:lang w:val="en-GB"/>
        </w:rPr>
        <w:t>An important aspect that needs to be taken into account is the inclusion of public services employees and turnover (healthcare, education, public administration) into the above charts and pies. They represent an important part of the services. This indicates that the private market services are even less important in the overall economic structure.</w:t>
      </w:r>
    </w:p>
    <w:p w14:paraId="7746C9D0" w14:textId="5CB1294D" w:rsidR="00B20E3C" w:rsidRPr="006645DC" w:rsidRDefault="00B20E3C" w:rsidP="00B55C50">
      <w:pPr>
        <w:spacing w:after="0"/>
        <w:rPr>
          <w:lang w:val="en-GB"/>
        </w:rPr>
      </w:pPr>
      <w:r w:rsidRPr="006645DC">
        <w:rPr>
          <w:lang w:val="en-GB"/>
        </w:rPr>
        <w:t xml:space="preserve">The result is </w:t>
      </w:r>
      <w:r w:rsidR="00E7654C" w:rsidRPr="006645DC">
        <w:rPr>
          <w:lang w:val="en-GB"/>
        </w:rPr>
        <w:t xml:space="preserve">an </w:t>
      </w:r>
      <w:r w:rsidRPr="006645DC">
        <w:rPr>
          <w:lang w:val="en-GB"/>
        </w:rPr>
        <w:t xml:space="preserve">overall economic profile </w:t>
      </w:r>
      <w:r w:rsidR="00E7654C" w:rsidRPr="006645DC">
        <w:rPr>
          <w:lang w:val="en-GB"/>
        </w:rPr>
        <w:t>where</w:t>
      </w:r>
      <w:r w:rsidRPr="006645DC">
        <w:rPr>
          <w:lang w:val="en-GB"/>
        </w:rPr>
        <w:t xml:space="preserve"> the industry </w:t>
      </w:r>
      <w:r w:rsidR="00E7654C" w:rsidRPr="006645DC">
        <w:rPr>
          <w:lang w:val="en-GB"/>
        </w:rPr>
        <w:t>takes the</w:t>
      </w:r>
      <w:r w:rsidRPr="006645DC">
        <w:rPr>
          <w:lang w:val="en-GB"/>
        </w:rPr>
        <w:t xml:space="preserve"> first place </w:t>
      </w:r>
      <w:r w:rsidR="00E7654C" w:rsidRPr="006645DC">
        <w:rPr>
          <w:lang w:val="en-GB"/>
        </w:rPr>
        <w:t>along with a strong</w:t>
      </w:r>
      <w:r w:rsidRPr="006645DC">
        <w:rPr>
          <w:lang w:val="en-GB"/>
        </w:rPr>
        <w:t xml:space="preserve"> agricultur</w:t>
      </w:r>
      <w:r w:rsidR="00E7654C" w:rsidRPr="006645DC">
        <w:rPr>
          <w:lang w:val="en-GB"/>
        </w:rPr>
        <w:t xml:space="preserve">al sector that is </w:t>
      </w:r>
      <w:r w:rsidRPr="006645DC">
        <w:rPr>
          <w:lang w:val="en-GB"/>
        </w:rPr>
        <w:t xml:space="preserve">very important for the wealth that the territory produces (in terms of market goods).  </w:t>
      </w:r>
    </w:p>
    <w:p w14:paraId="71B91CD5" w14:textId="77777777" w:rsidR="006E1390" w:rsidRPr="006645DC" w:rsidRDefault="00AA4C82" w:rsidP="00181E7F">
      <w:pPr>
        <w:pStyle w:val="Heading4"/>
        <w:jc w:val="center"/>
        <w:rPr>
          <w:snapToGrid w:val="0"/>
          <w:lang w:val="en-GB" w:eastAsia="ro-RO"/>
        </w:rPr>
      </w:pPr>
      <w:r w:rsidRPr="006645DC">
        <w:rPr>
          <w:b/>
          <w:noProof/>
          <w:lang w:val="bg-BG" w:eastAsia="bg-BG"/>
        </w:rPr>
        <w:drawing>
          <wp:inline distT="0" distB="0" distL="0" distR="0" wp14:anchorId="7336DA2C" wp14:editId="5BDE6D31">
            <wp:extent cx="5011387" cy="4641130"/>
            <wp:effectExtent l="0" t="0" r="0" b="7620"/>
            <wp:docPr id="457" name="Picture 29" descr="Description: Description: C:\Users\user\Documents\Ro-Bg\espon rob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escription: Description: C:\Users\user\Documents\Ro-Bg\espon robg.png"/>
                    <pic:cNvPicPr>
                      <a:picLocks noChangeAspect="1" noChangeArrowheads="1"/>
                    </pic:cNvPicPr>
                  </pic:nvPicPr>
                  <pic:blipFill>
                    <a:blip r:embed="rId40"/>
                    <a:srcRect/>
                    <a:stretch>
                      <a:fillRect/>
                    </a:stretch>
                  </pic:blipFill>
                  <pic:spPr bwMode="auto">
                    <a:xfrm>
                      <a:off x="0" y="0"/>
                      <a:ext cx="5031043" cy="4659333"/>
                    </a:xfrm>
                    <a:prstGeom prst="rect">
                      <a:avLst/>
                    </a:prstGeom>
                    <a:noFill/>
                    <a:ln w="9525">
                      <a:noFill/>
                      <a:miter lim="800000"/>
                      <a:headEnd/>
                      <a:tailEnd/>
                    </a:ln>
                  </pic:spPr>
                </pic:pic>
              </a:graphicData>
            </a:graphic>
          </wp:inline>
        </w:drawing>
      </w:r>
    </w:p>
    <w:p w14:paraId="65940359" w14:textId="77777777" w:rsidR="00181E7F" w:rsidRPr="006645DC" w:rsidRDefault="00181E7F" w:rsidP="00181E7F">
      <w:pPr>
        <w:pStyle w:val="Caption"/>
        <w:rPr>
          <w:lang w:val="en-GB"/>
        </w:rPr>
      </w:pPr>
      <w:bookmarkStart w:id="44" w:name="_Toc391150007"/>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3</w:t>
      </w:r>
      <w:r w:rsidR="005979EB" w:rsidRPr="006645DC">
        <w:rPr>
          <w:lang w:val="en-GB"/>
        </w:rPr>
        <w:fldChar w:fldCharType="end"/>
      </w:r>
      <w:r w:rsidRPr="006645DC">
        <w:rPr>
          <w:lang w:val="en-GB"/>
        </w:rPr>
        <w:t xml:space="preserve"> - Typology of regional economies</w:t>
      </w:r>
      <w:bookmarkEnd w:id="44"/>
    </w:p>
    <w:p w14:paraId="5E00A07C" w14:textId="243FE68F" w:rsidR="00B55C50" w:rsidRPr="006645DC" w:rsidRDefault="00B55C50" w:rsidP="00B55C50">
      <w:pPr>
        <w:ind w:left="7920"/>
        <w:rPr>
          <w:bCs/>
          <w:i/>
          <w:iCs/>
          <w:lang w:val="en-GB" w:eastAsia="ro-RO"/>
        </w:rPr>
      </w:pPr>
      <w:r w:rsidRPr="006645DC">
        <w:rPr>
          <w:bCs/>
          <w:i/>
          <w:iCs/>
          <w:lang w:val="en-GB" w:eastAsia="ro-RO"/>
        </w:rPr>
        <w:t>Source: Espon</w:t>
      </w:r>
    </w:p>
    <w:p w14:paraId="5E81ACEA" w14:textId="0D9F3AA0" w:rsidR="00B20E3C" w:rsidRPr="006645DC" w:rsidRDefault="00B55C50" w:rsidP="00B20E3C">
      <w:pPr>
        <w:rPr>
          <w:lang w:val="en-GB"/>
        </w:rPr>
      </w:pPr>
      <w:r w:rsidRPr="006645DC">
        <w:rPr>
          <w:lang w:val="en-GB"/>
        </w:rPr>
        <w:lastRenderedPageBreak/>
        <w:t>As we</w:t>
      </w:r>
      <w:r w:rsidR="00E7654C" w:rsidRPr="006645DC">
        <w:rPr>
          <w:lang w:val="en-GB"/>
        </w:rPr>
        <w:t xml:space="preserve"> can notice </w:t>
      </w:r>
      <w:r w:rsidR="00B20E3C" w:rsidRPr="006645DC">
        <w:rPr>
          <w:lang w:val="en-GB"/>
        </w:rPr>
        <w:t>on the Epson map describing the 2007 situation, the Cross Border region had over-represented manufacturing and agriculture sectors. As we have seen, the situation is still the same globally for the region even if it is less the case on the Bulgarian part. Indeed, the economic crisis did</w:t>
      </w:r>
      <w:r w:rsidR="00E7654C" w:rsidRPr="006645DC">
        <w:rPr>
          <w:lang w:val="en-GB"/>
        </w:rPr>
        <w:t xml:space="preserve"> not</w:t>
      </w:r>
      <w:r w:rsidR="00B20E3C" w:rsidRPr="006645DC">
        <w:rPr>
          <w:lang w:val="en-GB"/>
        </w:rPr>
        <w:t xml:space="preserve"> change for the moment the structure of the cross border area economy, which relies on industrial FDI-based facilities, on the tourism sector and on subsistence farming. </w:t>
      </w:r>
    </w:p>
    <w:p w14:paraId="2FD37C94" w14:textId="77777777" w:rsidR="00B20E3C" w:rsidRPr="006645DC" w:rsidRDefault="00B20E3C" w:rsidP="00B20E3C">
      <w:pPr>
        <w:pStyle w:val="Heading3"/>
        <w:rPr>
          <w:lang w:val="en-GB"/>
        </w:rPr>
      </w:pPr>
      <w:bookmarkStart w:id="45" w:name="_Toc254543753"/>
      <w:r w:rsidRPr="006645DC">
        <w:rPr>
          <w:lang w:val="en-GB"/>
        </w:rPr>
        <w:t>Trade</w:t>
      </w:r>
      <w:bookmarkEnd w:id="45"/>
    </w:p>
    <w:p w14:paraId="5F5EFEFF" w14:textId="77777777" w:rsidR="00B20E3C" w:rsidRPr="006645DC" w:rsidRDefault="00B20E3C" w:rsidP="00B20E3C">
      <w:pPr>
        <w:rPr>
          <w:lang w:val="en-GB"/>
        </w:rPr>
      </w:pPr>
      <w:r w:rsidRPr="006645DC">
        <w:rPr>
          <w:lang w:val="en-GB"/>
        </w:rPr>
        <w:t>The territory trade data can be a good indicator of the territory competitiveness and its capacity to capitalize on its resources and assets. Given the unavailability</w:t>
      </w:r>
      <w:r w:rsidRPr="006645DC">
        <w:rPr>
          <w:rStyle w:val="FootnoteReference"/>
          <w:lang w:val="en-GB"/>
        </w:rPr>
        <w:footnoteReference w:id="8"/>
      </w:r>
      <w:r w:rsidRPr="006645DC">
        <w:rPr>
          <w:lang w:val="en-GB"/>
        </w:rPr>
        <w:t xml:space="preserve"> of trade data for the Bulgarian districts, it is impossible to make a detailed analysis of the trade profile of the BG cross-border area and thus of the whole cross-border area. Nevertheless some general and brief conclusions can be drawn:</w:t>
      </w:r>
    </w:p>
    <w:p w14:paraId="5A69768B" w14:textId="77777777" w:rsidR="00B20E3C" w:rsidRPr="006645DC" w:rsidRDefault="00B20E3C" w:rsidP="00C951D5">
      <w:pPr>
        <w:pStyle w:val="ListParagraph"/>
        <w:numPr>
          <w:ilvl w:val="0"/>
          <w:numId w:val="41"/>
        </w:numPr>
        <w:rPr>
          <w:lang w:val="en-GB"/>
        </w:rPr>
      </w:pPr>
      <w:r w:rsidRPr="006645DC">
        <w:rPr>
          <w:lang w:val="en-GB"/>
        </w:rPr>
        <w:t>The main import</w:t>
      </w:r>
      <w:r w:rsidR="00076C57" w:rsidRPr="006645DC">
        <w:rPr>
          <w:lang w:val="en-GB"/>
        </w:rPr>
        <w:t>ed goods</w:t>
      </w:r>
      <w:r w:rsidRPr="006645DC">
        <w:rPr>
          <w:lang w:val="en-GB"/>
        </w:rPr>
        <w:t xml:space="preserve"> are raw materials required by the industry (rubber for tire industry, etc.) and manufactured goods for the individual consumer</w:t>
      </w:r>
    </w:p>
    <w:p w14:paraId="1AF5A0A5" w14:textId="77777777" w:rsidR="00B20E3C" w:rsidRPr="006645DC" w:rsidRDefault="00B20E3C" w:rsidP="00C951D5">
      <w:pPr>
        <w:pStyle w:val="ListParagraph"/>
        <w:numPr>
          <w:ilvl w:val="0"/>
          <w:numId w:val="41"/>
        </w:numPr>
        <w:rPr>
          <w:lang w:val="en-GB"/>
        </w:rPr>
      </w:pPr>
      <w:r w:rsidRPr="006645DC">
        <w:rPr>
          <w:lang w:val="en-GB"/>
        </w:rPr>
        <w:t>The area seems to have a good balance of trade (this is certain for the Romanian part – see the tables below) given the low purchasing power of the population which inhibits imports</w:t>
      </w:r>
    </w:p>
    <w:p w14:paraId="5C208DDE" w14:textId="0A3D73CF" w:rsidR="00B20E3C" w:rsidRPr="006645DC" w:rsidRDefault="00B20E3C" w:rsidP="00C951D5">
      <w:pPr>
        <w:pStyle w:val="ListParagraph"/>
        <w:numPr>
          <w:ilvl w:val="0"/>
          <w:numId w:val="41"/>
        </w:numPr>
        <w:rPr>
          <w:lang w:val="en-GB"/>
        </w:rPr>
      </w:pPr>
      <w:r w:rsidRPr="006645DC">
        <w:rPr>
          <w:lang w:val="en-GB"/>
        </w:rPr>
        <w:t>The main exporters are industrial facilities created or modernized through foreign direct investments. These industries are competitive, have a better international market access, t</w:t>
      </w:r>
      <w:r w:rsidR="00076C57" w:rsidRPr="006645DC">
        <w:rPr>
          <w:lang w:val="en-GB"/>
        </w:rPr>
        <w:t>h</w:t>
      </w:r>
      <w:r w:rsidRPr="006645DC">
        <w:rPr>
          <w:lang w:val="en-GB"/>
        </w:rPr>
        <w:t xml:space="preserve">e benefit of technological transfer and are clustered around a few sectors (automotive and chemistry, textiles, etc.). </w:t>
      </w:r>
    </w:p>
    <w:p w14:paraId="67EF52C4" w14:textId="77777777" w:rsidR="00B20E3C" w:rsidRPr="006645DC" w:rsidRDefault="00B20E3C" w:rsidP="00C951D5">
      <w:pPr>
        <w:pStyle w:val="ListParagraph"/>
        <w:numPr>
          <w:ilvl w:val="0"/>
          <w:numId w:val="41"/>
        </w:numPr>
        <w:rPr>
          <w:lang w:val="en-GB"/>
        </w:rPr>
      </w:pPr>
      <w:r w:rsidRPr="006645DC">
        <w:rPr>
          <w:lang w:val="en-GB"/>
        </w:rPr>
        <w:t xml:space="preserve">The agriculture exports are mainly raw products with low added value. The Bulgarian districts have a stronger tradition of processing agricultural products and thus export generally higher added value products.  </w:t>
      </w:r>
    </w:p>
    <w:p w14:paraId="6347103A" w14:textId="77777777" w:rsidR="00B20E3C" w:rsidRPr="006645DC" w:rsidRDefault="00B20E3C" w:rsidP="00C951D5">
      <w:pPr>
        <w:pStyle w:val="ListParagraph"/>
        <w:numPr>
          <w:ilvl w:val="0"/>
          <w:numId w:val="41"/>
        </w:numPr>
        <w:rPr>
          <w:lang w:val="en-GB"/>
        </w:rPr>
      </w:pPr>
      <w:r w:rsidRPr="006645DC">
        <w:rPr>
          <w:lang w:val="en-GB"/>
        </w:rPr>
        <w:t xml:space="preserve">The existence of energy transport hubs in the area (Danubian ports, Black Sea ports) explains the trade deficit of some counties/districts, as they are the entry point for national energy imports. </w:t>
      </w:r>
    </w:p>
    <w:p w14:paraId="384677E8" w14:textId="77777777" w:rsidR="00B20E3C" w:rsidRPr="006645DC" w:rsidRDefault="00B20E3C" w:rsidP="00C951D5">
      <w:pPr>
        <w:pStyle w:val="ListParagraph"/>
        <w:numPr>
          <w:ilvl w:val="0"/>
          <w:numId w:val="41"/>
        </w:numPr>
        <w:rPr>
          <w:lang w:val="en-GB"/>
        </w:rPr>
      </w:pPr>
      <w:r w:rsidRPr="006645DC">
        <w:rPr>
          <w:lang w:val="en-GB"/>
        </w:rPr>
        <w:t xml:space="preserve">Some important new high-added value and creative industries units operate in the area’s urban centres (software and IT services) and have a mainly exporting profile. </w:t>
      </w:r>
    </w:p>
    <w:p w14:paraId="0272DC45" w14:textId="77777777" w:rsidR="00B20E3C" w:rsidRPr="006645DC" w:rsidRDefault="00B20E3C" w:rsidP="00C951D5">
      <w:pPr>
        <w:pStyle w:val="ListParagraph"/>
        <w:numPr>
          <w:ilvl w:val="0"/>
          <w:numId w:val="41"/>
        </w:numPr>
        <w:rPr>
          <w:lang w:val="en-GB"/>
        </w:rPr>
      </w:pPr>
      <w:r w:rsidRPr="006645DC">
        <w:rPr>
          <w:lang w:val="en-GB"/>
        </w:rPr>
        <w:t xml:space="preserve">Tourism, as an exporting sector is important in the seaside counties/districts and in some inland Bulgarian districts such as Veliko Turnovo. </w:t>
      </w:r>
    </w:p>
    <w:p w14:paraId="3098D63B" w14:textId="77777777" w:rsidR="00B55C50" w:rsidRPr="006645DC" w:rsidRDefault="00B55C50" w:rsidP="00B55C50">
      <w:pPr>
        <w:rPr>
          <w:lang w:val="en-GB"/>
        </w:rPr>
      </w:pPr>
    </w:p>
    <w:p w14:paraId="7F33DD21" w14:textId="77777777" w:rsidR="00B55C50" w:rsidRPr="006645DC" w:rsidRDefault="00B55C50" w:rsidP="00B55C50">
      <w:pPr>
        <w:rPr>
          <w:lang w:val="en-GB"/>
        </w:rPr>
      </w:pPr>
    </w:p>
    <w:p w14:paraId="03B74130" w14:textId="77777777" w:rsidR="00B55C50" w:rsidRPr="006645DC" w:rsidRDefault="00B55C50" w:rsidP="00B55C50">
      <w:pPr>
        <w:rPr>
          <w:lang w:val="en-GB"/>
        </w:rPr>
      </w:pPr>
    </w:p>
    <w:tbl>
      <w:tblPr>
        <w:tblW w:w="9893" w:type="dxa"/>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ayout w:type="fixed"/>
        <w:tblLook w:val="04A0" w:firstRow="1" w:lastRow="0" w:firstColumn="1" w:lastColumn="0" w:noHBand="0" w:noVBand="1"/>
      </w:tblPr>
      <w:tblGrid>
        <w:gridCol w:w="1526"/>
        <w:gridCol w:w="1171"/>
        <w:gridCol w:w="1239"/>
        <w:gridCol w:w="992"/>
        <w:gridCol w:w="992"/>
        <w:gridCol w:w="1078"/>
        <w:gridCol w:w="895"/>
        <w:gridCol w:w="1004"/>
        <w:gridCol w:w="996"/>
      </w:tblGrid>
      <w:tr w:rsidR="00B20E3C" w:rsidRPr="006645DC" w14:paraId="7CA1D004" w14:textId="77777777" w:rsidTr="00393EB7">
        <w:trPr>
          <w:trHeight w:val="435"/>
          <w:jc w:val="center"/>
        </w:trPr>
        <w:tc>
          <w:tcPr>
            <w:tcW w:w="1526" w:type="dxa"/>
            <w:vMerge w:val="restart"/>
            <w:shd w:val="clear" w:color="auto" w:fill="auto"/>
            <w:vAlign w:val="center"/>
            <w:hideMark/>
          </w:tcPr>
          <w:p w14:paraId="0B790681" w14:textId="77777777" w:rsidR="00B20E3C" w:rsidRPr="006645DC" w:rsidRDefault="00B20E3C" w:rsidP="00393EB7">
            <w:pPr>
              <w:spacing w:before="0" w:after="0"/>
              <w:jc w:val="center"/>
              <w:rPr>
                <w:rFonts w:eastAsia="Times New Roman" w:cs="Tahoma"/>
                <w:bCs/>
                <w:lang w:val="en-GB"/>
              </w:rPr>
            </w:pPr>
            <w:r w:rsidRPr="006645DC">
              <w:rPr>
                <w:rFonts w:eastAsia="Times New Roman" w:cs="Tahoma"/>
                <w:b/>
                <w:bCs/>
                <w:lang w:val="en-GB"/>
              </w:rPr>
              <w:lastRenderedPageBreak/>
              <w:t>Bulgaria export and import volume</w:t>
            </w:r>
          </w:p>
        </w:tc>
        <w:tc>
          <w:tcPr>
            <w:tcW w:w="3402" w:type="dxa"/>
            <w:gridSpan w:val="3"/>
            <w:shd w:val="clear" w:color="auto" w:fill="auto"/>
            <w:noWrap/>
            <w:vAlign w:val="center"/>
            <w:hideMark/>
          </w:tcPr>
          <w:p w14:paraId="3CFB48A0" w14:textId="77777777" w:rsidR="00B20E3C" w:rsidRPr="006645DC" w:rsidRDefault="00B20E3C" w:rsidP="00393EB7">
            <w:pPr>
              <w:spacing w:before="0" w:after="0"/>
              <w:jc w:val="center"/>
              <w:rPr>
                <w:rFonts w:eastAsia="Times New Roman" w:cs="Tahoma"/>
                <w:bCs/>
                <w:lang w:val="en-GB"/>
              </w:rPr>
            </w:pPr>
            <w:r w:rsidRPr="006645DC">
              <w:rPr>
                <w:rFonts w:eastAsia="Times New Roman" w:cs="Tahoma"/>
                <w:b/>
                <w:bCs/>
                <w:lang w:val="en-GB"/>
              </w:rPr>
              <w:t>Exports - FOB</w:t>
            </w:r>
          </w:p>
        </w:tc>
        <w:tc>
          <w:tcPr>
            <w:tcW w:w="2965" w:type="dxa"/>
            <w:gridSpan w:val="3"/>
            <w:shd w:val="clear" w:color="auto" w:fill="auto"/>
            <w:noWrap/>
            <w:vAlign w:val="center"/>
            <w:hideMark/>
          </w:tcPr>
          <w:p w14:paraId="0F1DF0B8" w14:textId="77777777" w:rsidR="00B20E3C" w:rsidRPr="006645DC" w:rsidRDefault="00B20E3C" w:rsidP="00393EB7">
            <w:pPr>
              <w:spacing w:before="0" w:after="0"/>
              <w:jc w:val="center"/>
              <w:rPr>
                <w:rFonts w:eastAsia="Times New Roman" w:cs="Tahoma"/>
                <w:bCs/>
                <w:lang w:val="en-GB"/>
              </w:rPr>
            </w:pPr>
            <w:r w:rsidRPr="006645DC">
              <w:rPr>
                <w:rFonts w:eastAsia="Times New Roman" w:cs="Tahoma"/>
                <w:b/>
                <w:bCs/>
                <w:lang w:val="en-GB"/>
              </w:rPr>
              <w:t xml:space="preserve">Imports </w:t>
            </w:r>
            <w:r w:rsidR="000A20CD" w:rsidRPr="006645DC">
              <w:rPr>
                <w:rFonts w:eastAsia="Times New Roman" w:cs="Tahoma"/>
                <w:b/>
                <w:bCs/>
                <w:lang w:val="en-GB"/>
              </w:rPr>
              <w:t>–</w:t>
            </w:r>
            <w:r w:rsidRPr="006645DC">
              <w:rPr>
                <w:rFonts w:eastAsia="Times New Roman" w:cs="Tahoma"/>
                <w:b/>
                <w:bCs/>
                <w:lang w:val="en-GB"/>
              </w:rPr>
              <w:t xml:space="preserve"> CIF</w:t>
            </w:r>
          </w:p>
        </w:tc>
        <w:tc>
          <w:tcPr>
            <w:tcW w:w="2000" w:type="dxa"/>
            <w:gridSpan w:val="2"/>
            <w:shd w:val="clear" w:color="auto" w:fill="auto"/>
            <w:vAlign w:val="center"/>
            <w:hideMark/>
          </w:tcPr>
          <w:p w14:paraId="0AA87BCB" w14:textId="77777777" w:rsidR="00B20E3C" w:rsidRPr="006645DC" w:rsidRDefault="00B20E3C" w:rsidP="00393EB7">
            <w:pPr>
              <w:spacing w:before="0" w:after="0"/>
              <w:jc w:val="center"/>
              <w:rPr>
                <w:rFonts w:eastAsia="Times New Roman" w:cs="Tahoma"/>
                <w:bCs/>
                <w:lang w:val="en-GB"/>
              </w:rPr>
            </w:pPr>
            <w:r w:rsidRPr="006645DC">
              <w:rPr>
                <w:rFonts w:eastAsia="Times New Roman" w:cs="Tahoma"/>
                <w:b/>
                <w:bCs/>
                <w:lang w:val="en-GB"/>
              </w:rPr>
              <w:t>Trade balance - FOB/CIF</w:t>
            </w:r>
          </w:p>
        </w:tc>
      </w:tr>
      <w:tr w:rsidR="00B20E3C" w:rsidRPr="006645DC" w14:paraId="164C9F45" w14:textId="77777777" w:rsidTr="0037102B">
        <w:trPr>
          <w:trHeight w:val="540"/>
          <w:jc w:val="center"/>
        </w:trPr>
        <w:tc>
          <w:tcPr>
            <w:tcW w:w="1526" w:type="dxa"/>
            <w:vMerge/>
            <w:shd w:val="clear" w:color="auto" w:fill="auto"/>
            <w:vAlign w:val="center"/>
            <w:hideMark/>
          </w:tcPr>
          <w:p w14:paraId="66B62F46" w14:textId="77777777" w:rsidR="00B20E3C" w:rsidRPr="006645DC" w:rsidRDefault="00B20E3C" w:rsidP="00393EB7">
            <w:pPr>
              <w:spacing w:before="0" w:after="0"/>
              <w:jc w:val="center"/>
              <w:rPr>
                <w:rFonts w:eastAsia="Times New Roman" w:cs="Tahoma"/>
                <w:bCs/>
                <w:lang w:val="en-GB"/>
              </w:rPr>
            </w:pPr>
          </w:p>
        </w:tc>
        <w:tc>
          <w:tcPr>
            <w:tcW w:w="1171" w:type="dxa"/>
            <w:shd w:val="clear" w:color="auto" w:fill="95B3D7" w:themeFill="accent1" w:themeFillTint="99"/>
            <w:vAlign w:val="center"/>
            <w:hideMark/>
          </w:tcPr>
          <w:p w14:paraId="76407A27" w14:textId="77777777" w:rsidR="00B20E3C" w:rsidRPr="006645DC" w:rsidRDefault="001A245F" w:rsidP="00393EB7">
            <w:pPr>
              <w:keepNext/>
              <w:keepLines/>
              <w:spacing w:before="0" w:after="0"/>
              <w:ind w:hanging="360"/>
              <w:jc w:val="center"/>
              <w:outlineLvl w:val="1"/>
              <w:rPr>
                <w:rFonts w:eastAsia="Times New Roman" w:cs="Tahoma"/>
                <w:bCs/>
                <w:lang w:val="en-GB"/>
              </w:rPr>
            </w:pPr>
            <w:r w:rsidRPr="006645DC">
              <w:rPr>
                <w:rFonts w:eastAsia="Times New Roman" w:cs="Tahoma"/>
                <w:bCs/>
                <w:lang w:val="en-GB"/>
              </w:rPr>
              <w:t xml:space="preserve">     </w:t>
            </w:r>
            <w:bookmarkStart w:id="46" w:name="_Toc376198405"/>
            <w:r w:rsidR="00B20E3C" w:rsidRPr="006645DC">
              <w:rPr>
                <w:rFonts w:eastAsia="Times New Roman" w:cs="Tahoma"/>
                <w:bCs/>
                <w:lang w:val="en-GB"/>
              </w:rPr>
              <w:t>2010</w:t>
            </w:r>
            <w:bookmarkEnd w:id="46"/>
          </w:p>
        </w:tc>
        <w:tc>
          <w:tcPr>
            <w:tcW w:w="1239" w:type="dxa"/>
            <w:shd w:val="clear" w:color="auto" w:fill="95B3D7" w:themeFill="accent1" w:themeFillTint="99"/>
            <w:vAlign w:val="center"/>
            <w:hideMark/>
          </w:tcPr>
          <w:p w14:paraId="229B0F53" w14:textId="77777777" w:rsidR="00B20E3C" w:rsidRPr="006645DC" w:rsidRDefault="001A245F" w:rsidP="00393EB7">
            <w:pPr>
              <w:keepNext/>
              <w:keepLines/>
              <w:spacing w:before="0" w:after="0"/>
              <w:ind w:hanging="360"/>
              <w:jc w:val="center"/>
              <w:outlineLvl w:val="1"/>
              <w:rPr>
                <w:rFonts w:eastAsia="Times New Roman" w:cs="Tahoma"/>
                <w:bCs/>
                <w:lang w:val="en-GB"/>
              </w:rPr>
            </w:pPr>
            <w:r w:rsidRPr="006645DC">
              <w:rPr>
                <w:rFonts w:eastAsia="Times New Roman" w:cs="Tahoma"/>
                <w:bCs/>
                <w:lang w:val="en-GB"/>
              </w:rPr>
              <w:t xml:space="preserve">     </w:t>
            </w:r>
            <w:bookmarkStart w:id="47" w:name="_Toc376198406"/>
            <w:r w:rsidR="00B20E3C" w:rsidRPr="006645DC">
              <w:rPr>
                <w:rFonts w:eastAsia="Times New Roman" w:cs="Tahoma"/>
                <w:bCs/>
                <w:lang w:val="en-GB"/>
              </w:rPr>
              <w:t>2011</w:t>
            </w:r>
            <w:bookmarkEnd w:id="47"/>
          </w:p>
        </w:tc>
        <w:tc>
          <w:tcPr>
            <w:tcW w:w="992" w:type="dxa"/>
            <w:vMerge w:val="restart"/>
            <w:shd w:val="clear" w:color="auto" w:fill="95B3D7" w:themeFill="accent1" w:themeFillTint="99"/>
            <w:vAlign w:val="center"/>
            <w:hideMark/>
          </w:tcPr>
          <w:p w14:paraId="31A79F05" w14:textId="77777777" w:rsidR="00B20E3C" w:rsidRPr="006645DC" w:rsidRDefault="00A57DB1" w:rsidP="00393EB7">
            <w:pPr>
              <w:keepNext/>
              <w:keepLines/>
              <w:spacing w:before="0" w:after="0"/>
              <w:ind w:hanging="360"/>
              <w:jc w:val="center"/>
              <w:outlineLvl w:val="1"/>
              <w:rPr>
                <w:rFonts w:eastAsia="Times New Roman" w:cs="Tahoma"/>
                <w:bCs/>
                <w:lang w:val="en-GB"/>
              </w:rPr>
            </w:pPr>
            <w:r w:rsidRPr="006645DC">
              <w:rPr>
                <w:rFonts w:eastAsia="Times New Roman" w:cs="Tahoma"/>
                <w:bCs/>
                <w:lang w:val="en-GB"/>
              </w:rPr>
              <w:t xml:space="preserve">       </w:t>
            </w:r>
            <w:bookmarkStart w:id="48" w:name="_Toc376198407"/>
            <w:r w:rsidR="00B20E3C" w:rsidRPr="006645DC">
              <w:rPr>
                <w:rFonts w:eastAsia="Times New Roman" w:cs="Tahoma"/>
                <w:bCs/>
                <w:lang w:val="en-GB"/>
              </w:rPr>
              <w:t xml:space="preserve">Growth </w:t>
            </w:r>
            <w:r w:rsidRPr="006645DC">
              <w:rPr>
                <w:rFonts w:eastAsia="Times New Roman" w:cs="Tahoma"/>
                <w:bCs/>
                <w:lang w:val="en-GB"/>
              </w:rPr>
              <w:t xml:space="preserve">– </w:t>
            </w:r>
            <w:r w:rsidR="00B20E3C" w:rsidRPr="006645DC">
              <w:rPr>
                <w:rFonts w:eastAsia="Times New Roman" w:cs="Tahoma"/>
                <w:bCs/>
                <w:lang w:val="en-GB"/>
              </w:rPr>
              <w:t>%</w:t>
            </w:r>
            <w:bookmarkEnd w:id="48"/>
          </w:p>
        </w:tc>
        <w:tc>
          <w:tcPr>
            <w:tcW w:w="992" w:type="dxa"/>
            <w:shd w:val="clear" w:color="auto" w:fill="95B3D7" w:themeFill="accent1" w:themeFillTint="99"/>
            <w:vAlign w:val="center"/>
            <w:hideMark/>
          </w:tcPr>
          <w:p w14:paraId="068C61AE" w14:textId="77777777" w:rsidR="00B20E3C" w:rsidRPr="006645DC" w:rsidRDefault="00A57DB1" w:rsidP="00393EB7">
            <w:pPr>
              <w:keepNext/>
              <w:keepLines/>
              <w:spacing w:before="0" w:after="0"/>
              <w:ind w:hanging="360"/>
              <w:jc w:val="center"/>
              <w:outlineLvl w:val="1"/>
              <w:rPr>
                <w:rFonts w:eastAsia="Times New Roman" w:cs="Tahoma"/>
                <w:bCs/>
                <w:lang w:val="en-GB"/>
              </w:rPr>
            </w:pPr>
            <w:r w:rsidRPr="006645DC">
              <w:rPr>
                <w:rFonts w:eastAsia="Times New Roman" w:cs="Tahoma"/>
                <w:bCs/>
                <w:lang w:val="en-GB"/>
              </w:rPr>
              <w:t xml:space="preserve">     </w:t>
            </w:r>
            <w:bookmarkStart w:id="49" w:name="_Toc376198408"/>
            <w:r w:rsidR="00B20E3C" w:rsidRPr="006645DC">
              <w:rPr>
                <w:rFonts w:eastAsia="Times New Roman" w:cs="Tahoma"/>
                <w:bCs/>
                <w:lang w:val="en-GB"/>
              </w:rPr>
              <w:t>2010</w:t>
            </w:r>
            <w:bookmarkEnd w:id="49"/>
          </w:p>
        </w:tc>
        <w:tc>
          <w:tcPr>
            <w:tcW w:w="1078" w:type="dxa"/>
            <w:shd w:val="clear" w:color="auto" w:fill="95B3D7" w:themeFill="accent1" w:themeFillTint="99"/>
            <w:vAlign w:val="center"/>
            <w:hideMark/>
          </w:tcPr>
          <w:p w14:paraId="528C020A" w14:textId="77777777" w:rsidR="00B20E3C" w:rsidRPr="006645DC" w:rsidRDefault="00B20E3C" w:rsidP="00393EB7">
            <w:pPr>
              <w:spacing w:before="0" w:after="0"/>
              <w:jc w:val="center"/>
              <w:rPr>
                <w:rFonts w:eastAsia="Times New Roman" w:cs="Tahoma"/>
                <w:bCs/>
                <w:lang w:val="en-GB"/>
              </w:rPr>
            </w:pPr>
            <w:r w:rsidRPr="006645DC">
              <w:rPr>
                <w:rFonts w:eastAsia="Times New Roman" w:cs="Tahoma"/>
                <w:bCs/>
                <w:lang w:val="en-GB"/>
              </w:rPr>
              <w:t>2011</w:t>
            </w:r>
          </w:p>
        </w:tc>
        <w:tc>
          <w:tcPr>
            <w:tcW w:w="895" w:type="dxa"/>
            <w:vMerge w:val="restart"/>
            <w:shd w:val="clear" w:color="auto" w:fill="95B3D7" w:themeFill="accent1" w:themeFillTint="99"/>
            <w:vAlign w:val="center"/>
            <w:hideMark/>
          </w:tcPr>
          <w:p w14:paraId="60370B74" w14:textId="77777777" w:rsidR="00B20E3C" w:rsidRPr="006645DC" w:rsidRDefault="00A57DB1" w:rsidP="00393EB7">
            <w:pPr>
              <w:spacing w:before="0" w:after="0"/>
              <w:jc w:val="center"/>
              <w:rPr>
                <w:rFonts w:eastAsia="Times New Roman" w:cs="Tahoma"/>
                <w:bCs/>
                <w:lang w:val="en-GB"/>
              </w:rPr>
            </w:pPr>
            <w:r w:rsidRPr="006645DC">
              <w:rPr>
                <w:rFonts w:eastAsia="Times New Roman" w:cs="Tahoma"/>
                <w:bCs/>
                <w:lang w:val="en-GB"/>
              </w:rPr>
              <w:t xml:space="preserve">Growth </w:t>
            </w:r>
            <w:r w:rsidR="00B20E3C" w:rsidRPr="006645DC">
              <w:rPr>
                <w:rFonts w:eastAsia="Times New Roman" w:cs="Tahoma"/>
                <w:bCs/>
                <w:lang w:val="en-GB"/>
              </w:rPr>
              <w:t>-</w:t>
            </w:r>
            <w:r w:rsidRPr="006645DC">
              <w:rPr>
                <w:rFonts w:eastAsia="Times New Roman" w:cs="Tahoma"/>
                <w:bCs/>
                <w:lang w:val="en-GB"/>
              </w:rPr>
              <w:t xml:space="preserve"> </w:t>
            </w:r>
            <w:r w:rsidR="00B20E3C" w:rsidRPr="006645DC">
              <w:rPr>
                <w:rFonts w:eastAsia="Times New Roman" w:cs="Tahoma"/>
                <w:bCs/>
                <w:lang w:val="en-GB"/>
              </w:rPr>
              <w:t>%</w:t>
            </w:r>
          </w:p>
        </w:tc>
        <w:tc>
          <w:tcPr>
            <w:tcW w:w="1004" w:type="dxa"/>
            <w:shd w:val="clear" w:color="auto" w:fill="95B3D7" w:themeFill="accent1" w:themeFillTint="99"/>
            <w:vAlign w:val="center"/>
            <w:hideMark/>
          </w:tcPr>
          <w:p w14:paraId="3ABF4878" w14:textId="77777777" w:rsidR="00B20E3C" w:rsidRPr="006645DC" w:rsidRDefault="00B20E3C" w:rsidP="00393EB7">
            <w:pPr>
              <w:spacing w:before="0" w:after="0"/>
              <w:jc w:val="center"/>
              <w:rPr>
                <w:rFonts w:eastAsia="Times New Roman" w:cs="Tahoma"/>
                <w:bCs/>
                <w:lang w:val="en-GB"/>
              </w:rPr>
            </w:pPr>
            <w:r w:rsidRPr="006645DC">
              <w:rPr>
                <w:rFonts w:eastAsia="Times New Roman" w:cs="Tahoma"/>
                <w:bCs/>
                <w:lang w:val="en-GB"/>
              </w:rPr>
              <w:t>2010</w:t>
            </w:r>
          </w:p>
        </w:tc>
        <w:tc>
          <w:tcPr>
            <w:tcW w:w="996" w:type="dxa"/>
            <w:shd w:val="clear" w:color="auto" w:fill="95B3D7" w:themeFill="accent1" w:themeFillTint="99"/>
            <w:vAlign w:val="center"/>
            <w:hideMark/>
          </w:tcPr>
          <w:p w14:paraId="574BE993" w14:textId="77777777" w:rsidR="00B20E3C" w:rsidRPr="006645DC" w:rsidRDefault="00B20E3C" w:rsidP="00393EB7">
            <w:pPr>
              <w:spacing w:before="0" w:after="0"/>
              <w:jc w:val="center"/>
              <w:rPr>
                <w:rFonts w:eastAsia="Times New Roman" w:cs="Tahoma"/>
                <w:bCs/>
                <w:lang w:val="en-GB"/>
              </w:rPr>
            </w:pPr>
            <w:r w:rsidRPr="006645DC">
              <w:rPr>
                <w:rFonts w:eastAsia="Times New Roman" w:cs="Tahoma"/>
                <w:bCs/>
                <w:lang w:val="en-GB"/>
              </w:rPr>
              <w:t>2011</w:t>
            </w:r>
          </w:p>
        </w:tc>
      </w:tr>
      <w:tr w:rsidR="001A245F" w:rsidRPr="006645DC" w14:paraId="4717EECF" w14:textId="77777777" w:rsidTr="00393EB7">
        <w:trPr>
          <w:trHeight w:val="255"/>
          <w:jc w:val="center"/>
        </w:trPr>
        <w:tc>
          <w:tcPr>
            <w:tcW w:w="1526" w:type="dxa"/>
            <w:vMerge/>
            <w:shd w:val="clear" w:color="auto" w:fill="auto"/>
            <w:vAlign w:val="center"/>
            <w:hideMark/>
          </w:tcPr>
          <w:p w14:paraId="1486DF01" w14:textId="77777777" w:rsidR="001A245F" w:rsidRPr="006645DC" w:rsidRDefault="001A245F" w:rsidP="00393EB7">
            <w:pPr>
              <w:spacing w:before="0" w:after="0"/>
              <w:jc w:val="center"/>
              <w:rPr>
                <w:rFonts w:eastAsia="Times New Roman" w:cs="Tahoma"/>
                <w:bCs/>
                <w:lang w:val="en-GB"/>
              </w:rPr>
            </w:pPr>
          </w:p>
        </w:tc>
        <w:tc>
          <w:tcPr>
            <w:tcW w:w="2410" w:type="dxa"/>
            <w:gridSpan w:val="2"/>
            <w:shd w:val="clear" w:color="auto" w:fill="auto"/>
            <w:noWrap/>
            <w:vAlign w:val="center"/>
            <w:hideMark/>
          </w:tcPr>
          <w:p w14:paraId="1525E10A" w14:textId="77777777" w:rsidR="001A245F" w:rsidRPr="006645DC" w:rsidRDefault="001A245F" w:rsidP="00393EB7">
            <w:pPr>
              <w:keepNext/>
              <w:keepLines/>
              <w:spacing w:before="0" w:after="0"/>
              <w:ind w:hanging="360"/>
              <w:jc w:val="center"/>
              <w:outlineLvl w:val="1"/>
              <w:rPr>
                <w:rFonts w:eastAsia="Times New Roman" w:cs="Tahoma"/>
                <w:bCs/>
                <w:lang w:val="en-GB"/>
              </w:rPr>
            </w:pPr>
            <w:r w:rsidRPr="006645DC">
              <w:rPr>
                <w:rFonts w:eastAsia="Times New Roman" w:cs="Tahoma"/>
                <w:bCs/>
                <w:lang w:val="en-GB"/>
              </w:rPr>
              <w:t xml:space="preserve">      </w:t>
            </w:r>
            <w:bookmarkStart w:id="50" w:name="_Toc376198409"/>
            <w:r w:rsidRPr="006645DC">
              <w:rPr>
                <w:rFonts w:eastAsia="Times New Roman" w:cs="Tahoma"/>
                <w:bCs/>
                <w:lang w:val="en-GB"/>
              </w:rPr>
              <w:t>Million EUR</w:t>
            </w:r>
            <w:bookmarkEnd w:id="50"/>
          </w:p>
        </w:tc>
        <w:tc>
          <w:tcPr>
            <w:tcW w:w="992" w:type="dxa"/>
            <w:vMerge/>
            <w:shd w:val="clear" w:color="auto" w:fill="auto"/>
            <w:vAlign w:val="center"/>
            <w:hideMark/>
          </w:tcPr>
          <w:p w14:paraId="6936EE88" w14:textId="77777777" w:rsidR="001A245F" w:rsidRPr="006645DC" w:rsidRDefault="001A245F" w:rsidP="00393EB7">
            <w:pPr>
              <w:spacing w:before="0" w:after="0"/>
              <w:jc w:val="center"/>
              <w:rPr>
                <w:rFonts w:eastAsia="Times New Roman" w:cs="Tahoma"/>
                <w:bCs/>
                <w:lang w:val="en-GB"/>
              </w:rPr>
            </w:pPr>
          </w:p>
        </w:tc>
        <w:tc>
          <w:tcPr>
            <w:tcW w:w="2070" w:type="dxa"/>
            <w:gridSpan w:val="2"/>
            <w:shd w:val="clear" w:color="auto" w:fill="auto"/>
            <w:noWrap/>
            <w:vAlign w:val="center"/>
            <w:hideMark/>
          </w:tcPr>
          <w:p w14:paraId="7B69D68E" w14:textId="77777777" w:rsidR="001A245F" w:rsidRPr="006645DC" w:rsidRDefault="001A245F" w:rsidP="00393EB7">
            <w:pPr>
              <w:keepNext/>
              <w:keepLines/>
              <w:spacing w:before="0" w:after="0"/>
              <w:ind w:hanging="360"/>
              <w:jc w:val="center"/>
              <w:outlineLvl w:val="1"/>
              <w:rPr>
                <w:rFonts w:eastAsia="Times New Roman" w:cs="Tahoma"/>
                <w:bCs/>
                <w:lang w:val="en-GB"/>
              </w:rPr>
            </w:pPr>
            <w:bookmarkStart w:id="51" w:name="_Toc376198410"/>
            <w:r w:rsidRPr="006645DC">
              <w:rPr>
                <w:rFonts w:eastAsia="Times New Roman" w:cs="Tahoma"/>
                <w:bCs/>
                <w:lang w:val="en-GB"/>
              </w:rPr>
              <w:t>Million EUR</w:t>
            </w:r>
            <w:bookmarkEnd w:id="51"/>
          </w:p>
        </w:tc>
        <w:tc>
          <w:tcPr>
            <w:tcW w:w="895" w:type="dxa"/>
            <w:vMerge/>
            <w:shd w:val="clear" w:color="auto" w:fill="auto"/>
            <w:vAlign w:val="center"/>
            <w:hideMark/>
          </w:tcPr>
          <w:p w14:paraId="26590F28" w14:textId="77777777" w:rsidR="001A245F" w:rsidRPr="006645DC" w:rsidRDefault="001A245F" w:rsidP="00393EB7">
            <w:pPr>
              <w:spacing w:before="0" w:after="0"/>
              <w:jc w:val="center"/>
              <w:rPr>
                <w:rFonts w:eastAsia="Times New Roman" w:cs="Tahoma"/>
                <w:bCs/>
                <w:lang w:val="en-GB"/>
              </w:rPr>
            </w:pPr>
          </w:p>
        </w:tc>
        <w:tc>
          <w:tcPr>
            <w:tcW w:w="2000" w:type="dxa"/>
            <w:gridSpan w:val="2"/>
            <w:shd w:val="clear" w:color="auto" w:fill="auto"/>
            <w:noWrap/>
            <w:vAlign w:val="center"/>
            <w:hideMark/>
          </w:tcPr>
          <w:p w14:paraId="41A737E4" w14:textId="77777777" w:rsidR="001A245F" w:rsidRPr="006645DC" w:rsidRDefault="001A245F" w:rsidP="00393EB7">
            <w:pPr>
              <w:keepNext/>
              <w:keepLines/>
              <w:spacing w:before="0" w:after="0"/>
              <w:ind w:hanging="360"/>
              <w:jc w:val="center"/>
              <w:outlineLvl w:val="1"/>
              <w:rPr>
                <w:rFonts w:eastAsia="Times New Roman" w:cs="Tahoma"/>
                <w:bCs/>
                <w:lang w:val="en-GB"/>
              </w:rPr>
            </w:pPr>
            <w:bookmarkStart w:id="52" w:name="_Toc376198411"/>
            <w:r w:rsidRPr="006645DC">
              <w:rPr>
                <w:rFonts w:eastAsia="Times New Roman" w:cs="Tahoma"/>
                <w:bCs/>
                <w:lang w:val="en-GB"/>
              </w:rPr>
              <w:t>Million EUR</w:t>
            </w:r>
            <w:bookmarkEnd w:id="52"/>
          </w:p>
        </w:tc>
      </w:tr>
      <w:tr w:rsidR="00B20E3C" w:rsidRPr="006645DC" w14:paraId="63913E97" w14:textId="77777777" w:rsidTr="0037102B">
        <w:trPr>
          <w:trHeight w:val="240"/>
          <w:jc w:val="center"/>
        </w:trPr>
        <w:tc>
          <w:tcPr>
            <w:tcW w:w="1526" w:type="dxa"/>
            <w:shd w:val="clear" w:color="auto" w:fill="95B3D7" w:themeFill="accent1" w:themeFillTint="99"/>
            <w:noWrap/>
            <w:vAlign w:val="center"/>
            <w:hideMark/>
          </w:tcPr>
          <w:p w14:paraId="7C3151E3" w14:textId="77777777" w:rsidR="00B20E3C" w:rsidRPr="006645DC" w:rsidRDefault="00B20E3C" w:rsidP="00393EB7">
            <w:pPr>
              <w:keepNext/>
              <w:keepLines/>
              <w:spacing w:before="0" w:after="0"/>
              <w:ind w:left="288" w:hanging="360"/>
              <w:jc w:val="center"/>
              <w:outlineLvl w:val="1"/>
              <w:rPr>
                <w:rFonts w:eastAsia="Times New Roman" w:cs="Tahoma"/>
                <w:bCs/>
                <w:lang w:val="en-GB"/>
              </w:rPr>
            </w:pPr>
            <w:bookmarkStart w:id="53" w:name="_Toc376198412"/>
            <w:r w:rsidRPr="006645DC">
              <w:rPr>
                <w:rFonts w:eastAsia="Times New Roman" w:cs="Tahoma"/>
                <w:b/>
                <w:bCs/>
                <w:lang w:val="en-GB"/>
              </w:rPr>
              <w:t>Total</w:t>
            </w:r>
            <w:bookmarkEnd w:id="53"/>
          </w:p>
        </w:tc>
        <w:tc>
          <w:tcPr>
            <w:tcW w:w="1171" w:type="dxa"/>
            <w:shd w:val="clear" w:color="auto" w:fill="95B3D7" w:themeFill="accent1" w:themeFillTint="99"/>
            <w:vAlign w:val="center"/>
            <w:hideMark/>
          </w:tcPr>
          <w:p w14:paraId="0B1F77BD" w14:textId="77777777" w:rsidR="00B20E3C" w:rsidRPr="006645DC" w:rsidRDefault="00A57DB1" w:rsidP="00393EB7">
            <w:pPr>
              <w:keepNext/>
              <w:keepLines/>
              <w:spacing w:before="0" w:after="0"/>
              <w:ind w:left="288" w:hanging="360"/>
              <w:jc w:val="center"/>
              <w:outlineLvl w:val="1"/>
              <w:rPr>
                <w:rFonts w:eastAsia="Times New Roman" w:cs="Tahoma"/>
                <w:bCs/>
                <w:color w:val="000000"/>
                <w:lang w:val="en-GB"/>
              </w:rPr>
            </w:pPr>
            <w:r w:rsidRPr="006645DC">
              <w:rPr>
                <w:rFonts w:eastAsia="Times New Roman" w:cs="Tahoma"/>
                <w:bCs/>
                <w:color w:val="000000"/>
                <w:lang w:val="en-GB"/>
              </w:rPr>
              <w:t xml:space="preserve">  </w:t>
            </w:r>
            <w:bookmarkStart w:id="54" w:name="_Toc376198413"/>
            <w:r w:rsidR="0037102B" w:rsidRPr="006645DC">
              <w:rPr>
                <w:rFonts w:eastAsia="Times New Roman" w:cs="Tahoma"/>
                <w:bCs/>
                <w:color w:val="000000"/>
                <w:lang w:val="en-GB"/>
              </w:rPr>
              <w:t>1</w:t>
            </w:r>
            <w:r w:rsidR="00B20E3C" w:rsidRPr="006645DC">
              <w:rPr>
                <w:rFonts w:eastAsia="Times New Roman" w:cs="Tahoma"/>
                <w:bCs/>
                <w:color w:val="000000"/>
                <w:lang w:val="en-GB"/>
              </w:rPr>
              <w:t>5</w:t>
            </w:r>
            <w:r w:rsidR="0037102B" w:rsidRPr="006645DC">
              <w:rPr>
                <w:rFonts w:eastAsia="Times New Roman" w:cs="Tahoma"/>
                <w:bCs/>
                <w:color w:val="000000"/>
                <w:lang w:val="en-GB"/>
              </w:rPr>
              <w:t xml:space="preserve"> </w:t>
            </w:r>
            <w:r w:rsidR="00B20E3C" w:rsidRPr="006645DC">
              <w:rPr>
                <w:rFonts w:eastAsia="Times New Roman" w:cs="Tahoma"/>
                <w:bCs/>
                <w:color w:val="000000"/>
                <w:lang w:val="en-GB"/>
              </w:rPr>
              <w:t>607.7</w:t>
            </w:r>
            <w:bookmarkEnd w:id="54"/>
          </w:p>
        </w:tc>
        <w:tc>
          <w:tcPr>
            <w:tcW w:w="1239" w:type="dxa"/>
            <w:shd w:val="clear" w:color="auto" w:fill="95B3D7" w:themeFill="accent1" w:themeFillTint="99"/>
            <w:vAlign w:val="center"/>
            <w:hideMark/>
          </w:tcPr>
          <w:p w14:paraId="51415451" w14:textId="77777777" w:rsidR="00B20E3C" w:rsidRPr="006645DC" w:rsidRDefault="00B20E3C" w:rsidP="0037102B">
            <w:pPr>
              <w:keepNext/>
              <w:keepLines/>
              <w:spacing w:before="0" w:after="0"/>
              <w:ind w:left="288" w:hanging="360"/>
              <w:jc w:val="center"/>
              <w:outlineLvl w:val="1"/>
              <w:rPr>
                <w:rFonts w:eastAsia="Times New Roman" w:cs="Tahoma"/>
                <w:bCs/>
                <w:color w:val="000000"/>
                <w:lang w:val="en-GB"/>
              </w:rPr>
            </w:pPr>
            <w:bookmarkStart w:id="55" w:name="_Toc376198414"/>
            <w:r w:rsidRPr="006645DC">
              <w:rPr>
                <w:rFonts w:eastAsia="Times New Roman" w:cs="Tahoma"/>
                <w:bCs/>
                <w:color w:val="000000"/>
                <w:lang w:val="en-GB"/>
              </w:rPr>
              <w:t>20</w:t>
            </w:r>
            <w:r w:rsidR="0037102B" w:rsidRPr="006645DC">
              <w:rPr>
                <w:rFonts w:eastAsia="Times New Roman" w:cs="Tahoma"/>
                <w:bCs/>
                <w:color w:val="000000"/>
                <w:lang w:val="en-GB"/>
              </w:rPr>
              <w:t xml:space="preserve"> </w:t>
            </w:r>
            <w:r w:rsidRPr="006645DC">
              <w:rPr>
                <w:rFonts w:eastAsia="Times New Roman" w:cs="Tahoma"/>
                <w:bCs/>
                <w:color w:val="000000"/>
                <w:lang w:val="en-GB"/>
              </w:rPr>
              <w:t>324.9</w:t>
            </w:r>
            <w:bookmarkEnd w:id="55"/>
          </w:p>
        </w:tc>
        <w:tc>
          <w:tcPr>
            <w:tcW w:w="992" w:type="dxa"/>
            <w:shd w:val="clear" w:color="auto" w:fill="95B3D7" w:themeFill="accent1" w:themeFillTint="99"/>
            <w:vAlign w:val="center"/>
            <w:hideMark/>
          </w:tcPr>
          <w:p w14:paraId="524C8C47" w14:textId="77777777" w:rsidR="00B20E3C" w:rsidRPr="006645DC" w:rsidRDefault="00B20E3C" w:rsidP="00393EB7">
            <w:pPr>
              <w:keepNext/>
              <w:keepLines/>
              <w:spacing w:before="0" w:after="0"/>
              <w:ind w:left="288" w:hanging="360"/>
              <w:jc w:val="center"/>
              <w:outlineLvl w:val="1"/>
              <w:rPr>
                <w:rFonts w:eastAsia="Times New Roman" w:cs="Tahoma"/>
                <w:bCs/>
                <w:color w:val="000000"/>
                <w:lang w:val="en-GB"/>
              </w:rPr>
            </w:pPr>
            <w:bookmarkStart w:id="56" w:name="_Toc376198415"/>
            <w:r w:rsidRPr="006645DC">
              <w:rPr>
                <w:rFonts w:eastAsia="Times New Roman" w:cs="Tahoma"/>
                <w:bCs/>
                <w:color w:val="000000"/>
                <w:lang w:val="en-GB"/>
              </w:rPr>
              <w:t>30.2</w:t>
            </w:r>
            <w:bookmarkEnd w:id="56"/>
          </w:p>
        </w:tc>
        <w:tc>
          <w:tcPr>
            <w:tcW w:w="992" w:type="dxa"/>
            <w:shd w:val="clear" w:color="auto" w:fill="95B3D7" w:themeFill="accent1" w:themeFillTint="99"/>
            <w:vAlign w:val="center"/>
            <w:hideMark/>
          </w:tcPr>
          <w:p w14:paraId="5DAE6C5D" w14:textId="77777777" w:rsidR="00B20E3C" w:rsidRPr="006645DC" w:rsidRDefault="00B20E3C" w:rsidP="0037102B">
            <w:pPr>
              <w:keepNext/>
              <w:keepLines/>
              <w:spacing w:before="0" w:after="0"/>
              <w:ind w:left="288" w:hanging="360"/>
              <w:jc w:val="center"/>
              <w:outlineLvl w:val="1"/>
              <w:rPr>
                <w:rFonts w:eastAsia="Times New Roman" w:cs="Tahoma"/>
                <w:bCs/>
                <w:color w:val="000000"/>
                <w:lang w:val="en-GB"/>
              </w:rPr>
            </w:pPr>
            <w:bookmarkStart w:id="57" w:name="_Toc376198416"/>
            <w:r w:rsidRPr="006645DC">
              <w:rPr>
                <w:rFonts w:eastAsia="Times New Roman" w:cs="Tahoma"/>
                <w:bCs/>
                <w:color w:val="000000"/>
                <w:lang w:val="en-GB"/>
              </w:rPr>
              <w:t>19</w:t>
            </w:r>
            <w:r w:rsidR="0037102B" w:rsidRPr="006645DC">
              <w:rPr>
                <w:rFonts w:eastAsia="Times New Roman" w:cs="Tahoma"/>
                <w:bCs/>
                <w:color w:val="000000"/>
                <w:lang w:val="en-GB"/>
              </w:rPr>
              <w:t xml:space="preserve"> </w:t>
            </w:r>
            <w:r w:rsidRPr="006645DC">
              <w:rPr>
                <w:rFonts w:eastAsia="Times New Roman" w:cs="Tahoma"/>
                <w:bCs/>
                <w:color w:val="000000"/>
                <w:lang w:val="en-GB"/>
              </w:rPr>
              <w:t>302.3</w:t>
            </w:r>
            <w:bookmarkEnd w:id="57"/>
          </w:p>
        </w:tc>
        <w:tc>
          <w:tcPr>
            <w:tcW w:w="1078" w:type="dxa"/>
            <w:shd w:val="clear" w:color="auto" w:fill="95B3D7" w:themeFill="accent1" w:themeFillTint="99"/>
            <w:vAlign w:val="center"/>
            <w:hideMark/>
          </w:tcPr>
          <w:p w14:paraId="07800D32" w14:textId="77777777" w:rsidR="00B20E3C" w:rsidRPr="006645DC" w:rsidRDefault="00B20E3C" w:rsidP="00393EB7">
            <w:pPr>
              <w:keepNext/>
              <w:keepLines/>
              <w:spacing w:before="0" w:after="0"/>
              <w:ind w:left="288" w:hanging="360"/>
              <w:jc w:val="center"/>
              <w:outlineLvl w:val="1"/>
              <w:rPr>
                <w:rFonts w:eastAsia="Times New Roman" w:cs="Tahoma"/>
                <w:bCs/>
                <w:color w:val="000000"/>
                <w:lang w:val="en-GB"/>
              </w:rPr>
            </w:pPr>
            <w:bookmarkStart w:id="58" w:name="_Toc376198417"/>
            <w:r w:rsidRPr="006645DC">
              <w:rPr>
                <w:rFonts w:eastAsia="Times New Roman" w:cs="Tahoma"/>
                <w:bCs/>
                <w:color w:val="000000"/>
                <w:lang w:val="en-GB"/>
              </w:rPr>
              <w:t>23</w:t>
            </w:r>
            <w:r w:rsidR="0037102B" w:rsidRPr="006645DC">
              <w:rPr>
                <w:rFonts w:eastAsia="Times New Roman" w:cs="Tahoma"/>
                <w:bCs/>
                <w:color w:val="000000"/>
                <w:lang w:val="en-GB"/>
              </w:rPr>
              <w:t xml:space="preserve"> </w:t>
            </w:r>
            <w:r w:rsidRPr="006645DC">
              <w:rPr>
                <w:rFonts w:eastAsia="Times New Roman" w:cs="Tahoma"/>
                <w:bCs/>
                <w:color w:val="000000"/>
                <w:lang w:val="en-GB"/>
              </w:rPr>
              <w:t>476.2</w:t>
            </w:r>
            <w:bookmarkEnd w:id="58"/>
          </w:p>
        </w:tc>
        <w:tc>
          <w:tcPr>
            <w:tcW w:w="895" w:type="dxa"/>
            <w:shd w:val="clear" w:color="auto" w:fill="95B3D7" w:themeFill="accent1" w:themeFillTint="99"/>
            <w:vAlign w:val="center"/>
            <w:hideMark/>
          </w:tcPr>
          <w:p w14:paraId="5686EFBC" w14:textId="77777777" w:rsidR="00B20E3C" w:rsidRPr="006645DC" w:rsidRDefault="00B20E3C" w:rsidP="00393EB7">
            <w:pPr>
              <w:keepNext/>
              <w:keepLines/>
              <w:spacing w:before="0" w:after="0"/>
              <w:ind w:left="288" w:hanging="360"/>
              <w:jc w:val="center"/>
              <w:outlineLvl w:val="1"/>
              <w:rPr>
                <w:rFonts w:eastAsia="Times New Roman" w:cs="Tahoma"/>
                <w:bCs/>
                <w:color w:val="000000"/>
                <w:lang w:val="en-GB"/>
              </w:rPr>
            </w:pPr>
            <w:bookmarkStart w:id="59" w:name="_Toc376198418"/>
            <w:r w:rsidRPr="006645DC">
              <w:rPr>
                <w:rFonts w:eastAsia="Times New Roman" w:cs="Tahoma"/>
                <w:bCs/>
                <w:color w:val="000000"/>
                <w:lang w:val="en-GB"/>
              </w:rPr>
              <w:t>21.6</w:t>
            </w:r>
            <w:bookmarkEnd w:id="59"/>
          </w:p>
        </w:tc>
        <w:tc>
          <w:tcPr>
            <w:tcW w:w="1004" w:type="dxa"/>
            <w:shd w:val="clear" w:color="auto" w:fill="95B3D7" w:themeFill="accent1" w:themeFillTint="99"/>
            <w:vAlign w:val="center"/>
            <w:hideMark/>
          </w:tcPr>
          <w:p w14:paraId="11A7DE75" w14:textId="77777777" w:rsidR="00B20E3C" w:rsidRPr="006645DC" w:rsidRDefault="00B20E3C" w:rsidP="00393EB7">
            <w:pPr>
              <w:keepNext/>
              <w:keepLines/>
              <w:spacing w:before="0" w:after="0"/>
              <w:ind w:left="288" w:hanging="360"/>
              <w:jc w:val="center"/>
              <w:outlineLvl w:val="1"/>
              <w:rPr>
                <w:rFonts w:eastAsia="Times New Roman" w:cs="Tahoma"/>
                <w:bCs/>
                <w:color w:val="000000"/>
                <w:lang w:val="en-GB"/>
              </w:rPr>
            </w:pPr>
            <w:bookmarkStart w:id="60" w:name="_Toc376198419"/>
            <w:r w:rsidRPr="006645DC">
              <w:rPr>
                <w:rFonts w:eastAsia="Times New Roman" w:cs="Tahoma"/>
                <w:bCs/>
                <w:color w:val="000000"/>
                <w:lang w:val="en-GB"/>
              </w:rPr>
              <w:t>-3</w:t>
            </w:r>
            <w:r w:rsidR="0037102B" w:rsidRPr="006645DC">
              <w:rPr>
                <w:rFonts w:eastAsia="Times New Roman" w:cs="Tahoma"/>
                <w:bCs/>
                <w:color w:val="000000"/>
                <w:lang w:val="en-GB"/>
              </w:rPr>
              <w:t xml:space="preserve"> </w:t>
            </w:r>
            <w:r w:rsidRPr="006645DC">
              <w:rPr>
                <w:rFonts w:eastAsia="Times New Roman" w:cs="Tahoma"/>
                <w:bCs/>
                <w:color w:val="000000"/>
                <w:lang w:val="en-GB"/>
              </w:rPr>
              <w:t>694.6</w:t>
            </w:r>
            <w:bookmarkEnd w:id="60"/>
          </w:p>
        </w:tc>
        <w:tc>
          <w:tcPr>
            <w:tcW w:w="996" w:type="dxa"/>
            <w:shd w:val="clear" w:color="auto" w:fill="95B3D7" w:themeFill="accent1" w:themeFillTint="99"/>
            <w:vAlign w:val="center"/>
            <w:hideMark/>
          </w:tcPr>
          <w:p w14:paraId="700DFC34" w14:textId="77777777" w:rsidR="00B20E3C" w:rsidRPr="006645DC" w:rsidRDefault="00B20E3C" w:rsidP="00393EB7">
            <w:pPr>
              <w:keepNext/>
              <w:keepLines/>
              <w:spacing w:before="0" w:after="0"/>
              <w:ind w:left="288" w:hanging="360"/>
              <w:jc w:val="center"/>
              <w:outlineLvl w:val="1"/>
              <w:rPr>
                <w:rFonts w:eastAsia="Times New Roman" w:cs="Tahoma"/>
                <w:bCs/>
                <w:color w:val="000000"/>
                <w:lang w:val="en-GB"/>
              </w:rPr>
            </w:pPr>
            <w:bookmarkStart w:id="61" w:name="_Toc376198420"/>
            <w:r w:rsidRPr="006645DC">
              <w:rPr>
                <w:rFonts w:eastAsia="Times New Roman" w:cs="Tahoma"/>
                <w:bCs/>
                <w:color w:val="000000"/>
                <w:lang w:val="en-GB"/>
              </w:rPr>
              <w:t>-3</w:t>
            </w:r>
            <w:r w:rsidR="0037102B" w:rsidRPr="006645DC">
              <w:rPr>
                <w:rFonts w:eastAsia="Times New Roman" w:cs="Tahoma"/>
                <w:bCs/>
                <w:color w:val="000000"/>
                <w:lang w:val="en-GB"/>
              </w:rPr>
              <w:t xml:space="preserve"> </w:t>
            </w:r>
            <w:r w:rsidRPr="006645DC">
              <w:rPr>
                <w:rFonts w:eastAsia="Times New Roman" w:cs="Tahoma"/>
                <w:bCs/>
                <w:color w:val="000000"/>
                <w:lang w:val="en-GB"/>
              </w:rPr>
              <w:t>151.2</w:t>
            </w:r>
            <w:bookmarkEnd w:id="61"/>
          </w:p>
        </w:tc>
      </w:tr>
    </w:tbl>
    <w:p w14:paraId="561B0FAE" w14:textId="77777777" w:rsidR="006E1390" w:rsidRPr="006645DC" w:rsidRDefault="00C90911" w:rsidP="00C90911">
      <w:pPr>
        <w:pStyle w:val="Caption"/>
        <w:rPr>
          <w:i w:val="0"/>
          <w:szCs w:val="20"/>
          <w:lang w:val="en-GB"/>
        </w:rPr>
      </w:pPr>
      <w:bookmarkStart w:id="62" w:name="_Toc391150098"/>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1</w:t>
      </w:r>
      <w:r w:rsidR="005979EB" w:rsidRPr="006645DC">
        <w:rPr>
          <w:lang w:val="en-GB"/>
        </w:rPr>
        <w:fldChar w:fldCharType="end"/>
      </w:r>
      <w:r w:rsidRPr="006645DC">
        <w:rPr>
          <w:lang w:val="en-GB"/>
        </w:rPr>
        <w:t xml:space="preserve"> - </w:t>
      </w:r>
      <w:r w:rsidR="00B20E3C" w:rsidRPr="006645DC">
        <w:rPr>
          <w:i w:val="0"/>
          <w:szCs w:val="20"/>
          <w:lang w:val="en-GB"/>
        </w:rPr>
        <w:t>Bulgarian Export and Import Volume by Year</w:t>
      </w:r>
      <w:bookmarkEnd w:id="62"/>
    </w:p>
    <w:p w14:paraId="67356478" w14:textId="77777777" w:rsidR="00B20E3C" w:rsidRPr="006645DC" w:rsidRDefault="006E1390" w:rsidP="00C90911">
      <w:pPr>
        <w:pStyle w:val="Heading4"/>
        <w:rPr>
          <w:lang w:val="en-GB"/>
        </w:rPr>
      </w:pPr>
      <w:r w:rsidRPr="006645DC">
        <w:rPr>
          <w:lang w:val="en-GB"/>
        </w:rPr>
        <w:t>Source: NSI</w:t>
      </w:r>
      <w:r w:rsidR="008804DC" w:rsidRPr="006645DC">
        <w:rPr>
          <w:lang w:val="en-GB"/>
        </w:rPr>
        <w:t xml:space="preserve"> Bulgaria</w:t>
      </w:r>
    </w:p>
    <w:p w14:paraId="065C3CC5" w14:textId="77777777" w:rsidR="00B20E3C" w:rsidRPr="006645DC" w:rsidRDefault="00B20E3C" w:rsidP="00B20E3C">
      <w:pPr>
        <w:rPr>
          <w:lang w:val="en-GB"/>
        </w:rPr>
      </w:pPr>
    </w:p>
    <w:tbl>
      <w:tblPr>
        <w:tblW w:w="0" w:type="auto"/>
        <w:jc w:val="cente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Look w:val="04A0" w:firstRow="1" w:lastRow="0" w:firstColumn="1" w:lastColumn="0" w:noHBand="0" w:noVBand="1"/>
      </w:tblPr>
      <w:tblGrid>
        <w:gridCol w:w="3249"/>
        <w:gridCol w:w="3347"/>
      </w:tblGrid>
      <w:tr w:rsidR="0037102B" w:rsidRPr="006645DC" w14:paraId="23BE9715" w14:textId="77777777" w:rsidTr="0037102B">
        <w:trPr>
          <w:jc w:val="center"/>
        </w:trPr>
        <w:tc>
          <w:tcPr>
            <w:tcW w:w="3249" w:type="dxa"/>
            <w:tcBorders>
              <w:top w:val="single" w:sz="8" w:space="0" w:color="FFFFFF"/>
              <w:left w:val="single" w:sz="8" w:space="0" w:color="FFFFFF"/>
              <w:bottom w:val="single" w:sz="24" w:space="0" w:color="FFFFFF"/>
              <w:right w:val="single" w:sz="8" w:space="0" w:color="FFFFFF"/>
            </w:tcBorders>
            <w:shd w:val="clear" w:color="auto" w:fill="4BACC6"/>
            <w:vAlign w:val="center"/>
            <w:hideMark/>
          </w:tcPr>
          <w:p w14:paraId="1B93F7A2" w14:textId="77777777" w:rsidR="0037102B" w:rsidRPr="006645DC" w:rsidRDefault="0037102B" w:rsidP="0037102B">
            <w:pPr>
              <w:spacing w:before="0" w:after="0"/>
              <w:jc w:val="center"/>
              <w:rPr>
                <w:b/>
                <w:bCs/>
                <w:color w:val="FFFFFF"/>
                <w:lang w:val="en-GB"/>
              </w:rPr>
            </w:pPr>
            <w:r w:rsidRPr="006645DC">
              <w:rPr>
                <w:b/>
                <w:bCs/>
                <w:color w:val="FFFFFF"/>
                <w:lang w:val="en-GB"/>
              </w:rPr>
              <w:t>Balance of trade – first half of 2013</w:t>
            </w:r>
          </w:p>
        </w:tc>
        <w:tc>
          <w:tcPr>
            <w:tcW w:w="3347" w:type="dxa"/>
            <w:tcBorders>
              <w:top w:val="single" w:sz="8" w:space="0" w:color="FFFFFF"/>
              <w:left w:val="single" w:sz="8" w:space="0" w:color="FFFFFF"/>
              <w:bottom w:val="single" w:sz="24" w:space="0" w:color="FFFFFF"/>
              <w:right w:val="single" w:sz="8" w:space="0" w:color="FFFFFF"/>
            </w:tcBorders>
            <w:shd w:val="clear" w:color="auto" w:fill="4BACC6"/>
            <w:vAlign w:val="center"/>
            <w:hideMark/>
          </w:tcPr>
          <w:p w14:paraId="168FBFD2" w14:textId="77777777" w:rsidR="0037102B" w:rsidRPr="006645DC" w:rsidRDefault="0037102B" w:rsidP="0037102B">
            <w:pPr>
              <w:spacing w:before="0" w:after="0"/>
              <w:jc w:val="center"/>
              <w:rPr>
                <w:b/>
                <w:bCs/>
                <w:color w:val="FFFFFF"/>
                <w:lang w:val="en-GB"/>
              </w:rPr>
            </w:pPr>
            <w:r w:rsidRPr="006645DC">
              <w:rPr>
                <w:b/>
                <w:bCs/>
                <w:color w:val="FFFFFF"/>
                <w:lang w:val="en-GB"/>
              </w:rPr>
              <w:t>Value (thousand EUR)</w:t>
            </w:r>
          </w:p>
        </w:tc>
      </w:tr>
      <w:tr w:rsidR="0037102B" w:rsidRPr="006645DC" w14:paraId="3211EBF0" w14:textId="77777777" w:rsidTr="0037102B">
        <w:trPr>
          <w:trHeight w:val="111"/>
          <w:jc w:val="center"/>
        </w:trPr>
        <w:tc>
          <w:tcPr>
            <w:tcW w:w="3249" w:type="dxa"/>
            <w:tcBorders>
              <w:top w:val="single" w:sz="8" w:space="0" w:color="FFFFFF"/>
              <w:left w:val="single" w:sz="8" w:space="0" w:color="FFFFFF"/>
              <w:right w:val="single" w:sz="24" w:space="0" w:color="FFFFFF"/>
            </w:tcBorders>
            <w:shd w:val="clear" w:color="auto" w:fill="4BACC6"/>
            <w:hideMark/>
          </w:tcPr>
          <w:p w14:paraId="61B6D885" w14:textId="77777777" w:rsidR="0037102B" w:rsidRPr="006645DC" w:rsidRDefault="0037102B" w:rsidP="0037102B">
            <w:pPr>
              <w:spacing w:before="0" w:after="0"/>
              <w:rPr>
                <w:b/>
                <w:bCs/>
                <w:color w:val="FFFFFF"/>
                <w:lang w:val="en-GB"/>
              </w:rPr>
            </w:pPr>
            <w:r w:rsidRPr="006645DC">
              <w:rPr>
                <w:b/>
                <w:bCs/>
                <w:color w:val="FFFFFF"/>
                <w:lang w:val="en-GB"/>
              </w:rPr>
              <w:t>Romania</w:t>
            </w:r>
          </w:p>
        </w:tc>
        <w:tc>
          <w:tcPr>
            <w:tcW w:w="3347" w:type="dxa"/>
            <w:tcBorders>
              <w:top w:val="single" w:sz="8" w:space="0" w:color="FFFFFF"/>
              <w:left w:val="single" w:sz="8" w:space="0" w:color="FFFFFF"/>
              <w:bottom w:val="single" w:sz="8" w:space="0" w:color="FFFFFF"/>
              <w:right w:val="single" w:sz="8" w:space="0" w:color="FFFFFF"/>
            </w:tcBorders>
            <w:shd w:val="clear" w:color="auto" w:fill="A5D5E2"/>
            <w:vAlign w:val="center"/>
          </w:tcPr>
          <w:p w14:paraId="3E9D42A1" w14:textId="77777777" w:rsidR="0037102B" w:rsidRPr="006645DC" w:rsidRDefault="0037102B" w:rsidP="0037102B">
            <w:pPr>
              <w:spacing w:before="0" w:after="0"/>
              <w:jc w:val="right"/>
              <w:rPr>
                <w:rFonts w:cs="Calibri"/>
                <w:color w:val="000000"/>
                <w:lang w:val="en-GB"/>
              </w:rPr>
            </w:pPr>
            <w:r w:rsidRPr="006645DC">
              <w:rPr>
                <w:rFonts w:cs="Calibri"/>
                <w:color w:val="000000"/>
                <w:lang w:val="en-GB"/>
              </w:rPr>
              <w:t>-2 552 157</w:t>
            </w:r>
          </w:p>
        </w:tc>
      </w:tr>
      <w:tr w:rsidR="0037102B" w:rsidRPr="006645DC" w14:paraId="37418A9B" w14:textId="77777777" w:rsidTr="0037102B">
        <w:trPr>
          <w:jc w:val="center"/>
        </w:trPr>
        <w:tc>
          <w:tcPr>
            <w:tcW w:w="3249" w:type="dxa"/>
            <w:tcBorders>
              <w:top w:val="single" w:sz="6" w:space="0" w:color="FFFFFF"/>
              <w:left w:val="single" w:sz="8" w:space="0" w:color="FFFFFF"/>
              <w:right w:val="single" w:sz="24" w:space="0" w:color="FFFFFF"/>
            </w:tcBorders>
            <w:shd w:val="clear" w:color="auto" w:fill="4BACC6"/>
            <w:hideMark/>
          </w:tcPr>
          <w:p w14:paraId="74951AAB" w14:textId="77777777" w:rsidR="0037102B" w:rsidRPr="006645DC" w:rsidRDefault="0037102B" w:rsidP="0037102B">
            <w:pPr>
              <w:spacing w:before="0" w:after="0"/>
              <w:rPr>
                <w:b/>
                <w:bCs/>
                <w:color w:val="FFFFFF"/>
                <w:lang w:val="en-GB"/>
              </w:rPr>
            </w:pPr>
            <w:r w:rsidRPr="006645DC">
              <w:rPr>
                <w:b/>
                <w:bCs/>
                <w:color w:val="FFFFFF"/>
                <w:lang w:val="en-GB"/>
              </w:rPr>
              <w:t>Romanian cross-border value</w:t>
            </w:r>
          </w:p>
        </w:tc>
        <w:tc>
          <w:tcPr>
            <w:tcW w:w="3347" w:type="dxa"/>
            <w:tcBorders>
              <w:top w:val="single" w:sz="6" w:space="0" w:color="FFFFFF"/>
              <w:left w:val="single" w:sz="6" w:space="0" w:color="FFFFFF"/>
              <w:bottom w:val="single" w:sz="6" w:space="0" w:color="FFFFFF"/>
              <w:right w:val="single" w:sz="6" w:space="0" w:color="FFFFFF"/>
            </w:tcBorders>
            <w:shd w:val="clear" w:color="auto" w:fill="D2EAF1"/>
            <w:vAlign w:val="center"/>
          </w:tcPr>
          <w:p w14:paraId="172D1313" w14:textId="77777777" w:rsidR="0037102B" w:rsidRPr="006645DC" w:rsidRDefault="0037102B" w:rsidP="0037102B">
            <w:pPr>
              <w:spacing w:before="0" w:after="0"/>
              <w:jc w:val="right"/>
              <w:rPr>
                <w:rFonts w:cs="Calibri"/>
                <w:b/>
                <w:color w:val="000000"/>
                <w:lang w:val="en-GB"/>
              </w:rPr>
            </w:pPr>
            <w:r w:rsidRPr="006645DC">
              <w:rPr>
                <w:rFonts w:cs="Calibri"/>
                <w:b/>
                <w:color w:val="000000"/>
                <w:lang w:val="en-GB"/>
              </w:rPr>
              <w:t>338 798</w:t>
            </w:r>
          </w:p>
        </w:tc>
      </w:tr>
      <w:tr w:rsidR="0037102B" w:rsidRPr="006645DC" w14:paraId="2FF4635B" w14:textId="77777777" w:rsidTr="0037102B">
        <w:trPr>
          <w:jc w:val="center"/>
        </w:trPr>
        <w:tc>
          <w:tcPr>
            <w:tcW w:w="3249" w:type="dxa"/>
            <w:tcBorders>
              <w:top w:val="single" w:sz="8" w:space="0" w:color="FFFFFF"/>
              <w:left w:val="single" w:sz="8" w:space="0" w:color="FFFFFF"/>
              <w:right w:val="single" w:sz="24" w:space="0" w:color="FFFFFF"/>
            </w:tcBorders>
            <w:shd w:val="clear" w:color="auto" w:fill="4BACC6"/>
            <w:vAlign w:val="bottom"/>
            <w:hideMark/>
          </w:tcPr>
          <w:p w14:paraId="686F39D1" w14:textId="77777777" w:rsidR="0037102B" w:rsidRPr="006645DC" w:rsidRDefault="0037102B" w:rsidP="0037102B">
            <w:pPr>
              <w:spacing w:before="0" w:after="0"/>
              <w:rPr>
                <w:rFonts w:cs="Calibri"/>
                <w:b/>
                <w:bCs/>
                <w:color w:val="000000"/>
                <w:lang w:val="en-GB"/>
              </w:rPr>
            </w:pPr>
            <w:r w:rsidRPr="006645DC">
              <w:rPr>
                <w:rFonts w:cs="Calibri"/>
                <w:b/>
                <w:bCs/>
                <w:color w:val="000000"/>
                <w:lang w:val="en-GB"/>
              </w:rPr>
              <w:t>Calarasi</w:t>
            </w:r>
          </w:p>
        </w:tc>
        <w:tc>
          <w:tcPr>
            <w:tcW w:w="3347" w:type="dxa"/>
            <w:tcBorders>
              <w:top w:val="single" w:sz="8" w:space="0" w:color="FFFFFF"/>
              <w:left w:val="single" w:sz="8" w:space="0" w:color="FFFFFF"/>
              <w:bottom w:val="single" w:sz="8" w:space="0" w:color="FFFFFF"/>
              <w:right w:val="single" w:sz="8" w:space="0" w:color="FFFFFF"/>
            </w:tcBorders>
            <w:shd w:val="clear" w:color="auto" w:fill="A5D5E2"/>
            <w:vAlign w:val="center"/>
          </w:tcPr>
          <w:p w14:paraId="0E09FB25" w14:textId="77777777" w:rsidR="0037102B" w:rsidRPr="006645DC" w:rsidRDefault="0037102B" w:rsidP="0037102B">
            <w:pPr>
              <w:spacing w:before="0" w:after="0"/>
              <w:jc w:val="right"/>
              <w:rPr>
                <w:rFonts w:cs="Calibri"/>
                <w:color w:val="000000"/>
                <w:lang w:val="en-GB"/>
              </w:rPr>
            </w:pPr>
            <w:r w:rsidRPr="006645DC">
              <w:rPr>
                <w:rFonts w:cs="Calibri"/>
                <w:color w:val="000000"/>
                <w:lang w:val="en-GB"/>
              </w:rPr>
              <w:t>71 807</w:t>
            </w:r>
          </w:p>
        </w:tc>
      </w:tr>
      <w:tr w:rsidR="0037102B" w:rsidRPr="006645DC" w14:paraId="077BCC9B" w14:textId="77777777" w:rsidTr="0037102B">
        <w:trPr>
          <w:jc w:val="center"/>
        </w:trPr>
        <w:tc>
          <w:tcPr>
            <w:tcW w:w="3249" w:type="dxa"/>
            <w:tcBorders>
              <w:top w:val="single" w:sz="6" w:space="0" w:color="FFFFFF"/>
              <w:left w:val="single" w:sz="8" w:space="0" w:color="FFFFFF"/>
              <w:right w:val="single" w:sz="24" w:space="0" w:color="FFFFFF"/>
            </w:tcBorders>
            <w:shd w:val="clear" w:color="auto" w:fill="4BACC6"/>
            <w:vAlign w:val="bottom"/>
            <w:hideMark/>
          </w:tcPr>
          <w:p w14:paraId="4D945447" w14:textId="77777777" w:rsidR="0037102B" w:rsidRPr="006645DC" w:rsidRDefault="0037102B" w:rsidP="0037102B">
            <w:pPr>
              <w:spacing w:before="0" w:after="0"/>
              <w:rPr>
                <w:rFonts w:cs="Calibri"/>
                <w:b/>
                <w:bCs/>
                <w:color w:val="000000"/>
                <w:lang w:val="en-GB"/>
              </w:rPr>
            </w:pPr>
            <w:r w:rsidRPr="006645DC">
              <w:rPr>
                <w:rFonts w:cs="Calibri"/>
                <w:b/>
                <w:bCs/>
                <w:color w:val="000000"/>
                <w:lang w:val="en-GB"/>
              </w:rPr>
              <w:t>Constanta</w:t>
            </w:r>
          </w:p>
        </w:tc>
        <w:tc>
          <w:tcPr>
            <w:tcW w:w="3347" w:type="dxa"/>
            <w:tcBorders>
              <w:top w:val="single" w:sz="6" w:space="0" w:color="FFFFFF"/>
              <w:left w:val="single" w:sz="6" w:space="0" w:color="FFFFFF"/>
              <w:bottom w:val="single" w:sz="6" w:space="0" w:color="FFFFFF"/>
              <w:right w:val="single" w:sz="6" w:space="0" w:color="FFFFFF"/>
            </w:tcBorders>
            <w:shd w:val="clear" w:color="auto" w:fill="D2EAF1"/>
            <w:vAlign w:val="center"/>
          </w:tcPr>
          <w:p w14:paraId="4E7206CD" w14:textId="77777777" w:rsidR="0037102B" w:rsidRPr="006645DC" w:rsidRDefault="0037102B" w:rsidP="0037102B">
            <w:pPr>
              <w:spacing w:before="0" w:after="0"/>
              <w:jc w:val="right"/>
              <w:rPr>
                <w:rFonts w:cs="Calibri"/>
                <w:color w:val="000000"/>
                <w:lang w:val="en-GB"/>
              </w:rPr>
            </w:pPr>
            <w:r w:rsidRPr="006645DC">
              <w:rPr>
                <w:rFonts w:cs="Calibri"/>
                <w:color w:val="000000"/>
                <w:lang w:val="en-GB"/>
              </w:rPr>
              <w:t>-22 053</w:t>
            </w:r>
          </w:p>
        </w:tc>
      </w:tr>
      <w:tr w:rsidR="0037102B" w:rsidRPr="006645DC" w14:paraId="08A9DE6C" w14:textId="77777777" w:rsidTr="0037102B">
        <w:trPr>
          <w:jc w:val="center"/>
        </w:trPr>
        <w:tc>
          <w:tcPr>
            <w:tcW w:w="3249" w:type="dxa"/>
            <w:tcBorders>
              <w:top w:val="single" w:sz="8" w:space="0" w:color="FFFFFF"/>
              <w:left w:val="single" w:sz="8" w:space="0" w:color="FFFFFF"/>
              <w:right w:val="single" w:sz="24" w:space="0" w:color="FFFFFF"/>
            </w:tcBorders>
            <w:shd w:val="clear" w:color="auto" w:fill="4BACC6"/>
            <w:vAlign w:val="bottom"/>
            <w:hideMark/>
          </w:tcPr>
          <w:p w14:paraId="3364F987" w14:textId="77777777" w:rsidR="0037102B" w:rsidRPr="006645DC" w:rsidRDefault="0037102B" w:rsidP="0037102B">
            <w:pPr>
              <w:spacing w:before="0" w:after="0"/>
              <w:rPr>
                <w:rFonts w:cs="Calibri"/>
                <w:b/>
                <w:bCs/>
                <w:color w:val="000000"/>
                <w:lang w:val="en-GB"/>
              </w:rPr>
            </w:pPr>
            <w:r w:rsidRPr="006645DC">
              <w:rPr>
                <w:rFonts w:cs="Calibri"/>
                <w:b/>
                <w:bCs/>
                <w:color w:val="000000"/>
                <w:lang w:val="en-GB"/>
              </w:rPr>
              <w:t>Dolj</w:t>
            </w:r>
          </w:p>
        </w:tc>
        <w:tc>
          <w:tcPr>
            <w:tcW w:w="3347" w:type="dxa"/>
            <w:tcBorders>
              <w:top w:val="single" w:sz="8" w:space="0" w:color="FFFFFF"/>
              <w:left w:val="single" w:sz="8" w:space="0" w:color="FFFFFF"/>
              <w:bottom w:val="single" w:sz="8" w:space="0" w:color="FFFFFF"/>
              <w:right w:val="single" w:sz="8" w:space="0" w:color="FFFFFF"/>
            </w:tcBorders>
            <w:shd w:val="clear" w:color="auto" w:fill="A5D5E2"/>
            <w:vAlign w:val="center"/>
          </w:tcPr>
          <w:p w14:paraId="43C571C1" w14:textId="77777777" w:rsidR="0037102B" w:rsidRPr="006645DC" w:rsidRDefault="0037102B" w:rsidP="0037102B">
            <w:pPr>
              <w:spacing w:before="0" w:after="0"/>
              <w:jc w:val="right"/>
              <w:rPr>
                <w:rFonts w:cs="Calibri"/>
                <w:color w:val="000000"/>
                <w:lang w:val="en-GB"/>
              </w:rPr>
            </w:pPr>
            <w:r w:rsidRPr="006645DC">
              <w:rPr>
                <w:rFonts w:cs="Calibri"/>
                <w:color w:val="000000"/>
                <w:lang w:val="en-GB"/>
              </w:rPr>
              <w:t>146 317</w:t>
            </w:r>
          </w:p>
        </w:tc>
      </w:tr>
      <w:tr w:rsidR="0037102B" w:rsidRPr="006645DC" w14:paraId="7604E989" w14:textId="77777777" w:rsidTr="0037102B">
        <w:trPr>
          <w:jc w:val="center"/>
        </w:trPr>
        <w:tc>
          <w:tcPr>
            <w:tcW w:w="3249" w:type="dxa"/>
            <w:tcBorders>
              <w:top w:val="single" w:sz="6" w:space="0" w:color="FFFFFF"/>
              <w:left w:val="single" w:sz="8" w:space="0" w:color="FFFFFF"/>
              <w:right w:val="single" w:sz="24" w:space="0" w:color="FFFFFF"/>
            </w:tcBorders>
            <w:shd w:val="clear" w:color="auto" w:fill="4BACC6"/>
            <w:vAlign w:val="bottom"/>
            <w:hideMark/>
          </w:tcPr>
          <w:p w14:paraId="77C67886" w14:textId="77777777" w:rsidR="0037102B" w:rsidRPr="006645DC" w:rsidRDefault="0037102B" w:rsidP="0037102B">
            <w:pPr>
              <w:spacing w:before="0" w:after="0"/>
              <w:rPr>
                <w:rFonts w:cs="Calibri"/>
                <w:b/>
                <w:bCs/>
                <w:color w:val="000000"/>
                <w:lang w:val="en-GB"/>
              </w:rPr>
            </w:pPr>
            <w:r w:rsidRPr="006645DC">
              <w:rPr>
                <w:rFonts w:cs="Calibri"/>
                <w:b/>
                <w:bCs/>
                <w:color w:val="000000"/>
                <w:lang w:val="en-GB"/>
              </w:rPr>
              <w:t>Giurgiu</w:t>
            </w:r>
          </w:p>
        </w:tc>
        <w:tc>
          <w:tcPr>
            <w:tcW w:w="3347" w:type="dxa"/>
            <w:tcBorders>
              <w:top w:val="single" w:sz="6" w:space="0" w:color="FFFFFF"/>
              <w:left w:val="single" w:sz="6" w:space="0" w:color="FFFFFF"/>
              <w:bottom w:val="single" w:sz="6" w:space="0" w:color="FFFFFF"/>
              <w:right w:val="single" w:sz="6" w:space="0" w:color="FFFFFF"/>
            </w:tcBorders>
            <w:shd w:val="clear" w:color="auto" w:fill="D2EAF1"/>
            <w:vAlign w:val="center"/>
          </w:tcPr>
          <w:p w14:paraId="140A9BBA" w14:textId="77777777" w:rsidR="0037102B" w:rsidRPr="006645DC" w:rsidRDefault="0037102B" w:rsidP="0037102B">
            <w:pPr>
              <w:spacing w:before="0" w:after="0"/>
              <w:jc w:val="right"/>
              <w:rPr>
                <w:rFonts w:cs="Calibri"/>
                <w:color w:val="000000"/>
                <w:lang w:val="en-GB"/>
              </w:rPr>
            </w:pPr>
            <w:r w:rsidRPr="006645DC">
              <w:rPr>
                <w:rFonts w:cs="Calibri"/>
                <w:color w:val="000000"/>
                <w:lang w:val="en-GB"/>
              </w:rPr>
              <w:t>-24 239</w:t>
            </w:r>
          </w:p>
        </w:tc>
      </w:tr>
      <w:tr w:rsidR="0037102B" w:rsidRPr="006645DC" w14:paraId="1E9819DB" w14:textId="77777777" w:rsidTr="0037102B">
        <w:trPr>
          <w:jc w:val="center"/>
        </w:trPr>
        <w:tc>
          <w:tcPr>
            <w:tcW w:w="3249" w:type="dxa"/>
            <w:tcBorders>
              <w:top w:val="single" w:sz="8" w:space="0" w:color="FFFFFF"/>
              <w:left w:val="single" w:sz="8" w:space="0" w:color="FFFFFF"/>
              <w:right w:val="single" w:sz="24" w:space="0" w:color="FFFFFF"/>
            </w:tcBorders>
            <w:shd w:val="clear" w:color="auto" w:fill="4BACC6"/>
            <w:vAlign w:val="bottom"/>
            <w:hideMark/>
          </w:tcPr>
          <w:p w14:paraId="35802B19" w14:textId="77777777" w:rsidR="0037102B" w:rsidRPr="006645DC" w:rsidRDefault="0037102B" w:rsidP="0037102B">
            <w:pPr>
              <w:spacing w:before="0" w:after="0"/>
              <w:rPr>
                <w:rFonts w:cs="Calibri"/>
                <w:b/>
                <w:bCs/>
                <w:color w:val="000000"/>
                <w:lang w:val="en-GB"/>
              </w:rPr>
            </w:pPr>
            <w:r w:rsidRPr="006645DC">
              <w:rPr>
                <w:rFonts w:cs="Calibri"/>
                <w:b/>
                <w:bCs/>
                <w:color w:val="000000"/>
                <w:lang w:val="en-GB"/>
              </w:rPr>
              <w:t>Mehedinti</w:t>
            </w:r>
          </w:p>
        </w:tc>
        <w:tc>
          <w:tcPr>
            <w:tcW w:w="3347" w:type="dxa"/>
            <w:tcBorders>
              <w:top w:val="single" w:sz="8" w:space="0" w:color="FFFFFF"/>
              <w:left w:val="single" w:sz="8" w:space="0" w:color="FFFFFF"/>
              <w:bottom w:val="single" w:sz="8" w:space="0" w:color="FFFFFF"/>
              <w:right w:val="single" w:sz="8" w:space="0" w:color="FFFFFF"/>
            </w:tcBorders>
            <w:shd w:val="clear" w:color="auto" w:fill="A5D5E2"/>
            <w:vAlign w:val="center"/>
          </w:tcPr>
          <w:p w14:paraId="11024184" w14:textId="77777777" w:rsidR="0037102B" w:rsidRPr="006645DC" w:rsidRDefault="0037102B" w:rsidP="0037102B">
            <w:pPr>
              <w:spacing w:before="0" w:after="0"/>
              <w:jc w:val="right"/>
              <w:rPr>
                <w:rFonts w:cs="Calibri"/>
                <w:color w:val="000000"/>
                <w:lang w:val="en-GB"/>
              </w:rPr>
            </w:pPr>
            <w:r w:rsidRPr="006645DC">
              <w:rPr>
                <w:rFonts w:cs="Calibri"/>
                <w:color w:val="000000"/>
                <w:lang w:val="en-GB"/>
              </w:rPr>
              <w:t>20 736</w:t>
            </w:r>
          </w:p>
        </w:tc>
      </w:tr>
      <w:tr w:rsidR="0037102B" w:rsidRPr="006645DC" w14:paraId="4B8F999A" w14:textId="77777777" w:rsidTr="0037102B">
        <w:trPr>
          <w:jc w:val="center"/>
        </w:trPr>
        <w:tc>
          <w:tcPr>
            <w:tcW w:w="3249" w:type="dxa"/>
            <w:tcBorders>
              <w:top w:val="single" w:sz="6" w:space="0" w:color="FFFFFF"/>
              <w:left w:val="single" w:sz="8" w:space="0" w:color="FFFFFF"/>
              <w:right w:val="single" w:sz="24" w:space="0" w:color="FFFFFF"/>
            </w:tcBorders>
            <w:shd w:val="clear" w:color="auto" w:fill="4BACC6"/>
            <w:vAlign w:val="bottom"/>
            <w:hideMark/>
          </w:tcPr>
          <w:p w14:paraId="4C24A32D" w14:textId="77777777" w:rsidR="0037102B" w:rsidRPr="006645DC" w:rsidRDefault="0037102B" w:rsidP="0037102B">
            <w:pPr>
              <w:spacing w:before="0" w:after="0"/>
              <w:rPr>
                <w:rFonts w:cs="Calibri"/>
                <w:b/>
                <w:bCs/>
                <w:color w:val="000000"/>
                <w:lang w:val="en-GB"/>
              </w:rPr>
            </w:pPr>
            <w:r w:rsidRPr="006645DC">
              <w:rPr>
                <w:rFonts w:cs="Calibri"/>
                <w:b/>
                <w:bCs/>
                <w:color w:val="000000"/>
                <w:lang w:val="en-GB"/>
              </w:rPr>
              <w:t>Olt</w:t>
            </w:r>
          </w:p>
        </w:tc>
        <w:tc>
          <w:tcPr>
            <w:tcW w:w="3347" w:type="dxa"/>
            <w:tcBorders>
              <w:top w:val="single" w:sz="6" w:space="0" w:color="FFFFFF"/>
              <w:left w:val="single" w:sz="6" w:space="0" w:color="FFFFFF"/>
              <w:bottom w:val="single" w:sz="6" w:space="0" w:color="FFFFFF"/>
              <w:right w:val="single" w:sz="6" w:space="0" w:color="FFFFFF"/>
            </w:tcBorders>
            <w:shd w:val="clear" w:color="auto" w:fill="D2EAF1"/>
            <w:vAlign w:val="center"/>
          </w:tcPr>
          <w:p w14:paraId="3494CD2A" w14:textId="77777777" w:rsidR="0037102B" w:rsidRPr="006645DC" w:rsidRDefault="0037102B" w:rsidP="0037102B">
            <w:pPr>
              <w:spacing w:before="0" w:after="0"/>
              <w:jc w:val="right"/>
              <w:rPr>
                <w:rFonts w:cs="Calibri"/>
                <w:color w:val="000000"/>
                <w:lang w:val="en-GB"/>
              </w:rPr>
            </w:pPr>
            <w:r w:rsidRPr="006645DC">
              <w:rPr>
                <w:rFonts w:cs="Calibri"/>
                <w:color w:val="000000"/>
                <w:lang w:val="en-GB"/>
              </w:rPr>
              <w:t>317 102</w:t>
            </w:r>
          </w:p>
        </w:tc>
      </w:tr>
      <w:tr w:rsidR="0037102B" w:rsidRPr="006645DC" w14:paraId="38370DEC" w14:textId="77777777" w:rsidTr="0037102B">
        <w:trPr>
          <w:jc w:val="center"/>
        </w:trPr>
        <w:tc>
          <w:tcPr>
            <w:tcW w:w="3249" w:type="dxa"/>
            <w:tcBorders>
              <w:top w:val="single" w:sz="8" w:space="0" w:color="FFFFFF"/>
              <w:left w:val="single" w:sz="8" w:space="0" w:color="FFFFFF"/>
              <w:bottom w:val="single" w:sz="8" w:space="0" w:color="FFFFFF"/>
              <w:right w:val="single" w:sz="24" w:space="0" w:color="FFFFFF"/>
            </w:tcBorders>
            <w:shd w:val="clear" w:color="auto" w:fill="4BACC6"/>
            <w:vAlign w:val="bottom"/>
            <w:hideMark/>
          </w:tcPr>
          <w:p w14:paraId="5F047E83" w14:textId="77777777" w:rsidR="0037102B" w:rsidRPr="006645DC" w:rsidRDefault="0037102B" w:rsidP="0037102B">
            <w:pPr>
              <w:spacing w:before="0" w:after="0"/>
              <w:rPr>
                <w:rFonts w:cs="Calibri"/>
                <w:b/>
                <w:bCs/>
                <w:color w:val="000000"/>
                <w:lang w:val="en-GB"/>
              </w:rPr>
            </w:pPr>
            <w:r w:rsidRPr="006645DC">
              <w:rPr>
                <w:rFonts w:cs="Calibri"/>
                <w:b/>
                <w:bCs/>
                <w:color w:val="000000"/>
                <w:lang w:val="en-GB"/>
              </w:rPr>
              <w:t>Teleorman</w:t>
            </w:r>
          </w:p>
        </w:tc>
        <w:tc>
          <w:tcPr>
            <w:tcW w:w="3347" w:type="dxa"/>
            <w:tcBorders>
              <w:top w:val="single" w:sz="8" w:space="0" w:color="FFFFFF"/>
              <w:left w:val="single" w:sz="8" w:space="0" w:color="FFFFFF"/>
              <w:bottom w:val="single" w:sz="8" w:space="0" w:color="FFFFFF"/>
              <w:right w:val="single" w:sz="8" w:space="0" w:color="FFFFFF"/>
            </w:tcBorders>
            <w:shd w:val="clear" w:color="auto" w:fill="A5D5E2"/>
            <w:vAlign w:val="center"/>
          </w:tcPr>
          <w:p w14:paraId="4A765210" w14:textId="77777777" w:rsidR="0037102B" w:rsidRPr="006645DC" w:rsidRDefault="0037102B" w:rsidP="0037102B">
            <w:pPr>
              <w:spacing w:before="0" w:after="0"/>
              <w:jc w:val="right"/>
              <w:rPr>
                <w:rFonts w:cs="Calibri"/>
                <w:color w:val="000000"/>
                <w:lang w:val="en-GB"/>
              </w:rPr>
            </w:pPr>
            <w:r w:rsidRPr="006645DC">
              <w:rPr>
                <w:rFonts w:cs="Calibri"/>
                <w:color w:val="000000"/>
                <w:lang w:val="en-GB"/>
              </w:rPr>
              <w:t>4 701</w:t>
            </w:r>
          </w:p>
        </w:tc>
      </w:tr>
    </w:tbl>
    <w:p w14:paraId="331DF5F8" w14:textId="77777777" w:rsidR="006E1390" w:rsidRPr="006645DC" w:rsidRDefault="00C90911" w:rsidP="00C90911">
      <w:pPr>
        <w:pStyle w:val="Caption"/>
        <w:rPr>
          <w:lang w:val="en-GB"/>
        </w:rPr>
      </w:pPr>
      <w:bookmarkStart w:id="63" w:name="_Toc391150099"/>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2</w:t>
      </w:r>
      <w:r w:rsidR="005979EB" w:rsidRPr="006645DC">
        <w:rPr>
          <w:lang w:val="en-GB"/>
        </w:rPr>
        <w:fldChar w:fldCharType="end"/>
      </w:r>
      <w:r w:rsidRPr="006645DC">
        <w:rPr>
          <w:lang w:val="en-GB"/>
        </w:rPr>
        <w:t xml:space="preserve"> - </w:t>
      </w:r>
      <w:r w:rsidR="00B20E3C" w:rsidRPr="006645DC">
        <w:rPr>
          <w:lang w:val="en-GB"/>
        </w:rPr>
        <w:t>The</w:t>
      </w:r>
      <w:r w:rsidR="006E1390" w:rsidRPr="006645DC">
        <w:rPr>
          <w:lang w:val="en-GB"/>
        </w:rPr>
        <w:t xml:space="preserve"> Romanian area’s trade figures</w:t>
      </w:r>
      <w:bookmarkEnd w:id="63"/>
    </w:p>
    <w:p w14:paraId="1F71FFC4" w14:textId="77777777" w:rsidR="00B20E3C" w:rsidRPr="006645DC" w:rsidRDefault="00B20E3C" w:rsidP="00B20E3C">
      <w:pPr>
        <w:pStyle w:val="Heading4"/>
        <w:rPr>
          <w:lang w:val="en-GB"/>
        </w:rPr>
      </w:pPr>
      <w:r w:rsidRPr="006645DC">
        <w:rPr>
          <w:lang w:val="en-GB"/>
        </w:rPr>
        <w:t xml:space="preserve"> source: INS Romania</w:t>
      </w:r>
    </w:p>
    <w:p w14:paraId="736DBF6B" w14:textId="77777777" w:rsidR="00B20E3C" w:rsidRPr="006645DC" w:rsidRDefault="00B20E3C" w:rsidP="00BC27C5">
      <w:pPr>
        <w:pStyle w:val="Heading2"/>
        <w:rPr>
          <w:lang w:val="en-GB"/>
        </w:rPr>
      </w:pPr>
      <w:bookmarkStart w:id="64" w:name="_Toc373340823"/>
      <w:bookmarkStart w:id="65" w:name="_Toc376198438"/>
      <w:bookmarkStart w:id="66" w:name="_Toc254543754"/>
      <w:bookmarkStart w:id="67" w:name="_Toc391150161"/>
      <w:r w:rsidRPr="006645DC">
        <w:rPr>
          <w:lang w:val="en-GB"/>
        </w:rPr>
        <w:t>Competitiveness</w:t>
      </w:r>
      <w:bookmarkEnd w:id="64"/>
      <w:bookmarkEnd w:id="65"/>
      <w:bookmarkEnd w:id="66"/>
      <w:bookmarkEnd w:id="67"/>
    </w:p>
    <w:p w14:paraId="54555512" w14:textId="77777777" w:rsidR="00B20E3C" w:rsidRPr="006645DC" w:rsidRDefault="00B20E3C" w:rsidP="00B20E3C">
      <w:pPr>
        <w:rPr>
          <w:lang w:val="en-GB"/>
        </w:rPr>
      </w:pPr>
      <w:r w:rsidRPr="006645DC">
        <w:rPr>
          <w:lang w:val="en-GB"/>
        </w:rPr>
        <w:t xml:space="preserve">Competitiveness is a complex and synthetic indicator that can make visible the strong and weak points of a territorial economy and suggest measures and development directions. The </w:t>
      </w:r>
      <w:r w:rsidRPr="006645DC">
        <w:rPr>
          <w:i/>
          <w:lang w:val="en-GB"/>
        </w:rPr>
        <w:t xml:space="preserve">Global Competitiveness Report </w:t>
      </w:r>
      <w:r w:rsidRPr="006645DC">
        <w:rPr>
          <w:lang w:val="en-GB"/>
        </w:rPr>
        <w:t>published each year by the World Economic Forum compares all the countries in the world in terms of competitiveness. For the 2013-2014 period, Bulgaria occupies the 57</w:t>
      </w:r>
      <w:r w:rsidRPr="006645DC">
        <w:rPr>
          <w:vertAlign w:val="superscript"/>
          <w:lang w:val="en-GB"/>
        </w:rPr>
        <w:t>th</w:t>
      </w:r>
      <w:r w:rsidRPr="006645DC">
        <w:rPr>
          <w:lang w:val="en-GB"/>
        </w:rPr>
        <w:t xml:space="preserve"> place (advancing from the 62</w:t>
      </w:r>
      <w:r w:rsidRPr="006645DC">
        <w:rPr>
          <w:vertAlign w:val="superscript"/>
          <w:lang w:val="en-GB"/>
        </w:rPr>
        <w:t>nd</w:t>
      </w:r>
      <w:r w:rsidRPr="006645DC">
        <w:rPr>
          <w:lang w:val="en-GB"/>
        </w:rPr>
        <w:t xml:space="preserve"> place in 2012-2013), while Romania is at the 76</w:t>
      </w:r>
      <w:r w:rsidRPr="006645DC">
        <w:rPr>
          <w:vertAlign w:val="superscript"/>
          <w:lang w:val="en-GB"/>
        </w:rPr>
        <w:t>th</w:t>
      </w:r>
      <w:r w:rsidRPr="006645DC">
        <w:rPr>
          <w:lang w:val="en-GB"/>
        </w:rPr>
        <w:t xml:space="preserve"> place (advancing from the 78</w:t>
      </w:r>
      <w:r w:rsidRPr="006645DC">
        <w:rPr>
          <w:vertAlign w:val="superscript"/>
          <w:lang w:val="en-GB"/>
        </w:rPr>
        <w:t>th</w:t>
      </w:r>
      <w:r w:rsidRPr="006645DC">
        <w:rPr>
          <w:lang w:val="en-GB"/>
        </w:rPr>
        <w:t xml:space="preserve"> place in 2012-2013). The two countries are in the inferior half of distribution according to competitiveness. Nevertheless, Bulgaria is displaying a </w:t>
      </w:r>
      <w:r w:rsidR="000A20CD" w:rsidRPr="006645DC">
        <w:rPr>
          <w:lang w:val="en-GB"/>
        </w:rPr>
        <w:t xml:space="preserve">higher </w:t>
      </w:r>
      <w:r w:rsidRPr="006645DC">
        <w:rPr>
          <w:lang w:val="en-GB"/>
        </w:rPr>
        <w:t xml:space="preserve">competitiveness than Romania. </w:t>
      </w:r>
    </w:p>
    <w:p w14:paraId="68AD6E46" w14:textId="77777777" w:rsidR="00B20E3C" w:rsidRPr="006645DC" w:rsidRDefault="00B20E3C" w:rsidP="00B20E3C">
      <w:pPr>
        <w:rPr>
          <w:rFonts w:eastAsia="Times New Roman"/>
          <w:lang w:val="en-GB"/>
        </w:rPr>
      </w:pPr>
      <w:r w:rsidRPr="006645DC">
        <w:rPr>
          <w:lang w:val="en-GB"/>
        </w:rPr>
        <w:t>The Global Competitiveness Index separates countries into three specific stages: factor-driven, efficiency-driven, and innovation-driven, each implying a growing degree of complexity in the operation of the economy. The ranking is based on an assessment of</w:t>
      </w:r>
      <w:r w:rsidRPr="006645DC">
        <w:rPr>
          <w:rFonts w:eastAsia="Times New Roman"/>
          <w:lang w:val="en-GB"/>
        </w:rPr>
        <w:t xml:space="preserve"> the ability of countries to provide high levels of prosperity to their citizens. This in turn depends on how productively a country uses available resources. Therefore, the Global Competitiveness Index measures the set of institutions, policies, and factors that set the sustainable current and medium-term levels of economic prosperity. The first level key criteria are:</w:t>
      </w:r>
    </w:p>
    <w:p w14:paraId="606C725B" w14:textId="77777777" w:rsidR="00B20E3C" w:rsidRPr="006645DC" w:rsidRDefault="00B20E3C" w:rsidP="00C951D5">
      <w:pPr>
        <w:pStyle w:val="ListParagraph"/>
        <w:numPr>
          <w:ilvl w:val="0"/>
          <w:numId w:val="43"/>
        </w:numPr>
        <w:rPr>
          <w:lang w:val="en-GB"/>
        </w:rPr>
      </w:pPr>
      <w:r w:rsidRPr="006645DC">
        <w:rPr>
          <w:lang w:val="en-GB"/>
        </w:rPr>
        <w:lastRenderedPageBreak/>
        <w:t>Institutions</w:t>
      </w:r>
    </w:p>
    <w:p w14:paraId="3B6C01B9" w14:textId="77777777" w:rsidR="00B20E3C" w:rsidRPr="006645DC" w:rsidRDefault="00B20E3C" w:rsidP="00C951D5">
      <w:pPr>
        <w:pStyle w:val="ListParagraph"/>
        <w:numPr>
          <w:ilvl w:val="0"/>
          <w:numId w:val="43"/>
        </w:numPr>
        <w:rPr>
          <w:lang w:val="en-GB"/>
        </w:rPr>
      </w:pPr>
      <w:r w:rsidRPr="006645DC">
        <w:rPr>
          <w:lang w:val="en-GB"/>
        </w:rPr>
        <w:t>Infrastructure</w:t>
      </w:r>
    </w:p>
    <w:p w14:paraId="398AE8EE" w14:textId="77777777" w:rsidR="00B20E3C" w:rsidRPr="006645DC" w:rsidRDefault="00B20E3C" w:rsidP="00C951D5">
      <w:pPr>
        <w:pStyle w:val="ListParagraph"/>
        <w:numPr>
          <w:ilvl w:val="0"/>
          <w:numId w:val="43"/>
        </w:numPr>
        <w:rPr>
          <w:lang w:val="en-GB"/>
        </w:rPr>
      </w:pPr>
      <w:r w:rsidRPr="006645DC">
        <w:rPr>
          <w:lang w:val="en-GB"/>
        </w:rPr>
        <w:t>Macroeconomic development</w:t>
      </w:r>
    </w:p>
    <w:p w14:paraId="2116BA52" w14:textId="77777777" w:rsidR="00B20E3C" w:rsidRPr="006645DC" w:rsidRDefault="00B20E3C" w:rsidP="00C951D5">
      <w:pPr>
        <w:pStyle w:val="ListParagraph"/>
        <w:numPr>
          <w:ilvl w:val="0"/>
          <w:numId w:val="43"/>
        </w:numPr>
        <w:rPr>
          <w:lang w:val="en-GB"/>
        </w:rPr>
      </w:pPr>
      <w:r w:rsidRPr="006645DC">
        <w:rPr>
          <w:lang w:val="en-GB"/>
        </w:rPr>
        <w:t>Health and primary education</w:t>
      </w:r>
    </w:p>
    <w:p w14:paraId="7FF696AE" w14:textId="77777777" w:rsidR="00B20E3C" w:rsidRPr="006645DC" w:rsidRDefault="00B20E3C" w:rsidP="00C951D5">
      <w:pPr>
        <w:pStyle w:val="ListParagraph"/>
        <w:numPr>
          <w:ilvl w:val="0"/>
          <w:numId w:val="43"/>
        </w:numPr>
        <w:rPr>
          <w:lang w:val="en-GB"/>
        </w:rPr>
      </w:pPr>
      <w:r w:rsidRPr="006645DC">
        <w:rPr>
          <w:lang w:val="en-GB"/>
        </w:rPr>
        <w:t xml:space="preserve"> Higher education and training </w:t>
      </w:r>
    </w:p>
    <w:p w14:paraId="31FF8893" w14:textId="77777777" w:rsidR="00B20E3C" w:rsidRPr="006645DC" w:rsidRDefault="00B20E3C" w:rsidP="00C951D5">
      <w:pPr>
        <w:pStyle w:val="ListParagraph"/>
        <w:numPr>
          <w:ilvl w:val="0"/>
          <w:numId w:val="43"/>
        </w:numPr>
        <w:rPr>
          <w:lang w:val="en-GB"/>
        </w:rPr>
      </w:pPr>
      <w:r w:rsidRPr="006645DC">
        <w:rPr>
          <w:lang w:val="en-GB"/>
        </w:rPr>
        <w:t xml:space="preserve">Good markets efficiency: Distortions, competition, and size </w:t>
      </w:r>
    </w:p>
    <w:p w14:paraId="33273084" w14:textId="77777777" w:rsidR="00B20E3C" w:rsidRPr="006645DC" w:rsidRDefault="00B20E3C" w:rsidP="00C951D5">
      <w:pPr>
        <w:pStyle w:val="ListParagraph"/>
        <w:numPr>
          <w:ilvl w:val="0"/>
          <w:numId w:val="43"/>
        </w:numPr>
        <w:rPr>
          <w:lang w:val="en-GB"/>
        </w:rPr>
      </w:pPr>
      <w:r w:rsidRPr="006645DC">
        <w:rPr>
          <w:lang w:val="en-GB"/>
        </w:rPr>
        <w:t>Labor markets: Flexibility and efficiency</w:t>
      </w:r>
    </w:p>
    <w:p w14:paraId="017D0BE1" w14:textId="77777777" w:rsidR="00B20E3C" w:rsidRPr="006645DC" w:rsidRDefault="00B20E3C" w:rsidP="00C951D5">
      <w:pPr>
        <w:pStyle w:val="ListParagraph"/>
        <w:numPr>
          <w:ilvl w:val="0"/>
          <w:numId w:val="43"/>
        </w:numPr>
        <w:rPr>
          <w:lang w:val="en-GB"/>
        </w:rPr>
      </w:pPr>
      <w:r w:rsidRPr="006645DC">
        <w:rPr>
          <w:lang w:val="en-GB"/>
        </w:rPr>
        <w:t xml:space="preserve">Financial market development </w:t>
      </w:r>
    </w:p>
    <w:p w14:paraId="353D54A3" w14:textId="77777777" w:rsidR="00B20E3C" w:rsidRPr="006645DC" w:rsidRDefault="00B20E3C" w:rsidP="00C951D5">
      <w:pPr>
        <w:pStyle w:val="ListParagraph"/>
        <w:numPr>
          <w:ilvl w:val="0"/>
          <w:numId w:val="43"/>
        </w:numPr>
        <w:rPr>
          <w:lang w:val="en-GB"/>
        </w:rPr>
      </w:pPr>
      <w:r w:rsidRPr="006645DC">
        <w:rPr>
          <w:lang w:val="en-GB"/>
        </w:rPr>
        <w:t xml:space="preserve">Technological readiness </w:t>
      </w:r>
    </w:p>
    <w:p w14:paraId="0CE4B6E7" w14:textId="77777777" w:rsidR="00B20E3C" w:rsidRPr="006645DC" w:rsidRDefault="00B20E3C" w:rsidP="00C951D5">
      <w:pPr>
        <w:pStyle w:val="ListParagraph"/>
        <w:numPr>
          <w:ilvl w:val="0"/>
          <w:numId w:val="43"/>
        </w:numPr>
        <w:rPr>
          <w:lang w:val="en-GB"/>
        </w:rPr>
      </w:pPr>
      <w:r w:rsidRPr="006645DC">
        <w:rPr>
          <w:lang w:val="en-GB"/>
        </w:rPr>
        <w:t>Market size</w:t>
      </w:r>
    </w:p>
    <w:p w14:paraId="3D49780C" w14:textId="77777777" w:rsidR="00B20E3C" w:rsidRPr="006645DC" w:rsidRDefault="00B20E3C" w:rsidP="00C951D5">
      <w:pPr>
        <w:pStyle w:val="ListParagraph"/>
        <w:numPr>
          <w:ilvl w:val="0"/>
          <w:numId w:val="43"/>
        </w:numPr>
        <w:rPr>
          <w:lang w:val="en-GB"/>
        </w:rPr>
      </w:pPr>
      <w:r w:rsidRPr="006645DC">
        <w:rPr>
          <w:lang w:val="en-GB"/>
        </w:rPr>
        <w:t xml:space="preserve">Business sophistication </w:t>
      </w:r>
    </w:p>
    <w:p w14:paraId="01DA5A83" w14:textId="7426EF4A" w:rsidR="00B20E3C" w:rsidRPr="006645DC" w:rsidRDefault="00B20E3C" w:rsidP="00C90911">
      <w:pPr>
        <w:pStyle w:val="ListParagraph"/>
        <w:numPr>
          <w:ilvl w:val="0"/>
          <w:numId w:val="43"/>
        </w:numPr>
        <w:rPr>
          <w:lang w:val="en-GB"/>
        </w:rPr>
      </w:pPr>
      <w:r w:rsidRPr="006645DC">
        <w:rPr>
          <w:lang w:val="en-GB"/>
        </w:rPr>
        <w:t>Innovation</w:t>
      </w:r>
    </w:p>
    <w:p w14:paraId="30CF100F" w14:textId="77777777" w:rsidR="00C90911" w:rsidRPr="006645DC" w:rsidRDefault="00AA4C82" w:rsidP="00C90911">
      <w:pPr>
        <w:jc w:val="center"/>
        <w:rPr>
          <w:lang w:val="en-GB"/>
        </w:rPr>
      </w:pPr>
      <w:r w:rsidRPr="006645DC">
        <w:rPr>
          <w:noProof/>
          <w:lang w:val="bg-BG" w:eastAsia="bg-BG"/>
        </w:rPr>
        <w:drawing>
          <wp:inline distT="0" distB="0" distL="0" distR="0" wp14:anchorId="73191887" wp14:editId="24CEDA99">
            <wp:extent cx="6343650" cy="3590925"/>
            <wp:effectExtent l="19050" t="0" r="0" b="0"/>
            <wp:docPr id="456"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41"/>
                    <a:srcRect/>
                    <a:stretch>
                      <a:fillRect/>
                    </a:stretch>
                  </pic:blipFill>
                  <pic:spPr bwMode="auto">
                    <a:xfrm>
                      <a:off x="0" y="0"/>
                      <a:ext cx="6343650" cy="3590925"/>
                    </a:xfrm>
                    <a:prstGeom prst="rect">
                      <a:avLst/>
                    </a:prstGeom>
                    <a:noFill/>
                    <a:ln w="9525">
                      <a:noFill/>
                      <a:miter lim="800000"/>
                      <a:headEnd/>
                      <a:tailEnd/>
                    </a:ln>
                  </pic:spPr>
                </pic:pic>
              </a:graphicData>
            </a:graphic>
          </wp:inline>
        </w:drawing>
      </w:r>
    </w:p>
    <w:p w14:paraId="12A7D955" w14:textId="5B5EE351" w:rsidR="00B55C50" w:rsidRPr="006645DC" w:rsidRDefault="00C90911" w:rsidP="00C90911">
      <w:pPr>
        <w:pStyle w:val="Caption"/>
        <w:rPr>
          <w:lang w:val="en-GB"/>
        </w:rPr>
      </w:pPr>
      <w:bookmarkStart w:id="68" w:name="_Toc391150058"/>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9</w:t>
      </w:r>
      <w:r w:rsidR="005979EB" w:rsidRPr="006645DC">
        <w:rPr>
          <w:lang w:val="en-GB"/>
        </w:rPr>
        <w:fldChar w:fldCharType="end"/>
      </w:r>
      <w:r w:rsidRPr="006645DC">
        <w:rPr>
          <w:lang w:val="en-GB"/>
        </w:rPr>
        <w:t xml:space="preserve"> - Stage of development – Romania-Bulgaria</w:t>
      </w:r>
      <w:bookmarkEnd w:id="68"/>
    </w:p>
    <w:p w14:paraId="62437CCE" w14:textId="0542FAFA" w:rsidR="00B55C50" w:rsidRPr="006645DC" w:rsidRDefault="00B55C50" w:rsidP="00B55C50">
      <w:pPr>
        <w:tabs>
          <w:tab w:val="left" w:pos="2805"/>
        </w:tabs>
        <w:jc w:val="right"/>
        <w:rPr>
          <w:i/>
          <w:sz w:val="18"/>
          <w:lang w:val="en-GB" w:eastAsia="ro-RO"/>
        </w:rPr>
      </w:pPr>
      <w:r w:rsidRPr="006645DC">
        <w:rPr>
          <w:i/>
          <w:sz w:val="18"/>
          <w:lang w:val="en-GB"/>
        </w:rPr>
        <w:t>Source: the Global Competitiveness Report 2013-2014, World Economic Forum</w:t>
      </w:r>
    </w:p>
    <w:p w14:paraId="21A6DB4B" w14:textId="77777777" w:rsidR="00B20E3C" w:rsidRPr="006645DC" w:rsidRDefault="00B20E3C" w:rsidP="00B20E3C">
      <w:pPr>
        <w:rPr>
          <w:lang w:val="en-GB"/>
        </w:rPr>
      </w:pPr>
      <w:r w:rsidRPr="006645DC">
        <w:rPr>
          <w:lang w:val="en-GB"/>
        </w:rPr>
        <w:lastRenderedPageBreak/>
        <w:t xml:space="preserve">As we can see it above, the indicators in these two countries are quite similar on first level key criteria. The main differences that exist, in macroeconomic environment or market size criteria for example, are not linked with regional or cross border specific policies. Therefore, the cross Border area share a common classification with Bulgaria and Romania at a national level and is defined as being in the efficiency driven stage. The main key pillars to enhance in order to become innovation driven economies are:  </w:t>
      </w:r>
    </w:p>
    <w:p w14:paraId="193786C5" w14:textId="77777777" w:rsidR="00B20E3C" w:rsidRPr="006645DC" w:rsidRDefault="00B20E3C" w:rsidP="00C951D5">
      <w:pPr>
        <w:pStyle w:val="ListParagraph"/>
        <w:numPr>
          <w:ilvl w:val="0"/>
          <w:numId w:val="44"/>
        </w:numPr>
        <w:rPr>
          <w:lang w:val="en-GB"/>
        </w:rPr>
      </w:pPr>
      <w:r w:rsidRPr="006645DC">
        <w:rPr>
          <w:lang w:val="en-GB"/>
        </w:rPr>
        <w:t xml:space="preserve">Higher education and training </w:t>
      </w:r>
    </w:p>
    <w:p w14:paraId="0239E1BA" w14:textId="77777777" w:rsidR="00B20E3C" w:rsidRPr="006645DC" w:rsidRDefault="00B20E3C" w:rsidP="00C951D5">
      <w:pPr>
        <w:pStyle w:val="ListParagraph"/>
        <w:numPr>
          <w:ilvl w:val="0"/>
          <w:numId w:val="44"/>
        </w:numPr>
        <w:rPr>
          <w:lang w:val="en-GB"/>
        </w:rPr>
      </w:pPr>
      <w:r w:rsidRPr="006645DC">
        <w:rPr>
          <w:lang w:val="en-GB"/>
        </w:rPr>
        <w:t xml:space="preserve">Good markets efficiency: Distortions, competition, and size </w:t>
      </w:r>
    </w:p>
    <w:p w14:paraId="01954BDB" w14:textId="77777777" w:rsidR="00B20E3C" w:rsidRPr="006645DC" w:rsidRDefault="00B20E3C" w:rsidP="00C951D5">
      <w:pPr>
        <w:pStyle w:val="ListParagraph"/>
        <w:numPr>
          <w:ilvl w:val="0"/>
          <w:numId w:val="44"/>
        </w:numPr>
        <w:rPr>
          <w:lang w:val="en-GB"/>
        </w:rPr>
      </w:pPr>
      <w:r w:rsidRPr="006645DC">
        <w:rPr>
          <w:lang w:val="en-GB"/>
        </w:rPr>
        <w:t>Labor markets: Flexibility and efficiency</w:t>
      </w:r>
    </w:p>
    <w:p w14:paraId="578BB546" w14:textId="77777777" w:rsidR="00B20E3C" w:rsidRPr="006645DC" w:rsidRDefault="00B20E3C" w:rsidP="00C951D5">
      <w:pPr>
        <w:pStyle w:val="ListParagraph"/>
        <w:numPr>
          <w:ilvl w:val="0"/>
          <w:numId w:val="44"/>
        </w:numPr>
        <w:rPr>
          <w:lang w:val="en-GB"/>
        </w:rPr>
      </w:pPr>
      <w:r w:rsidRPr="006645DC">
        <w:rPr>
          <w:lang w:val="en-GB"/>
        </w:rPr>
        <w:t xml:space="preserve">Financial market development </w:t>
      </w:r>
    </w:p>
    <w:p w14:paraId="25B62F6B" w14:textId="77777777" w:rsidR="00B20E3C" w:rsidRPr="006645DC" w:rsidRDefault="00B20E3C" w:rsidP="00C951D5">
      <w:pPr>
        <w:pStyle w:val="ListParagraph"/>
        <w:numPr>
          <w:ilvl w:val="0"/>
          <w:numId w:val="44"/>
        </w:numPr>
        <w:rPr>
          <w:lang w:val="en-GB"/>
        </w:rPr>
      </w:pPr>
      <w:r w:rsidRPr="006645DC">
        <w:rPr>
          <w:lang w:val="en-GB"/>
        </w:rPr>
        <w:t xml:space="preserve">Technological readiness </w:t>
      </w:r>
    </w:p>
    <w:p w14:paraId="75A30941" w14:textId="036D2EB4" w:rsidR="00B55C50" w:rsidRPr="006645DC" w:rsidRDefault="00B20E3C" w:rsidP="00B55C50">
      <w:pPr>
        <w:pStyle w:val="ListParagraph"/>
        <w:numPr>
          <w:ilvl w:val="0"/>
          <w:numId w:val="44"/>
        </w:numPr>
        <w:rPr>
          <w:lang w:val="en-GB"/>
        </w:rPr>
      </w:pPr>
      <w:r w:rsidRPr="006645DC">
        <w:rPr>
          <w:lang w:val="en-GB"/>
        </w:rPr>
        <w:t>Market size</w:t>
      </w:r>
    </w:p>
    <w:p w14:paraId="68949F75" w14:textId="77777777" w:rsidR="00B20E3C" w:rsidRPr="006645DC" w:rsidRDefault="00AA4C82" w:rsidP="00C90911">
      <w:pPr>
        <w:jc w:val="center"/>
        <w:rPr>
          <w:lang w:val="en-GB"/>
        </w:rPr>
      </w:pPr>
      <w:r w:rsidRPr="006645DC">
        <w:rPr>
          <w:noProof/>
          <w:lang w:val="bg-BG" w:eastAsia="bg-BG"/>
        </w:rPr>
        <w:drawing>
          <wp:inline distT="0" distB="0" distL="0" distR="0" wp14:anchorId="2EA4D442" wp14:editId="046FB60E">
            <wp:extent cx="5934075" cy="4048125"/>
            <wp:effectExtent l="19050" t="0" r="9525" b="0"/>
            <wp:docPr id="45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a:srcRect/>
                    <a:stretch>
                      <a:fillRect/>
                    </a:stretch>
                  </pic:blipFill>
                  <pic:spPr bwMode="auto">
                    <a:xfrm>
                      <a:off x="0" y="0"/>
                      <a:ext cx="5934075" cy="4048125"/>
                    </a:xfrm>
                    <a:prstGeom prst="rect">
                      <a:avLst/>
                    </a:prstGeom>
                    <a:noFill/>
                    <a:ln w="9525">
                      <a:noFill/>
                      <a:miter lim="800000"/>
                      <a:headEnd/>
                      <a:tailEnd/>
                    </a:ln>
                  </pic:spPr>
                </pic:pic>
              </a:graphicData>
            </a:graphic>
          </wp:inline>
        </w:drawing>
      </w:r>
    </w:p>
    <w:p w14:paraId="28B62977" w14:textId="75AD4D60" w:rsidR="00D515FC" w:rsidRPr="006645DC" w:rsidRDefault="00C90911" w:rsidP="00C90911">
      <w:pPr>
        <w:pStyle w:val="Caption"/>
        <w:rPr>
          <w:lang w:val="en-GB"/>
        </w:rPr>
      </w:pPr>
      <w:bookmarkStart w:id="69" w:name="_Toc391150059"/>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10</w:t>
      </w:r>
      <w:r w:rsidR="005979EB" w:rsidRPr="006645DC">
        <w:rPr>
          <w:lang w:val="en-GB"/>
        </w:rPr>
        <w:fldChar w:fldCharType="end"/>
      </w:r>
      <w:r w:rsidRPr="006645DC">
        <w:rPr>
          <w:lang w:val="en-GB"/>
        </w:rPr>
        <w:t xml:space="preserve"> - Global Competitiveness Index</w:t>
      </w:r>
      <w:bookmarkEnd w:id="69"/>
    </w:p>
    <w:p w14:paraId="147E5363" w14:textId="38C2BA5C" w:rsidR="00C90911" w:rsidRPr="006645DC" w:rsidRDefault="00D515FC" w:rsidP="00D515FC">
      <w:pPr>
        <w:jc w:val="right"/>
        <w:rPr>
          <w:i/>
          <w:sz w:val="18"/>
          <w:lang w:val="en-GB" w:eastAsia="ro-RO"/>
        </w:rPr>
      </w:pPr>
      <w:r w:rsidRPr="006645DC">
        <w:rPr>
          <w:i/>
          <w:sz w:val="18"/>
          <w:lang w:val="en-GB"/>
        </w:rPr>
        <w:t>Source: the Global Competitiveness Report 2013-2014, World Economic Forum</w:t>
      </w:r>
    </w:p>
    <w:p w14:paraId="0C3296F5" w14:textId="77777777" w:rsidR="00B20E3C" w:rsidRPr="006645DC" w:rsidRDefault="00B20E3C" w:rsidP="00C951D5">
      <w:pPr>
        <w:pStyle w:val="Heading3"/>
        <w:numPr>
          <w:ilvl w:val="0"/>
          <w:numId w:val="51"/>
        </w:numPr>
        <w:rPr>
          <w:lang w:val="en-GB"/>
        </w:rPr>
      </w:pPr>
      <w:bookmarkStart w:id="70" w:name="_Toc254543755"/>
      <w:r w:rsidRPr="006645DC">
        <w:rPr>
          <w:lang w:val="en-GB"/>
        </w:rPr>
        <w:lastRenderedPageBreak/>
        <w:t>Work productivity</w:t>
      </w:r>
      <w:bookmarkEnd w:id="70"/>
    </w:p>
    <w:p w14:paraId="1597D06E" w14:textId="77777777" w:rsidR="00E7654C" w:rsidRPr="006645DC" w:rsidRDefault="00B20E3C" w:rsidP="00B20E3C">
      <w:pPr>
        <w:rPr>
          <w:lang w:val="en-GB"/>
        </w:rPr>
      </w:pPr>
      <w:r w:rsidRPr="006645DC">
        <w:rPr>
          <w:lang w:val="en-GB"/>
        </w:rPr>
        <w:t>Work productivity is one of the main factors of</w:t>
      </w:r>
      <w:r w:rsidR="000A20CD" w:rsidRPr="006645DC">
        <w:rPr>
          <w:lang w:val="en-GB"/>
        </w:rPr>
        <w:t xml:space="preserve"> the</w:t>
      </w:r>
      <w:r w:rsidRPr="006645DC">
        <w:rPr>
          <w:lang w:val="en-GB"/>
        </w:rPr>
        <w:t xml:space="preserve"> economy’s competitiveness and of its capacity to foster and support a long-term and sustainable economic development given that human resource is a genuinely territorial resource. The work productivity levels of the 2 countries are amongst the lowest in the entire EU-28. Moreover, the slow evolution of productivity after 2000, but especially after the 2007 EU accession in both countries, even compared to other Eastern European countries members of the EU, is worrying, given the need of economies to increase productivity and move towards other stages of development in order to maintain economic growth, jobs and improve the standards of living. Economic development in both countries in the early 2000s was mainly based on low labour cost as the main comparative advantage. With the increasing level of salaries, both countries need to increase their comparative advantages in other fields in order to successfully compete for FDI and gain access to export markets. </w:t>
      </w:r>
    </w:p>
    <w:p w14:paraId="0BD5F179" w14:textId="7C23BE16" w:rsidR="00B20E3C" w:rsidRPr="006645DC" w:rsidRDefault="00B20E3C" w:rsidP="00B20E3C">
      <w:pPr>
        <w:rPr>
          <w:lang w:val="en-GB"/>
        </w:rPr>
      </w:pPr>
      <w:r w:rsidRPr="006645DC">
        <w:rPr>
          <w:lang w:val="en-GB"/>
        </w:rPr>
        <w:t xml:space="preserve">The slow evolution of this indicator puts under stress the development model of these two economies. The labour productivity data are unfortunately not available at the Cross Border area level but are useful, as no different trends were identified at this regional level. </w:t>
      </w:r>
    </w:p>
    <w:p w14:paraId="299D78D7" w14:textId="77777777" w:rsidR="00B20E3C" w:rsidRPr="006645DC" w:rsidRDefault="00B20E3C" w:rsidP="00B20E3C">
      <w:pPr>
        <w:rPr>
          <w:lang w:val="en-GB"/>
        </w:rPr>
      </w:pPr>
      <w:r w:rsidRPr="006645DC">
        <w:rPr>
          <w:lang w:val="en-GB"/>
        </w:rPr>
        <w:t>The charts below present the evolution of both productivity per hour worked and productivity per employed person in Romania and Bulgaria between 2002 and 2012.</w:t>
      </w:r>
    </w:p>
    <w:p w14:paraId="19318755" w14:textId="77777777" w:rsidR="00B20E3C" w:rsidRPr="006645DC" w:rsidRDefault="00B20E3C" w:rsidP="00B20E3C">
      <w:pPr>
        <w:jc w:val="center"/>
        <w:rPr>
          <w:lang w:val="en-GB"/>
        </w:rPr>
      </w:pPr>
    </w:p>
    <w:p w14:paraId="1C217656" w14:textId="77777777" w:rsidR="00B20E3C" w:rsidRPr="006645DC" w:rsidRDefault="00AA4C82" w:rsidP="00B20E3C">
      <w:pPr>
        <w:jc w:val="center"/>
        <w:rPr>
          <w:lang w:val="en-GB"/>
        </w:rPr>
      </w:pPr>
      <w:r w:rsidRPr="006645DC">
        <w:rPr>
          <w:noProof/>
          <w:lang w:val="bg-BG" w:eastAsia="bg-BG"/>
        </w:rPr>
        <w:drawing>
          <wp:inline distT="0" distB="0" distL="0" distR="0" wp14:anchorId="4CA7F4E7" wp14:editId="626B1623">
            <wp:extent cx="4569339" cy="2740545"/>
            <wp:effectExtent l="6093" t="6090" r="6093" b="6090"/>
            <wp:docPr id="454" name="Chart 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r w:rsidR="00B20E3C" w:rsidRPr="006645DC">
        <w:rPr>
          <w:lang w:val="en-GB"/>
        </w:rPr>
        <w:tab/>
      </w:r>
    </w:p>
    <w:p w14:paraId="4AC58C65" w14:textId="77777777" w:rsidR="00310401" w:rsidRPr="006645DC" w:rsidRDefault="00B20E3C" w:rsidP="00310401">
      <w:pPr>
        <w:pStyle w:val="Caption"/>
        <w:rPr>
          <w:lang w:val="en-GB"/>
        </w:rPr>
      </w:pPr>
      <w:r w:rsidRPr="006645DC">
        <w:rPr>
          <w:lang w:val="en-GB"/>
        </w:rPr>
        <w:tab/>
      </w:r>
      <w:bookmarkStart w:id="71" w:name="_Toc391150060"/>
      <w:r w:rsidR="00310401" w:rsidRPr="006645DC">
        <w:rPr>
          <w:lang w:val="en-GB"/>
        </w:rPr>
        <w:t xml:space="preserve">Fig. </w:t>
      </w:r>
      <w:r w:rsidR="005979EB" w:rsidRPr="006645DC">
        <w:rPr>
          <w:lang w:val="en-GB"/>
        </w:rPr>
        <w:fldChar w:fldCharType="begin"/>
      </w:r>
      <w:r w:rsidR="00310401" w:rsidRPr="006645DC">
        <w:rPr>
          <w:lang w:val="en-GB"/>
        </w:rPr>
        <w:instrText xml:space="preserve"> SEQ Fig. \* ARABIC </w:instrText>
      </w:r>
      <w:r w:rsidR="005979EB" w:rsidRPr="006645DC">
        <w:rPr>
          <w:lang w:val="en-GB"/>
        </w:rPr>
        <w:fldChar w:fldCharType="separate"/>
      </w:r>
      <w:r w:rsidR="00523DE6">
        <w:rPr>
          <w:noProof/>
          <w:lang w:val="en-GB"/>
        </w:rPr>
        <w:t>11</w:t>
      </w:r>
      <w:r w:rsidR="005979EB" w:rsidRPr="006645DC">
        <w:rPr>
          <w:lang w:val="en-GB"/>
        </w:rPr>
        <w:fldChar w:fldCharType="end"/>
      </w:r>
      <w:r w:rsidR="00310401" w:rsidRPr="006645DC">
        <w:rPr>
          <w:lang w:val="en-GB"/>
        </w:rPr>
        <w:t xml:space="preserve"> - Labor productivity per hour worked evolution</w:t>
      </w:r>
      <w:bookmarkEnd w:id="71"/>
    </w:p>
    <w:p w14:paraId="17A7DFA7" w14:textId="77777777" w:rsidR="00B20E3C" w:rsidRPr="006645DC" w:rsidRDefault="00B20E3C" w:rsidP="00B20E3C">
      <w:pPr>
        <w:pStyle w:val="Heading4"/>
        <w:rPr>
          <w:lang w:val="en-GB"/>
        </w:rPr>
      </w:pPr>
      <w:r w:rsidRPr="006645DC">
        <w:rPr>
          <w:lang w:val="en-GB"/>
        </w:rPr>
        <w:t>Source: Eurostat</w:t>
      </w:r>
    </w:p>
    <w:p w14:paraId="1E3BBECB" w14:textId="77777777" w:rsidR="00B20E3C" w:rsidRPr="006645DC" w:rsidRDefault="00B20E3C" w:rsidP="00B20E3C">
      <w:pPr>
        <w:tabs>
          <w:tab w:val="left" w:pos="7940"/>
        </w:tabs>
        <w:rPr>
          <w:lang w:val="en-GB"/>
        </w:rPr>
      </w:pPr>
    </w:p>
    <w:p w14:paraId="75134344" w14:textId="77777777" w:rsidR="00B20E3C" w:rsidRPr="006645DC" w:rsidRDefault="00AA4C82" w:rsidP="00B20E3C">
      <w:pPr>
        <w:jc w:val="center"/>
        <w:rPr>
          <w:lang w:val="en-GB"/>
        </w:rPr>
      </w:pPr>
      <w:r w:rsidRPr="006645DC">
        <w:rPr>
          <w:noProof/>
          <w:lang w:val="bg-BG" w:eastAsia="bg-BG"/>
        </w:rPr>
        <w:lastRenderedPageBreak/>
        <w:drawing>
          <wp:inline distT="0" distB="0" distL="0" distR="0" wp14:anchorId="413D1CD9" wp14:editId="60888C65">
            <wp:extent cx="4569339" cy="2740545"/>
            <wp:effectExtent l="6093" t="6090" r="6093" b="6090"/>
            <wp:docPr id="18" name="Chart 7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F087984" w14:textId="77777777" w:rsidR="00310401" w:rsidRPr="006645DC" w:rsidRDefault="00310401" w:rsidP="00310401">
      <w:pPr>
        <w:pStyle w:val="Caption"/>
        <w:rPr>
          <w:lang w:val="en-GB"/>
        </w:rPr>
      </w:pPr>
      <w:bookmarkStart w:id="72" w:name="_Toc391150061"/>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12</w:t>
      </w:r>
      <w:r w:rsidR="005979EB" w:rsidRPr="006645DC">
        <w:rPr>
          <w:lang w:val="en-GB"/>
        </w:rPr>
        <w:fldChar w:fldCharType="end"/>
      </w:r>
      <w:r w:rsidRPr="006645DC">
        <w:rPr>
          <w:lang w:val="en-GB"/>
        </w:rPr>
        <w:t xml:space="preserve"> - Labor productivity per person employed</w:t>
      </w:r>
      <w:bookmarkEnd w:id="72"/>
    </w:p>
    <w:p w14:paraId="032AB9DD" w14:textId="77777777" w:rsidR="00B20E3C" w:rsidRPr="006645DC" w:rsidRDefault="00B20E3C" w:rsidP="00310401">
      <w:pPr>
        <w:pStyle w:val="Heading4"/>
        <w:rPr>
          <w:lang w:val="en-GB"/>
        </w:rPr>
      </w:pPr>
      <w:r w:rsidRPr="006645DC">
        <w:rPr>
          <w:lang w:val="en-GB"/>
        </w:rPr>
        <w:t>Source: Eurostat</w:t>
      </w:r>
    </w:p>
    <w:p w14:paraId="1928FEF9" w14:textId="77777777" w:rsidR="00B20E3C" w:rsidRPr="006645DC" w:rsidRDefault="00B20E3C" w:rsidP="00B20E3C">
      <w:pPr>
        <w:jc w:val="center"/>
        <w:rPr>
          <w:lang w:val="en-GB"/>
        </w:rPr>
      </w:pPr>
    </w:p>
    <w:p w14:paraId="7E61D523" w14:textId="77777777" w:rsidR="00E7654C" w:rsidRPr="006645DC" w:rsidRDefault="00B20E3C" w:rsidP="00B20E3C">
      <w:pPr>
        <w:rPr>
          <w:lang w:val="en-GB"/>
        </w:rPr>
      </w:pPr>
      <w:r w:rsidRPr="006645DC">
        <w:rPr>
          <w:lang w:val="en-GB"/>
        </w:rPr>
        <w:t xml:space="preserve">The economic crisis affected heavily the labour productivity in both countries that saw strong decreases in 2009 versus 2008. In Romania’s case, the growth was slower to reappear, but unlike Bulgaria it managed to increase in 2011. Both countries saw decreases again in 2012. </w:t>
      </w:r>
    </w:p>
    <w:p w14:paraId="54CA45F7" w14:textId="0A3A9B93" w:rsidR="00B20E3C" w:rsidRPr="006645DC" w:rsidRDefault="00B20E3C" w:rsidP="00B20E3C">
      <w:pPr>
        <w:rPr>
          <w:lang w:val="en-GB"/>
        </w:rPr>
      </w:pPr>
      <w:r w:rsidRPr="006645DC">
        <w:rPr>
          <w:lang w:val="en-GB"/>
        </w:rPr>
        <w:t xml:space="preserve">This is an indication of the weight of industries/services whose outputs were heavily affected by the drop in the demand during the economic crisis. It is especially the case of industries such as automotive, constructions and consumers goods. Nevertheless, the striking feature is that there is a similar difference of trend in both countries: if labour productivity per employee is constant or even decreasing on a medium term, the hourly labour productivity is increasing slowly. The latter was also less affected by the economic crisis than the former. This is an indication of the differences in labour productivity between economic sectors and especially between the labour-intensive sectors such as the agriculture and the industry sector. </w:t>
      </w:r>
    </w:p>
    <w:p w14:paraId="6EEAE55A" w14:textId="77777777" w:rsidR="00B20E3C" w:rsidRPr="006645DC" w:rsidRDefault="00B20E3C" w:rsidP="00B20E3C">
      <w:pPr>
        <w:rPr>
          <w:lang w:val="en-GB"/>
        </w:rPr>
      </w:pPr>
      <w:r w:rsidRPr="006645DC">
        <w:rPr>
          <w:lang w:val="en-GB"/>
        </w:rPr>
        <w:t xml:space="preserve">However, the counties/districts in the cross-border area display different productivity levels and evolutions, according to their economic structure and recent evolution in terms of industrial FDI-based facilities. The differences between the counties hint the level of vulnerability of local economies according to their profile: bigger GDP counties with a more dynamic economy and competitive advantages (transport hub) like Constanta were less affected by the national recession or even the drop in international demand than counties/districts whose productivity is dominated strongly by one or two industries with little overall diversification or with a strong agriculture sector less flexible and unable to adapt to drops in demand or output prices. Counties/districts with low GDP where services dominate were nevertheless more affected in productivity terms than counties with a stronger industrial base, as </w:t>
      </w:r>
      <w:r w:rsidRPr="006645DC">
        <w:rPr>
          <w:lang w:val="en-GB"/>
        </w:rPr>
        <w:lastRenderedPageBreak/>
        <w:t xml:space="preserve">productivity in industry managed to better adapt (even through decreasing the cost of labour or firing employees) than a services sector that was highly dependent on the revenue resulting from other sectors as it catered only to the needs of the local population. </w:t>
      </w:r>
    </w:p>
    <w:p w14:paraId="446D989E" w14:textId="77777777" w:rsidR="00B20E3C" w:rsidRPr="006645DC" w:rsidRDefault="00B20E3C" w:rsidP="00B20E3C">
      <w:pPr>
        <w:rPr>
          <w:lang w:val="en-GB"/>
        </w:rPr>
      </w:pPr>
      <w:r w:rsidRPr="006645DC">
        <w:rPr>
          <w:lang w:val="en-GB"/>
        </w:rPr>
        <w:t xml:space="preserve">Given that both Romania and Bulgaria are in an efficiency-driven stage from the point of view of competitiveness, the cost of labor remains an important factor in the competitiveness equation and influences the investment attractiveness. The evolution of salaries is thus important in order to understand the competitive stage of the cross-border economy and the possible needs to invest or create the basis for the development of new competitive advantages like new skills for the workforce, new infrastructures, etc. </w:t>
      </w:r>
    </w:p>
    <w:p w14:paraId="3B84C708" w14:textId="77777777" w:rsidR="00B20E3C" w:rsidRPr="006645DC" w:rsidRDefault="00AA4C82" w:rsidP="00B20E3C">
      <w:pPr>
        <w:jc w:val="center"/>
        <w:rPr>
          <w:lang w:val="en-GB"/>
        </w:rPr>
      </w:pPr>
      <w:r w:rsidRPr="006645DC">
        <w:rPr>
          <w:noProof/>
          <w:lang w:val="bg-BG" w:eastAsia="bg-BG"/>
        </w:rPr>
        <w:drawing>
          <wp:inline distT="0" distB="0" distL="0" distR="0" wp14:anchorId="717ED72E" wp14:editId="2A11ED68">
            <wp:extent cx="5495925" cy="4619625"/>
            <wp:effectExtent l="0" t="0" r="0" b="0"/>
            <wp:docPr id="19" name="Chart 19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6FD44B61" w14:textId="77777777" w:rsidR="006E1390" w:rsidRPr="006645DC" w:rsidRDefault="00310401" w:rsidP="00310401">
      <w:pPr>
        <w:pStyle w:val="Caption"/>
        <w:rPr>
          <w:lang w:val="en-GB"/>
        </w:rPr>
      </w:pPr>
      <w:bookmarkStart w:id="73" w:name="_Toc391150062"/>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13</w:t>
      </w:r>
      <w:r w:rsidR="005979EB" w:rsidRPr="006645DC">
        <w:rPr>
          <w:lang w:val="en-GB"/>
        </w:rPr>
        <w:fldChar w:fldCharType="end"/>
      </w:r>
      <w:r w:rsidRPr="006645DC">
        <w:rPr>
          <w:lang w:val="en-GB"/>
        </w:rPr>
        <w:t xml:space="preserve"> - </w:t>
      </w:r>
      <w:r w:rsidR="00B20E3C" w:rsidRPr="006645DC">
        <w:rPr>
          <w:lang w:val="en-GB"/>
        </w:rPr>
        <w:t>The average monthly gross salary’s evolution in the cross-border area, 2004-2012,</w:t>
      </w:r>
      <w:r w:rsidR="006E1390" w:rsidRPr="006645DC">
        <w:rPr>
          <w:lang w:val="en-GB"/>
        </w:rPr>
        <w:t xml:space="preserve"> EUR</w:t>
      </w:r>
      <w:bookmarkEnd w:id="73"/>
    </w:p>
    <w:p w14:paraId="3E5CC166" w14:textId="76A90580" w:rsidR="00B20E3C" w:rsidRPr="006645DC" w:rsidRDefault="006645DC" w:rsidP="00B20E3C">
      <w:pPr>
        <w:pStyle w:val="Heading4"/>
        <w:rPr>
          <w:lang w:val="en-GB"/>
        </w:rPr>
      </w:pPr>
      <w:r w:rsidRPr="006645DC">
        <w:rPr>
          <w:lang w:val="en-GB"/>
        </w:rPr>
        <w:t>Source</w:t>
      </w:r>
      <w:r w:rsidR="00B20E3C" w:rsidRPr="006645DC">
        <w:rPr>
          <w:lang w:val="en-GB"/>
        </w:rPr>
        <w:t>: INS, NSI, Détente Consultants calculation</w:t>
      </w:r>
    </w:p>
    <w:p w14:paraId="077434F5" w14:textId="77777777" w:rsidR="00310401" w:rsidRPr="006645DC" w:rsidRDefault="00310401" w:rsidP="00B20E3C">
      <w:pPr>
        <w:rPr>
          <w:lang w:val="en-GB"/>
        </w:rPr>
      </w:pPr>
    </w:p>
    <w:p w14:paraId="102058C0" w14:textId="77777777" w:rsidR="00B20E3C" w:rsidRPr="006645DC" w:rsidRDefault="00B20E3C" w:rsidP="00B20E3C">
      <w:pPr>
        <w:rPr>
          <w:lang w:val="en-GB"/>
        </w:rPr>
      </w:pPr>
      <w:r w:rsidRPr="006645DC">
        <w:rPr>
          <w:lang w:val="en-GB"/>
        </w:rPr>
        <w:lastRenderedPageBreak/>
        <w:t xml:space="preserve">The average salary in the cross-border area is higher in the Romanian part than in the Bulgarian one, reflecting the overall national differences. Nevertheless both parts of the cross-border area were generally and constantly lower than the national averages in each country over the last years. Only Vratsa displayed better average monthly salaries compared to the Bulgarian average. Even Constanta displays lower salary levels than the national average. Nevertheless, the RO region saw the average salary increase very rapidly during the 2004-2008 period of strong economic growth. </w:t>
      </w:r>
    </w:p>
    <w:p w14:paraId="43F964A3" w14:textId="77777777" w:rsidR="00B20E3C" w:rsidRPr="006645DC" w:rsidRDefault="00B20E3C" w:rsidP="00B20E3C">
      <w:pPr>
        <w:rPr>
          <w:lang w:val="en-GB"/>
        </w:rPr>
      </w:pPr>
      <w:r w:rsidRPr="006645DC">
        <w:rPr>
          <w:lang w:val="en-GB"/>
        </w:rPr>
        <w:t xml:space="preserve">The evolution shows also a divergence between the Bulgarian and Romanian areas during the economic crisis period: if the salaries decreased slightly in the RO part and then stabilized around the 2007 levels, in the BG area the salaries continued to increase. These evolutions are in Euro and can be linked to the existence of a fix exchange rate in Bulgaria while Romanian salaries have suffered from the RON devaluation. </w:t>
      </w:r>
    </w:p>
    <w:p w14:paraId="5196A578" w14:textId="77777777" w:rsidR="00B20E3C" w:rsidRPr="006645DC" w:rsidRDefault="00B20E3C" w:rsidP="00B20E3C">
      <w:pPr>
        <w:rPr>
          <w:lang w:val="en-GB"/>
        </w:rPr>
      </w:pPr>
      <w:r w:rsidRPr="006645DC">
        <w:rPr>
          <w:lang w:val="en-GB"/>
        </w:rPr>
        <w:t>Moreover, salary levels in the Cross Border area depend on the main economic sectors:</w:t>
      </w:r>
    </w:p>
    <w:p w14:paraId="1B56C7C9" w14:textId="77777777" w:rsidR="00B20E3C" w:rsidRPr="006645DC" w:rsidRDefault="00B20E3C" w:rsidP="00310401">
      <w:pPr>
        <w:pStyle w:val="ListParagraph"/>
        <w:rPr>
          <w:lang w:val="en-GB"/>
        </w:rPr>
      </w:pPr>
      <w:r w:rsidRPr="006645DC">
        <w:rPr>
          <w:lang w:val="en-GB"/>
        </w:rPr>
        <w:t xml:space="preserve">Due </w:t>
      </w:r>
      <w:r w:rsidR="0047152B" w:rsidRPr="006645DC">
        <w:rPr>
          <w:lang w:val="en-GB"/>
        </w:rPr>
        <w:t>to low</w:t>
      </w:r>
      <w:r w:rsidRPr="006645DC">
        <w:rPr>
          <w:lang w:val="en-GB"/>
        </w:rPr>
        <w:t xml:space="preserve"> productivity, land ownership pattern (splitting of land), production pattern (tendency to big cereal productions), the salary levels in agriculture – a very important employer in the Romanian sector and in some of the Bulgarian districts – are some of the lowest in the cross-border economy</w:t>
      </w:r>
    </w:p>
    <w:p w14:paraId="6B3B1FAA" w14:textId="77777777" w:rsidR="00B20E3C" w:rsidRPr="006645DC" w:rsidRDefault="00B20E3C" w:rsidP="00310401">
      <w:pPr>
        <w:pStyle w:val="ListParagraph"/>
        <w:rPr>
          <w:lang w:val="en-GB"/>
        </w:rPr>
      </w:pPr>
      <w:r w:rsidRPr="006645DC">
        <w:rPr>
          <w:lang w:val="en-GB"/>
        </w:rPr>
        <w:t>The industrial (manufacturing) salary levels are divergent: they are the highest in the RO cross-border area, while in the BG area they are some of the lowest with the notable exception of electricity production.</w:t>
      </w:r>
    </w:p>
    <w:p w14:paraId="563ABF0F" w14:textId="77777777" w:rsidR="00B20E3C" w:rsidRPr="006645DC" w:rsidRDefault="00B20E3C" w:rsidP="00310401">
      <w:pPr>
        <w:pStyle w:val="ListParagraph"/>
        <w:rPr>
          <w:lang w:val="en-GB"/>
        </w:rPr>
      </w:pPr>
      <w:r w:rsidRPr="006645DC">
        <w:rPr>
          <w:lang w:val="en-GB"/>
        </w:rPr>
        <w:t xml:space="preserve">The services display also some of the lowest levels of salaries in the cross-border area </w:t>
      </w:r>
    </w:p>
    <w:p w14:paraId="26C0777F" w14:textId="77777777" w:rsidR="00B20E3C" w:rsidRPr="006645DC" w:rsidRDefault="00B20E3C" w:rsidP="00310401">
      <w:pPr>
        <w:pStyle w:val="ListParagraph"/>
        <w:rPr>
          <w:lang w:val="en-GB"/>
        </w:rPr>
      </w:pPr>
      <w:r w:rsidRPr="006645DC">
        <w:rPr>
          <w:lang w:val="en-GB"/>
        </w:rPr>
        <w:t>The knowledge–based economy (quaternary sector) levels of salaries are some of the highest in the whole cross-border area, with the IT industry being the driver, even though their overall weight is still limited</w:t>
      </w:r>
    </w:p>
    <w:p w14:paraId="40B4FCD5" w14:textId="77777777" w:rsidR="00B20E3C" w:rsidRPr="006645DC" w:rsidRDefault="00B20E3C" w:rsidP="00B20E3C">
      <w:pPr>
        <w:rPr>
          <w:lang w:val="en-GB"/>
        </w:rPr>
      </w:pPr>
      <w:r w:rsidRPr="006645DC">
        <w:rPr>
          <w:lang w:val="en-GB"/>
        </w:rPr>
        <w:t>The erosion of the labour cost advantage is a general trend in the area and underline the fact that the economic development pattern needs to change in the whole cross-border area by sustaining other competitive assets. Locals need to develop new skills, the economy needs to diversify and other local resources need to be valorised.</w:t>
      </w:r>
    </w:p>
    <w:p w14:paraId="7A544BF8" w14:textId="77777777" w:rsidR="00B20E3C" w:rsidRPr="006645DC" w:rsidRDefault="00B20E3C" w:rsidP="00B20E3C">
      <w:pPr>
        <w:pStyle w:val="Heading3"/>
        <w:rPr>
          <w:lang w:val="en-GB"/>
        </w:rPr>
      </w:pPr>
      <w:bookmarkStart w:id="74" w:name="_Toc254543756"/>
      <w:r w:rsidRPr="006645DC">
        <w:rPr>
          <w:lang w:val="en-GB"/>
        </w:rPr>
        <w:t>SMEs</w:t>
      </w:r>
      <w:bookmarkEnd w:id="74"/>
    </w:p>
    <w:p w14:paraId="0EF36C12" w14:textId="77777777" w:rsidR="00B20E3C" w:rsidRPr="006645DC" w:rsidRDefault="00B20E3C" w:rsidP="00B20E3C">
      <w:pPr>
        <w:rPr>
          <w:lang w:val="en-GB"/>
        </w:rPr>
      </w:pPr>
      <w:r w:rsidRPr="006645DC">
        <w:rPr>
          <w:lang w:val="en-GB"/>
        </w:rPr>
        <w:t>One of the main driver</w:t>
      </w:r>
      <w:r w:rsidR="000262F5" w:rsidRPr="006645DC">
        <w:rPr>
          <w:lang w:val="en-GB"/>
        </w:rPr>
        <w:t>s</w:t>
      </w:r>
      <w:r w:rsidRPr="006645DC">
        <w:rPr>
          <w:lang w:val="en-GB"/>
        </w:rPr>
        <w:t xml:space="preserve"> for sustainable competitiveness is SMEs development. The economic transition results in a very unbalanced situation, from State owned industries and collectivized agriculture to local economies that are structured around a split between industrial plants belonging to multinational corporations, subsistence farming units and low competitiveness services that are dependent on the revenue generated by FDIs based investments within a negative demographic evolution framework: depopulation, ageing and emigration of the workforce. </w:t>
      </w:r>
    </w:p>
    <w:p w14:paraId="2B85B57F" w14:textId="77777777" w:rsidR="00B20E3C" w:rsidRPr="006645DC" w:rsidRDefault="00AA4C82" w:rsidP="00B20E3C">
      <w:pPr>
        <w:jc w:val="center"/>
        <w:rPr>
          <w:lang w:val="en-GB"/>
        </w:rPr>
      </w:pPr>
      <w:r w:rsidRPr="006645DC">
        <w:rPr>
          <w:noProof/>
          <w:lang w:val="bg-BG" w:eastAsia="bg-BG"/>
        </w:rPr>
        <w:lastRenderedPageBreak/>
        <w:drawing>
          <wp:inline distT="0" distB="0" distL="0" distR="0" wp14:anchorId="0CCD85A0" wp14:editId="438C129B">
            <wp:extent cx="5495925" cy="3209925"/>
            <wp:effectExtent l="0" t="0" r="0" b="0"/>
            <wp:docPr id="20" name="Chart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390A380" w14:textId="77777777" w:rsidR="006E1390" w:rsidRPr="006645DC" w:rsidRDefault="00310401" w:rsidP="00310401">
      <w:pPr>
        <w:pStyle w:val="Caption"/>
        <w:rPr>
          <w:lang w:val="en-GB"/>
        </w:rPr>
      </w:pPr>
      <w:bookmarkStart w:id="75" w:name="_Toc391150063"/>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14</w:t>
      </w:r>
      <w:r w:rsidR="005979EB" w:rsidRPr="006645DC">
        <w:rPr>
          <w:lang w:val="en-GB"/>
        </w:rPr>
        <w:fldChar w:fldCharType="end"/>
      </w:r>
      <w:r w:rsidRPr="006645DC">
        <w:rPr>
          <w:lang w:val="en-GB"/>
        </w:rPr>
        <w:t xml:space="preserve"> - </w:t>
      </w:r>
      <w:r w:rsidR="00B20E3C" w:rsidRPr="006645DC">
        <w:rPr>
          <w:lang w:val="en-GB"/>
        </w:rPr>
        <w:t>The evolution of the number of SMEs in the  cross-border counties/districts, 2008-2010</w:t>
      </w:r>
      <w:bookmarkEnd w:id="75"/>
    </w:p>
    <w:p w14:paraId="1EDD4197" w14:textId="77777777" w:rsidR="00B20E3C" w:rsidRPr="006645DC" w:rsidRDefault="00B20E3C" w:rsidP="00B20E3C">
      <w:pPr>
        <w:pStyle w:val="Heading4"/>
        <w:rPr>
          <w:lang w:val="en-GB"/>
        </w:rPr>
      </w:pPr>
      <w:r w:rsidRPr="006645DC">
        <w:rPr>
          <w:lang w:val="en-GB"/>
        </w:rPr>
        <w:t>source: INS Romania, NSI Bulgaria</w:t>
      </w:r>
    </w:p>
    <w:p w14:paraId="2929FA66" w14:textId="77777777" w:rsidR="00053729" w:rsidRPr="006645DC" w:rsidRDefault="00053729" w:rsidP="00B20E3C">
      <w:pPr>
        <w:rPr>
          <w:lang w:val="en-GB"/>
        </w:rPr>
      </w:pPr>
    </w:p>
    <w:p w14:paraId="4A77EBE7" w14:textId="77777777" w:rsidR="00B20E3C" w:rsidRPr="006645DC" w:rsidRDefault="00B20E3C" w:rsidP="00B20E3C">
      <w:pPr>
        <w:rPr>
          <w:lang w:val="en-GB"/>
        </w:rPr>
      </w:pPr>
      <w:r w:rsidRPr="006645DC">
        <w:rPr>
          <w:lang w:val="en-GB"/>
        </w:rPr>
        <w:t xml:space="preserve">During the economic crisis, in the BG part new SMEs continued to be created while in the RO part they experienced a decrease in number. </w:t>
      </w:r>
    </w:p>
    <w:p w14:paraId="75A1D661" w14:textId="77777777" w:rsidR="00B20E3C" w:rsidRPr="006645DC" w:rsidRDefault="00B20E3C" w:rsidP="00B20E3C">
      <w:pPr>
        <w:rPr>
          <w:lang w:val="en-GB"/>
        </w:rPr>
      </w:pPr>
      <w:r w:rsidRPr="006645DC">
        <w:rPr>
          <w:lang w:val="en-GB"/>
        </w:rPr>
        <w:t>In the RO area, the SMEs were affected by the economic crisis with their numbers</w:t>
      </w:r>
      <w:r w:rsidR="001A22FD" w:rsidRPr="006645DC">
        <w:rPr>
          <w:lang w:val="en-GB"/>
        </w:rPr>
        <w:t xml:space="preserve"> decreasing during the 2008-2010</w:t>
      </w:r>
      <w:r w:rsidRPr="006645DC">
        <w:rPr>
          <w:lang w:val="en-GB"/>
        </w:rPr>
        <w:t xml:space="preserve"> period. It is not clear if the trend is inversing (as statistical data is not available for 2012 on this topic) but the decrease was general during the crisis, with some harsher effects on the most dynamic counties like Constanta and Dolj where the SMEs were linked to the economic activity and the financial flows generated by the existence of industrial facilities and were thus more prone to a higher pro-cyclical effect: they increased more in times of growth and they decreased also more during the recession. Nevertheless, they still represent around 90% of all the enterprises in all the RO counties.  </w:t>
      </w:r>
    </w:p>
    <w:p w14:paraId="5CAA42CB" w14:textId="77777777" w:rsidR="00B20E3C" w:rsidRPr="006645DC" w:rsidRDefault="00B20E3C" w:rsidP="00B20E3C">
      <w:pPr>
        <w:rPr>
          <w:lang w:val="en-GB" w:eastAsia="bg-BG"/>
        </w:rPr>
      </w:pPr>
      <w:r w:rsidRPr="006645DC">
        <w:rPr>
          <w:lang w:val="en-GB"/>
        </w:rPr>
        <w:t xml:space="preserve">In the Bulgarian cross-border region, </w:t>
      </w:r>
      <w:r w:rsidRPr="006645DC">
        <w:rPr>
          <w:lang w:val="en-GB" w:eastAsia="bg-BG"/>
        </w:rPr>
        <w:t>during the period 2008-2010, a slight increase</w:t>
      </w:r>
      <w:r w:rsidRPr="006645DC">
        <w:rPr>
          <w:lang w:val="en-GB"/>
        </w:rPr>
        <w:t xml:space="preserve"> in </w:t>
      </w:r>
      <w:r w:rsidRPr="006645DC">
        <w:rPr>
          <w:lang w:val="en-GB" w:eastAsia="bg-BG"/>
        </w:rPr>
        <w:t xml:space="preserve">the number of SMEs registered and operating has been observed, remaining stable in spite of the economic crisis. While in 2008, Veliko Turnovo and Ruse were above the national average while all the other districts were below. In 2009 and 2010, Ruse preserved its position while Veliko Turnovo marked a decline. However, Dobrich district performed above the national level in 2009 and 2010. An interesting aspect is that some Romanian counties display similar number of SMEs than much smaller, in terms of population and land area, Bulgarian districts. Calarasi, Giugiu and Mehedinti for example display the same number of SMEs as Montana and Silistra. Therefore, entrepreneurship is less developed in Romanian rural and industrial areas while SMEs have a more </w:t>
      </w:r>
      <w:r w:rsidR="006509BE" w:rsidRPr="006645DC">
        <w:rPr>
          <w:lang w:val="en-GB" w:eastAsia="bg-BG"/>
        </w:rPr>
        <w:t xml:space="preserve">significant </w:t>
      </w:r>
      <w:r w:rsidRPr="006645DC">
        <w:rPr>
          <w:lang w:val="en-GB" w:eastAsia="bg-BG"/>
        </w:rPr>
        <w:t xml:space="preserve">socio-economic importance than in the BG area. </w:t>
      </w:r>
    </w:p>
    <w:p w14:paraId="0AD153D2" w14:textId="77777777" w:rsidR="00B20E3C" w:rsidRPr="006645DC" w:rsidRDefault="00B20E3C" w:rsidP="00B20E3C">
      <w:pPr>
        <w:pStyle w:val="Heading2"/>
        <w:rPr>
          <w:lang w:val="en-GB"/>
        </w:rPr>
      </w:pPr>
      <w:bookmarkStart w:id="76" w:name="_Toc373340824"/>
      <w:bookmarkStart w:id="77" w:name="_Toc376198439"/>
      <w:bookmarkStart w:id="78" w:name="_Toc254543757"/>
      <w:bookmarkStart w:id="79" w:name="_Toc391150162"/>
      <w:r w:rsidRPr="006645DC">
        <w:rPr>
          <w:lang w:val="en-GB"/>
        </w:rPr>
        <w:lastRenderedPageBreak/>
        <w:t>Research and innovation</w:t>
      </w:r>
      <w:bookmarkEnd w:id="76"/>
      <w:bookmarkEnd w:id="77"/>
      <w:bookmarkEnd w:id="78"/>
      <w:bookmarkEnd w:id="79"/>
    </w:p>
    <w:p w14:paraId="1B894C40" w14:textId="77777777" w:rsidR="00B20E3C" w:rsidRPr="006645DC" w:rsidRDefault="00B20E3C" w:rsidP="00B20E3C">
      <w:pPr>
        <w:rPr>
          <w:lang w:val="en-GB"/>
        </w:rPr>
      </w:pPr>
      <w:r w:rsidRPr="006645DC">
        <w:rPr>
          <w:lang w:val="en-GB"/>
        </w:rPr>
        <w:t xml:space="preserve">The research and innovation is a key factor of competitiveness and sustainable economic development. The capacity of a territory to attract investments and increase the added value of its economy’s products and services is closely linked to its capacity to both ensure strong and constant technological transfer or innovation. </w:t>
      </w:r>
    </w:p>
    <w:p w14:paraId="7D3EE61F" w14:textId="77777777" w:rsidR="00B20E3C" w:rsidRPr="006645DC" w:rsidRDefault="00B20E3C" w:rsidP="00B20E3C">
      <w:pPr>
        <w:rPr>
          <w:lang w:val="en-GB"/>
        </w:rPr>
      </w:pPr>
      <w:r w:rsidRPr="006645DC">
        <w:rPr>
          <w:lang w:val="en-GB"/>
        </w:rPr>
        <w:t>Innovation can be financed through different mechanisms and can take place in many institutional arrangements (private, public, public-private, etc.). Nevertheless it cannot produce practical results in the absence of one of the following elements:</w:t>
      </w:r>
    </w:p>
    <w:p w14:paraId="710F4046" w14:textId="77777777" w:rsidR="00B20E3C" w:rsidRPr="006645DC" w:rsidRDefault="00B20E3C" w:rsidP="00B20E3C">
      <w:pPr>
        <w:pStyle w:val="ListParagraph"/>
        <w:rPr>
          <w:lang w:val="en-GB"/>
        </w:rPr>
      </w:pPr>
      <w:r w:rsidRPr="006645DC">
        <w:rPr>
          <w:lang w:val="en-GB"/>
        </w:rPr>
        <w:t>Existence and financing of fundamental research</w:t>
      </w:r>
    </w:p>
    <w:p w14:paraId="7121B7EF" w14:textId="77777777" w:rsidR="00B20E3C" w:rsidRPr="006645DC" w:rsidRDefault="00B20E3C" w:rsidP="00B20E3C">
      <w:pPr>
        <w:pStyle w:val="ListParagraph"/>
        <w:rPr>
          <w:lang w:val="en-GB"/>
        </w:rPr>
      </w:pPr>
      <w:r w:rsidRPr="006645DC">
        <w:rPr>
          <w:lang w:val="en-GB"/>
        </w:rPr>
        <w:t>The connection between the fundamental research (both through its objectives and institutional arrangements) and the productive private sector through applicative research and innovation</w:t>
      </w:r>
    </w:p>
    <w:p w14:paraId="359A4B6E" w14:textId="77777777" w:rsidR="00B20E3C" w:rsidRPr="006645DC" w:rsidRDefault="00B20E3C" w:rsidP="00B20E3C">
      <w:pPr>
        <w:rPr>
          <w:lang w:val="en-GB"/>
        </w:rPr>
      </w:pPr>
      <w:r w:rsidRPr="006645DC">
        <w:rPr>
          <w:lang w:val="en-GB"/>
        </w:rPr>
        <w:t xml:space="preserve">In the absence of the factors above, innovation is mainly provided through technological transfers performed by private investors. This is an unsustainable position for long-term economic development as the main reasons for these investments, low labour cost, will erode and leave no other competitive asset in place and thus no choice to the investors but to delocalise. This is why research and innovation have to develop locally in connection with the local assets and applicative possibilities. This means that R&amp;D infrastructure (institutions, researchers, recruitment mechanisms) is necessary but not sufficient. Its connection to the private sector and its business objectives are essential. </w:t>
      </w:r>
    </w:p>
    <w:p w14:paraId="7B4C7B52" w14:textId="77777777" w:rsidR="00B20E3C" w:rsidRPr="006645DC" w:rsidRDefault="00B20E3C" w:rsidP="00B20E3C">
      <w:pPr>
        <w:rPr>
          <w:lang w:val="en-GB"/>
        </w:rPr>
      </w:pPr>
      <w:r w:rsidRPr="006645DC">
        <w:rPr>
          <w:lang w:val="en-GB"/>
        </w:rPr>
        <w:t xml:space="preserve">Before any further analysis, we have to note that, as statistical figures in the R&amp;D and innovation sector are not available for the Bulgarian districts of the cross-border area, the charts below are based on the statistics of the Bulgarian NUTS 2 regions that include the districts of the cross-border region. In the case of the R&amp;D sector, the analysis is possible because the main universities and economic hubs of the NUTS 3 regions are inside the BG cross-border districts with the notable exception of Varna. This means that the BG figures are approximations that can be reasonably assumed as illustrative for the BG cross-border area. </w:t>
      </w:r>
    </w:p>
    <w:p w14:paraId="4023FA1E" w14:textId="77777777" w:rsidR="00B20E3C" w:rsidRPr="006645DC" w:rsidRDefault="00B20E3C" w:rsidP="00B20E3C">
      <w:pPr>
        <w:rPr>
          <w:lang w:val="en-GB"/>
        </w:rPr>
      </w:pPr>
      <w:r w:rsidRPr="006645DC">
        <w:rPr>
          <w:lang w:val="en-GB"/>
        </w:rPr>
        <w:t xml:space="preserve">The chart below present the evolution of the number of R&amp;D personnel registered in the cross-border area including privately owned R&amp;D structures, academia and state institutions. Overall, we can see a steady increase in the 2000-2011 period, with apparently no impact due to the economic crisis. We can notice that this increase was due mainly to the BG part until 2002 and then to the RO part. Trends inversed again in 2011. </w:t>
      </w:r>
    </w:p>
    <w:p w14:paraId="3F3F1828" w14:textId="77777777" w:rsidR="00B20E3C" w:rsidRPr="006645DC" w:rsidRDefault="00B20E3C" w:rsidP="00B20E3C">
      <w:pPr>
        <w:rPr>
          <w:lang w:val="en-GB"/>
        </w:rPr>
      </w:pPr>
    </w:p>
    <w:p w14:paraId="728E8667" w14:textId="77777777" w:rsidR="00B20E3C" w:rsidRPr="006645DC" w:rsidRDefault="00AA4C82" w:rsidP="00B20E3C">
      <w:pPr>
        <w:rPr>
          <w:lang w:val="en-GB"/>
        </w:rPr>
      </w:pPr>
      <w:r w:rsidRPr="006645DC">
        <w:rPr>
          <w:noProof/>
          <w:sz w:val="24"/>
          <w:szCs w:val="24"/>
          <w:lang w:val="bg-BG" w:eastAsia="bg-BG"/>
        </w:rPr>
        <w:lastRenderedPageBreak/>
        <w:drawing>
          <wp:inline distT="0" distB="0" distL="0" distR="0" wp14:anchorId="6FB2A916" wp14:editId="340D9699">
            <wp:extent cx="5867400" cy="3209925"/>
            <wp:effectExtent l="0" t="0" r="25400" b="15875"/>
            <wp:docPr id="21" name="Chart 2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60C70F62" w14:textId="77777777" w:rsidR="00310401" w:rsidRPr="006645DC" w:rsidRDefault="00310401" w:rsidP="00310401">
      <w:pPr>
        <w:pStyle w:val="Caption"/>
        <w:rPr>
          <w:lang w:val="en-GB"/>
        </w:rPr>
      </w:pPr>
      <w:bookmarkStart w:id="80" w:name="_Toc391150064"/>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15</w:t>
      </w:r>
      <w:r w:rsidR="005979EB" w:rsidRPr="006645DC">
        <w:rPr>
          <w:lang w:val="en-GB"/>
        </w:rPr>
        <w:fldChar w:fldCharType="end"/>
      </w:r>
      <w:r w:rsidRPr="006645DC">
        <w:rPr>
          <w:lang w:val="en-GB"/>
        </w:rPr>
        <w:t xml:space="preserve"> - Evolution of the number of R&amp;D personnel per country</w:t>
      </w:r>
      <w:bookmarkEnd w:id="80"/>
    </w:p>
    <w:p w14:paraId="4FA60714" w14:textId="77777777" w:rsidR="00310401" w:rsidRPr="006645DC" w:rsidRDefault="001238B4" w:rsidP="00310401">
      <w:pPr>
        <w:pStyle w:val="Heading4"/>
        <w:rPr>
          <w:lang w:val="en-GB"/>
        </w:rPr>
      </w:pPr>
      <w:r w:rsidRPr="006645DC">
        <w:rPr>
          <w:lang w:val="en-GB"/>
        </w:rPr>
        <w:t>S</w:t>
      </w:r>
      <w:r w:rsidR="00310401" w:rsidRPr="006645DC">
        <w:rPr>
          <w:lang w:val="en-GB"/>
        </w:rPr>
        <w:t>ource:</w:t>
      </w:r>
      <w:r w:rsidR="00063294" w:rsidRPr="006645DC">
        <w:rPr>
          <w:lang w:val="en-GB"/>
        </w:rPr>
        <w:t xml:space="preserve"> Spatial Project</w:t>
      </w:r>
    </w:p>
    <w:p w14:paraId="2F6A7A5C" w14:textId="77777777" w:rsidR="00B20E3C" w:rsidRPr="006645DC" w:rsidRDefault="00B20E3C" w:rsidP="00B20E3C">
      <w:pPr>
        <w:rPr>
          <w:lang w:val="en-GB"/>
        </w:rPr>
      </w:pPr>
      <w:r w:rsidRPr="006645DC">
        <w:rPr>
          <w:lang w:val="en-GB"/>
        </w:rPr>
        <w:t xml:space="preserve">The chart below presents the evolution of the number of R&amp;D personnel in the cross-border area counties/districts between 2000 and 2011. The key points of this evolution are: </w:t>
      </w:r>
    </w:p>
    <w:p w14:paraId="22E4EB13" w14:textId="77777777" w:rsidR="00B20E3C" w:rsidRPr="006645DC" w:rsidRDefault="00B20E3C" w:rsidP="001238B4">
      <w:pPr>
        <w:pStyle w:val="ListParagraph"/>
        <w:rPr>
          <w:lang w:val="en-GB"/>
        </w:rPr>
      </w:pPr>
      <w:r w:rsidRPr="006645DC">
        <w:rPr>
          <w:lang w:val="en-GB"/>
        </w:rPr>
        <w:t xml:space="preserve">The partial closure and/or </w:t>
      </w:r>
      <w:r w:rsidR="00F21105" w:rsidRPr="006645DC">
        <w:rPr>
          <w:lang w:val="en-GB"/>
        </w:rPr>
        <w:t>reduction of</w:t>
      </w:r>
      <w:r w:rsidRPr="006645DC">
        <w:rPr>
          <w:lang w:val="en-GB"/>
        </w:rPr>
        <w:t xml:space="preserve"> the state-owned R&amp;D infrastructure inherited from communist times </w:t>
      </w:r>
    </w:p>
    <w:p w14:paraId="431AEE9A" w14:textId="77777777" w:rsidR="00B20E3C" w:rsidRPr="006645DC" w:rsidRDefault="00B20E3C" w:rsidP="001238B4">
      <w:pPr>
        <w:pStyle w:val="ListParagraph"/>
        <w:rPr>
          <w:lang w:val="en-GB"/>
        </w:rPr>
      </w:pPr>
      <w:r w:rsidRPr="006645DC">
        <w:rPr>
          <w:lang w:val="en-GB"/>
        </w:rPr>
        <w:t xml:space="preserve">A timid growth in the industrial Romanian counties/Bulgarian regions linked to the new FDI based industrial facilities that included research and development departments </w:t>
      </w:r>
    </w:p>
    <w:p w14:paraId="7B405459" w14:textId="77777777" w:rsidR="00B20E3C" w:rsidRPr="006645DC" w:rsidRDefault="00B20E3C" w:rsidP="001238B4">
      <w:pPr>
        <w:pStyle w:val="ListParagraph"/>
        <w:rPr>
          <w:lang w:val="en-GB"/>
        </w:rPr>
      </w:pPr>
      <w:r w:rsidRPr="006645DC">
        <w:rPr>
          <w:lang w:val="en-GB"/>
        </w:rPr>
        <w:t xml:space="preserve">The development of R&amp;D in universities in Dolj and in the Bulgarian North-East region (due mainly to the university center in Varna – outside of the scope of this analysis) and North-Central region due mainly to the Veliko Turnovo university center. </w:t>
      </w:r>
    </w:p>
    <w:p w14:paraId="6DF0C254" w14:textId="77777777" w:rsidR="00B20E3C" w:rsidRPr="006645DC" w:rsidRDefault="00B20E3C" w:rsidP="001238B4">
      <w:pPr>
        <w:pStyle w:val="ListParagraph"/>
        <w:rPr>
          <w:lang w:val="en-GB"/>
        </w:rPr>
      </w:pPr>
      <w:r w:rsidRPr="006645DC">
        <w:rPr>
          <w:lang w:val="en-GB"/>
        </w:rPr>
        <w:t xml:space="preserve">RO counties such as Mehedinti, Giurgiu or Teleorman display a worrying image of practically no research and development personnel. </w:t>
      </w:r>
    </w:p>
    <w:p w14:paraId="485C1537" w14:textId="77777777" w:rsidR="00B20E3C" w:rsidRPr="006645DC" w:rsidRDefault="00AA4C82" w:rsidP="00B20E3C">
      <w:pPr>
        <w:autoSpaceDE w:val="0"/>
        <w:autoSpaceDN w:val="0"/>
        <w:adjustRightInd w:val="0"/>
        <w:rPr>
          <w:sz w:val="24"/>
          <w:szCs w:val="24"/>
          <w:lang w:val="en-GB"/>
        </w:rPr>
      </w:pPr>
      <w:r w:rsidRPr="006645DC">
        <w:rPr>
          <w:rFonts w:ascii="Times New Roman" w:eastAsia="Times New Roman" w:hAnsi="Times New Roman" w:cs="Calibri"/>
          <w:noProof/>
          <w:sz w:val="24"/>
          <w:szCs w:val="24"/>
          <w:lang w:val="bg-BG" w:eastAsia="bg-BG"/>
        </w:rPr>
        <w:lastRenderedPageBreak/>
        <w:drawing>
          <wp:inline distT="0" distB="0" distL="0" distR="0" wp14:anchorId="08572AC0" wp14:editId="130FBFF3">
            <wp:extent cx="5495925" cy="3209925"/>
            <wp:effectExtent l="0" t="0" r="0" b="0"/>
            <wp:docPr id="22" name="Chart 2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FA6ACD6" w14:textId="77777777" w:rsidR="00B20E3C" w:rsidRPr="006645DC" w:rsidRDefault="001238B4" w:rsidP="001238B4">
      <w:pPr>
        <w:pStyle w:val="Caption"/>
        <w:rPr>
          <w:lang w:val="en-GB"/>
        </w:rPr>
      </w:pPr>
      <w:bookmarkStart w:id="81" w:name="_Toc391150065"/>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16</w:t>
      </w:r>
      <w:r w:rsidR="005979EB" w:rsidRPr="006645DC">
        <w:rPr>
          <w:lang w:val="en-GB"/>
        </w:rPr>
        <w:fldChar w:fldCharType="end"/>
      </w:r>
      <w:r w:rsidRPr="006645DC">
        <w:rPr>
          <w:lang w:val="en-GB"/>
        </w:rPr>
        <w:t xml:space="preserve"> - R</w:t>
      </w:r>
      <w:r w:rsidR="00310401" w:rsidRPr="006645DC">
        <w:rPr>
          <w:lang w:val="en-GB"/>
        </w:rPr>
        <w:t>esearch</w:t>
      </w:r>
      <w:r w:rsidRPr="006645DC">
        <w:rPr>
          <w:lang w:val="en-GB"/>
        </w:rPr>
        <w:t xml:space="preserve"> personnel numbers in the cross-border area</w:t>
      </w:r>
      <w:bookmarkEnd w:id="81"/>
    </w:p>
    <w:p w14:paraId="084136A8" w14:textId="77777777" w:rsidR="001238B4" w:rsidRPr="006645DC" w:rsidRDefault="001238B4" w:rsidP="001238B4">
      <w:pPr>
        <w:pStyle w:val="Heading4"/>
        <w:rPr>
          <w:lang w:val="en-GB"/>
        </w:rPr>
      </w:pPr>
      <w:r w:rsidRPr="006645DC">
        <w:rPr>
          <w:lang w:val="en-GB"/>
        </w:rPr>
        <w:t>Source:</w:t>
      </w:r>
      <w:r w:rsidR="00063294" w:rsidRPr="006645DC">
        <w:rPr>
          <w:lang w:val="en-GB"/>
        </w:rPr>
        <w:t xml:space="preserve"> INS, NSI</w:t>
      </w:r>
    </w:p>
    <w:p w14:paraId="48DA8540" w14:textId="77777777" w:rsidR="00B20E3C" w:rsidRPr="006645DC" w:rsidRDefault="00B20E3C" w:rsidP="00B20E3C">
      <w:pPr>
        <w:rPr>
          <w:lang w:val="en-GB"/>
        </w:rPr>
      </w:pPr>
      <w:r w:rsidRPr="006645DC">
        <w:rPr>
          <w:lang w:val="en-GB"/>
        </w:rPr>
        <w:t xml:space="preserve">The financing of research is also very important, as it is crucial for the training, recruitment and retention of high quality researchers and is a building block for the private-public mechanisms that ensure market uptake of the research results and their integration into production.   </w:t>
      </w:r>
    </w:p>
    <w:p w14:paraId="0236C743" w14:textId="77777777" w:rsidR="00B20E3C" w:rsidRPr="006645DC" w:rsidRDefault="00B20E3C" w:rsidP="00B20E3C">
      <w:pPr>
        <w:autoSpaceDE w:val="0"/>
        <w:autoSpaceDN w:val="0"/>
        <w:adjustRightInd w:val="0"/>
        <w:rPr>
          <w:lang w:val="en-GB"/>
        </w:rPr>
      </w:pPr>
      <w:r w:rsidRPr="006645DC">
        <w:rPr>
          <w:lang w:val="en-GB"/>
        </w:rPr>
        <w:t xml:space="preserve">The chart below presents the evolution of R&amp;D expenditure in the cross-border area Romanian counties and Bulgarian regions. If financing is practically absent in counties with no R&amp;D personnel and infrastructure (Mehedinti, Olt, Teleorman), the situation in counties and districts with increased urbanization and industrial base, especially </w:t>
      </w:r>
      <w:r w:rsidR="00F21105" w:rsidRPr="006645DC">
        <w:rPr>
          <w:lang w:val="en-GB"/>
        </w:rPr>
        <w:t>new FDI</w:t>
      </w:r>
      <w:r w:rsidRPr="006645DC">
        <w:rPr>
          <w:lang w:val="en-GB"/>
        </w:rPr>
        <w:t xml:space="preserve"> based industries, is much better even though variable. The Romanian county of Dolj and the Bulgarian North-East region see the most important expenditure on R&amp;D, with Constanta following. This is due to the existence of urban centres with universities and industrial base in each of these administrative units.</w:t>
      </w:r>
    </w:p>
    <w:p w14:paraId="0A87151B" w14:textId="77777777" w:rsidR="00B20E3C" w:rsidRPr="006645DC" w:rsidRDefault="00B20E3C" w:rsidP="00B20E3C">
      <w:pPr>
        <w:autoSpaceDE w:val="0"/>
        <w:autoSpaceDN w:val="0"/>
        <w:adjustRightInd w:val="0"/>
        <w:rPr>
          <w:sz w:val="24"/>
          <w:szCs w:val="24"/>
          <w:lang w:val="en-GB"/>
        </w:rPr>
      </w:pPr>
      <w:r w:rsidRPr="006645DC">
        <w:rPr>
          <w:lang w:val="en-GB"/>
        </w:rPr>
        <w:t xml:space="preserve">It is difficult to understand the situation in Dobrich oblast, as Varna, the main urban and university centre is included in the BG North East region. The other Cross Border Bulgarian regions present much lower levels of expenditure for R&amp;D. If all the cross border area felt the impact of the economic crisis with decreases in R&amp;D allocations in 2008 and/or 2009, in 2011 some managed to see renewed increases, Dolj especially, Calarasi and all the BG regions while others such as Constanta saw continued decreases or remained practically absent from the R&amp;D sector as all the other Romanian counties. </w:t>
      </w:r>
    </w:p>
    <w:p w14:paraId="7B417663" w14:textId="77777777" w:rsidR="00B20E3C" w:rsidRPr="006645DC" w:rsidRDefault="00AA4C82" w:rsidP="00B20E3C">
      <w:pPr>
        <w:autoSpaceDE w:val="0"/>
        <w:autoSpaceDN w:val="0"/>
        <w:adjustRightInd w:val="0"/>
        <w:rPr>
          <w:sz w:val="24"/>
          <w:szCs w:val="24"/>
          <w:lang w:val="en-GB"/>
        </w:rPr>
      </w:pPr>
      <w:r w:rsidRPr="006645DC">
        <w:rPr>
          <w:noProof/>
          <w:sz w:val="24"/>
          <w:szCs w:val="24"/>
          <w:lang w:val="bg-BG" w:eastAsia="bg-BG"/>
        </w:rPr>
        <w:lastRenderedPageBreak/>
        <w:drawing>
          <wp:inline distT="0" distB="0" distL="0" distR="0" wp14:anchorId="5E438998" wp14:editId="60026E86">
            <wp:extent cx="5495925" cy="3209925"/>
            <wp:effectExtent l="0" t="0" r="0" b="0"/>
            <wp:docPr id="23" name="Chart 20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967B309" w14:textId="77777777" w:rsidR="001238B4" w:rsidRPr="006645DC" w:rsidRDefault="001238B4" w:rsidP="001238B4">
      <w:pPr>
        <w:pStyle w:val="Caption"/>
        <w:rPr>
          <w:lang w:val="en-GB"/>
        </w:rPr>
      </w:pPr>
      <w:bookmarkStart w:id="82" w:name="_Toc391150066"/>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17</w:t>
      </w:r>
      <w:r w:rsidR="005979EB" w:rsidRPr="006645DC">
        <w:rPr>
          <w:lang w:val="en-GB"/>
        </w:rPr>
        <w:fldChar w:fldCharType="end"/>
      </w:r>
      <w:r w:rsidRPr="006645DC">
        <w:rPr>
          <w:lang w:val="en-GB"/>
        </w:rPr>
        <w:t xml:space="preserve"> - Total R&amp;D expenses in the cross-border counties/districts</w:t>
      </w:r>
      <w:bookmarkEnd w:id="82"/>
    </w:p>
    <w:p w14:paraId="3A4C2D5F" w14:textId="77777777" w:rsidR="001238B4" w:rsidRPr="006645DC" w:rsidRDefault="001238B4" w:rsidP="001238B4">
      <w:pPr>
        <w:pStyle w:val="Heading4"/>
        <w:rPr>
          <w:lang w:val="en-GB"/>
        </w:rPr>
      </w:pPr>
      <w:r w:rsidRPr="006645DC">
        <w:rPr>
          <w:lang w:val="en-GB"/>
        </w:rPr>
        <w:t>Sources:</w:t>
      </w:r>
      <w:r w:rsidR="00063294" w:rsidRPr="006645DC">
        <w:rPr>
          <w:lang w:val="en-GB"/>
        </w:rPr>
        <w:t>INS, NSI</w:t>
      </w:r>
    </w:p>
    <w:p w14:paraId="17756BD5" w14:textId="77777777" w:rsidR="001238B4" w:rsidRPr="006645DC" w:rsidRDefault="001238B4" w:rsidP="00B20E3C">
      <w:pPr>
        <w:autoSpaceDE w:val="0"/>
        <w:autoSpaceDN w:val="0"/>
        <w:adjustRightInd w:val="0"/>
        <w:jc w:val="left"/>
        <w:rPr>
          <w:lang w:val="en-GB"/>
        </w:rPr>
      </w:pPr>
    </w:p>
    <w:p w14:paraId="0EB68773" w14:textId="77777777" w:rsidR="00B20E3C" w:rsidRPr="006645DC" w:rsidRDefault="00B20E3C" w:rsidP="001238B4">
      <w:pPr>
        <w:rPr>
          <w:lang w:val="en-GB"/>
        </w:rPr>
      </w:pPr>
      <w:r w:rsidRPr="006645DC">
        <w:rPr>
          <w:lang w:val="en-GB"/>
        </w:rPr>
        <w:t xml:space="preserve">In order to better understand the structural reasons for these divergent evolutions in the framework of a similar economic situation, we will look at another chart (here below) on the R&amp;D expenditure per researcher. It is obvious that the hierarchy is different from the above one and indicates the differences of structure: if RO Dolj and BG </w:t>
      </w:r>
      <w:r w:rsidR="00F21105" w:rsidRPr="006645DC">
        <w:rPr>
          <w:lang w:val="en-GB"/>
        </w:rPr>
        <w:t>Northeast</w:t>
      </w:r>
      <w:r w:rsidRPr="006645DC">
        <w:rPr>
          <w:lang w:val="en-GB"/>
        </w:rPr>
        <w:t xml:space="preserve"> have the biggest overall volume of expenditure this is mainly because of their important university infrastructures that suppose many more researchers than in the case of Constanta for example.. By crossing the chart below with the information in the first chart (the number of R&amp;D personnel) we can have a conclusion on the profiles of R&amp;D in the cross-border area. We thus identify several types:</w:t>
      </w:r>
    </w:p>
    <w:p w14:paraId="0B76FBAE" w14:textId="77777777" w:rsidR="00B20E3C" w:rsidRPr="006645DC" w:rsidRDefault="00B20E3C" w:rsidP="001238B4">
      <w:pPr>
        <w:pStyle w:val="ListParagraph"/>
        <w:rPr>
          <w:lang w:val="en-GB"/>
        </w:rPr>
      </w:pPr>
      <w:r w:rsidRPr="006645DC">
        <w:rPr>
          <w:lang w:val="en-GB"/>
        </w:rPr>
        <w:t>Territories with strong R&amp;D institutional infrastructure – based mainly on the universities and R&amp;D public institutes with high numbers of personnel but with limited financial allocations</w:t>
      </w:r>
    </w:p>
    <w:p w14:paraId="6EA1FED3" w14:textId="77777777" w:rsidR="00B20E3C" w:rsidRPr="006645DC" w:rsidRDefault="00B20E3C" w:rsidP="001238B4">
      <w:pPr>
        <w:pStyle w:val="ListParagraph"/>
        <w:rPr>
          <w:lang w:val="en-GB"/>
        </w:rPr>
      </w:pPr>
      <w:r w:rsidRPr="006645DC">
        <w:rPr>
          <w:lang w:val="en-GB"/>
        </w:rPr>
        <w:t>Territories with very weak R&amp;D infrastructure with:</w:t>
      </w:r>
    </w:p>
    <w:p w14:paraId="57B9E2D5" w14:textId="77777777" w:rsidR="00B20E3C" w:rsidRPr="006645DC" w:rsidRDefault="00B20E3C" w:rsidP="00C951D5">
      <w:pPr>
        <w:pStyle w:val="ListParagraph"/>
        <w:numPr>
          <w:ilvl w:val="1"/>
          <w:numId w:val="42"/>
        </w:numPr>
        <w:autoSpaceDE w:val="0"/>
        <w:autoSpaceDN w:val="0"/>
        <w:adjustRightInd w:val="0"/>
        <w:jc w:val="left"/>
        <w:rPr>
          <w:lang w:val="en-GB"/>
        </w:rPr>
      </w:pPr>
      <w:r w:rsidRPr="006645DC">
        <w:rPr>
          <w:lang w:val="en-GB"/>
        </w:rPr>
        <w:t xml:space="preserve"> High R&amp;D allocations per capita: this can indicate a private R&amp;D structure (low number of personnel) and a low level of R&amp;D public infrastructure </w:t>
      </w:r>
    </w:p>
    <w:p w14:paraId="113FDABA" w14:textId="77777777" w:rsidR="00B20E3C" w:rsidRPr="006645DC" w:rsidRDefault="00B20E3C" w:rsidP="00C951D5">
      <w:pPr>
        <w:pStyle w:val="ListParagraph"/>
        <w:numPr>
          <w:ilvl w:val="1"/>
          <w:numId w:val="42"/>
        </w:numPr>
        <w:autoSpaceDE w:val="0"/>
        <w:autoSpaceDN w:val="0"/>
        <w:adjustRightInd w:val="0"/>
        <w:jc w:val="left"/>
        <w:rPr>
          <w:lang w:val="en-GB"/>
        </w:rPr>
      </w:pPr>
      <w:r w:rsidRPr="006645DC">
        <w:rPr>
          <w:lang w:val="en-GB"/>
        </w:rPr>
        <w:t xml:space="preserve">Low or absent financial allocations per capita: this is indicative of the absence of R&amp;D in the area </w:t>
      </w:r>
    </w:p>
    <w:p w14:paraId="59B6C0C6" w14:textId="77777777" w:rsidR="00B20E3C" w:rsidRPr="006645DC" w:rsidRDefault="00B20E3C" w:rsidP="001238B4">
      <w:pPr>
        <w:rPr>
          <w:lang w:val="en-GB"/>
        </w:rPr>
      </w:pPr>
      <w:r w:rsidRPr="006645DC">
        <w:rPr>
          <w:lang w:val="en-GB"/>
        </w:rPr>
        <w:lastRenderedPageBreak/>
        <w:t>The evolution is also worrying with all the territories seeing decreases in the economic crisis years with no consistent recuperation and fluctuations.</w:t>
      </w:r>
    </w:p>
    <w:p w14:paraId="530E5667" w14:textId="77777777" w:rsidR="00B20E3C" w:rsidRPr="006645DC" w:rsidRDefault="00B20E3C" w:rsidP="001238B4">
      <w:pPr>
        <w:rPr>
          <w:lang w:val="en-GB"/>
        </w:rPr>
      </w:pPr>
      <w:r w:rsidRPr="006645DC">
        <w:rPr>
          <w:lang w:val="en-GB"/>
        </w:rPr>
        <w:t>We can thus infer that the majority of the area is a low to very low R&amp;D intensity area, with some islands of R&amp;D that are either based on limited private R&amp;D or on better public allocations to universities and public R&amp;D institutes (the BG regions with universities and the RO counties with big urban centers).</w:t>
      </w:r>
    </w:p>
    <w:p w14:paraId="68158B87" w14:textId="77777777" w:rsidR="00B20E3C" w:rsidRPr="006645DC" w:rsidRDefault="00B20E3C" w:rsidP="00B20E3C">
      <w:pPr>
        <w:autoSpaceDE w:val="0"/>
        <w:autoSpaceDN w:val="0"/>
        <w:adjustRightInd w:val="0"/>
        <w:jc w:val="left"/>
        <w:rPr>
          <w:lang w:val="en-GB"/>
        </w:rPr>
      </w:pPr>
    </w:p>
    <w:p w14:paraId="1D969947" w14:textId="77777777" w:rsidR="00B20E3C" w:rsidRPr="006645DC" w:rsidRDefault="00AA4C82" w:rsidP="00B20E3C">
      <w:pPr>
        <w:autoSpaceDE w:val="0"/>
        <w:autoSpaceDN w:val="0"/>
        <w:adjustRightInd w:val="0"/>
        <w:jc w:val="left"/>
        <w:rPr>
          <w:sz w:val="24"/>
          <w:szCs w:val="24"/>
          <w:lang w:val="en-GB"/>
        </w:rPr>
      </w:pPr>
      <w:r w:rsidRPr="006645DC">
        <w:rPr>
          <w:noProof/>
          <w:sz w:val="24"/>
          <w:szCs w:val="24"/>
          <w:lang w:val="bg-BG" w:eastAsia="bg-BG"/>
        </w:rPr>
        <w:drawing>
          <wp:inline distT="0" distB="0" distL="0" distR="0" wp14:anchorId="5856F082" wp14:editId="1A557F4C">
            <wp:extent cx="5857875" cy="3295650"/>
            <wp:effectExtent l="0" t="0" r="0" b="0"/>
            <wp:docPr id="24" name="Chart 2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5830D77" w14:textId="77777777" w:rsidR="001238B4" w:rsidRPr="006645DC" w:rsidRDefault="001238B4" w:rsidP="001238B4">
      <w:pPr>
        <w:pStyle w:val="Caption"/>
        <w:rPr>
          <w:lang w:val="en-GB"/>
        </w:rPr>
      </w:pPr>
      <w:bookmarkStart w:id="83" w:name="_Toc391150067"/>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18</w:t>
      </w:r>
      <w:r w:rsidR="005979EB" w:rsidRPr="006645DC">
        <w:rPr>
          <w:lang w:val="en-GB"/>
        </w:rPr>
        <w:fldChar w:fldCharType="end"/>
      </w:r>
      <w:r w:rsidRPr="006645DC">
        <w:rPr>
          <w:lang w:val="en-GB"/>
        </w:rPr>
        <w:t xml:space="preserve"> - R&amp;D expenditure per capita (research personnel) in the cross-border area</w:t>
      </w:r>
      <w:bookmarkEnd w:id="83"/>
    </w:p>
    <w:p w14:paraId="7FA84B71" w14:textId="77777777" w:rsidR="001238B4" w:rsidRPr="006645DC" w:rsidRDefault="001238B4" w:rsidP="001238B4">
      <w:pPr>
        <w:pStyle w:val="Heading4"/>
        <w:rPr>
          <w:lang w:val="en-GB"/>
        </w:rPr>
      </w:pPr>
      <w:r w:rsidRPr="006645DC">
        <w:rPr>
          <w:lang w:val="en-GB"/>
        </w:rPr>
        <w:t>Source:</w:t>
      </w:r>
      <w:r w:rsidR="00063294" w:rsidRPr="006645DC">
        <w:rPr>
          <w:lang w:val="en-GB"/>
        </w:rPr>
        <w:t xml:space="preserve"> INS, NSI</w:t>
      </w:r>
    </w:p>
    <w:p w14:paraId="76633D9C" w14:textId="77777777" w:rsidR="001238B4" w:rsidRPr="006645DC" w:rsidRDefault="001238B4" w:rsidP="001238B4">
      <w:pPr>
        <w:rPr>
          <w:lang w:val="en-GB"/>
        </w:rPr>
      </w:pPr>
    </w:p>
    <w:p w14:paraId="583F8AC6" w14:textId="77777777" w:rsidR="009C225C" w:rsidRPr="006645DC" w:rsidRDefault="00B20E3C" w:rsidP="001238B4">
      <w:pPr>
        <w:rPr>
          <w:lang w:val="en-GB"/>
        </w:rPr>
      </w:pPr>
      <w:r w:rsidRPr="006645DC">
        <w:rPr>
          <w:lang w:val="en-GB"/>
        </w:rPr>
        <w:t>The above affirmation is confirmed by the chart below that presents the weight of overall R&amp;D expenditure in the cross-border area in the two nations overall R&amp;D expenditure. We can see the low level of R&amp;D expenditure in the area</w:t>
      </w:r>
      <w:r w:rsidR="00002422" w:rsidRPr="006645DC">
        <w:rPr>
          <w:lang w:val="en-GB"/>
        </w:rPr>
        <w:t xml:space="preserve"> and its disconnection from national increasing trends</w:t>
      </w:r>
      <w:r w:rsidRPr="006645DC">
        <w:rPr>
          <w:lang w:val="en-GB"/>
        </w:rPr>
        <w:t xml:space="preserve">. This is worrying as it is constant over the years and the variations that can be perceived at the county/district level are only marginal given the absolute value. It indicates an R&amp;D system that is only surviving and is not an active participant to the economic life of the territory. </w:t>
      </w:r>
    </w:p>
    <w:p w14:paraId="18BBA693" w14:textId="77777777" w:rsidR="009C225C" w:rsidRPr="006645DC" w:rsidRDefault="00AA4C82" w:rsidP="001238B4">
      <w:pPr>
        <w:rPr>
          <w:lang w:val="en-GB"/>
        </w:rPr>
      </w:pPr>
      <w:r w:rsidRPr="006645DC">
        <w:rPr>
          <w:noProof/>
          <w:lang w:val="bg-BG" w:eastAsia="bg-BG"/>
        </w:rPr>
        <w:lastRenderedPageBreak/>
        <w:drawing>
          <wp:inline distT="0" distB="0" distL="0" distR="0" wp14:anchorId="5D0158CE" wp14:editId="17B8BAA5">
            <wp:extent cx="5495925" cy="3209925"/>
            <wp:effectExtent l="0" t="0" r="0" b="0"/>
            <wp:docPr id="25" name="Chart 24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B836747" w14:textId="2174406D" w:rsidR="009549CE" w:rsidRPr="006645DC" w:rsidRDefault="00541052" w:rsidP="00D515FC">
      <w:pPr>
        <w:pStyle w:val="Caption"/>
        <w:rPr>
          <w:lang w:val="en-GB"/>
        </w:rPr>
      </w:pPr>
      <w:bookmarkStart w:id="84" w:name="_Toc391150068"/>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19</w:t>
      </w:r>
      <w:r w:rsidR="005979EB" w:rsidRPr="006645DC">
        <w:rPr>
          <w:lang w:val="en-GB"/>
        </w:rPr>
        <w:fldChar w:fldCharType="end"/>
      </w:r>
      <w:r w:rsidRPr="006645DC">
        <w:rPr>
          <w:lang w:val="en-GB"/>
        </w:rPr>
        <w:t>9 - R&amp;D expenditure in the CBC area versus RO+BG overall R&amp;D expenditure</w:t>
      </w:r>
      <w:bookmarkEnd w:id="84"/>
    </w:p>
    <w:p w14:paraId="3B1DF392" w14:textId="77777777" w:rsidR="009549CE" w:rsidRPr="006645DC" w:rsidRDefault="009549CE" w:rsidP="00B3203A">
      <w:pPr>
        <w:pStyle w:val="Heading2"/>
        <w:rPr>
          <w:lang w:val="en-GB"/>
        </w:rPr>
      </w:pPr>
      <w:bookmarkStart w:id="85" w:name="_Toc376198440"/>
      <w:bookmarkStart w:id="86" w:name="_Toc254543758"/>
      <w:bookmarkStart w:id="87" w:name="_Toc391150163"/>
      <w:r w:rsidRPr="006645DC">
        <w:rPr>
          <w:lang w:val="en-GB"/>
        </w:rPr>
        <w:t>Tourism</w:t>
      </w:r>
      <w:bookmarkEnd w:id="85"/>
      <w:bookmarkEnd w:id="86"/>
      <w:bookmarkEnd w:id="87"/>
    </w:p>
    <w:p w14:paraId="575B9DE7" w14:textId="0B2DC747" w:rsidR="0060522D" w:rsidRPr="006645DC" w:rsidRDefault="009549CE" w:rsidP="009549CE">
      <w:pPr>
        <w:rPr>
          <w:lang w:val="en-GB"/>
        </w:rPr>
      </w:pPr>
      <w:r w:rsidRPr="006645DC">
        <w:rPr>
          <w:lang w:val="en-GB"/>
        </w:rPr>
        <w:t>Tourism is an important economic sector for the region’s socio-economic development</w:t>
      </w:r>
      <w:r w:rsidR="00EF4491" w:rsidRPr="006645DC">
        <w:rPr>
          <w:lang w:val="en-GB"/>
        </w:rPr>
        <w:t>. G</w:t>
      </w:r>
      <w:r w:rsidRPr="006645DC">
        <w:rPr>
          <w:lang w:val="en-GB"/>
        </w:rPr>
        <w:t>iven its high positive externalities in transport, retail, leisure services, cultural services and even local agriculture</w:t>
      </w:r>
      <w:r w:rsidR="00EF4491" w:rsidRPr="006645DC">
        <w:rPr>
          <w:lang w:val="en-GB"/>
        </w:rPr>
        <w:t xml:space="preserve">, it </w:t>
      </w:r>
      <w:r w:rsidRPr="006645DC">
        <w:rPr>
          <w:lang w:val="en-GB"/>
        </w:rPr>
        <w:t xml:space="preserve">can become a catalyst for the improvement of the quality of life of residents. </w:t>
      </w:r>
    </w:p>
    <w:p w14:paraId="61DB14DD" w14:textId="7169E606" w:rsidR="00EC16E1" w:rsidRPr="006645DC" w:rsidRDefault="00EF4491" w:rsidP="009549CE">
      <w:pPr>
        <w:rPr>
          <w:lang w:val="en-GB"/>
        </w:rPr>
      </w:pPr>
      <w:r w:rsidRPr="006645DC">
        <w:rPr>
          <w:lang w:val="en-GB"/>
        </w:rPr>
        <w:t>Furthermore</w:t>
      </w:r>
      <w:r w:rsidR="00EC16E1" w:rsidRPr="006645DC">
        <w:rPr>
          <w:lang w:val="en-GB"/>
        </w:rPr>
        <w:t xml:space="preserve"> t</w:t>
      </w:r>
      <w:r w:rsidRPr="006645DC">
        <w:rPr>
          <w:lang w:val="en-GB"/>
        </w:rPr>
        <w:t xml:space="preserve">ourism is a transversal domain, it is not </w:t>
      </w:r>
      <w:r w:rsidR="00EC16E1" w:rsidRPr="006645DC">
        <w:rPr>
          <w:lang w:val="en-GB"/>
        </w:rPr>
        <w:t>a sector like</w:t>
      </w:r>
      <w:r w:rsidRPr="006645DC">
        <w:rPr>
          <w:lang w:val="en-GB"/>
        </w:rPr>
        <w:t xml:space="preserve"> any others but rather </w:t>
      </w:r>
      <w:r w:rsidR="00EC16E1" w:rsidRPr="006645DC">
        <w:rPr>
          <w:lang w:val="en-GB"/>
        </w:rPr>
        <w:t xml:space="preserve">a node where beneficial interactions </w:t>
      </w:r>
      <w:r w:rsidRPr="006645DC">
        <w:rPr>
          <w:lang w:val="en-GB"/>
        </w:rPr>
        <w:t xml:space="preserve">can be made </w:t>
      </w:r>
      <w:r w:rsidR="002A1172" w:rsidRPr="006645DC">
        <w:rPr>
          <w:lang w:val="en-GB"/>
        </w:rPr>
        <w:t>between distinct</w:t>
      </w:r>
      <w:r w:rsidR="00EC16E1" w:rsidRPr="006645DC">
        <w:rPr>
          <w:lang w:val="en-GB"/>
        </w:rPr>
        <w:t xml:space="preserve"> development policies. </w:t>
      </w:r>
    </w:p>
    <w:p w14:paraId="3758E077" w14:textId="3AEC9884" w:rsidR="00EC16E1" w:rsidRPr="006645DC" w:rsidRDefault="00EC16E1" w:rsidP="009549CE">
      <w:pPr>
        <w:rPr>
          <w:lang w:val="en-GB"/>
        </w:rPr>
      </w:pPr>
      <w:r w:rsidRPr="006645DC">
        <w:rPr>
          <w:lang w:val="en-GB"/>
        </w:rPr>
        <w:t>Tourism need skilled workers (trained in language, history or environment), infrastructures (hotels, transportation) and first and</w:t>
      </w:r>
      <w:r w:rsidR="00F65339" w:rsidRPr="006645DC">
        <w:rPr>
          <w:lang w:val="en-GB"/>
        </w:rPr>
        <w:t xml:space="preserve"> foremost a </w:t>
      </w:r>
      <w:r w:rsidRPr="006645DC">
        <w:rPr>
          <w:lang w:val="en-GB"/>
        </w:rPr>
        <w:t xml:space="preserve">common will to make a destination attractive and </w:t>
      </w:r>
      <w:r w:rsidR="00F65339" w:rsidRPr="006645DC">
        <w:rPr>
          <w:lang w:val="en-GB"/>
        </w:rPr>
        <w:t xml:space="preserve">a common understanding of its future benefits. </w:t>
      </w:r>
    </w:p>
    <w:p w14:paraId="3252989F" w14:textId="058FFEA9" w:rsidR="00F65339" w:rsidRPr="006645DC" w:rsidRDefault="00F65339" w:rsidP="009549CE">
      <w:pPr>
        <w:rPr>
          <w:lang w:val="en-GB"/>
        </w:rPr>
      </w:pPr>
      <w:r w:rsidRPr="006645DC">
        <w:rPr>
          <w:lang w:val="en-GB"/>
        </w:rPr>
        <w:t>Tourism is therefore a potential catalyst for the deve</w:t>
      </w:r>
      <w:r w:rsidR="00EF4491" w:rsidRPr="006645DC">
        <w:rPr>
          <w:lang w:val="en-GB"/>
        </w:rPr>
        <w:t>lopment of the region but can also be</w:t>
      </w:r>
      <w:r w:rsidR="00DA48C4" w:rsidRPr="006645DC">
        <w:rPr>
          <w:lang w:val="en-GB"/>
        </w:rPr>
        <w:t xml:space="preserve"> </w:t>
      </w:r>
      <w:r w:rsidRPr="006645DC">
        <w:rPr>
          <w:lang w:val="en-GB"/>
        </w:rPr>
        <w:t xml:space="preserve">the showcase of its inequalities, flaws and lags. </w:t>
      </w:r>
    </w:p>
    <w:p w14:paraId="2717EF33" w14:textId="06AA5C69" w:rsidR="00F65339" w:rsidRPr="006645DC" w:rsidRDefault="00F65339" w:rsidP="00F65339">
      <w:pPr>
        <w:rPr>
          <w:lang w:val="en-GB"/>
        </w:rPr>
      </w:pPr>
      <w:r w:rsidRPr="006645DC">
        <w:rPr>
          <w:lang w:val="en-GB"/>
        </w:rPr>
        <w:t>The cross-border situation is not an exception and the situation of it</w:t>
      </w:r>
      <w:r w:rsidR="002A1172" w:rsidRPr="006645DC">
        <w:rPr>
          <w:lang w:val="en-GB"/>
        </w:rPr>
        <w:t>s</w:t>
      </w:r>
      <w:r w:rsidRPr="006645DC">
        <w:rPr>
          <w:lang w:val="en-GB"/>
        </w:rPr>
        <w:t xml:space="preserve"> tourism is a good example of the weaknesses of the area. </w:t>
      </w:r>
    </w:p>
    <w:p w14:paraId="3726DB83" w14:textId="53F8A126" w:rsidR="00F65339" w:rsidRPr="006645DC" w:rsidRDefault="00F65339" w:rsidP="00F65339">
      <w:pPr>
        <w:rPr>
          <w:lang w:val="en-GB"/>
        </w:rPr>
      </w:pPr>
      <w:r w:rsidRPr="006645DC">
        <w:rPr>
          <w:lang w:val="en-GB"/>
        </w:rPr>
        <w:t>The first observation is an uneven repartition of this activity, regarding tourism the border is drawn between the Black Sea cost – both in Bulgaria and Romania – and the rest of the territory.</w:t>
      </w:r>
    </w:p>
    <w:p w14:paraId="1FDF3A50" w14:textId="77777777" w:rsidR="00F65339" w:rsidRPr="006645DC" w:rsidRDefault="00F65339" w:rsidP="00F65339">
      <w:pPr>
        <w:rPr>
          <w:lang w:val="en-GB"/>
        </w:rPr>
      </w:pPr>
      <w:r w:rsidRPr="006645DC">
        <w:rPr>
          <w:lang w:val="en-GB"/>
        </w:rPr>
        <w:lastRenderedPageBreak/>
        <w:t>The sea cost is well-known for its resorts for mass summer tourism and attracts most of the visitors during few months in a year.</w:t>
      </w:r>
    </w:p>
    <w:p w14:paraId="13764851" w14:textId="205D7731" w:rsidR="004E4BD8" w:rsidRPr="006645DC" w:rsidRDefault="00F65339" w:rsidP="00F65339">
      <w:pPr>
        <w:rPr>
          <w:lang w:val="en-GB"/>
        </w:rPr>
      </w:pPr>
      <w:r w:rsidRPr="006645DC">
        <w:rPr>
          <w:lang w:val="en-GB"/>
        </w:rPr>
        <w:t xml:space="preserve">Besides its uneven repartition, tourism is moreover </w:t>
      </w:r>
      <w:r w:rsidR="00D515FC" w:rsidRPr="006645DC">
        <w:rPr>
          <w:lang w:val="en-GB"/>
        </w:rPr>
        <w:t>seasonal;</w:t>
      </w:r>
      <w:r w:rsidR="00EF4491" w:rsidRPr="006645DC">
        <w:rPr>
          <w:lang w:val="en-GB"/>
        </w:rPr>
        <w:t xml:space="preserve"> the consequences being that one </w:t>
      </w:r>
      <w:r w:rsidRPr="006645DC">
        <w:rPr>
          <w:lang w:val="en-GB"/>
        </w:rPr>
        <w:t>can hardly find a tourist in the cross-border region in the month of November</w:t>
      </w:r>
      <w:r w:rsidR="004E4BD8" w:rsidRPr="006645DC">
        <w:rPr>
          <w:lang w:val="en-GB"/>
        </w:rPr>
        <w:t xml:space="preserve">. </w:t>
      </w:r>
    </w:p>
    <w:p w14:paraId="3320DAAE" w14:textId="4CCDF5A6" w:rsidR="004E4BD8" w:rsidRPr="006645DC" w:rsidRDefault="00EF4491" w:rsidP="00F65339">
      <w:pPr>
        <w:rPr>
          <w:lang w:val="en-GB"/>
        </w:rPr>
      </w:pPr>
      <w:r w:rsidRPr="006645DC">
        <w:rPr>
          <w:lang w:val="en-GB"/>
        </w:rPr>
        <w:t xml:space="preserve">The reason for these spatial and </w:t>
      </w:r>
      <w:r w:rsidR="008B0041" w:rsidRPr="006645DC">
        <w:rPr>
          <w:lang w:val="en-GB"/>
        </w:rPr>
        <w:t>temporal limitations</w:t>
      </w:r>
      <w:r w:rsidRPr="006645DC">
        <w:rPr>
          <w:lang w:val="en-GB"/>
        </w:rPr>
        <w:t xml:space="preserve"> is</w:t>
      </w:r>
      <w:r w:rsidR="004E4BD8" w:rsidRPr="006645DC">
        <w:rPr>
          <w:lang w:val="en-GB"/>
        </w:rPr>
        <w:t xml:space="preserve"> not that the region is completely unattractive besides its sea-shore, it is the lack of </w:t>
      </w:r>
      <w:r w:rsidRPr="006645DC">
        <w:rPr>
          <w:lang w:val="en-GB"/>
        </w:rPr>
        <w:t>valorisation</w:t>
      </w:r>
      <w:r w:rsidR="004E4BD8" w:rsidRPr="006645DC">
        <w:rPr>
          <w:lang w:val="en-GB"/>
        </w:rPr>
        <w:t xml:space="preserve"> of its natural and cultural assets combined with its overall </w:t>
      </w:r>
      <w:r w:rsidRPr="006645DC">
        <w:rPr>
          <w:lang w:val="en-GB"/>
        </w:rPr>
        <w:t xml:space="preserve">economic and social </w:t>
      </w:r>
      <w:r w:rsidR="004E4BD8" w:rsidRPr="006645DC">
        <w:rPr>
          <w:lang w:val="en-GB"/>
        </w:rPr>
        <w:t>situation that perpetuated such</w:t>
      </w:r>
      <w:r w:rsidRPr="006645DC">
        <w:rPr>
          <w:lang w:val="en-GB"/>
        </w:rPr>
        <w:t xml:space="preserve"> a waste of </w:t>
      </w:r>
      <w:r w:rsidR="008B0041" w:rsidRPr="006645DC">
        <w:rPr>
          <w:lang w:val="en-GB"/>
        </w:rPr>
        <w:t>its tourism resources</w:t>
      </w:r>
      <w:r w:rsidR="004E4BD8" w:rsidRPr="006645DC">
        <w:rPr>
          <w:lang w:val="en-GB"/>
        </w:rPr>
        <w:t xml:space="preserve">. </w:t>
      </w:r>
    </w:p>
    <w:p w14:paraId="4EBA034D" w14:textId="37751210" w:rsidR="00F65339" w:rsidRPr="006645DC" w:rsidRDefault="004E4BD8" w:rsidP="00F65339">
      <w:pPr>
        <w:rPr>
          <w:lang w:val="en-GB"/>
        </w:rPr>
      </w:pPr>
      <w:r w:rsidRPr="006645DC">
        <w:rPr>
          <w:lang w:val="en-GB"/>
        </w:rPr>
        <w:t xml:space="preserve">In a recurrent manner when addressing cross-border issues, one realize that the region is full of opportunities but that the lack of connectivity, of </w:t>
      </w:r>
      <w:r w:rsidR="008B0041" w:rsidRPr="006645DC">
        <w:rPr>
          <w:lang w:val="en-GB"/>
        </w:rPr>
        <w:t>initiatives</w:t>
      </w:r>
      <w:r w:rsidRPr="006645DC">
        <w:rPr>
          <w:lang w:val="en-GB"/>
        </w:rPr>
        <w:t xml:space="preserve"> and the weight of habits and </w:t>
      </w:r>
      <w:r w:rsidR="00EF4491" w:rsidRPr="006645DC">
        <w:rPr>
          <w:lang w:val="en-GB"/>
        </w:rPr>
        <w:t xml:space="preserve">of some </w:t>
      </w:r>
      <w:r w:rsidRPr="006645DC">
        <w:rPr>
          <w:lang w:val="en-GB"/>
        </w:rPr>
        <w:t xml:space="preserve">self-deprecation did not permit to develop them. </w:t>
      </w:r>
      <w:r w:rsidR="00F65339" w:rsidRPr="006645DC">
        <w:rPr>
          <w:lang w:val="en-GB"/>
        </w:rPr>
        <w:t xml:space="preserve"> </w:t>
      </w:r>
    </w:p>
    <w:p w14:paraId="40D48701" w14:textId="50A7CEBB" w:rsidR="00CC4C34" w:rsidRPr="006645DC" w:rsidRDefault="00DA48C4" w:rsidP="009549CE">
      <w:pPr>
        <w:rPr>
          <w:lang w:val="en-GB" w:eastAsia="ro-RO"/>
        </w:rPr>
      </w:pPr>
      <w:r w:rsidRPr="006645DC">
        <w:rPr>
          <w:lang w:val="en-GB"/>
        </w:rPr>
        <w:t>For instance, t</w:t>
      </w:r>
      <w:r w:rsidRPr="006645DC">
        <w:rPr>
          <w:lang w:val="en-GB" w:eastAsia="ro-RO"/>
        </w:rPr>
        <w:t xml:space="preserve">he cross-border area is </w:t>
      </w:r>
      <w:r w:rsidR="00EF4491" w:rsidRPr="006645DC">
        <w:rPr>
          <w:lang w:val="en-GB" w:eastAsia="ro-RO"/>
        </w:rPr>
        <w:t xml:space="preserve">historically </w:t>
      </w:r>
      <w:r w:rsidRPr="006645DC">
        <w:rPr>
          <w:lang w:val="en-GB" w:eastAsia="ro-RO"/>
        </w:rPr>
        <w:t>at the crossroads of Hellenistic</w:t>
      </w:r>
      <w:r w:rsidR="002D2574" w:rsidRPr="006645DC">
        <w:rPr>
          <w:lang w:val="en-GB" w:eastAsia="ro-RO"/>
        </w:rPr>
        <w:t>, Roman and Byzantine</w:t>
      </w:r>
      <w:r w:rsidRPr="006645DC">
        <w:rPr>
          <w:lang w:val="en-GB" w:eastAsia="ro-RO"/>
        </w:rPr>
        <w:t xml:space="preserve"> legacies that influenced its culture, architecture, and traditions.  It was situated at a strategic </w:t>
      </w:r>
      <w:r w:rsidR="008B0041" w:rsidRPr="006645DC">
        <w:rPr>
          <w:lang w:val="en-GB" w:eastAsia="ro-RO"/>
        </w:rPr>
        <w:t>point</w:t>
      </w:r>
      <w:r w:rsidRPr="006645DC">
        <w:rPr>
          <w:lang w:val="en-GB" w:eastAsia="ro-RO"/>
        </w:rPr>
        <w:t xml:space="preserve"> of encounter between leading civilizations</w:t>
      </w:r>
      <w:r w:rsidR="00EF4491" w:rsidRPr="006645DC">
        <w:rPr>
          <w:lang w:val="en-GB" w:eastAsia="ro-RO"/>
        </w:rPr>
        <w:t xml:space="preserve"> and is </w:t>
      </w:r>
      <w:r w:rsidR="008B0041" w:rsidRPr="006645DC">
        <w:rPr>
          <w:lang w:val="en-GB" w:eastAsia="ro-RO"/>
        </w:rPr>
        <w:t>centred</w:t>
      </w:r>
      <w:r w:rsidR="00CC4C34" w:rsidRPr="006645DC">
        <w:rPr>
          <w:lang w:val="en-GB" w:eastAsia="ro-RO"/>
        </w:rPr>
        <w:t xml:space="preserve"> </w:t>
      </w:r>
      <w:r w:rsidR="008B0041" w:rsidRPr="006645DC">
        <w:rPr>
          <w:lang w:val="en-GB" w:eastAsia="ro-RO"/>
        </w:rPr>
        <w:t>on</w:t>
      </w:r>
      <w:r w:rsidR="00CC4C34" w:rsidRPr="006645DC">
        <w:rPr>
          <w:lang w:val="en-GB" w:eastAsia="ro-RO"/>
        </w:rPr>
        <w:t xml:space="preserve"> one</w:t>
      </w:r>
      <w:r w:rsidR="002A1172" w:rsidRPr="006645DC">
        <w:rPr>
          <w:lang w:val="en-GB" w:eastAsia="ro-RO"/>
        </w:rPr>
        <w:t xml:space="preserve"> of</w:t>
      </w:r>
      <w:r w:rsidR="00CC4C34" w:rsidRPr="006645DC">
        <w:rPr>
          <w:lang w:val="en-GB" w:eastAsia="ro-RO"/>
        </w:rPr>
        <w:t xml:space="preserve"> the greatest</w:t>
      </w:r>
      <w:r w:rsidR="00EF4491" w:rsidRPr="006645DC">
        <w:rPr>
          <w:lang w:val="en-GB" w:eastAsia="ro-RO"/>
        </w:rPr>
        <w:t xml:space="preserve"> </w:t>
      </w:r>
      <w:r w:rsidR="008B0041" w:rsidRPr="006645DC">
        <w:rPr>
          <w:lang w:val="en-GB" w:eastAsia="ro-RO"/>
        </w:rPr>
        <w:t>and oldest</w:t>
      </w:r>
      <w:r w:rsidR="002D2574" w:rsidRPr="006645DC">
        <w:rPr>
          <w:lang w:val="en-GB" w:eastAsia="ro-RO"/>
        </w:rPr>
        <w:t xml:space="preserve"> transport </w:t>
      </w:r>
      <w:r w:rsidR="00CC4C34" w:rsidRPr="006645DC">
        <w:rPr>
          <w:lang w:val="en-GB" w:eastAsia="ro-RO"/>
        </w:rPr>
        <w:t xml:space="preserve">axis of the </w:t>
      </w:r>
      <w:r w:rsidR="00EF4491" w:rsidRPr="006645DC">
        <w:rPr>
          <w:lang w:val="en-GB" w:eastAsia="ro-RO"/>
        </w:rPr>
        <w:t xml:space="preserve">classic </w:t>
      </w:r>
      <w:r w:rsidR="00CC4C34" w:rsidRPr="006645DC">
        <w:rPr>
          <w:lang w:val="en-GB" w:eastAsia="ro-RO"/>
        </w:rPr>
        <w:t xml:space="preserve">western world, the Danube. </w:t>
      </w:r>
    </w:p>
    <w:p w14:paraId="4045C922" w14:textId="4900CBC3" w:rsidR="002D2574" w:rsidRPr="006645DC" w:rsidRDefault="00CC4C34" w:rsidP="009549CE">
      <w:pPr>
        <w:rPr>
          <w:lang w:val="en-GB" w:eastAsia="ro-RO"/>
        </w:rPr>
      </w:pPr>
      <w:r w:rsidRPr="006645DC">
        <w:rPr>
          <w:lang w:val="en-GB" w:eastAsia="ro-RO"/>
        </w:rPr>
        <w:t>The outside observer can be ther</w:t>
      </w:r>
      <w:r w:rsidR="002A1172" w:rsidRPr="006645DC">
        <w:rPr>
          <w:lang w:val="en-GB" w:eastAsia="ro-RO"/>
        </w:rPr>
        <w:t>efore surprised to</w:t>
      </w:r>
      <w:r w:rsidRPr="006645DC">
        <w:rPr>
          <w:lang w:val="en-GB" w:eastAsia="ro-RO"/>
        </w:rPr>
        <w:t xml:space="preserve"> find </w:t>
      </w:r>
      <w:r w:rsidR="002A1172" w:rsidRPr="006645DC">
        <w:rPr>
          <w:lang w:val="en-GB" w:eastAsia="ro-RO"/>
        </w:rPr>
        <w:t xml:space="preserve">only mass and “low </w:t>
      </w:r>
      <w:r w:rsidRPr="006645DC">
        <w:rPr>
          <w:lang w:val="en-GB" w:eastAsia="ro-RO"/>
        </w:rPr>
        <w:t>value</w:t>
      </w:r>
      <w:r w:rsidR="002A1172" w:rsidRPr="006645DC">
        <w:rPr>
          <w:lang w:val="en-GB" w:eastAsia="ro-RO"/>
        </w:rPr>
        <w:t>”</w:t>
      </w:r>
      <w:r w:rsidRPr="006645DC">
        <w:rPr>
          <w:lang w:val="en-GB" w:eastAsia="ro-RO"/>
        </w:rPr>
        <w:t xml:space="preserve"> tourism on the cost in a region whe</w:t>
      </w:r>
      <w:r w:rsidR="002D2574" w:rsidRPr="006645DC">
        <w:rPr>
          <w:lang w:val="en-GB" w:eastAsia="ro-RO"/>
        </w:rPr>
        <w:t xml:space="preserve">re the river is omnipresent as an asset for eco-tourism, sailing and leisure tourism and as an access vector to all the cross-border area. </w:t>
      </w:r>
    </w:p>
    <w:p w14:paraId="6029816F" w14:textId="77777777" w:rsidR="00846752" w:rsidRPr="006645DC" w:rsidRDefault="00846752" w:rsidP="00846752">
      <w:pPr>
        <w:rPr>
          <w:lang w:val="en-GB"/>
        </w:rPr>
      </w:pPr>
      <w:r w:rsidRPr="006645DC">
        <w:rPr>
          <w:lang w:val="en-GB"/>
        </w:rPr>
        <w:t xml:space="preserve">Tourism development has eventually two main leverages, nature and culture. </w:t>
      </w:r>
    </w:p>
    <w:p w14:paraId="49679E54" w14:textId="6272255A" w:rsidR="00846752" w:rsidRPr="006645DC" w:rsidRDefault="00846752" w:rsidP="006328DB">
      <w:pPr>
        <w:pStyle w:val="ListParagraph"/>
        <w:numPr>
          <w:ilvl w:val="0"/>
          <w:numId w:val="141"/>
        </w:numPr>
        <w:rPr>
          <w:lang w:val="en-GB"/>
        </w:rPr>
      </w:pPr>
      <w:r w:rsidRPr="006645DC">
        <w:rPr>
          <w:lang w:val="en-GB"/>
        </w:rPr>
        <w:t xml:space="preserve">Natural tourism is correlated to the existence of many  NATURA 2000 sites </w:t>
      </w:r>
      <w:r w:rsidR="006645DC">
        <w:rPr>
          <w:lang w:val="en-GB"/>
        </w:rPr>
        <w:t>situated in the cross-border</w:t>
      </w:r>
      <w:r w:rsidRPr="006645DC">
        <w:rPr>
          <w:lang w:val="en-GB"/>
        </w:rPr>
        <w:t xml:space="preserve"> region </w:t>
      </w:r>
    </w:p>
    <w:p w14:paraId="666D5892" w14:textId="7BC2060B" w:rsidR="00846752" w:rsidRPr="006645DC" w:rsidRDefault="00846752" w:rsidP="006328DB">
      <w:pPr>
        <w:pStyle w:val="ListParagraph"/>
        <w:numPr>
          <w:ilvl w:val="1"/>
          <w:numId w:val="141"/>
        </w:numPr>
        <w:rPr>
          <w:lang w:val="en-GB"/>
        </w:rPr>
      </w:pPr>
      <w:r w:rsidRPr="006645DC">
        <w:rPr>
          <w:lang w:val="en-GB"/>
        </w:rPr>
        <w:t>For Romania, in Mehedinţi, 10 sites were created, 7 out of these spread to neighbouring counties Gorj, CarasSeverin, and Dolj where there are 7 NATURA 2000 sites.</w:t>
      </w:r>
    </w:p>
    <w:p w14:paraId="0BEBB86D" w14:textId="77777777" w:rsidR="00846752" w:rsidRPr="006645DC" w:rsidRDefault="00846752" w:rsidP="006328DB">
      <w:pPr>
        <w:pStyle w:val="ListParagraph"/>
        <w:numPr>
          <w:ilvl w:val="1"/>
          <w:numId w:val="141"/>
        </w:numPr>
        <w:rPr>
          <w:lang w:val="en-GB"/>
        </w:rPr>
      </w:pPr>
      <w:r w:rsidRPr="006645DC">
        <w:rPr>
          <w:lang w:val="en-GB"/>
        </w:rPr>
        <w:t xml:space="preserve">In the Bulgarian part, there are a total of 102 protected zones included in the NATURA 2000 network. The distribution of the sites varies from 10 in the Ruse district to 15 in the Dobrich district, spreading also to the neighbouring district of Varna. </w:t>
      </w:r>
    </w:p>
    <w:p w14:paraId="3C6882B0" w14:textId="77777777" w:rsidR="008B0041" w:rsidRPr="006645DC" w:rsidRDefault="00846752" w:rsidP="006328DB">
      <w:pPr>
        <w:pStyle w:val="ListParagraph"/>
        <w:numPr>
          <w:ilvl w:val="0"/>
          <w:numId w:val="141"/>
        </w:numPr>
        <w:rPr>
          <w:lang w:val="en-GB"/>
        </w:rPr>
      </w:pPr>
      <w:r w:rsidRPr="006645DC">
        <w:rPr>
          <w:lang w:val="en-GB"/>
        </w:rPr>
        <w:t xml:space="preserve">Cultural and heritage tourism is linked to </w:t>
      </w:r>
      <w:r w:rsidR="008B0041" w:rsidRPr="006645DC">
        <w:rPr>
          <w:lang w:val="en-GB"/>
        </w:rPr>
        <w:t xml:space="preserve">the existence of many historic sites and to the preservation of ancient folklore. </w:t>
      </w:r>
    </w:p>
    <w:p w14:paraId="2C7CC5A3" w14:textId="77777777" w:rsidR="008B0041" w:rsidRPr="006645DC" w:rsidRDefault="00846752" w:rsidP="006328DB">
      <w:pPr>
        <w:pStyle w:val="ListParagraph"/>
        <w:numPr>
          <w:ilvl w:val="1"/>
          <w:numId w:val="141"/>
        </w:numPr>
        <w:rPr>
          <w:lang w:val="en-GB"/>
        </w:rPr>
      </w:pPr>
      <w:r w:rsidRPr="006645DC">
        <w:rPr>
          <w:lang w:val="en-GB" w:eastAsia="ro-RO"/>
        </w:rPr>
        <w:t xml:space="preserve">A recent inventory of the tourist sites in the whole cross-border territory indicated a variety of 423 tourist sites in both countries. </w:t>
      </w:r>
      <w:r w:rsidRPr="006645DC">
        <w:rPr>
          <w:lang w:val="en-GB"/>
        </w:rPr>
        <w:t>The most important ones are situated in the western part of the region: the “Rocks of Belogradchik” with its third-century fortress, the Magura Cave, the Ledenika Cave, and the stone formations of Ritlite.</w:t>
      </w:r>
    </w:p>
    <w:p w14:paraId="002F3074" w14:textId="77777777" w:rsidR="008B0041" w:rsidRPr="006645DC" w:rsidRDefault="00846752" w:rsidP="006328DB">
      <w:pPr>
        <w:pStyle w:val="ListParagraph"/>
        <w:numPr>
          <w:ilvl w:val="1"/>
          <w:numId w:val="141"/>
        </w:numPr>
        <w:rPr>
          <w:lang w:val="en-GB" w:eastAsia="ro-RO"/>
        </w:rPr>
      </w:pPr>
      <w:r w:rsidRPr="006645DC">
        <w:rPr>
          <w:lang w:val="en-GB" w:eastAsia="ro-RO"/>
        </w:rPr>
        <w:t xml:space="preserve">Two of the nine Bulgarian UNESCO protected world cultural and natural heritage sites are located in the cross-border region – the Ivanovo Rock Churches and the Srebarna Natural Reserve. </w:t>
      </w:r>
    </w:p>
    <w:p w14:paraId="6F35DB69" w14:textId="4D450240" w:rsidR="008B0041" w:rsidRPr="006645DC" w:rsidRDefault="008B0041" w:rsidP="006328DB">
      <w:pPr>
        <w:pStyle w:val="ListParagraph"/>
        <w:numPr>
          <w:ilvl w:val="1"/>
          <w:numId w:val="141"/>
        </w:numPr>
        <w:rPr>
          <w:lang w:val="en-GB" w:eastAsia="ro-RO"/>
        </w:rPr>
      </w:pPr>
      <w:r w:rsidRPr="006645DC">
        <w:rPr>
          <w:lang w:val="en-GB" w:eastAsia="ro-RO"/>
        </w:rPr>
        <w:lastRenderedPageBreak/>
        <w:t>F</w:t>
      </w:r>
      <w:r w:rsidR="00D515FC" w:rsidRPr="006645DC">
        <w:rPr>
          <w:lang w:val="en-GB" w:eastAsia="ro-RO"/>
        </w:rPr>
        <w:t>olklore</w:t>
      </w:r>
      <w:r w:rsidRPr="006645DC">
        <w:rPr>
          <w:lang w:val="en-GB" w:eastAsia="ro-RO"/>
        </w:rPr>
        <w:t xml:space="preserve"> and traditional events play a crucial role in the cultural life of the cross-border area. Local traditions, handicrafts and artisan works, as well as culinary </w:t>
      </w:r>
      <w:r w:rsidR="002A1172" w:rsidRPr="006645DC">
        <w:rPr>
          <w:lang w:val="en-GB" w:eastAsia="ro-RO"/>
        </w:rPr>
        <w:t>events in</w:t>
      </w:r>
      <w:r w:rsidRPr="006645DC">
        <w:rPr>
          <w:lang w:val="en-GB" w:eastAsia="ro-RO"/>
        </w:rPr>
        <w:t xml:space="preserve"> the rural areas of the cross-border area are good opportunities to draw the public’s attention.</w:t>
      </w:r>
    </w:p>
    <w:p w14:paraId="49D316E8" w14:textId="77777777" w:rsidR="008B0041" w:rsidRPr="006645DC" w:rsidRDefault="008B0041" w:rsidP="002D2574">
      <w:pPr>
        <w:rPr>
          <w:lang w:val="en-GB" w:eastAsia="ro-RO"/>
        </w:rPr>
      </w:pPr>
      <w:r w:rsidRPr="006645DC">
        <w:rPr>
          <w:lang w:val="en-GB" w:eastAsia="ro-RO"/>
        </w:rPr>
        <w:t xml:space="preserve">The tourism potential of the region is thus obvious, presenting a mix of opportunities for cultural, religious, culinary, adventure and eco-tourism. </w:t>
      </w:r>
    </w:p>
    <w:p w14:paraId="35E3FB46" w14:textId="369298D6" w:rsidR="008B0041" w:rsidRPr="006645DC" w:rsidRDefault="008B0041" w:rsidP="002D2574">
      <w:pPr>
        <w:rPr>
          <w:lang w:val="en-GB" w:eastAsia="ro-RO"/>
        </w:rPr>
      </w:pPr>
      <w:r w:rsidRPr="006645DC">
        <w:rPr>
          <w:lang w:val="en-GB"/>
        </w:rPr>
        <w:t xml:space="preserve">A </w:t>
      </w:r>
      <w:r w:rsidR="00846752" w:rsidRPr="006645DC">
        <w:rPr>
          <w:lang w:val="en-GB"/>
        </w:rPr>
        <w:t>Danube-</w:t>
      </w:r>
      <w:r w:rsidR="006645DC" w:rsidRPr="006645DC">
        <w:rPr>
          <w:lang w:val="en-GB"/>
        </w:rPr>
        <w:t>centred</w:t>
      </w:r>
      <w:r w:rsidRPr="006645DC">
        <w:rPr>
          <w:lang w:val="en-GB"/>
        </w:rPr>
        <w:t xml:space="preserve"> sustainable tourism is slowly </w:t>
      </w:r>
      <w:r w:rsidR="00846752" w:rsidRPr="006645DC">
        <w:rPr>
          <w:lang w:val="en-GB"/>
        </w:rPr>
        <w:t>emerging and evolves in a totally different market (quantitatively and qualitatively) than the B</w:t>
      </w:r>
      <w:r w:rsidRPr="006645DC">
        <w:rPr>
          <w:lang w:val="en-GB"/>
        </w:rPr>
        <w:t xml:space="preserve">lack Sea seasonal mass tourism but it has to be enhanced and promoted.   </w:t>
      </w:r>
    </w:p>
    <w:p w14:paraId="55A98DE4" w14:textId="681BFA38" w:rsidR="002D2574" w:rsidRPr="006645DC" w:rsidRDefault="008B0041" w:rsidP="002D2574">
      <w:pPr>
        <w:rPr>
          <w:lang w:val="en-GB"/>
        </w:rPr>
      </w:pPr>
      <w:r w:rsidRPr="006645DC">
        <w:rPr>
          <w:lang w:val="en-GB"/>
        </w:rPr>
        <w:t>Indeed a</w:t>
      </w:r>
      <w:r w:rsidR="002D2574" w:rsidRPr="006645DC">
        <w:rPr>
          <w:lang w:val="en-GB"/>
        </w:rPr>
        <w:t xml:space="preserve"> Danube-</w:t>
      </w:r>
      <w:r w:rsidR="002A1172" w:rsidRPr="006645DC">
        <w:rPr>
          <w:lang w:val="en-GB"/>
        </w:rPr>
        <w:t>centred</w:t>
      </w:r>
      <w:r w:rsidR="002D2574" w:rsidRPr="006645DC">
        <w:rPr>
          <w:lang w:val="en-GB"/>
        </w:rPr>
        <w:t xml:space="preserve"> tourism offer of products</w:t>
      </w:r>
      <w:r w:rsidRPr="006645DC">
        <w:rPr>
          <w:lang w:val="en-GB"/>
        </w:rPr>
        <w:t xml:space="preserve"> would be the</w:t>
      </w:r>
      <w:r w:rsidR="002A6698" w:rsidRPr="006645DC">
        <w:rPr>
          <w:lang w:val="en-GB"/>
        </w:rPr>
        <w:t xml:space="preserve"> </w:t>
      </w:r>
      <w:r w:rsidR="00EF4491" w:rsidRPr="006645DC">
        <w:rPr>
          <w:lang w:val="en-GB"/>
        </w:rPr>
        <w:t>opportunity</w:t>
      </w:r>
      <w:r w:rsidR="002D2574" w:rsidRPr="006645DC">
        <w:rPr>
          <w:lang w:val="en-GB"/>
        </w:rPr>
        <w:t xml:space="preserve"> </w:t>
      </w:r>
      <w:r w:rsidRPr="006645DC">
        <w:rPr>
          <w:lang w:val="en-GB"/>
        </w:rPr>
        <w:t xml:space="preserve">to balance </w:t>
      </w:r>
      <w:r w:rsidR="002D2574" w:rsidRPr="006645DC">
        <w:rPr>
          <w:lang w:val="en-GB"/>
        </w:rPr>
        <w:t xml:space="preserve"> the tourism development inside the cross-border region</w:t>
      </w:r>
      <w:r w:rsidR="00EF4491" w:rsidRPr="006645DC">
        <w:rPr>
          <w:lang w:val="en-GB"/>
        </w:rPr>
        <w:t xml:space="preserve"> with a</w:t>
      </w:r>
      <w:r w:rsidR="00846752" w:rsidRPr="006645DC">
        <w:rPr>
          <w:lang w:val="en-GB"/>
        </w:rPr>
        <w:t xml:space="preserve"> lower geographical concentration and seasonality</w:t>
      </w:r>
      <w:r w:rsidR="002D2574" w:rsidRPr="006645DC">
        <w:rPr>
          <w:lang w:val="en-GB"/>
        </w:rPr>
        <w:t xml:space="preserve">, while even conferring it a more coherent and profound common territorial identity.  </w:t>
      </w:r>
    </w:p>
    <w:p w14:paraId="48B17F87" w14:textId="58A08ED9" w:rsidR="009549CE" w:rsidRPr="006645DC" w:rsidRDefault="002A1172" w:rsidP="009549CE">
      <w:pPr>
        <w:rPr>
          <w:lang w:val="en-GB"/>
        </w:rPr>
      </w:pPr>
      <w:r w:rsidRPr="006645DC">
        <w:rPr>
          <w:lang w:val="en-GB"/>
        </w:rPr>
        <w:t>I</w:t>
      </w:r>
      <w:r w:rsidR="009549CE" w:rsidRPr="006645DC">
        <w:rPr>
          <w:lang w:val="en-GB"/>
        </w:rPr>
        <w:t xml:space="preserve">n order to better understand the low development of tourism in the area, its structure and thus its potential, we will briefly look at basic tourism statistics. </w:t>
      </w:r>
    </w:p>
    <w:p w14:paraId="5C763F00" w14:textId="77777777" w:rsidR="009549CE" w:rsidRPr="006645DC" w:rsidRDefault="00AA4C82" w:rsidP="009549CE">
      <w:pPr>
        <w:pStyle w:val="Heading4"/>
        <w:jc w:val="center"/>
        <w:rPr>
          <w:b/>
          <w:bCs w:val="0"/>
          <w:i w:val="0"/>
          <w:iCs w:val="0"/>
          <w:sz w:val="24"/>
          <w:szCs w:val="24"/>
          <w:lang w:val="en-GB"/>
        </w:rPr>
      </w:pPr>
      <w:r w:rsidRPr="006645DC">
        <w:rPr>
          <w:b/>
          <w:i w:val="0"/>
          <w:noProof/>
          <w:sz w:val="24"/>
          <w:szCs w:val="24"/>
          <w:lang w:val="bg-BG" w:eastAsia="bg-BG"/>
        </w:rPr>
        <w:drawing>
          <wp:inline distT="0" distB="0" distL="0" distR="0" wp14:anchorId="24DCFD52" wp14:editId="4CEF012A">
            <wp:extent cx="5800725" cy="3019425"/>
            <wp:effectExtent l="19050" t="0" r="9525" b="0"/>
            <wp:docPr id="26" name="Chart 10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3F5BBE7D" w14:textId="77777777" w:rsidR="001A245F" w:rsidRPr="006645DC" w:rsidRDefault="00AE255C" w:rsidP="001A245F">
      <w:pPr>
        <w:pStyle w:val="Caption"/>
        <w:rPr>
          <w:lang w:val="en-GB"/>
        </w:rPr>
      </w:pPr>
      <w:bookmarkStart w:id="88" w:name="_Toc391150069"/>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20</w:t>
      </w:r>
      <w:r w:rsidR="005979EB" w:rsidRPr="006645DC">
        <w:rPr>
          <w:lang w:val="en-GB"/>
        </w:rPr>
        <w:fldChar w:fldCharType="end"/>
      </w:r>
      <w:r w:rsidRPr="006645DC">
        <w:rPr>
          <w:lang w:val="en-GB"/>
        </w:rPr>
        <w:t xml:space="preserve"> - Accommodation capacity – bed places – without Constanta and Dobrich</w:t>
      </w:r>
      <w:bookmarkEnd w:id="88"/>
      <w:r w:rsidR="001A245F" w:rsidRPr="006645DC">
        <w:rPr>
          <w:lang w:val="en-GB"/>
        </w:rPr>
        <w:t xml:space="preserve"> </w:t>
      </w:r>
    </w:p>
    <w:p w14:paraId="3DA792EF" w14:textId="77777777" w:rsidR="00AE255C" w:rsidRPr="006645DC" w:rsidRDefault="00AE255C" w:rsidP="001A245F">
      <w:pPr>
        <w:pStyle w:val="Heading4"/>
        <w:rPr>
          <w:lang w:val="en-GB"/>
        </w:rPr>
      </w:pPr>
      <w:r w:rsidRPr="006645DC">
        <w:rPr>
          <w:lang w:val="en-GB"/>
        </w:rPr>
        <w:t>Source:</w:t>
      </w:r>
      <w:r w:rsidR="00063294" w:rsidRPr="006645DC">
        <w:rPr>
          <w:lang w:val="en-GB"/>
        </w:rPr>
        <w:t xml:space="preserve"> INS, NSI</w:t>
      </w:r>
    </w:p>
    <w:p w14:paraId="60BCA646" w14:textId="77777777" w:rsidR="001A245F" w:rsidRPr="006645DC" w:rsidRDefault="001A245F" w:rsidP="001A245F">
      <w:pPr>
        <w:rPr>
          <w:lang w:val="en-GB"/>
        </w:rPr>
      </w:pPr>
    </w:p>
    <w:p w14:paraId="4043C843" w14:textId="77777777" w:rsidR="009549CE" w:rsidRPr="006645DC" w:rsidRDefault="00AA4C82" w:rsidP="009549CE">
      <w:pPr>
        <w:jc w:val="center"/>
        <w:rPr>
          <w:lang w:val="en-GB" w:eastAsia="ro-RO"/>
        </w:rPr>
      </w:pPr>
      <w:r w:rsidRPr="006645DC">
        <w:rPr>
          <w:noProof/>
          <w:lang w:val="bg-BG" w:eastAsia="bg-BG"/>
        </w:rPr>
        <w:lastRenderedPageBreak/>
        <w:drawing>
          <wp:inline distT="0" distB="0" distL="0" distR="0" wp14:anchorId="080C81F3" wp14:editId="62E20B03">
            <wp:extent cx="5495925" cy="2733675"/>
            <wp:effectExtent l="0" t="0" r="0" b="0"/>
            <wp:docPr id="27" name="Chart 1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3667D59" w14:textId="77777777" w:rsidR="00AE255C" w:rsidRPr="006645DC" w:rsidRDefault="00AE255C" w:rsidP="00AE255C">
      <w:pPr>
        <w:pStyle w:val="Caption"/>
        <w:rPr>
          <w:lang w:val="en-GB"/>
        </w:rPr>
      </w:pPr>
      <w:bookmarkStart w:id="89" w:name="_Toc391150070"/>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21</w:t>
      </w:r>
      <w:r w:rsidR="005979EB" w:rsidRPr="006645DC">
        <w:rPr>
          <w:lang w:val="en-GB"/>
        </w:rPr>
        <w:fldChar w:fldCharType="end"/>
      </w:r>
      <w:r w:rsidRPr="006645DC">
        <w:rPr>
          <w:lang w:val="en-GB"/>
        </w:rPr>
        <w:t xml:space="preserve"> - Accommodation capacity evolution in the seaside county/district of the cross-border area</w:t>
      </w:r>
      <w:bookmarkEnd w:id="89"/>
    </w:p>
    <w:p w14:paraId="0DE36BFE" w14:textId="77777777" w:rsidR="009549CE" w:rsidRPr="006645DC" w:rsidRDefault="00AE255C" w:rsidP="00AE255C">
      <w:pPr>
        <w:pStyle w:val="Heading4"/>
        <w:rPr>
          <w:lang w:val="en-GB"/>
        </w:rPr>
      </w:pPr>
      <w:r w:rsidRPr="006645DC">
        <w:rPr>
          <w:lang w:val="en-GB"/>
        </w:rPr>
        <w:t>Source:</w:t>
      </w:r>
      <w:r w:rsidR="00063294" w:rsidRPr="006645DC">
        <w:rPr>
          <w:lang w:val="en-GB" w:eastAsia="ro-RO"/>
        </w:rPr>
        <w:t>INS, NSI</w:t>
      </w:r>
    </w:p>
    <w:p w14:paraId="68B2ACA3" w14:textId="77777777" w:rsidR="00AE255C" w:rsidRPr="006645DC" w:rsidRDefault="00AE255C" w:rsidP="009549CE">
      <w:pPr>
        <w:rPr>
          <w:lang w:val="en-GB"/>
        </w:rPr>
      </w:pPr>
    </w:p>
    <w:p w14:paraId="2995E05A" w14:textId="77777777" w:rsidR="009549CE" w:rsidRPr="006645DC" w:rsidRDefault="009549CE" w:rsidP="009549CE">
      <w:pPr>
        <w:rPr>
          <w:lang w:val="en-GB"/>
        </w:rPr>
      </w:pPr>
      <w:r w:rsidRPr="006645DC">
        <w:rPr>
          <w:lang w:val="en-GB"/>
        </w:rPr>
        <w:t xml:space="preserve">From the charts above it is obvious that there is a huge difference between Constanta and Dobrich and the other counties/districts in terms of accommodation capacity, with the exception of Veliko Turnovo that is the only other cross-border main tourist destination apart from the seaside. Contrary to Dobrich and Veliko Turnovo, Constanta has registered strong decreases of its capacity because of the economic crisis and the ensuing decrease of arrivals. The informal economy is also very strong in the tourism sector and this might partially explain the evolutions in Constanta. The other counties/districts have only a limited number of accommodation places, illustrating their low touristic intensity. </w:t>
      </w:r>
    </w:p>
    <w:p w14:paraId="75CCAF30" w14:textId="77777777" w:rsidR="009549CE" w:rsidRPr="006645DC" w:rsidRDefault="009549CE" w:rsidP="009549CE">
      <w:pPr>
        <w:rPr>
          <w:lang w:val="en-GB"/>
        </w:rPr>
      </w:pPr>
      <w:r w:rsidRPr="006645DC">
        <w:rPr>
          <w:lang w:val="en-GB"/>
        </w:rPr>
        <w:t xml:space="preserve">In terms of evolution during the crisis years of 2008-2010, the Romanian part saw continued increase of its capacity, illustrating the previous needs for additional capacity and the late effect of the economic growth years, while the Bulgarian districts felt a later impact of the crisis with decreases in 2011-2012. We can note the existence of a category of counties/districts that experience constant growth of their touristic capacities despite the economic crisis: Veliko Turnovo, Mehedinti, Dolj and Montana. This feature and its divergence from the evolution of the other counties/districts is indicative of the sustainable development of tourism in these areas as the supply answers to a real demand either for business tourism or for leisure tourism or for both. The tourism sector in these territories requires further investigation in order to understand the best practices or resources upon which the other territories can build new touristic strategies.  </w:t>
      </w:r>
    </w:p>
    <w:p w14:paraId="4869C41D" w14:textId="77777777" w:rsidR="009549CE" w:rsidRPr="006645DC" w:rsidRDefault="009549CE" w:rsidP="009549CE">
      <w:pPr>
        <w:rPr>
          <w:lang w:val="en-GB" w:eastAsia="ro-RO"/>
        </w:rPr>
      </w:pPr>
      <w:r w:rsidRPr="006645DC">
        <w:rPr>
          <w:lang w:val="en-GB" w:eastAsia="ro-RO"/>
        </w:rPr>
        <w:t xml:space="preserve">On the charts below we can see the arrivals and the overnights spent by tourists in each of the counties/districts over the last 5 years. The imbalance between Constanta’s tourism flows and the other counties is obvious, while Dobrich has an intermediate standing. </w:t>
      </w:r>
    </w:p>
    <w:p w14:paraId="1C957A28" w14:textId="77777777" w:rsidR="009549CE" w:rsidRPr="006645DC" w:rsidRDefault="00AA4C82" w:rsidP="009549CE">
      <w:pPr>
        <w:jc w:val="center"/>
        <w:rPr>
          <w:lang w:val="en-GB" w:eastAsia="ro-RO"/>
        </w:rPr>
      </w:pPr>
      <w:r w:rsidRPr="006645DC">
        <w:rPr>
          <w:rFonts w:ascii="Times New Roman" w:eastAsia="Times New Roman" w:hAnsi="Times New Roman" w:cs="Calibri"/>
          <w:noProof/>
          <w:sz w:val="24"/>
          <w:szCs w:val="24"/>
          <w:lang w:val="bg-BG" w:eastAsia="bg-BG"/>
        </w:rPr>
        <w:lastRenderedPageBreak/>
        <w:drawing>
          <wp:inline distT="0" distB="0" distL="0" distR="0" wp14:anchorId="14CD53B9" wp14:editId="2411ADAF">
            <wp:extent cx="5495925" cy="2714625"/>
            <wp:effectExtent l="0" t="0" r="0" b="0"/>
            <wp:docPr id="28" name="Chart 2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2D7C2068" w14:textId="546D8B70" w:rsidR="00D515FC" w:rsidRPr="006645DC" w:rsidRDefault="00AE255C" w:rsidP="00AE255C">
      <w:pPr>
        <w:pStyle w:val="Caption"/>
        <w:rPr>
          <w:lang w:val="en-GB"/>
        </w:rPr>
      </w:pPr>
      <w:bookmarkStart w:id="90" w:name="_Toc391150071"/>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22</w:t>
      </w:r>
      <w:r w:rsidR="005979EB" w:rsidRPr="006645DC">
        <w:rPr>
          <w:lang w:val="en-GB"/>
        </w:rPr>
        <w:fldChar w:fldCharType="end"/>
      </w:r>
      <w:r w:rsidRPr="006645DC">
        <w:rPr>
          <w:lang w:val="en-GB"/>
        </w:rPr>
        <w:t xml:space="preserve"> - The arrivals in the cross-border area</w:t>
      </w:r>
      <w:bookmarkEnd w:id="90"/>
    </w:p>
    <w:p w14:paraId="098B213B" w14:textId="607F43AA" w:rsidR="00AE255C" w:rsidRPr="006645DC" w:rsidRDefault="00D515FC" w:rsidP="00D515FC">
      <w:pPr>
        <w:pStyle w:val="Heading4"/>
        <w:rPr>
          <w:lang w:val="en-GB" w:eastAsia="ro-RO"/>
        </w:rPr>
      </w:pPr>
      <w:r w:rsidRPr="006645DC">
        <w:rPr>
          <w:lang w:val="en-GB" w:eastAsia="ro-RO"/>
        </w:rPr>
        <w:tab/>
        <w:t>Source: INS, NSI</w:t>
      </w:r>
    </w:p>
    <w:p w14:paraId="645B9C7C" w14:textId="77777777" w:rsidR="009549CE" w:rsidRPr="006645DC" w:rsidRDefault="00AA4C82" w:rsidP="009549CE">
      <w:pPr>
        <w:jc w:val="center"/>
        <w:rPr>
          <w:lang w:val="en-GB" w:eastAsia="ro-RO"/>
        </w:rPr>
      </w:pPr>
      <w:r w:rsidRPr="006645DC">
        <w:rPr>
          <w:noProof/>
          <w:lang w:val="bg-BG" w:eastAsia="bg-BG"/>
        </w:rPr>
        <w:drawing>
          <wp:inline distT="0" distB="0" distL="0" distR="0" wp14:anchorId="5540E55E" wp14:editId="59338EB5">
            <wp:extent cx="5498275" cy="3574473"/>
            <wp:effectExtent l="0" t="0" r="26670" b="26035"/>
            <wp:docPr id="29" name="Chart 2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298F3B2F" w14:textId="77777777" w:rsidR="00AE255C" w:rsidRPr="006645DC" w:rsidRDefault="00AE255C" w:rsidP="00D515FC">
      <w:pPr>
        <w:pStyle w:val="Caption"/>
        <w:rPr>
          <w:lang w:val="en-GB"/>
        </w:rPr>
      </w:pPr>
      <w:bookmarkStart w:id="91" w:name="_Toc391150072"/>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23</w:t>
      </w:r>
      <w:r w:rsidR="005979EB" w:rsidRPr="006645DC">
        <w:rPr>
          <w:lang w:val="en-GB"/>
        </w:rPr>
        <w:fldChar w:fldCharType="end"/>
      </w:r>
      <w:r w:rsidRPr="006645DC">
        <w:rPr>
          <w:lang w:val="en-GB"/>
        </w:rPr>
        <w:t xml:space="preserve"> - The annual overnights spent by tourists in the RO area, 2008-2012</w:t>
      </w:r>
      <w:bookmarkEnd w:id="91"/>
    </w:p>
    <w:p w14:paraId="48A40049" w14:textId="77777777" w:rsidR="00D515FC" w:rsidRPr="006645DC" w:rsidRDefault="00D515FC" w:rsidP="00D515FC">
      <w:pPr>
        <w:spacing w:before="0" w:after="0"/>
        <w:jc w:val="right"/>
        <w:rPr>
          <w:bCs/>
          <w:i/>
          <w:iCs/>
          <w:sz w:val="18"/>
          <w:lang w:val="en-GB"/>
        </w:rPr>
      </w:pPr>
      <w:r w:rsidRPr="006645DC">
        <w:rPr>
          <w:bCs/>
          <w:i/>
          <w:iCs/>
          <w:sz w:val="18"/>
          <w:lang w:val="en-GB"/>
        </w:rPr>
        <w:t>Source:INS, NSI</w:t>
      </w:r>
    </w:p>
    <w:p w14:paraId="4D8E216D" w14:textId="77777777" w:rsidR="009549CE" w:rsidRPr="006645DC" w:rsidRDefault="009549CE" w:rsidP="009549CE">
      <w:pPr>
        <w:rPr>
          <w:lang w:val="en-GB"/>
        </w:rPr>
      </w:pPr>
      <w:r w:rsidRPr="006645DC">
        <w:rPr>
          <w:lang w:val="en-GB"/>
        </w:rPr>
        <w:lastRenderedPageBreak/>
        <w:t xml:space="preserve">The main aspects that are obvious from the tables above are the very low tourism-intensity of all the counties/districts in the cross-border area apart from Constanta and Dobrich and the impact of the economic crisis on the tourism flows and on the tourism economy. If almost all registered decreases of tourist flows either in arrivals or overnights in 2009-2010, they managed to grow again in 2011-2012 apart from Mehedinti, Pleven and only in terms of arrivals for Giurgiu. The overnights decreased everywhere with bigger variations between the counties and from year to year: if Mehedinti sees continued decrease of overnight numbers, the decrease is not as dramatic as in the case of Dolj where they have been divided in two in 2009 versus 2008 but managed to overpass the 2008 figures in 2012. This high volatility and variability of overnights spent, in the case of some counties/districts indicate a tourism economy that is not stable and is highly dependent on business travel that in turn is very volatile according to the evolution of the economy. The low volatility, on the other hand, of other counties/districts, such as Giurgiu, Pleven and Silistra, is due mainly to their low overall accommodation capacity and tourism intensity. </w:t>
      </w:r>
    </w:p>
    <w:p w14:paraId="60A52F0F" w14:textId="77777777" w:rsidR="009549CE" w:rsidRPr="006645DC" w:rsidRDefault="009549CE" w:rsidP="009549CE">
      <w:pPr>
        <w:rPr>
          <w:lang w:val="en-GB"/>
        </w:rPr>
      </w:pPr>
      <w:r w:rsidRPr="006645DC">
        <w:rPr>
          <w:lang w:val="en-GB"/>
        </w:rPr>
        <w:t xml:space="preserve">The dominance of the business and transit tourism in the overall accommodated flows is more visible on the chart presenting the average stay duration. The overall decrease trend from already low values, in many counties/districts, indicates the importance of business trips that span 2-3 overnights. The higher average stay of Constanta and Dobrich are obviously due to the importance of seaside tourism with longer stays. </w:t>
      </w:r>
    </w:p>
    <w:p w14:paraId="3C0B31D5" w14:textId="77777777" w:rsidR="009549CE" w:rsidRPr="006645DC" w:rsidRDefault="00AA4C82" w:rsidP="009549CE">
      <w:pPr>
        <w:jc w:val="center"/>
        <w:rPr>
          <w:lang w:val="en-GB" w:eastAsia="ro-RO"/>
        </w:rPr>
      </w:pPr>
      <w:r w:rsidRPr="006645DC">
        <w:rPr>
          <w:noProof/>
          <w:lang w:val="bg-BG" w:eastAsia="bg-BG"/>
        </w:rPr>
        <w:drawing>
          <wp:inline distT="0" distB="0" distL="0" distR="0" wp14:anchorId="2B938C61" wp14:editId="42EE3EED">
            <wp:extent cx="5498275" cy="3479470"/>
            <wp:effectExtent l="0" t="0" r="26670" b="26035"/>
            <wp:docPr id="30" name="Chart 1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14839AFD" w14:textId="77777777" w:rsidR="004B60BC" w:rsidRPr="006645DC" w:rsidRDefault="004B60BC" w:rsidP="004B60BC">
      <w:pPr>
        <w:pStyle w:val="Caption"/>
        <w:rPr>
          <w:lang w:val="en-GB"/>
        </w:rPr>
      </w:pPr>
      <w:bookmarkStart w:id="92" w:name="_Toc391150073"/>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24</w:t>
      </w:r>
      <w:r w:rsidR="005979EB" w:rsidRPr="006645DC">
        <w:rPr>
          <w:lang w:val="en-GB"/>
        </w:rPr>
        <w:fldChar w:fldCharType="end"/>
      </w:r>
      <w:r w:rsidRPr="006645DC">
        <w:rPr>
          <w:lang w:val="en-GB"/>
        </w:rPr>
        <w:t xml:space="preserve"> - The average stay in the cross-border area</w:t>
      </w:r>
      <w:bookmarkEnd w:id="92"/>
    </w:p>
    <w:p w14:paraId="05F53B76" w14:textId="77777777" w:rsidR="00D515FC" w:rsidRPr="006645DC" w:rsidRDefault="00D515FC" w:rsidP="00D515FC">
      <w:pPr>
        <w:spacing w:before="0" w:after="0"/>
        <w:jc w:val="right"/>
        <w:rPr>
          <w:bCs/>
          <w:i/>
          <w:iCs/>
          <w:sz w:val="18"/>
          <w:lang w:val="en-GB" w:eastAsia="ro-RO"/>
        </w:rPr>
      </w:pPr>
      <w:r w:rsidRPr="006645DC">
        <w:rPr>
          <w:bCs/>
          <w:i/>
          <w:iCs/>
          <w:sz w:val="18"/>
          <w:lang w:val="en-GB" w:eastAsia="ro-RO"/>
        </w:rPr>
        <w:t>Source:INS, NSI</w:t>
      </w:r>
    </w:p>
    <w:p w14:paraId="2D037E6B" w14:textId="77777777" w:rsidR="009549CE" w:rsidRPr="006645DC" w:rsidRDefault="009549CE" w:rsidP="009549CE">
      <w:pPr>
        <w:rPr>
          <w:snapToGrid w:val="0"/>
          <w:lang w:val="en-GB" w:eastAsia="ro-RO"/>
        </w:rPr>
      </w:pPr>
      <w:r w:rsidRPr="006645DC">
        <w:rPr>
          <w:snapToGrid w:val="0"/>
          <w:lang w:val="en-GB" w:eastAsia="ro-RO"/>
        </w:rPr>
        <w:lastRenderedPageBreak/>
        <w:t xml:space="preserve">The seasonality together with the average stay are some of the key indicators that show the tourism-intensity of a territory and its socio-economic development capacity (i.e. capacity to be a source of stable revenue for a critical mass of residents in either directly tourism linked sectors or indirectly induced through tourists’ spending). </w:t>
      </w:r>
    </w:p>
    <w:p w14:paraId="7A15A496" w14:textId="77777777" w:rsidR="009549CE" w:rsidRPr="006645DC" w:rsidRDefault="009549CE" w:rsidP="009549CE">
      <w:pPr>
        <w:rPr>
          <w:snapToGrid w:val="0"/>
          <w:lang w:val="en-GB" w:eastAsia="ro-RO"/>
        </w:rPr>
      </w:pPr>
      <w:r w:rsidRPr="006645DC">
        <w:rPr>
          <w:snapToGrid w:val="0"/>
          <w:lang w:val="en-GB" w:eastAsia="ro-RO"/>
        </w:rPr>
        <w:t>The charts below indicate the seasonality pattern of the counties. This pattern, no matter the absolute values of tourist flows at which it occurs, is very problematic for the tourism industry and for  its economic impact on the territory, as the unstable character of tourism revenues dissuades the territory from engaging in further tourism development and carries a risk of unsustainability for the tourism economy. Constanta and Dobrich as seaside resort tourism destinations have also a split seasonality with very high peaks during the summer (July and August) and almost no tourism during the winter, late autumn and early spring.</w:t>
      </w:r>
    </w:p>
    <w:p w14:paraId="2B5806E7" w14:textId="77777777" w:rsidR="009549CE" w:rsidRPr="006645DC" w:rsidRDefault="009549CE" w:rsidP="009549CE">
      <w:pPr>
        <w:rPr>
          <w:snapToGrid w:val="0"/>
          <w:lang w:val="en-GB" w:eastAsia="ro-RO"/>
        </w:rPr>
      </w:pPr>
      <w:r w:rsidRPr="006645DC">
        <w:rPr>
          <w:snapToGrid w:val="0"/>
          <w:lang w:val="en-GB" w:eastAsia="ro-RO"/>
        </w:rPr>
        <w:t xml:space="preserve">The business-tourism-dominated pattern that emphasizes the late spring, early summer and early autumn, when accessibility is higher than in winter and when the business is more intense than the summer, is also present in many counties/districts such as Ruse, Pleven, Vidin, Silistra, Vratsa and Dolj. This pattern is also reinforced by some territories being short-break destinations for the periods between the summer and winter high seasons, week-end breaks in the mountains or natural environment. Having this in mind we can conclude that, in the case of this type of pattern, the Bulgarian area is more a leisure short-break tourism area while the Romanian area is more a business-tourism area. </w:t>
      </w:r>
    </w:p>
    <w:p w14:paraId="6B0DA1DC" w14:textId="0F8B4CDD" w:rsidR="00D515FC" w:rsidRPr="006645DC" w:rsidRDefault="009549CE" w:rsidP="009549CE">
      <w:pPr>
        <w:rPr>
          <w:snapToGrid w:val="0"/>
          <w:lang w:val="en-GB" w:eastAsia="ro-RO"/>
        </w:rPr>
      </w:pPr>
      <w:r w:rsidRPr="006645DC">
        <w:rPr>
          <w:snapToGrid w:val="0"/>
          <w:lang w:val="en-GB" w:eastAsia="ro-RO"/>
        </w:rPr>
        <w:t xml:space="preserve">The very low intensity tourism counties like Calarasi and Teleorman have no clear seasonality and urgently need measures to increase their tourism attractiveness and accommodation capacity. </w:t>
      </w:r>
    </w:p>
    <w:p w14:paraId="21081E95" w14:textId="0F8B4CDD" w:rsidR="00D515FC" w:rsidRPr="00D515FC" w:rsidRDefault="00D515FC" w:rsidP="00D515FC">
      <w:pPr>
        <w:jc w:val="center"/>
        <w:rPr>
          <w:rFonts w:ascii="Trebuchet MS" w:eastAsia="Times New Roman" w:hAnsi="Trebuchet MS" w:cs="Arial"/>
          <w:iCs/>
          <w:lang w:val="en-GB" w:eastAsia="bg-BG"/>
        </w:rPr>
      </w:pPr>
      <w:r w:rsidRPr="00D515FC">
        <w:rPr>
          <w:rFonts w:ascii="Trebuchet MS" w:eastAsia="Times New Roman" w:hAnsi="Trebuchet MS" w:cs="Arial"/>
          <w:noProof/>
          <w:lang w:val="bg-BG" w:eastAsia="bg-BG"/>
        </w:rPr>
        <w:drawing>
          <wp:inline distT="0" distB="0" distL="0" distR="0" wp14:anchorId="74B2FEE4" wp14:editId="5BF1E4F6">
            <wp:extent cx="5498275" cy="2553195"/>
            <wp:effectExtent l="0" t="0" r="26670" b="19050"/>
            <wp:docPr id="4" name="Chart 2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4F89FB17" w14:textId="77777777" w:rsidR="00D515FC" w:rsidRPr="00D515FC" w:rsidRDefault="00D515FC" w:rsidP="00D515FC">
      <w:pPr>
        <w:spacing w:before="0" w:after="0"/>
        <w:jc w:val="center"/>
        <w:rPr>
          <w:rFonts w:eastAsia="Times New Roman" w:cs="Calibri"/>
          <w:i/>
          <w:iCs/>
          <w:snapToGrid w:val="0"/>
          <w:color w:val="0070C0"/>
          <w:sz w:val="20"/>
          <w:szCs w:val="24"/>
          <w:lang w:val="en-GB" w:eastAsia="ro-RO"/>
        </w:rPr>
      </w:pPr>
      <w:bookmarkStart w:id="93" w:name="_Toc391150074"/>
      <w:r w:rsidRPr="00D515FC">
        <w:rPr>
          <w:rFonts w:eastAsia="Times New Roman" w:cs="Calibri"/>
          <w:i/>
          <w:iCs/>
          <w:snapToGrid w:val="0"/>
          <w:color w:val="0070C0"/>
          <w:sz w:val="20"/>
          <w:szCs w:val="24"/>
          <w:lang w:val="en-GB" w:eastAsia="ro-RO"/>
        </w:rPr>
        <w:t xml:space="preserve">Fig. </w:t>
      </w:r>
      <w:r w:rsidRPr="00D515FC">
        <w:rPr>
          <w:rFonts w:eastAsia="Times New Roman" w:cs="Calibri"/>
          <w:i/>
          <w:iCs/>
          <w:snapToGrid w:val="0"/>
          <w:color w:val="0070C0"/>
          <w:sz w:val="20"/>
          <w:szCs w:val="24"/>
          <w:lang w:val="en-GB" w:eastAsia="ro-RO"/>
        </w:rPr>
        <w:fldChar w:fldCharType="begin"/>
      </w:r>
      <w:r w:rsidRPr="00D515FC">
        <w:rPr>
          <w:rFonts w:eastAsia="Times New Roman" w:cs="Calibri"/>
          <w:i/>
          <w:iCs/>
          <w:snapToGrid w:val="0"/>
          <w:color w:val="0070C0"/>
          <w:sz w:val="20"/>
          <w:szCs w:val="24"/>
          <w:lang w:val="en-GB" w:eastAsia="ro-RO"/>
        </w:rPr>
        <w:instrText xml:space="preserve"> SEQ Fig. \* ARABIC </w:instrText>
      </w:r>
      <w:r w:rsidRPr="00D515FC">
        <w:rPr>
          <w:rFonts w:eastAsia="Times New Roman" w:cs="Calibri"/>
          <w:i/>
          <w:iCs/>
          <w:snapToGrid w:val="0"/>
          <w:color w:val="0070C0"/>
          <w:sz w:val="20"/>
          <w:szCs w:val="24"/>
          <w:lang w:val="en-GB" w:eastAsia="ro-RO"/>
        </w:rPr>
        <w:fldChar w:fldCharType="separate"/>
      </w:r>
      <w:r w:rsidR="00523DE6">
        <w:rPr>
          <w:rFonts w:eastAsia="Times New Roman" w:cs="Calibri"/>
          <w:i/>
          <w:iCs/>
          <w:noProof/>
          <w:snapToGrid w:val="0"/>
          <w:color w:val="0070C0"/>
          <w:sz w:val="20"/>
          <w:szCs w:val="24"/>
          <w:lang w:val="en-GB" w:eastAsia="ro-RO"/>
        </w:rPr>
        <w:t>25</w:t>
      </w:r>
      <w:r w:rsidRPr="00D515FC">
        <w:rPr>
          <w:rFonts w:eastAsia="Times New Roman" w:cs="Calibri"/>
          <w:i/>
          <w:iCs/>
          <w:snapToGrid w:val="0"/>
          <w:color w:val="0070C0"/>
          <w:sz w:val="20"/>
          <w:szCs w:val="24"/>
          <w:lang w:val="en-GB" w:eastAsia="ro-RO"/>
        </w:rPr>
        <w:fldChar w:fldCharType="end"/>
      </w:r>
      <w:r w:rsidRPr="00D515FC">
        <w:rPr>
          <w:rFonts w:eastAsia="Times New Roman" w:cs="Calibri"/>
          <w:i/>
          <w:iCs/>
          <w:snapToGrid w:val="0"/>
          <w:color w:val="0070C0"/>
          <w:sz w:val="20"/>
          <w:szCs w:val="24"/>
          <w:lang w:val="en-GB" w:eastAsia="ro-RO"/>
        </w:rPr>
        <w:t xml:space="preserve"> - Sesonality by arrivals in the sea-side area of the cross-border region</w:t>
      </w:r>
      <w:bookmarkEnd w:id="93"/>
    </w:p>
    <w:p w14:paraId="7B728DB3" w14:textId="77777777" w:rsidR="00D515FC" w:rsidRPr="00D515FC" w:rsidRDefault="00D515FC" w:rsidP="00D515FC">
      <w:pPr>
        <w:keepNext/>
        <w:keepLines/>
        <w:spacing w:before="0" w:after="0"/>
        <w:jc w:val="right"/>
        <w:outlineLvl w:val="3"/>
        <w:rPr>
          <w:rFonts w:eastAsia="Times New Roman"/>
          <w:bCs/>
          <w:i/>
          <w:iCs/>
          <w:sz w:val="18"/>
          <w:lang w:val="en-GB" w:eastAsia="ro-RO"/>
        </w:rPr>
      </w:pPr>
      <w:r w:rsidRPr="00D515FC">
        <w:rPr>
          <w:rFonts w:eastAsia="Times New Roman"/>
          <w:bCs/>
          <w:i/>
          <w:iCs/>
          <w:sz w:val="18"/>
          <w:lang w:val="en-GB" w:eastAsia="ro-RO"/>
        </w:rPr>
        <w:t xml:space="preserve"> Source: INS, NSI</w:t>
      </w:r>
    </w:p>
    <w:p w14:paraId="6E1086B6" w14:textId="77777777" w:rsidR="009549CE" w:rsidRPr="006645DC" w:rsidRDefault="009549CE" w:rsidP="00D515FC">
      <w:pPr>
        <w:rPr>
          <w:lang w:val="en-GB" w:eastAsia="ro-RO"/>
        </w:rPr>
      </w:pPr>
    </w:p>
    <w:p w14:paraId="05075BE1" w14:textId="77777777" w:rsidR="009549CE" w:rsidRPr="006645DC" w:rsidRDefault="00AA4C82" w:rsidP="009549CE">
      <w:pPr>
        <w:jc w:val="center"/>
        <w:rPr>
          <w:lang w:val="en-GB" w:eastAsia="ro-RO"/>
        </w:rPr>
      </w:pPr>
      <w:r w:rsidRPr="006645DC">
        <w:rPr>
          <w:noProof/>
          <w:lang w:val="bg-BG" w:eastAsia="bg-BG"/>
        </w:rPr>
        <w:lastRenderedPageBreak/>
        <w:drawing>
          <wp:inline distT="0" distB="0" distL="0" distR="0" wp14:anchorId="1CA4E28E" wp14:editId="7C9419EE">
            <wp:extent cx="5495925" cy="4495800"/>
            <wp:effectExtent l="0" t="0" r="0" b="0"/>
            <wp:docPr id="31"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065C6A09" w14:textId="77777777" w:rsidR="004B60BC" w:rsidRPr="006645DC" w:rsidRDefault="004B60BC" w:rsidP="004B60BC">
      <w:pPr>
        <w:pStyle w:val="Caption"/>
        <w:rPr>
          <w:lang w:val="en-GB"/>
        </w:rPr>
      </w:pPr>
      <w:bookmarkStart w:id="94" w:name="_Toc391150075"/>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26</w:t>
      </w:r>
      <w:r w:rsidR="005979EB" w:rsidRPr="006645DC">
        <w:rPr>
          <w:lang w:val="en-GB"/>
        </w:rPr>
        <w:fldChar w:fldCharType="end"/>
      </w:r>
      <w:r w:rsidRPr="006645DC">
        <w:rPr>
          <w:lang w:val="en-GB"/>
        </w:rPr>
        <w:t xml:space="preserve"> - Seasonality by arrivals in the cross-border area, 2012</w:t>
      </w:r>
      <w:bookmarkEnd w:id="94"/>
    </w:p>
    <w:p w14:paraId="67388667" w14:textId="58C83263" w:rsidR="004B60BC" w:rsidRPr="006645DC" w:rsidRDefault="004B60BC" w:rsidP="00D515FC">
      <w:pPr>
        <w:pStyle w:val="Heading4"/>
        <w:rPr>
          <w:lang w:val="en-GB" w:eastAsia="ro-RO"/>
        </w:rPr>
      </w:pPr>
      <w:r w:rsidRPr="006645DC">
        <w:rPr>
          <w:lang w:val="en-GB" w:eastAsia="ro-RO"/>
        </w:rPr>
        <w:t>Source:</w:t>
      </w:r>
      <w:r w:rsidR="00063294" w:rsidRPr="006645DC">
        <w:rPr>
          <w:lang w:val="en-GB" w:eastAsia="ro-RO"/>
        </w:rPr>
        <w:t xml:space="preserve"> INS, NSI</w:t>
      </w:r>
    </w:p>
    <w:p w14:paraId="78ECDCBE" w14:textId="77777777" w:rsidR="00845BAE" w:rsidRPr="006645DC" w:rsidRDefault="00845BAE" w:rsidP="00845BAE">
      <w:pPr>
        <w:rPr>
          <w:lang w:val="en-GB" w:eastAsia="ro-RO"/>
        </w:rPr>
      </w:pPr>
    </w:p>
    <w:p w14:paraId="7E890544" w14:textId="77777777" w:rsidR="009549CE" w:rsidRPr="006645DC" w:rsidRDefault="009549CE" w:rsidP="009549CE">
      <w:pPr>
        <w:pStyle w:val="Heading2"/>
        <w:rPr>
          <w:lang w:val="en-GB"/>
        </w:rPr>
      </w:pPr>
      <w:bookmarkStart w:id="95" w:name="_Toc373340825"/>
      <w:bookmarkStart w:id="96" w:name="_Toc376198441"/>
      <w:bookmarkStart w:id="97" w:name="_Toc254543759"/>
      <w:bookmarkStart w:id="98" w:name="_Toc391150164"/>
      <w:r w:rsidRPr="006645DC">
        <w:rPr>
          <w:lang w:val="en-GB"/>
        </w:rPr>
        <w:t>Business environment perception</w:t>
      </w:r>
      <w:r w:rsidRPr="006645DC">
        <w:rPr>
          <w:rStyle w:val="FootnoteReference"/>
          <w:b w:val="0"/>
          <w:lang w:val="en-GB"/>
        </w:rPr>
        <w:footnoteReference w:id="9"/>
      </w:r>
      <w:bookmarkEnd w:id="95"/>
      <w:bookmarkEnd w:id="96"/>
      <w:bookmarkEnd w:id="97"/>
      <w:bookmarkEnd w:id="98"/>
    </w:p>
    <w:p w14:paraId="699BF876" w14:textId="77777777" w:rsidR="009549CE" w:rsidRPr="006645DC" w:rsidRDefault="009549CE" w:rsidP="009549CE">
      <w:pPr>
        <w:rPr>
          <w:lang w:val="en-GB"/>
        </w:rPr>
      </w:pPr>
      <w:r w:rsidRPr="006645DC">
        <w:rPr>
          <w:lang w:val="en-GB"/>
        </w:rPr>
        <w:t xml:space="preserve">The overall evolution of the business environment throughout 2011 was considered by Romanian and Bulgarian entrepreneurs: </w:t>
      </w:r>
    </w:p>
    <w:p w14:paraId="1F97C353" w14:textId="77777777" w:rsidR="009549CE" w:rsidRPr="006645DC" w:rsidRDefault="009549CE" w:rsidP="004B60BC">
      <w:pPr>
        <w:pStyle w:val="ListParagraph"/>
        <w:rPr>
          <w:lang w:val="en-GB"/>
        </w:rPr>
      </w:pPr>
      <w:r w:rsidRPr="006645DC">
        <w:rPr>
          <w:lang w:val="en-GB"/>
        </w:rPr>
        <w:t xml:space="preserve">as hindering development for 49.39% of them, </w:t>
      </w:r>
    </w:p>
    <w:p w14:paraId="1C2D15AE" w14:textId="77777777" w:rsidR="009549CE" w:rsidRPr="006645DC" w:rsidRDefault="009549CE" w:rsidP="004B60BC">
      <w:pPr>
        <w:pStyle w:val="ListParagraph"/>
        <w:rPr>
          <w:lang w:val="en-GB"/>
        </w:rPr>
      </w:pPr>
      <w:r w:rsidRPr="006645DC">
        <w:rPr>
          <w:lang w:val="en-GB"/>
        </w:rPr>
        <w:lastRenderedPageBreak/>
        <w:t xml:space="preserve">as neutral for 35.06% </w:t>
      </w:r>
    </w:p>
    <w:p w14:paraId="08A5757A" w14:textId="77777777" w:rsidR="009549CE" w:rsidRPr="006645DC" w:rsidRDefault="009549CE" w:rsidP="004B60BC">
      <w:pPr>
        <w:pStyle w:val="ListParagraph"/>
        <w:rPr>
          <w:lang w:val="en-GB"/>
        </w:rPr>
      </w:pPr>
      <w:r w:rsidRPr="006645DC">
        <w:rPr>
          <w:lang w:val="en-GB"/>
        </w:rPr>
        <w:t xml:space="preserve">and favourable for business for 15.5% </w:t>
      </w:r>
    </w:p>
    <w:p w14:paraId="4E9884D0" w14:textId="77777777" w:rsidR="009549CE" w:rsidRPr="006645DC" w:rsidRDefault="009549CE" w:rsidP="009549CE">
      <w:pPr>
        <w:rPr>
          <w:lang w:val="en-GB"/>
        </w:rPr>
      </w:pPr>
      <w:r w:rsidRPr="006645DC">
        <w:rPr>
          <w:lang w:val="en-GB"/>
        </w:rPr>
        <w:t>Nearly half of the entrepreneurs are not happy with the environment where they carry out their activity, situation that is mainly due to the international economic crisis started at the end of 2008.</w:t>
      </w:r>
    </w:p>
    <w:p w14:paraId="4C2C01F1" w14:textId="77777777" w:rsidR="009549CE" w:rsidRPr="006645DC" w:rsidRDefault="009549CE" w:rsidP="009549CE">
      <w:pPr>
        <w:rPr>
          <w:lang w:val="en-GB"/>
        </w:rPr>
      </w:pPr>
      <w:r w:rsidRPr="006645DC">
        <w:rPr>
          <w:lang w:val="en-GB"/>
        </w:rPr>
        <w:t xml:space="preserve">Romanian and Bulgarian entrepreneurs/managers that participated in the survey have shown that their main difficulties are: </w:t>
      </w:r>
      <w:r w:rsidRPr="006645DC">
        <w:rPr>
          <w:b/>
          <w:lang w:val="en-GB"/>
        </w:rPr>
        <w:t xml:space="preserve">decrease of internal demand </w:t>
      </w:r>
      <w:r w:rsidRPr="006645DC">
        <w:rPr>
          <w:lang w:val="en-GB"/>
        </w:rPr>
        <w:t xml:space="preserve">(noted in 55.13% of SME-s), </w:t>
      </w:r>
      <w:r w:rsidRPr="006645DC">
        <w:rPr>
          <w:b/>
          <w:lang w:val="en-GB"/>
        </w:rPr>
        <w:t xml:space="preserve">excessive taxing </w:t>
      </w:r>
      <w:r w:rsidRPr="006645DC">
        <w:rPr>
          <w:lang w:val="en-GB"/>
        </w:rPr>
        <w:t xml:space="preserve">(35.08%), </w:t>
      </w:r>
      <w:r w:rsidRPr="006645DC">
        <w:rPr>
          <w:b/>
          <w:lang w:val="en-GB"/>
        </w:rPr>
        <w:t xml:space="preserve">bureaucracy </w:t>
      </w:r>
      <w:r w:rsidRPr="006645DC">
        <w:rPr>
          <w:lang w:val="en-GB"/>
        </w:rPr>
        <w:t xml:space="preserve">(33.17%), </w:t>
      </w:r>
      <w:r w:rsidRPr="006645DC">
        <w:rPr>
          <w:b/>
          <w:lang w:val="en-GB"/>
        </w:rPr>
        <w:t>inflation</w:t>
      </w:r>
      <w:r w:rsidRPr="006645DC">
        <w:rPr>
          <w:lang w:val="en-GB"/>
        </w:rPr>
        <w:t xml:space="preserve"> (32.94%), </w:t>
      </w:r>
      <w:r w:rsidRPr="006645DC">
        <w:rPr>
          <w:b/>
          <w:lang w:val="en-GB"/>
        </w:rPr>
        <w:t xml:space="preserve">high cost of loans </w:t>
      </w:r>
      <w:r w:rsidRPr="006645DC">
        <w:rPr>
          <w:lang w:val="en-GB"/>
        </w:rPr>
        <w:t xml:space="preserve">(32.46%), </w:t>
      </w:r>
      <w:r w:rsidRPr="006645DC">
        <w:rPr>
          <w:b/>
          <w:lang w:val="en-GB"/>
        </w:rPr>
        <w:t xml:space="preserve">excessive controls </w:t>
      </w:r>
      <w:r w:rsidRPr="006645DC">
        <w:rPr>
          <w:lang w:val="en-GB"/>
        </w:rPr>
        <w:t xml:space="preserve">(25.30%), </w:t>
      </w:r>
      <w:r w:rsidRPr="006645DC">
        <w:rPr>
          <w:b/>
          <w:lang w:val="en-GB"/>
        </w:rPr>
        <w:t xml:space="preserve">delays at receiving payments of invoices from private companies </w:t>
      </w:r>
      <w:r w:rsidRPr="006645DC">
        <w:rPr>
          <w:lang w:val="en-GB"/>
        </w:rPr>
        <w:t xml:space="preserve">(20.76%), </w:t>
      </w:r>
      <w:r w:rsidRPr="006645DC">
        <w:rPr>
          <w:b/>
          <w:lang w:val="en-GB"/>
        </w:rPr>
        <w:t xml:space="preserve">competition of imported goods </w:t>
      </w:r>
      <w:r w:rsidRPr="006645DC">
        <w:rPr>
          <w:lang w:val="en-GB"/>
        </w:rPr>
        <w:t xml:space="preserve">(20.05%), </w:t>
      </w:r>
      <w:r w:rsidRPr="006645DC">
        <w:rPr>
          <w:b/>
          <w:lang w:val="en-GB"/>
        </w:rPr>
        <w:t xml:space="preserve">difficult access to loans </w:t>
      </w:r>
      <w:r w:rsidRPr="006645DC">
        <w:rPr>
          <w:lang w:val="en-GB"/>
        </w:rPr>
        <w:t xml:space="preserve">(17.42%), </w:t>
      </w:r>
      <w:r w:rsidRPr="006645DC">
        <w:rPr>
          <w:b/>
          <w:lang w:val="en-GB"/>
        </w:rPr>
        <w:t>corruption</w:t>
      </w:r>
      <w:r w:rsidRPr="006645DC">
        <w:rPr>
          <w:lang w:val="en-GB"/>
        </w:rPr>
        <w:t xml:space="preserve"> (16.71%), </w:t>
      </w:r>
      <w:r w:rsidRPr="006645DC">
        <w:rPr>
          <w:b/>
          <w:lang w:val="en-GB"/>
        </w:rPr>
        <w:t>personnel hiring, training, and retention</w:t>
      </w:r>
      <w:r w:rsidRPr="006645DC">
        <w:rPr>
          <w:lang w:val="en-GB"/>
        </w:rPr>
        <w:t xml:space="preserve"> (16.23%), </w:t>
      </w:r>
      <w:r w:rsidRPr="006645DC">
        <w:rPr>
          <w:b/>
          <w:lang w:val="en-GB"/>
        </w:rPr>
        <w:t xml:space="preserve">unpaid invoices by state institutions </w:t>
      </w:r>
      <w:r w:rsidRPr="006645DC">
        <w:rPr>
          <w:lang w:val="en-GB"/>
        </w:rPr>
        <w:t xml:space="preserve">(14.80%), </w:t>
      </w:r>
      <w:r w:rsidRPr="006645DC">
        <w:rPr>
          <w:b/>
          <w:lang w:val="en-GB"/>
        </w:rPr>
        <w:t>relative instability of the national currency</w:t>
      </w:r>
      <w:r w:rsidRPr="006645DC">
        <w:rPr>
          <w:rStyle w:val="FootnoteReference"/>
          <w:rFonts w:ascii="Arial,Bold" w:eastAsia="Arial,Bold"/>
          <w:b/>
          <w:sz w:val="24"/>
          <w:szCs w:val="24"/>
          <w:lang w:val="en-GB"/>
        </w:rPr>
        <w:footnoteReference w:id="10"/>
      </w:r>
      <w:r w:rsidRPr="006645DC">
        <w:rPr>
          <w:lang w:val="en-GB"/>
        </w:rPr>
        <w:t xml:space="preserve">(14.08%), </w:t>
      </w:r>
      <w:r w:rsidRPr="006645DC">
        <w:rPr>
          <w:b/>
          <w:lang w:val="en-GB"/>
        </w:rPr>
        <w:t xml:space="preserve">increase of payroll expenses </w:t>
      </w:r>
      <w:r w:rsidRPr="006645DC">
        <w:rPr>
          <w:lang w:val="en-GB"/>
        </w:rPr>
        <w:t xml:space="preserve">(12.17%), </w:t>
      </w:r>
      <w:r w:rsidRPr="006645DC">
        <w:rPr>
          <w:b/>
          <w:lang w:val="en-GB"/>
        </w:rPr>
        <w:t xml:space="preserve">decrease of export demand </w:t>
      </w:r>
      <w:r w:rsidRPr="006645DC">
        <w:rPr>
          <w:lang w:val="en-GB"/>
        </w:rPr>
        <w:t xml:space="preserve">(9.07%), </w:t>
      </w:r>
      <w:r w:rsidRPr="006645DC">
        <w:rPr>
          <w:b/>
          <w:lang w:val="en-GB"/>
        </w:rPr>
        <w:t xml:space="preserve">poor quality of infrastructure </w:t>
      </w:r>
      <w:r w:rsidRPr="006645DC">
        <w:rPr>
          <w:lang w:val="en-GB"/>
        </w:rPr>
        <w:t xml:space="preserve">(7.88%) etc. </w:t>
      </w:r>
    </w:p>
    <w:p w14:paraId="4F536759" w14:textId="77777777" w:rsidR="009549CE" w:rsidRPr="006645DC" w:rsidRDefault="009549CE" w:rsidP="009549CE">
      <w:pPr>
        <w:pStyle w:val="BodyText"/>
        <w:tabs>
          <w:tab w:val="left" w:pos="990"/>
        </w:tabs>
        <w:rPr>
          <w:rFonts w:ascii="Calibri" w:hAnsi="Calibri" w:cs="Times New Roman"/>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80"/>
        <w:gridCol w:w="4738"/>
        <w:gridCol w:w="1556"/>
        <w:gridCol w:w="2314"/>
      </w:tblGrid>
      <w:tr w:rsidR="009549CE" w:rsidRPr="006645DC" w14:paraId="4AFD6D17" w14:textId="77777777" w:rsidTr="00393EB7">
        <w:trPr>
          <w:jc w:val="center"/>
        </w:trPr>
        <w:tc>
          <w:tcPr>
            <w:tcW w:w="680" w:type="dxa"/>
            <w:shd w:val="clear" w:color="auto" w:fill="BFBFBF"/>
            <w:vAlign w:val="center"/>
          </w:tcPr>
          <w:p w14:paraId="4DB09148" w14:textId="77777777" w:rsidR="009549CE" w:rsidRPr="006645DC" w:rsidRDefault="009549CE" w:rsidP="009549CE">
            <w:pPr>
              <w:autoSpaceDE w:val="0"/>
              <w:autoSpaceDN w:val="0"/>
              <w:adjustRightInd w:val="0"/>
              <w:spacing w:before="0" w:after="0"/>
              <w:jc w:val="center"/>
              <w:rPr>
                <w:lang w:val="en-GB"/>
              </w:rPr>
            </w:pPr>
            <w:r w:rsidRPr="006645DC">
              <w:rPr>
                <w:b/>
                <w:lang w:val="en-GB"/>
              </w:rPr>
              <w:t>Item No.</w:t>
            </w:r>
          </w:p>
        </w:tc>
        <w:tc>
          <w:tcPr>
            <w:tcW w:w="4738" w:type="dxa"/>
            <w:shd w:val="clear" w:color="auto" w:fill="BFBFBF"/>
            <w:vAlign w:val="center"/>
          </w:tcPr>
          <w:p w14:paraId="09C249BB" w14:textId="77777777" w:rsidR="009549CE" w:rsidRPr="006645DC" w:rsidRDefault="009549CE" w:rsidP="009549CE">
            <w:pPr>
              <w:autoSpaceDE w:val="0"/>
              <w:autoSpaceDN w:val="0"/>
              <w:adjustRightInd w:val="0"/>
              <w:spacing w:before="0" w:after="0"/>
              <w:jc w:val="center"/>
              <w:rPr>
                <w:b/>
                <w:lang w:val="en-GB"/>
              </w:rPr>
            </w:pPr>
            <w:r w:rsidRPr="006645DC">
              <w:rPr>
                <w:b/>
                <w:lang w:val="en-GB"/>
              </w:rPr>
              <w:t>Dynamics of companies’ activity</w:t>
            </w:r>
          </w:p>
          <w:p w14:paraId="7D9344DA" w14:textId="77777777" w:rsidR="009549CE" w:rsidRPr="006645DC" w:rsidRDefault="009549CE" w:rsidP="009549CE">
            <w:pPr>
              <w:autoSpaceDE w:val="0"/>
              <w:autoSpaceDN w:val="0"/>
              <w:adjustRightInd w:val="0"/>
              <w:spacing w:before="0" w:after="0"/>
              <w:jc w:val="center"/>
              <w:rPr>
                <w:lang w:val="en-GB"/>
              </w:rPr>
            </w:pPr>
            <w:r w:rsidRPr="006645DC">
              <w:rPr>
                <w:b/>
                <w:lang w:val="en-GB"/>
              </w:rPr>
              <w:t>between 2009-2011</w:t>
            </w:r>
          </w:p>
        </w:tc>
        <w:tc>
          <w:tcPr>
            <w:tcW w:w="1556" w:type="dxa"/>
            <w:shd w:val="clear" w:color="auto" w:fill="BFBFBF"/>
            <w:vAlign w:val="center"/>
          </w:tcPr>
          <w:p w14:paraId="15C548B2" w14:textId="77777777" w:rsidR="009549CE" w:rsidRPr="006645DC" w:rsidRDefault="009549CE" w:rsidP="009549CE">
            <w:pPr>
              <w:pStyle w:val="BodyText"/>
              <w:tabs>
                <w:tab w:val="left" w:pos="990"/>
              </w:tabs>
              <w:jc w:val="center"/>
              <w:rPr>
                <w:rFonts w:cs="Times New Roman"/>
                <w:sz w:val="22"/>
                <w:szCs w:val="22"/>
                <w:lang w:val="en-GB"/>
              </w:rPr>
            </w:pPr>
            <w:r w:rsidRPr="006645DC">
              <w:rPr>
                <w:rFonts w:ascii="Calibri" w:hAnsi="Calibri" w:cs="Times New Roman"/>
                <w:b/>
                <w:sz w:val="22"/>
                <w:szCs w:val="22"/>
                <w:lang w:val="en-GB"/>
              </w:rPr>
              <w:t>Romania</w:t>
            </w:r>
          </w:p>
        </w:tc>
        <w:tc>
          <w:tcPr>
            <w:tcW w:w="2314" w:type="dxa"/>
            <w:shd w:val="clear" w:color="auto" w:fill="BFBFBF"/>
            <w:vAlign w:val="center"/>
          </w:tcPr>
          <w:p w14:paraId="4C82A4E9" w14:textId="77777777" w:rsidR="009549CE" w:rsidRPr="006645DC" w:rsidRDefault="009549CE" w:rsidP="009549CE">
            <w:pPr>
              <w:autoSpaceDE w:val="0"/>
              <w:autoSpaceDN w:val="0"/>
              <w:adjustRightInd w:val="0"/>
              <w:spacing w:before="0" w:after="0"/>
              <w:jc w:val="center"/>
              <w:rPr>
                <w:b/>
                <w:lang w:val="en-GB"/>
              </w:rPr>
            </w:pPr>
            <w:r w:rsidRPr="006645DC">
              <w:rPr>
                <w:b/>
                <w:lang w:val="en-GB"/>
              </w:rPr>
              <w:t>Bulgaria</w:t>
            </w:r>
          </w:p>
        </w:tc>
      </w:tr>
      <w:tr w:rsidR="009549CE" w:rsidRPr="006645DC" w14:paraId="3D03CF13" w14:textId="77777777" w:rsidTr="009549CE">
        <w:trPr>
          <w:jc w:val="center"/>
        </w:trPr>
        <w:tc>
          <w:tcPr>
            <w:tcW w:w="680" w:type="dxa"/>
            <w:vAlign w:val="center"/>
          </w:tcPr>
          <w:p w14:paraId="774EDB27" w14:textId="77777777" w:rsidR="009549CE" w:rsidRPr="006645DC" w:rsidRDefault="009549CE" w:rsidP="009549CE">
            <w:pPr>
              <w:pStyle w:val="BodyText"/>
              <w:tabs>
                <w:tab w:val="left" w:pos="990"/>
              </w:tabs>
              <w:jc w:val="left"/>
              <w:rPr>
                <w:rFonts w:ascii="Calibri" w:hAnsi="Calibri" w:cs="Times New Roman"/>
                <w:b/>
                <w:sz w:val="22"/>
                <w:szCs w:val="22"/>
                <w:lang w:val="en-GB"/>
              </w:rPr>
            </w:pPr>
            <w:r w:rsidRPr="006645DC">
              <w:rPr>
                <w:rFonts w:ascii="Calibri" w:hAnsi="Calibri" w:cs="Times New Roman"/>
                <w:b/>
                <w:sz w:val="22"/>
                <w:szCs w:val="22"/>
                <w:lang w:val="en-GB"/>
              </w:rPr>
              <w:t>1.</w:t>
            </w:r>
          </w:p>
        </w:tc>
        <w:tc>
          <w:tcPr>
            <w:tcW w:w="4738" w:type="dxa"/>
            <w:vAlign w:val="center"/>
          </w:tcPr>
          <w:p w14:paraId="273A522B" w14:textId="77777777" w:rsidR="009549CE" w:rsidRPr="006645DC" w:rsidRDefault="009549CE" w:rsidP="009549CE">
            <w:pPr>
              <w:pStyle w:val="BodyText"/>
              <w:tabs>
                <w:tab w:val="left" w:pos="990"/>
              </w:tabs>
              <w:jc w:val="left"/>
              <w:rPr>
                <w:rFonts w:cs="Times New Roman"/>
                <w:sz w:val="22"/>
                <w:szCs w:val="22"/>
                <w:lang w:val="en-GB"/>
              </w:rPr>
            </w:pPr>
            <w:r w:rsidRPr="006645DC">
              <w:rPr>
                <w:rFonts w:ascii="Calibri" w:hAnsi="Calibri" w:cs="Times New Roman"/>
                <w:b/>
                <w:sz w:val="22"/>
                <w:szCs w:val="22"/>
                <w:lang w:val="en-GB"/>
              </w:rPr>
              <w:t>SME-s decreasing their activity</w:t>
            </w:r>
          </w:p>
        </w:tc>
        <w:tc>
          <w:tcPr>
            <w:tcW w:w="1556" w:type="dxa"/>
            <w:vAlign w:val="center"/>
          </w:tcPr>
          <w:p w14:paraId="036EFDC9" w14:textId="77777777" w:rsidR="009549CE" w:rsidRPr="006645DC" w:rsidRDefault="009549CE" w:rsidP="009549CE">
            <w:pPr>
              <w:autoSpaceDE w:val="0"/>
              <w:autoSpaceDN w:val="0"/>
              <w:adjustRightInd w:val="0"/>
              <w:spacing w:before="0" w:after="0"/>
              <w:jc w:val="right"/>
              <w:rPr>
                <w:lang w:val="en-GB"/>
              </w:rPr>
            </w:pPr>
            <w:r w:rsidRPr="006645DC">
              <w:rPr>
                <w:lang w:val="en-GB"/>
              </w:rPr>
              <w:t xml:space="preserve">60.85% </w:t>
            </w:r>
          </w:p>
        </w:tc>
        <w:tc>
          <w:tcPr>
            <w:tcW w:w="2314" w:type="dxa"/>
            <w:vAlign w:val="center"/>
          </w:tcPr>
          <w:p w14:paraId="540ACA68" w14:textId="77777777" w:rsidR="009549CE" w:rsidRPr="006645DC" w:rsidRDefault="009549CE" w:rsidP="009549CE">
            <w:pPr>
              <w:pStyle w:val="BodyText"/>
              <w:tabs>
                <w:tab w:val="left" w:pos="990"/>
              </w:tabs>
              <w:jc w:val="right"/>
              <w:rPr>
                <w:rFonts w:ascii="Calibri" w:hAnsi="Calibri" w:cs="Times New Roman"/>
                <w:b/>
                <w:sz w:val="22"/>
                <w:szCs w:val="22"/>
                <w:lang w:val="en-GB"/>
              </w:rPr>
            </w:pPr>
            <w:r w:rsidRPr="006645DC">
              <w:rPr>
                <w:rFonts w:ascii="Calibri" w:hAnsi="Calibri" w:cs="Times New Roman"/>
                <w:sz w:val="22"/>
                <w:szCs w:val="22"/>
                <w:lang w:val="en-GB"/>
              </w:rPr>
              <w:t>55.88%</w:t>
            </w:r>
          </w:p>
        </w:tc>
      </w:tr>
      <w:tr w:rsidR="009549CE" w:rsidRPr="006645DC" w14:paraId="6358A620" w14:textId="77777777" w:rsidTr="009549CE">
        <w:trPr>
          <w:trHeight w:val="350"/>
          <w:jc w:val="center"/>
        </w:trPr>
        <w:tc>
          <w:tcPr>
            <w:tcW w:w="680" w:type="dxa"/>
            <w:vAlign w:val="center"/>
          </w:tcPr>
          <w:p w14:paraId="562BD6D4" w14:textId="77777777" w:rsidR="009549CE" w:rsidRPr="006645DC" w:rsidRDefault="009549CE" w:rsidP="009549CE">
            <w:pPr>
              <w:autoSpaceDE w:val="0"/>
              <w:autoSpaceDN w:val="0"/>
              <w:adjustRightInd w:val="0"/>
              <w:spacing w:before="0" w:after="0"/>
              <w:jc w:val="left"/>
              <w:rPr>
                <w:b/>
                <w:lang w:val="en-GB"/>
              </w:rPr>
            </w:pPr>
            <w:r w:rsidRPr="006645DC">
              <w:rPr>
                <w:b/>
                <w:lang w:val="en-GB"/>
              </w:rPr>
              <w:t>2.</w:t>
            </w:r>
          </w:p>
        </w:tc>
        <w:tc>
          <w:tcPr>
            <w:tcW w:w="4738" w:type="dxa"/>
            <w:vAlign w:val="center"/>
          </w:tcPr>
          <w:p w14:paraId="6ADD756E" w14:textId="77777777" w:rsidR="009549CE" w:rsidRPr="006645DC" w:rsidRDefault="009549CE" w:rsidP="009549CE">
            <w:pPr>
              <w:autoSpaceDE w:val="0"/>
              <w:autoSpaceDN w:val="0"/>
              <w:adjustRightInd w:val="0"/>
              <w:spacing w:before="0" w:after="0"/>
              <w:jc w:val="left"/>
              <w:rPr>
                <w:lang w:val="en-GB"/>
              </w:rPr>
            </w:pPr>
            <w:r w:rsidRPr="006645DC">
              <w:rPr>
                <w:b/>
                <w:lang w:val="en-GB"/>
              </w:rPr>
              <w:t>SME-s functioning within the same parameters</w:t>
            </w:r>
          </w:p>
        </w:tc>
        <w:tc>
          <w:tcPr>
            <w:tcW w:w="1556" w:type="dxa"/>
            <w:vAlign w:val="center"/>
          </w:tcPr>
          <w:p w14:paraId="4CEEE4D0" w14:textId="77777777" w:rsidR="009549CE" w:rsidRPr="006645DC" w:rsidRDefault="009549CE" w:rsidP="009549CE">
            <w:pPr>
              <w:autoSpaceDE w:val="0"/>
              <w:autoSpaceDN w:val="0"/>
              <w:adjustRightInd w:val="0"/>
              <w:spacing w:before="0" w:after="0"/>
              <w:jc w:val="right"/>
              <w:rPr>
                <w:lang w:val="en-GB"/>
              </w:rPr>
            </w:pPr>
            <w:r w:rsidRPr="006645DC">
              <w:rPr>
                <w:lang w:val="en-GB"/>
              </w:rPr>
              <w:t xml:space="preserve">31.32% </w:t>
            </w:r>
          </w:p>
        </w:tc>
        <w:tc>
          <w:tcPr>
            <w:tcW w:w="2314" w:type="dxa"/>
            <w:vAlign w:val="center"/>
          </w:tcPr>
          <w:p w14:paraId="03CCD01D" w14:textId="77777777" w:rsidR="009549CE" w:rsidRPr="006645DC" w:rsidRDefault="009549CE" w:rsidP="009549CE">
            <w:pPr>
              <w:pStyle w:val="BodyText"/>
              <w:tabs>
                <w:tab w:val="left" w:pos="990"/>
              </w:tabs>
              <w:jc w:val="right"/>
              <w:rPr>
                <w:rFonts w:ascii="Calibri" w:hAnsi="Calibri" w:cs="Times New Roman"/>
                <w:b/>
                <w:sz w:val="22"/>
                <w:szCs w:val="22"/>
                <w:lang w:val="en-GB"/>
              </w:rPr>
            </w:pPr>
            <w:r w:rsidRPr="006645DC">
              <w:rPr>
                <w:rFonts w:ascii="Calibri" w:hAnsi="Calibri" w:cs="Times New Roman"/>
                <w:sz w:val="22"/>
                <w:szCs w:val="22"/>
                <w:lang w:val="en-GB"/>
              </w:rPr>
              <w:t>32.35%</w:t>
            </w:r>
          </w:p>
        </w:tc>
      </w:tr>
      <w:tr w:rsidR="009549CE" w:rsidRPr="006645DC" w14:paraId="63EDE04D" w14:textId="77777777" w:rsidTr="009549CE">
        <w:trPr>
          <w:jc w:val="center"/>
        </w:trPr>
        <w:tc>
          <w:tcPr>
            <w:tcW w:w="680" w:type="dxa"/>
            <w:vAlign w:val="center"/>
          </w:tcPr>
          <w:p w14:paraId="5AE9FF4D" w14:textId="77777777" w:rsidR="009549CE" w:rsidRPr="006645DC" w:rsidRDefault="009549CE" w:rsidP="009549CE">
            <w:pPr>
              <w:autoSpaceDE w:val="0"/>
              <w:autoSpaceDN w:val="0"/>
              <w:adjustRightInd w:val="0"/>
              <w:spacing w:before="0" w:after="0"/>
              <w:jc w:val="left"/>
              <w:rPr>
                <w:b/>
                <w:lang w:val="en-GB"/>
              </w:rPr>
            </w:pPr>
            <w:r w:rsidRPr="006645DC">
              <w:rPr>
                <w:b/>
                <w:lang w:val="en-GB"/>
              </w:rPr>
              <w:t>3.</w:t>
            </w:r>
          </w:p>
        </w:tc>
        <w:tc>
          <w:tcPr>
            <w:tcW w:w="4738" w:type="dxa"/>
            <w:vAlign w:val="center"/>
          </w:tcPr>
          <w:p w14:paraId="5DF41978" w14:textId="77777777" w:rsidR="009549CE" w:rsidRPr="006645DC" w:rsidRDefault="009549CE" w:rsidP="009549CE">
            <w:pPr>
              <w:autoSpaceDE w:val="0"/>
              <w:autoSpaceDN w:val="0"/>
              <w:adjustRightInd w:val="0"/>
              <w:spacing w:before="0" w:after="0"/>
              <w:jc w:val="left"/>
              <w:rPr>
                <w:lang w:val="en-GB"/>
              </w:rPr>
            </w:pPr>
            <w:r w:rsidRPr="006645DC">
              <w:rPr>
                <w:b/>
                <w:lang w:val="en-GB"/>
              </w:rPr>
              <w:t>SME-s increasing their activity</w:t>
            </w:r>
          </w:p>
        </w:tc>
        <w:tc>
          <w:tcPr>
            <w:tcW w:w="1556" w:type="dxa"/>
            <w:vAlign w:val="center"/>
          </w:tcPr>
          <w:p w14:paraId="7881EB07" w14:textId="77777777" w:rsidR="009549CE" w:rsidRPr="006645DC" w:rsidRDefault="009549CE" w:rsidP="009549CE">
            <w:pPr>
              <w:pStyle w:val="BodyText"/>
              <w:tabs>
                <w:tab w:val="left" w:pos="990"/>
              </w:tabs>
              <w:jc w:val="right"/>
              <w:rPr>
                <w:rFonts w:ascii="Calibri" w:hAnsi="Calibri" w:cs="Times New Roman"/>
                <w:b/>
                <w:sz w:val="22"/>
                <w:szCs w:val="22"/>
                <w:lang w:val="en-GB"/>
              </w:rPr>
            </w:pPr>
            <w:r w:rsidRPr="006645DC">
              <w:rPr>
                <w:rFonts w:ascii="Calibri" w:hAnsi="Calibri" w:cs="Times New Roman"/>
                <w:sz w:val="22"/>
                <w:szCs w:val="22"/>
                <w:lang w:val="en-GB"/>
              </w:rPr>
              <w:t xml:space="preserve">7.83% </w:t>
            </w:r>
          </w:p>
        </w:tc>
        <w:tc>
          <w:tcPr>
            <w:tcW w:w="2314" w:type="dxa"/>
            <w:vAlign w:val="center"/>
          </w:tcPr>
          <w:p w14:paraId="2B2274F7" w14:textId="77777777" w:rsidR="009549CE" w:rsidRPr="006645DC" w:rsidRDefault="009549CE" w:rsidP="009549CE">
            <w:pPr>
              <w:pStyle w:val="BodyText"/>
              <w:tabs>
                <w:tab w:val="left" w:pos="990"/>
              </w:tabs>
              <w:jc w:val="right"/>
              <w:rPr>
                <w:rFonts w:ascii="Calibri" w:hAnsi="Calibri" w:cs="Times New Roman"/>
                <w:b/>
                <w:sz w:val="22"/>
                <w:szCs w:val="22"/>
                <w:lang w:val="en-GB"/>
              </w:rPr>
            </w:pPr>
            <w:r w:rsidRPr="006645DC">
              <w:rPr>
                <w:rFonts w:ascii="Calibri" w:hAnsi="Calibri" w:cs="Times New Roman"/>
                <w:sz w:val="22"/>
                <w:szCs w:val="22"/>
                <w:lang w:val="en-GB"/>
              </w:rPr>
              <w:t>11.76%</w:t>
            </w:r>
          </w:p>
        </w:tc>
      </w:tr>
    </w:tbl>
    <w:p w14:paraId="37C2C922" w14:textId="77777777" w:rsidR="009549CE" w:rsidRPr="006645DC" w:rsidRDefault="004B60BC" w:rsidP="004B60BC">
      <w:pPr>
        <w:pStyle w:val="Caption"/>
        <w:rPr>
          <w:rFonts w:ascii="Arial,Bold" w:eastAsia="Arial,Bold"/>
          <w:lang w:val="en-GB"/>
        </w:rPr>
      </w:pPr>
      <w:bookmarkStart w:id="99" w:name="_Toc391150100"/>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3</w:t>
      </w:r>
      <w:r w:rsidR="005979EB" w:rsidRPr="006645DC">
        <w:rPr>
          <w:lang w:val="en-GB"/>
        </w:rPr>
        <w:fldChar w:fldCharType="end"/>
      </w:r>
      <w:r w:rsidRPr="006645DC">
        <w:rPr>
          <w:lang w:val="en-GB"/>
        </w:rPr>
        <w:t xml:space="preserve"> - </w:t>
      </w:r>
      <w:r w:rsidR="009549CE" w:rsidRPr="006645DC">
        <w:rPr>
          <w:lang w:val="en-GB"/>
        </w:rPr>
        <w:t>Dynamics of companies' activity between 2009-2011</w:t>
      </w:r>
      <w:bookmarkEnd w:id="99"/>
    </w:p>
    <w:p w14:paraId="2608396D" w14:textId="170DE1F9" w:rsidR="009549CE" w:rsidRPr="006645DC" w:rsidRDefault="009549CE" w:rsidP="00845BAE">
      <w:pPr>
        <w:pStyle w:val="Heading4"/>
        <w:rPr>
          <w:lang w:val="en-GB"/>
        </w:rPr>
      </w:pPr>
      <w:r w:rsidRPr="006645DC">
        <w:rPr>
          <w:lang w:val="en-GB"/>
        </w:rPr>
        <w:t>Source: Whi</w:t>
      </w:r>
      <w:r w:rsidR="00845BAE" w:rsidRPr="006645DC">
        <w:rPr>
          <w:lang w:val="en-GB"/>
        </w:rPr>
        <w:t>te Book of Cross-Border SME-s</w:t>
      </w:r>
    </w:p>
    <w:p w14:paraId="248FCD10" w14:textId="77777777" w:rsidR="009549CE" w:rsidRPr="006645DC" w:rsidRDefault="009549CE" w:rsidP="009549CE">
      <w:pPr>
        <w:rPr>
          <w:lang w:val="en-GB"/>
        </w:rPr>
      </w:pPr>
      <w:r w:rsidRPr="006645DC">
        <w:rPr>
          <w:lang w:val="en-GB"/>
        </w:rPr>
        <w:t xml:space="preserve">Market researches on Romanian SME-s </w:t>
      </w:r>
      <w:r w:rsidRPr="006645DC">
        <w:rPr>
          <w:rStyle w:val="FootnoteReference"/>
          <w:sz w:val="24"/>
          <w:szCs w:val="24"/>
          <w:lang w:val="en-GB"/>
        </w:rPr>
        <w:footnoteReference w:id="11"/>
      </w:r>
      <w:r w:rsidRPr="006645DC">
        <w:rPr>
          <w:lang w:val="en-GB"/>
        </w:rPr>
        <w:t xml:space="preserve"> market show that </w:t>
      </w:r>
      <w:r w:rsidRPr="006645DC">
        <w:rPr>
          <w:b/>
          <w:lang w:val="en-GB"/>
        </w:rPr>
        <w:t xml:space="preserve">88.95% </w:t>
      </w:r>
      <w:r w:rsidRPr="006645DC">
        <w:rPr>
          <w:lang w:val="en-GB"/>
        </w:rPr>
        <w:t xml:space="preserve">of enterprises </w:t>
      </w:r>
      <w:r w:rsidRPr="006645DC">
        <w:rPr>
          <w:b/>
          <w:lang w:val="en-GB"/>
        </w:rPr>
        <w:t>only act</w:t>
      </w:r>
      <w:r w:rsidR="00F21105" w:rsidRPr="006645DC">
        <w:rPr>
          <w:b/>
          <w:lang w:val="en-GB"/>
        </w:rPr>
        <w:t xml:space="preserve"> </w:t>
      </w:r>
      <w:r w:rsidRPr="006645DC">
        <w:rPr>
          <w:b/>
          <w:lang w:val="en-GB"/>
        </w:rPr>
        <w:t>on the local and national market</w:t>
      </w:r>
      <w:r w:rsidRPr="006645DC">
        <w:rPr>
          <w:lang w:val="en-GB"/>
        </w:rPr>
        <w:t xml:space="preserve">, </w:t>
      </w:r>
      <w:r w:rsidRPr="006645DC">
        <w:rPr>
          <w:b/>
          <w:lang w:val="en-GB"/>
        </w:rPr>
        <w:t xml:space="preserve">65.12% </w:t>
      </w:r>
      <w:r w:rsidRPr="006645DC">
        <w:rPr>
          <w:lang w:val="en-GB"/>
        </w:rPr>
        <w:t xml:space="preserve">of the company </w:t>
      </w:r>
      <w:r w:rsidRPr="006645DC">
        <w:rPr>
          <w:b/>
          <w:lang w:val="en-GB"/>
        </w:rPr>
        <w:t>only target the local market</w:t>
      </w:r>
      <w:r w:rsidRPr="006645DC">
        <w:rPr>
          <w:lang w:val="en-GB"/>
        </w:rPr>
        <w:t xml:space="preserve">, </w:t>
      </w:r>
      <w:r w:rsidRPr="006645DC">
        <w:rPr>
          <w:b/>
          <w:lang w:val="en-GB"/>
        </w:rPr>
        <w:t xml:space="preserve">9.30% </w:t>
      </w:r>
      <w:r w:rsidRPr="006645DC">
        <w:rPr>
          <w:lang w:val="en-GB"/>
        </w:rPr>
        <w:t xml:space="preserve">of companies target </w:t>
      </w:r>
      <w:r w:rsidRPr="006645DC">
        <w:rPr>
          <w:b/>
          <w:lang w:val="en-GB"/>
        </w:rPr>
        <w:t>the European Union market</w:t>
      </w:r>
      <w:r w:rsidRPr="006645DC">
        <w:rPr>
          <w:lang w:val="en-GB"/>
        </w:rPr>
        <w:t>, 2.33% of companies also sell their products in other European countries, and 2.33% of companies also target markets outside Europe.  Over 3/5 of SME-s are focusing exclusively on local markets, as their low profile does not allow them the economic strength to penetrate other markets. In nearly half SME-s, there are no innovative investments being made.</w:t>
      </w:r>
    </w:p>
    <w:p w14:paraId="3BBA96B6" w14:textId="77777777" w:rsidR="004B60BC" w:rsidRPr="006645DC" w:rsidRDefault="004B60BC" w:rsidP="009549CE">
      <w:pPr>
        <w:pStyle w:val="Heading2"/>
        <w:rPr>
          <w:lang w:val="en-GB"/>
        </w:rPr>
        <w:sectPr w:rsidR="004B60BC" w:rsidRPr="006645DC" w:rsidSect="00187E88">
          <w:headerReference w:type="default" r:id="rId59"/>
          <w:footerReference w:type="default" r:id="rId60"/>
          <w:pgSz w:w="12240" w:h="15840"/>
          <w:pgMar w:top="1440" w:right="1440" w:bottom="1440" w:left="1440" w:header="720" w:footer="720" w:gutter="0"/>
          <w:cols w:space="720"/>
          <w:docGrid w:linePitch="360"/>
        </w:sectPr>
      </w:pPr>
    </w:p>
    <w:p w14:paraId="00348AEE" w14:textId="77777777" w:rsidR="009549CE" w:rsidRPr="006645DC" w:rsidRDefault="009549CE" w:rsidP="009549CE">
      <w:pPr>
        <w:pStyle w:val="Heading2"/>
        <w:rPr>
          <w:lang w:val="en-GB"/>
        </w:rPr>
      </w:pPr>
      <w:bookmarkStart w:id="100" w:name="_Toc376198442"/>
      <w:bookmarkStart w:id="101" w:name="_Toc254543760"/>
      <w:bookmarkStart w:id="102" w:name="_Toc391150165"/>
      <w:r w:rsidRPr="006645DC">
        <w:rPr>
          <w:lang w:val="en-GB"/>
        </w:rPr>
        <w:lastRenderedPageBreak/>
        <w:t>SWOT and problem tree</w:t>
      </w:r>
      <w:bookmarkEnd w:id="100"/>
      <w:bookmarkEnd w:id="101"/>
      <w:bookmarkEnd w:id="102"/>
    </w:p>
    <w:tbl>
      <w:tblPr>
        <w:tblW w:w="10772" w:type="dxa"/>
        <w:jc w:val="center"/>
        <w:tblCellMar>
          <w:left w:w="0" w:type="dxa"/>
          <w:right w:w="0" w:type="dxa"/>
        </w:tblCellMar>
        <w:tblLook w:val="0600" w:firstRow="0" w:lastRow="0" w:firstColumn="0" w:lastColumn="0" w:noHBand="1" w:noVBand="1"/>
      </w:tblPr>
      <w:tblGrid>
        <w:gridCol w:w="5386"/>
        <w:gridCol w:w="5386"/>
      </w:tblGrid>
      <w:tr w:rsidR="009549CE" w:rsidRPr="006645DC" w14:paraId="59D33458" w14:textId="77777777" w:rsidTr="009549CE">
        <w:trPr>
          <w:trHeight w:val="274"/>
          <w:jc w:val="center"/>
        </w:trPr>
        <w:tc>
          <w:tcPr>
            <w:tcW w:w="5386" w:type="dxa"/>
            <w:tcBorders>
              <w:top w:val="single" w:sz="8" w:space="0" w:color="000000"/>
              <w:left w:val="single" w:sz="8" w:space="0" w:color="000000"/>
              <w:bottom w:val="single" w:sz="8" w:space="0" w:color="000000"/>
              <w:right w:val="single" w:sz="8" w:space="0" w:color="000000"/>
            </w:tcBorders>
            <w:shd w:val="clear" w:color="auto" w:fill="9BBB59"/>
            <w:tcMar>
              <w:top w:w="15" w:type="dxa"/>
              <w:left w:w="108" w:type="dxa"/>
              <w:bottom w:w="0" w:type="dxa"/>
              <w:right w:w="108" w:type="dxa"/>
            </w:tcMar>
            <w:vAlign w:val="center"/>
            <w:hideMark/>
          </w:tcPr>
          <w:p w14:paraId="7AC27285" w14:textId="77777777" w:rsidR="009549CE" w:rsidRPr="006645DC" w:rsidRDefault="009549CE" w:rsidP="009549CE">
            <w:pPr>
              <w:spacing w:before="0" w:after="0" w:line="274" w:lineRule="atLeast"/>
              <w:jc w:val="center"/>
              <w:rPr>
                <w:rFonts w:ascii="Arial" w:eastAsia="Times New Roman" w:hAnsi="Arial" w:cs="Arial"/>
                <w:sz w:val="36"/>
                <w:szCs w:val="36"/>
                <w:lang w:val="en-GB" w:eastAsia="fr-FR"/>
              </w:rPr>
            </w:pPr>
            <w:r w:rsidRPr="006645DC">
              <w:rPr>
                <w:b/>
                <w:bCs/>
                <w:color w:val="FFFFFF"/>
                <w:kern w:val="24"/>
                <w:lang w:val="en-GB" w:eastAsia="fr-FR"/>
              </w:rPr>
              <w:t>Strengths</w:t>
            </w:r>
          </w:p>
        </w:tc>
        <w:tc>
          <w:tcPr>
            <w:tcW w:w="5386" w:type="dxa"/>
            <w:tcBorders>
              <w:top w:val="single" w:sz="8" w:space="0" w:color="000000"/>
              <w:left w:val="single" w:sz="8" w:space="0" w:color="000000"/>
              <w:bottom w:val="single" w:sz="8" w:space="0" w:color="000000"/>
              <w:right w:val="single" w:sz="8" w:space="0" w:color="000000"/>
            </w:tcBorders>
            <w:shd w:val="clear" w:color="auto" w:fill="F79646"/>
            <w:tcMar>
              <w:top w:w="15" w:type="dxa"/>
              <w:left w:w="108" w:type="dxa"/>
              <w:bottom w:w="0" w:type="dxa"/>
              <w:right w:w="108" w:type="dxa"/>
            </w:tcMar>
            <w:vAlign w:val="center"/>
            <w:hideMark/>
          </w:tcPr>
          <w:p w14:paraId="10B06303" w14:textId="77777777" w:rsidR="009549CE" w:rsidRPr="006645DC" w:rsidRDefault="009549CE" w:rsidP="009549CE">
            <w:pPr>
              <w:spacing w:before="0" w:after="0" w:line="274" w:lineRule="atLeast"/>
              <w:jc w:val="center"/>
              <w:rPr>
                <w:rFonts w:ascii="Arial" w:eastAsia="Times New Roman" w:hAnsi="Arial" w:cs="Arial"/>
                <w:sz w:val="36"/>
                <w:szCs w:val="36"/>
                <w:lang w:val="en-GB" w:eastAsia="fr-FR"/>
              </w:rPr>
            </w:pPr>
            <w:r w:rsidRPr="006645DC">
              <w:rPr>
                <w:b/>
                <w:bCs/>
                <w:color w:val="FFFFFF"/>
                <w:kern w:val="24"/>
                <w:lang w:val="en-GB" w:eastAsia="fr-FR"/>
              </w:rPr>
              <w:t>Weaknesses</w:t>
            </w:r>
          </w:p>
        </w:tc>
      </w:tr>
      <w:tr w:rsidR="009549CE" w:rsidRPr="006645DC" w14:paraId="790E06A0" w14:textId="77777777" w:rsidTr="009549CE">
        <w:trPr>
          <w:trHeight w:val="4352"/>
          <w:jc w:val="center"/>
        </w:trPr>
        <w:tc>
          <w:tcPr>
            <w:tcW w:w="53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68BEE09" w14:textId="77777777" w:rsidR="009549CE" w:rsidRPr="006645DC" w:rsidRDefault="009549CE" w:rsidP="00C22A61">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Enduring labour cost competitive asset</w:t>
            </w:r>
          </w:p>
          <w:p w14:paraId="11378F7C" w14:textId="0C4B2CE6" w:rsidR="009549CE" w:rsidRPr="006645DC" w:rsidRDefault="009549CE" w:rsidP="00C22A61">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 xml:space="preserve">Good resources for diversification (agricultural land, </w:t>
            </w:r>
            <w:r w:rsidR="00A236F4" w:rsidRPr="006645DC">
              <w:rPr>
                <w:rFonts w:cs="Calibri"/>
                <w:color w:val="002060"/>
                <w:kern w:val="24"/>
                <w:lang w:val="en-GB" w:eastAsia="fr-FR"/>
              </w:rPr>
              <w:t xml:space="preserve">organic agriculture, tourism, </w:t>
            </w:r>
            <w:r w:rsidRPr="006645DC">
              <w:rPr>
                <w:rFonts w:cs="Calibri"/>
                <w:color w:val="002060"/>
                <w:kern w:val="24"/>
                <w:lang w:val="en-GB" w:eastAsia="fr-FR"/>
              </w:rPr>
              <w:t>water, attractions, traditions, human resources, etc</w:t>
            </w:r>
            <w:r w:rsidR="00A236F4" w:rsidRPr="006645DC">
              <w:rPr>
                <w:rFonts w:cs="Calibri"/>
                <w:color w:val="002060"/>
                <w:kern w:val="24"/>
                <w:lang w:val="en-GB" w:eastAsia="fr-FR"/>
              </w:rPr>
              <w:t>)</w:t>
            </w:r>
          </w:p>
          <w:p w14:paraId="1B885513" w14:textId="77777777" w:rsidR="009549CE" w:rsidRPr="006645DC" w:rsidRDefault="009549CE" w:rsidP="00C22A61">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Technological transfer performed in industrial sectors</w:t>
            </w:r>
          </w:p>
          <w:p w14:paraId="58348940" w14:textId="77777777" w:rsidR="009549CE" w:rsidRPr="006645DC" w:rsidRDefault="009549CE" w:rsidP="00C22A61">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Existing higher education infrastructure</w:t>
            </w:r>
          </w:p>
          <w:p w14:paraId="728243CC" w14:textId="77777777" w:rsidR="009549CE" w:rsidRPr="006645DC" w:rsidRDefault="009549CE" w:rsidP="00C22A61">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Some networking and clustering of industrial companies</w:t>
            </w:r>
          </w:p>
        </w:tc>
        <w:tc>
          <w:tcPr>
            <w:tcW w:w="53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6FEA5D" w14:textId="77777777" w:rsidR="009549CE" w:rsidRPr="006645DC" w:rsidRDefault="009549CE" w:rsidP="00C22A61">
            <w:pPr>
              <w:keepNext/>
              <w:keepLines/>
              <w:numPr>
                <w:ilvl w:val="0"/>
                <w:numId w:val="26"/>
              </w:numPr>
              <w:spacing w:before="0" w:after="0"/>
              <w:ind w:left="283" w:hanging="170"/>
              <w:jc w:val="left"/>
              <w:outlineLvl w:val="1"/>
              <w:rPr>
                <w:rFonts w:eastAsia="Times New Roman" w:cs="Calibri"/>
                <w:szCs w:val="36"/>
                <w:lang w:val="en-GB" w:eastAsia="fr-FR"/>
              </w:rPr>
            </w:pPr>
            <w:bookmarkStart w:id="103" w:name="_Toc376198443"/>
            <w:r w:rsidRPr="006645DC">
              <w:rPr>
                <w:rFonts w:cs="Calibri"/>
                <w:color w:val="002060"/>
                <w:kern w:val="24"/>
                <w:lang w:val="en-GB" w:eastAsia="fr-FR"/>
              </w:rPr>
              <w:t>Slow or contrasted evolution of the labour productivity</w:t>
            </w:r>
            <w:bookmarkEnd w:id="103"/>
          </w:p>
          <w:p w14:paraId="027EB201" w14:textId="77777777" w:rsidR="009549CE" w:rsidRPr="006645DC" w:rsidRDefault="009549CE" w:rsidP="00C22A61">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High dependency of economy on big FDI-based industrial facilities, limited number of industries are highly developed (i.e automotive)</w:t>
            </w:r>
          </w:p>
          <w:p w14:paraId="517F7707" w14:textId="77777777" w:rsidR="009549CE" w:rsidRPr="006645DC" w:rsidRDefault="009549CE" w:rsidP="00C22A61">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Low labour-cost based competitiveness</w:t>
            </w:r>
          </w:p>
          <w:p w14:paraId="5EA92761" w14:textId="072AD8C8" w:rsidR="009549CE" w:rsidRPr="006645DC" w:rsidRDefault="009549CE" w:rsidP="00A236F4">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Lack of economic diversification, especially in the services sector (e.g. tourism)</w:t>
            </w:r>
            <w:r w:rsidR="00A236F4" w:rsidRPr="006645DC">
              <w:rPr>
                <w:rFonts w:eastAsia="Times New Roman" w:cs="Calibri"/>
                <w:szCs w:val="36"/>
                <w:lang w:val="en-GB" w:eastAsia="fr-FR"/>
              </w:rPr>
              <w:t xml:space="preserve"> and l</w:t>
            </w:r>
            <w:r w:rsidRPr="006645DC">
              <w:rPr>
                <w:rFonts w:cs="Calibri"/>
                <w:color w:val="002060"/>
                <w:kern w:val="24"/>
                <w:lang w:val="en-GB" w:eastAsia="fr-FR"/>
              </w:rPr>
              <w:t>ow development of SMEs in competitive sectors</w:t>
            </w:r>
          </w:p>
          <w:p w14:paraId="1A58AC6D" w14:textId="3B062C80" w:rsidR="009549CE" w:rsidRPr="006645DC" w:rsidRDefault="009549CE" w:rsidP="00C22A61">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Low degree of internationalization of SMEs</w:t>
            </w:r>
            <w:r w:rsidR="00A236F4" w:rsidRPr="006645DC">
              <w:rPr>
                <w:rFonts w:cs="Calibri"/>
                <w:color w:val="002060"/>
                <w:kern w:val="24"/>
                <w:lang w:val="en-GB" w:eastAsia="fr-FR"/>
              </w:rPr>
              <w:t xml:space="preserve"> even at a cross border level</w:t>
            </w:r>
          </w:p>
          <w:p w14:paraId="56DB928F" w14:textId="3C4FBA9D" w:rsidR="009549CE" w:rsidRPr="006645DC" w:rsidRDefault="009549CE" w:rsidP="00C22A61">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Low value-added levels in agriculture (raw foodstuff rather than processed food)</w:t>
            </w:r>
            <w:r w:rsidR="00A236F4" w:rsidRPr="006645DC">
              <w:rPr>
                <w:rFonts w:cs="Calibri"/>
                <w:color w:val="002060"/>
                <w:kern w:val="24"/>
                <w:lang w:val="en-GB" w:eastAsia="fr-FR"/>
              </w:rPr>
              <w:t xml:space="preserve"> with a predominant subsistence agriculture sector</w:t>
            </w:r>
            <w:r w:rsidRPr="006645DC">
              <w:rPr>
                <w:rFonts w:cs="Calibri"/>
                <w:color w:val="002060"/>
                <w:kern w:val="24"/>
                <w:lang w:val="en-GB" w:eastAsia="fr-FR"/>
              </w:rPr>
              <w:t xml:space="preserve"> </w:t>
            </w:r>
          </w:p>
          <w:p w14:paraId="4092644C" w14:textId="77777777" w:rsidR="009549CE" w:rsidRPr="006645DC" w:rsidRDefault="009549CE" w:rsidP="00C22A61">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Low connectivity between the R&amp;D infrastructure and the business sector</w:t>
            </w:r>
          </w:p>
          <w:p w14:paraId="6CBF1177" w14:textId="2E302CAA" w:rsidR="009549CE" w:rsidRPr="006645DC" w:rsidRDefault="009549CE" w:rsidP="00A236F4">
            <w:pPr>
              <w:numPr>
                <w:ilvl w:val="0"/>
                <w:numId w:val="26"/>
              </w:numPr>
              <w:spacing w:before="0" w:after="0"/>
              <w:ind w:left="283" w:hanging="170"/>
              <w:jc w:val="left"/>
              <w:rPr>
                <w:rFonts w:eastAsia="Times New Roman" w:cs="Calibri"/>
                <w:szCs w:val="36"/>
                <w:lang w:val="en-GB" w:eastAsia="fr-FR"/>
              </w:rPr>
            </w:pPr>
            <w:r w:rsidRPr="006645DC">
              <w:rPr>
                <w:rFonts w:cs="Calibri"/>
                <w:color w:val="002060"/>
                <w:kern w:val="24"/>
                <w:lang w:val="en-GB" w:eastAsia="fr-FR"/>
              </w:rPr>
              <w:t>Low level of development of the infrastructure for clustering and incubating (industrial parks,</w:t>
            </w:r>
            <w:r w:rsidR="00A236F4" w:rsidRPr="006645DC">
              <w:rPr>
                <w:rFonts w:cs="Calibri"/>
                <w:color w:val="002060"/>
                <w:kern w:val="24"/>
                <w:lang w:val="en-GB" w:eastAsia="fr-FR"/>
              </w:rPr>
              <w:t xml:space="preserve"> business incubators, clusters,</w:t>
            </w:r>
            <w:r w:rsidRPr="006645DC">
              <w:rPr>
                <w:rFonts w:cs="Calibri"/>
                <w:color w:val="002060"/>
                <w:kern w:val="24"/>
                <w:lang w:val="en-GB" w:eastAsia="fr-FR"/>
              </w:rPr>
              <w:t xml:space="preserve"> etc.)</w:t>
            </w:r>
          </w:p>
        </w:tc>
      </w:tr>
      <w:tr w:rsidR="009549CE" w:rsidRPr="006645DC" w14:paraId="01D1D4E3" w14:textId="77777777" w:rsidTr="009549CE">
        <w:trPr>
          <w:trHeight w:val="274"/>
          <w:jc w:val="center"/>
        </w:trPr>
        <w:tc>
          <w:tcPr>
            <w:tcW w:w="5386" w:type="dxa"/>
            <w:tcBorders>
              <w:top w:val="single" w:sz="8" w:space="0" w:color="000000"/>
              <w:left w:val="single" w:sz="8" w:space="0" w:color="000000"/>
              <w:bottom w:val="single" w:sz="8" w:space="0" w:color="000000"/>
              <w:right w:val="single" w:sz="8" w:space="0" w:color="000000"/>
            </w:tcBorders>
            <w:shd w:val="clear" w:color="auto" w:fill="4BACC6"/>
            <w:tcMar>
              <w:top w:w="15" w:type="dxa"/>
              <w:left w:w="108" w:type="dxa"/>
              <w:bottom w:w="0" w:type="dxa"/>
              <w:right w:w="108" w:type="dxa"/>
            </w:tcMar>
            <w:vAlign w:val="center"/>
            <w:hideMark/>
          </w:tcPr>
          <w:p w14:paraId="2A2126D5" w14:textId="77777777" w:rsidR="009549CE" w:rsidRPr="006645DC" w:rsidRDefault="009549CE" w:rsidP="009549CE">
            <w:pPr>
              <w:keepNext/>
              <w:keepLines/>
              <w:spacing w:before="0" w:after="0" w:line="274" w:lineRule="atLeast"/>
              <w:ind w:left="757" w:hanging="360"/>
              <w:jc w:val="center"/>
              <w:outlineLvl w:val="1"/>
              <w:rPr>
                <w:rFonts w:ascii="Arial" w:eastAsia="Times New Roman" w:hAnsi="Arial" w:cs="Arial"/>
                <w:sz w:val="36"/>
                <w:szCs w:val="36"/>
                <w:lang w:val="en-GB" w:eastAsia="fr-FR"/>
              </w:rPr>
            </w:pPr>
            <w:bookmarkStart w:id="104" w:name="_Toc376198444"/>
            <w:r w:rsidRPr="006645DC">
              <w:rPr>
                <w:b/>
                <w:bCs/>
                <w:color w:val="FFFFFF"/>
                <w:kern w:val="24"/>
                <w:lang w:val="en-GB" w:eastAsia="fr-FR"/>
              </w:rPr>
              <w:t>Opportunities</w:t>
            </w:r>
            <w:bookmarkEnd w:id="104"/>
          </w:p>
        </w:tc>
        <w:tc>
          <w:tcPr>
            <w:tcW w:w="5386" w:type="dxa"/>
            <w:tcBorders>
              <w:top w:val="single" w:sz="8" w:space="0" w:color="000000"/>
              <w:left w:val="single" w:sz="8" w:space="0" w:color="000000"/>
              <w:bottom w:val="single" w:sz="8" w:space="0" w:color="000000"/>
              <w:right w:val="single" w:sz="8" w:space="0" w:color="000000"/>
            </w:tcBorders>
            <w:shd w:val="clear" w:color="auto" w:fill="B2A1C7"/>
            <w:tcMar>
              <w:top w:w="15" w:type="dxa"/>
              <w:left w:w="108" w:type="dxa"/>
              <w:bottom w:w="0" w:type="dxa"/>
              <w:right w:w="108" w:type="dxa"/>
            </w:tcMar>
            <w:vAlign w:val="center"/>
            <w:hideMark/>
          </w:tcPr>
          <w:p w14:paraId="54DB72D9" w14:textId="77777777" w:rsidR="009549CE" w:rsidRPr="006645DC" w:rsidRDefault="009549CE" w:rsidP="009549CE">
            <w:pPr>
              <w:keepNext/>
              <w:keepLines/>
              <w:spacing w:before="0" w:after="0" w:line="274" w:lineRule="atLeast"/>
              <w:ind w:left="757" w:hanging="360"/>
              <w:jc w:val="center"/>
              <w:outlineLvl w:val="1"/>
              <w:rPr>
                <w:rFonts w:ascii="Arial" w:eastAsia="Times New Roman" w:hAnsi="Arial" w:cs="Arial"/>
                <w:sz w:val="36"/>
                <w:szCs w:val="36"/>
                <w:lang w:val="en-GB" w:eastAsia="fr-FR"/>
              </w:rPr>
            </w:pPr>
            <w:bookmarkStart w:id="105" w:name="_Toc376198445"/>
            <w:r w:rsidRPr="006645DC">
              <w:rPr>
                <w:b/>
                <w:bCs/>
                <w:color w:val="FFFFFF"/>
                <w:kern w:val="24"/>
                <w:lang w:val="en-GB" w:eastAsia="fr-FR"/>
              </w:rPr>
              <w:t>Threats</w:t>
            </w:r>
            <w:bookmarkEnd w:id="105"/>
          </w:p>
        </w:tc>
      </w:tr>
      <w:tr w:rsidR="009549CE" w:rsidRPr="006645DC" w14:paraId="1AE07BD2" w14:textId="77777777" w:rsidTr="009549CE">
        <w:trPr>
          <w:trHeight w:val="3852"/>
          <w:jc w:val="center"/>
        </w:trPr>
        <w:tc>
          <w:tcPr>
            <w:tcW w:w="53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9E0CB13" w14:textId="45DC4020" w:rsidR="009549CE" w:rsidRPr="006645DC" w:rsidRDefault="009549CE" w:rsidP="00C22A61">
            <w:pPr>
              <w:keepNext/>
              <w:keepLines/>
              <w:numPr>
                <w:ilvl w:val="0"/>
                <w:numId w:val="27"/>
              </w:numPr>
              <w:spacing w:before="0" w:after="0"/>
              <w:ind w:left="226" w:hanging="113"/>
              <w:jc w:val="left"/>
              <w:outlineLvl w:val="1"/>
              <w:rPr>
                <w:rFonts w:eastAsia="Times New Roman" w:cs="Calibri"/>
                <w:szCs w:val="36"/>
                <w:lang w:val="en-GB" w:eastAsia="fr-FR"/>
              </w:rPr>
            </w:pPr>
            <w:bookmarkStart w:id="106" w:name="_Toc376198446"/>
            <w:r w:rsidRPr="006645DC">
              <w:rPr>
                <w:rFonts w:cs="Calibri"/>
                <w:color w:val="002060"/>
                <w:kern w:val="24"/>
                <w:lang w:val="en-GB" w:eastAsia="fr-FR"/>
              </w:rPr>
              <w:t>Reintegration of working-age inactive population</w:t>
            </w:r>
            <w:r w:rsidR="00A236F4" w:rsidRPr="006645DC">
              <w:rPr>
                <w:rFonts w:cs="Calibri"/>
                <w:color w:val="002060"/>
                <w:kern w:val="24"/>
                <w:lang w:val="en-GB" w:eastAsia="fr-FR"/>
              </w:rPr>
              <w:t xml:space="preserve"> by training and by developing a cross border mobility</w:t>
            </w:r>
            <w:r w:rsidRPr="006645DC">
              <w:rPr>
                <w:rFonts w:cs="Calibri"/>
                <w:color w:val="002060"/>
                <w:kern w:val="24"/>
                <w:lang w:val="en-GB" w:eastAsia="fr-FR"/>
              </w:rPr>
              <w:t xml:space="preserve"> </w:t>
            </w:r>
            <w:bookmarkEnd w:id="106"/>
          </w:p>
          <w:p w14:paraId="00FE0388" w14:textId="45928820" w:rsidR="00A236F4" w:rsidRPr="006645DC" w:rsidRDefault="00A236F4" w:rsidP="00C22A61">
            <w:pPr>
              <w:keepNext/>
              <w:keepLines/>
              <w:numPr>
                <w:ilvl w:val="0"/>
                <w:numId w:val="27"/>
              </w:numPr>
              <w:spacing w:before="0" w:after="0"/>
              <w:ind w:left="226" w:hanging="113"/>
              <w:jc w:val="left"/>
              <w:outlineLvl w:val="1"/>
              <w:rPr>
                <w:rFonts w:eastAsia="Times New Roman" w:cs="Calibri"/>
                <w:szCs w:val="36"/>
                <w:lang w:val="en-GB" w:eastAsia="fr-FR"/>
              </w:rPr>
            </w:pPr>
            <w:r w:rsidRPr="006645DC">
              <w:rPr>
                <w:rFonts w:cs="Calibri"/>
                <w:color w:val="002060"/>
                <w:kern w:val="24"/>
                <w:lang w:val="en-GB" w:eastAsia="fr-FR"/>
              </w:rPr>
              <w:t>Developing cross border economic of the SMEs to widen their markets</w:t>
            </w:r>
          </w:p>
          <w:p w14:paraId="6FDB8419" w14:textId="13E6A064" w:rsidR="009549CE" w:rsidRPr="006645DC" w:rsidRDefault="009549CE" w:rsidP="00C22A61">
            <w:pPr>
              <w:numPr>
                <w:ilvl w:val="0"/>
                <w:numId w:val="27"/>
              </w:numPr>
              <w:spacing w:before="0" w:after="0"/>
              <w:ind w:left="226" w:hanging="113"/>
              <w:jc w:val="left"/>
              <w:rPr>
                <w:rFonts w:eastAsia="Times New Roman" w:cs="Calibri"/>
                <w:szCs w:val="36"/>
                <w:lang w:val="en-GB" w:eastAsia="fr-FR"/>
              </w:rPr>
            </w:pPr>
            <w:r w:rsidRPr="006645DC">
              <w:rPr>
                <w:rFonts w:cs="Calibri"/>
                <w:color w:val="002060"/>
                <w:kern w:val="24"/>
                <w:lang w:val="en-GB" w:eastAsia="fr-FR"/>
              </w:rPr>
              <w:t>Uptake of e-government models and tools by the public administration to increase the ease of doing business</w:t>
            </w:r>
          </w:p>
          <w:p w14:paraId="5367AF03" w14:textId="77777777" w:rsidR="009549CE" w:rsidRPr="006645DC" w:rsidRDefault="009549CE" w:rsidP="00C22A61">
            <w:pPr>
              <w:numPr>
                <w:ilvl w:val="0"/>
                <w:numId w:val="27"/>
              </w:numPr>
              <w:spacing w:before="0" w:after="0"/>
              <w:ind w:left="226" w:hanging="113"/>
              <w:jc w:val="left"/>
              <w:rPr>
                <w:rFonts w:eastAsia="Times New Roman" w:cs="Calibri"/>
                <w:szCs w:val="36"/>
                <w:lang w:val="en-GB" w:eastAsia="fr-FR"/>
              </w:rPr>
            </w:pPr>
            <w:r w:rsidRPr="006645DC">
              <w:rPr>
                <w:rFonts w:cs="Calibri"/>
                <w:color w:val="002060"/>
                <w:kern w:val="24"/>
                <w:lang w:val="en-GB" w:eastAsia="fr-FR"/>
              </w:rPr>
              <w:t>A joint adoption of best practices on local taxation and business regulations</w:t>
            </w:r>
          </w:p>
          <w:p w14:paraId="4BB1F0B6" w14:textId="17A093A6" w:rsidR="009549CE" w:rsidRPr="006645DC" w:rsidRDefault="009549CE" w:rsidP="00C22A61">
            <w:pPr>
              <w:numPr>
                <w:ilvl w:val="0"/>
                <w:numId w:val="27"/>
              </w:numPr>
              <w:spacing w:before="0" w:after="0"/>
              <w:ind w:left="226" w:hanging="113"/>
              <w:jc w:val="left"/>
              <w:rPr>
                <w:rFonts w:eastAsia="Times New Roman" w:cs="Calibri"/>
                <w:szCs w:val="36"/>
                <w:lang w:val="en-GB" w:eastAsia="fr-FR"/>
              </w:rPr>
            </w:pPr>
            <w:r w:rsidRPr="006645DC">
              <w:rPr>
                <w:rFonts w:cs="Calibri"/>
                <w:color w:val="002060"/>
                <w:kern w:val="24"/>
                <w:lang w:val="en-GB" w:eastAsia="fr-FR"/>
              </w:rPr>
              <w:t>Measures for better integrating the labour-force in social and/or agro-based services</w:t>
            </w:r>
          </w:p>
          <w:p w14:paraId="046C622B" w14:textId="77777777" w:rsidR="009549CE" w:rsidRPr="006645DC" w:rsidRDefault="009549CE" w:rsidP="00C22A61">
            <w:pPr>
              <w:numPr>
                <w:ilvl w:val="0"/>
                <w:numId w:val="27"/>
              </w:numPr>
              <w:spacing w:before="0" w:after="0"/>
              <w:ind w:left="226" w:hanging="113"/>
              <w:jc w:val="left"/>
              <w:rPr>
                <w:rFonts w:eastAsia="Times New Roman" w:cs="Calibri"/>
                <w:szCs w:val="36"/>
                <w:lang w:val="en-GB" w:eastAsia="fr-FR"/>
              </w:rPr>
            </w:pPr>
            <w:r w:rsidRPr="006645DC">
              <w:rPr>
                <w:rFonts w:cs="Calibri"/>
                <w:color w:val="002060"/>
                <w:kern w:val="24"/>
                <w:lang w:val="en-GB" w:eastAsia="fr-FR"/>
              </w:rPr>
              <w:t>Increase of the attractiveness of the rural area by a better provision of public services and utilities</w:t>
            </w:r>
          </w:p>
          <w:p w14:paraId="4CFEBC40" w14:textId="6A14319E" w:rsidR="009549CE" w:rsidRPr="006645DC" w:rsidRDefault="009549CE" w:rsidP="00C22A61">
            <w:pPr>
              <w:numPr>
                <w:ilvl w:val="0"/>
                <w:numId w:val="27"/>
              </w:numPr>
              <w:spacing w:before="0" w:after="0"/>
              <w:ind w:left="226" w:hanging="113"/>
              <w:jc w:val="left"/>
              <w:rPr>
                <w:rFonts w:eastAsia="Times New Roman" w:cs="Calibri"/>
                <w:szCs w:val="36"/>
                <w:lang w:val="en-GB" w:eastAsia="fr-FR"/>
              </w:rPr>
            </w:pPr>
            <w:r w:rsidRPr="006645DC">
              <w:rPr>
                <w:rFonts w:cs="Calibri"/>
                <w:color w:val="002060"/>
                <w:kern w:val="24"/>
                <w:lang w:val="en-GB" w:eastAsia="fr-FR"/>
              </w:rPr>
              <w:t>Use of EU-funds (SMEs, competitiveness,</w:t>
            </w:r>
            <w:r w:rsidR="00A236F4" w:rsidRPr="006645DC">
              <w:rPr>
                <w:rFonts w:cs="Calibri"/>
                <w:color w:val="002060"/>
                <w:kern w:val="24"/>
                <w:lang w:val="en-GB" w:eastAsia="fr-FR"/>
              </w:rPr>
              <w:t xml:space="preserve"> </w:t>
            </w:r>
            <w:r w:rsidRPr="006645DC">
              <w:rPr>
                <w:rFonts w:cs="Calibri"/>
                <w:color w:val="002060"/>
                <w:kern w:val="24"/>
                <w:lang w:val="en-GB" w:eastAsia="fr-FR"/>
              </w:rPr>
              <w:t>etc.)</w:t>
            </w:r>
          </w:p>
          <w:p w14:paraId="6388B8AB" w14:textId="77777777" w:rsidR="009549CE" w:rsidRPr="006645DC" w:rsidRDefault="009549CE" w:rsidP="00C22A61">
            <w:pPr>
              <w:numPr>
                <w:ilvl w:val="0"/>
                <w:numId w:val="27"/>
              </w:numPr>
              <w:spacing w:before="0" w:after="0"/>
              <w:ind w:left="226" w:hanging="113"/>
              <w:jc w:val="left"/>
              <w:rPr>
                <w:rFonts w:eastAsia="Times New Roman" w:cs="Calibri"/>
                <w:szCs w:val="36"/>
                <w:lang w:val="en-GB" w:eastAsia="fr-FR"/>
              </w:rPr>
            </w:pPr>
            <w:r w:rsidRPr="006645DC">
              <w:rPr>
                <w:rFonts w:cs="Calibri"/>
                <w:color w:val="002060"/>
                <w:kern w:val="24"/>
                <w:lang w:val="en-GB" w:eastAsia="fr-FR"/>
              </w:rPr>
              <w:t>Increasing the accessibility of resources through the development of transport infrastructure and inter-modality, especially on the Danube</w:t>
            </w:r>
          </w:p>
        </w:tc>
        <w:tc>
          <w:tcPr>
            <w:tcW w:w="53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F2154A9" w14:textId="120911D6" w:rsidR="009549CE" w:rsidRPr="006645DC" w:rsidRDefault="00A236F4" w:rsidP="00C22A61">
            <w:pPr>
              <w:keepNext/>
              <w:keepLines/>
              <w:numPr>
                <w:ilvl w:val="0"/>
                <w:numId w:val="27"/>
              </w:numPr>
              <w:spacing w:before="0" w:after="0"/>
              <w:ind w:left="226" w:hanging="113"/>
              <w:jc w:val="left"/>
              <w:outlineLvl w:val="1"/>
              <w:rPr>
                <w:rFonts w:eastAsia="Times New Roman" w:cs="Calibri"/>
                <w:szCs w:val="36"/>
                <w:lang w:val="en-GB" w:eastAsia="fr-FR"/>
              </w:rPr>
            </w:pPr>
            <w:bookmarkStart w:id="107" w:name="_Toc376198447"/>
            <w:r w:rsidRPr="006645DC">
              <w:rPr>
                <w:rFonts w:cs="Calibri"/>
                <w:color w:val="002060"/>
                <w:kern w:val="24"/>
                <w:lang w:val="en-GB" w:eastAsia="fr-FR"/>
              </w:rPr>
              <w:t xml:space="preserve">Low motivation  of the inactive working-age population to </w:t>
            </w:r>
            <w:r w:rsidR="009549CE" w:rsidRPr="006645DC">
              <w:rPr>
                <w:rFonts w:cs="Calibri"/>
                <w:color w:val="002060"/>
                <w:kern w:val="24"/>
                <w:lang w:val="en-GB" w:eastAsia="fr-FR"/>
              </w:rPr>
              <w:t xml:space="preserve"> train and reintegrate on the labour market </w:t>
            </w:r>
            <w:bookmarkEnd w:id="107"/>
          </w:p>
          <w:p w14:paraId="0CB99763" w14:textId="1D7C8D32" w:rsidR="009549CE" w:rsidRPr="006645DC" w:rsidRDefault="009549CE" w:rsidP="00C22A61">
            <w:pPr>
              <w:numPr>
                <w:ilvl w:val="0"/>
                <w:numId w:val="27"/>
              </w:numPr>
              <w:spacing w:before="0" w:after="0"/>
              <w:ind w:left="226" w:hanging="113"/>
              <w:jc w:val="left"/>
              <w:rPr>
                <w:rFonts w:eastAsia="Times New Roman" w:cs="Calibri"/>
                <w:szCs w:val="36"/>
                <w:lang w:val="en-GB" w:eastAsia="fr-FR"/>
              </w:rPr>
            </w:pPr>
            <w:r w:rsidRPr="006645DC">
              <w:rPr>
                <w:rFonts w:cs="Calibri"/>
                <w:color w:val="002060"/>
                <w:kern w:val="24"/>
                <w:lang w:val="en-GB" w:eastAsia="fr-FR"/>
              </w:rPr>
              <w:t xml:space="preserve">Administrative and tax burdens </w:t>
            </w:r>
            <w:r w:rsidR="00A236F4" w:rsidRPr="006645DC">
              <w:rPr>
                <w:rFonts w:cs="Calibri"/>
                <w:color w:val="002060"/>
                <w:kern w:val="24"/>
                <w:lang w:val="en-GB" w:eastAsia="fr-FR"/>
              </w:rPr>
              <w:t>that</w:t>
            </w:r>
            <w:r w:rsidRPr="006645DC">
              <w:rPr>
                <w:rFonts w:cs="Calibri"/>
                <w:color w:val="002060"/>
                <w:kern w:val="24"/>
                <w:lang w:val="en-GB" w:eastAsia="fr-FR"/>
              </w:rPr>
              <w:t xml:space="preserve"> increase the cost of economic activity and investments, offsetting the labour-cost competitive advantage</w:t>
            </w:r>
          </w:p>
          <w:p w14:paraId="46F16916" w14:textId="77777777" w:rsidR="009549CE" w:rsidRPr="006645DC" w:rsidRDefault="009549CE" w:rsidP="00C22A61">
            <w:pPr>
              <w:numPr>
                <w:ilvl w:val="0"/>
                <w:numId w:val="27"/>
              </w:numPr>
              <w:spacing w:before="0" w:after="0"/>
              <w:ind w:left="226" w:hanging="113"/>
              <w:jc w:val="left"/>
              <w:rPr>
                <w:rFonts w:eastAsia="Times New Roman" w:cs="Calibri"/>
                <w:szCs w:val="36"/>
                <w:lang w:val="en-GB" w:eastAsia="fr-FR"/>
              </w:rPr>
            </w:pPr>
            <w:r w:rsidRPr="006645DC">
              <w:rPr>
                <w:rFonts w:cs="Calibri"/>
                <w:color w:val="002060"/>
                <w:kern w:val="24"/>
                <w:lang w:val="en-GB" w:eastAsia="fr-FR"/>
              </w:rPr>
              <w:t xml:space="preserve">Accessibility and transport connectivity (bottlenecks, dead-ends, no multimodality) </w:t>
            </w:r>
          </w:p>
          <w:p w14:paraId="36594CB5" w14:textId="77777777" w:rsidR="009549CE" w:rsidRPr="006645DC" w:rsidRDefault="009549CE" w:rsidP="00C22A61">
            <w:pPr>
              <w:numPr>
                <w:ilvl w:val="0"/>
                <w:numId w:val="27"/>
              </w:numPr>
              <w:spacing w:before="0" w:after="0"/>
              <w:ind w:left="226" w:hanging="113"/>
              <w:jc w:val="left"/>
              <w:rPr>
                <w:rFonts w:eastAsia="Times New Roman" w:cs="Calibri"/>
                <w:szCs w:val="36"/>
                <w:lang w:val="en-GB" w:eastAsia="fr-FR"/>
              </w:rPr>
            </w:pPr>
            <w:r w:rsidRPr="006645DC">
              <w:rPr>
                <w:rFonts w:cs="Calibri"/>
                <w:color w:val="002060"/>
                <w:kern w:val="24"/>
                <w:lang w:val="en-GB" w:eastAsia="fr-FR"/>
              </w:rPr>
              <w:t>Continued incapacity to connect the R&amp;D infrastructure to the business environment</w:t>
            </w:r>
          </w:p>
        </w:tc>
      </w:tr>
    </w:tbl>
    <w:p w14:paraId="30FAE661" w14:textId="77777777" w:rsidR="009549CE" w:rsidRPr="006645DC" w:rsidRDefault="009549CE" w:rsidP="009549CE">
      <w:pPr>
        <w:jc w:val="center"/>
        <w:rPr>
          <w:lang w:val="en-GB"/>
        </w:rPr>
        <w:sectPr w:rsidR="009549CE" w:rsidRPr="006645DC" w:rsidSect="00187E88">
          <w:pgSz w:w="12240" w:h="15840"/>
          <w:pgMar w:top="1440" w:right="1440" w:bottom="1440" w:left="1440" w:header="720" w:footer="720" w:gutter="0"/>
          <w:cols w:space="720"/>
          <w:docGrid w:linePitch="360"/>
        </w:sectPr>
      </w:pPr>
    </w:p>
    <w:p w14:paraId="28E84615" w14:textId="77777777" w:rsidR="00717722" w:rsidRPr="006645DC" w:rsidRDefault="00717722" w:rsidP="009549CE">
      <w:pPr>
        <w:jc w:val="center"/>
        <w:rPr>
          <w:noProof/>
          <w:lang w:val="en-GB"/>
        </w:rPr>
      </w:pPr>
    </w:p>
    <w:p w14:paraId="53B211F7" w14:textId="77777777" w:rsidR="00717722" w:rsidRPr="006645DC" w:rsidRDefault="00717722" w:rsidP="00717722">
      <w:pPr>
        <w:rPr>
          <w:noProof/>
          <w:lang w:val="en-GB"/>
        </w:rPr>
      </w:pPr>
    </w:p>
    <w:p w14:paraId="2464EED5" w14:textId="77777777" w:rsidR="009549CE" w:rsidRPr="006645DC" w:rsidRDefault="00AA4C82" w:rsidP="009549CE">
      <w:pPr>
        <w:jc w:val="center"/>
        <w:rPr>
          <w:lang w:val="en-GB"/>
        </w:rPr>
      </w:pPr>
      <w:r w:rsidRPr="006645DC">
        <w:rPr>
          <w:noProof/>
          <w:lang w:val="bg-BG" w:eastAsia="bg-BG"/>
        </w:rPr>
        <w:drawing>
          <wp:inline distT="0" distB="0" distL="0" distR="0" wp14:anchorId="681961F6" wp14:editId="30D009A3">
            <wp:extent cx="5943600" cy="5381625"/>
            <wp:effectExtent l="0" t="0" r="0" b="0"/>
            <wp:docPr id="33"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61"/>
                    <a:srcRect/>
                    <a:stretch>
                      <a:fillRect/>
                    </a:stretch>
                  </pic:blipFill>
                  <pic:spPr bwMode="auto">
                    <a:xfrm>
                      <a:off x="0" y="0"/>
                      <a:ext cx="5943600" cy="5381625"/>
                    </a:xfrm>
                    <a:prstGeom prst="rect">
                      <a:avLst/>
                    </a:prstGeom>
                    <a:noFill/>
                    <a:ln w="9525">
                      <a:noFill/>
                      <a:miter lim="800000"/>
                      <a:headEnd/>
                      <a:tailEnd/>
                    </a:ln>
                  </pic:spPr>
                </pic:pic>
              </a:graphicData>
            </a:graphic>
          </wp:inline>
        </w:drawing>
      </w:r>
    </w:p>
    <w:p w14:paraId="4F2B21D1" w14:textId="77777777" w:rsidR="009549CE" w:rsidRPr="006645DC" w:rsidRDefault="009549CE" w:rsidP="009549CE">
      <w:pPr>
        <w:pStyle w:val="Heading2"/>
        <w:rPr>
          <w:lang w:val="en-GB"/>
        </w:rPr>
        <w:sectPr w:rsidR="009549CE" w:rsidRPr="006645DC" w:rsidSect="00187E88">
          <w:pgSz w:w="12240" w:h="15840"/>
          <w:pgMar w:top="1440" w:right="1440" w:bottom="1440" w:left="1440" w:header="720" w:footer="720" w:gutter="0"/>
          <w:cols w:space="720"/>
          <w:docGrid w:linePitch="360"/>
        </w:sectPr>
      </w:pPr>
      <w:bookmarkStart w:id="108" w:name="_Toc371008810"/>
      <w:bookmarkStart w:id="109" w:name="_Toc373340826"/>
    </w:p>
    <w:p w14:paraId="44BD30DB" w14:textId="77777777" w:rsidR="009549CE" w:rsidRPr="006645DC" w:rsidRDefault="009549CE" w:rsidP="009549CE">
      <w:pPr>
        <w:pStyle w:val="Heading2"/>
        <w:rPr>
          <w:lang w:val="en-GB"/>
        </w:rPr>
      </w:pPr>
      <w:bookmarkStart w:id="110" w:name="_Toc376198448"/>
      <w:bookmarkStart w:id="111" w:name="_Toc254543761"/>
      <w:bookmarkStart w:id="112" w:name="_Toc391150166"/>
      <w:r w:rsidRPr="006645DC">
        <w:rPr>
          <w:lang w:val="en-GB"/>
        </w:rPr>
        <w:lastRenderedPageBreak/>
        <w:t>Challenges and needs</w:t>
      </w:r>
      <w:bookmarkEnd w:id="108"/>
      <w:bookmarkEnd w:id="109"/>
      <w:bookmarkEnd w:id="110"/>
      <w:bookmarkEnd w:id="111"/>
      <w:bookmarkEnd w:id="112"/>
    </w:p>
    <w:p w14:paraId="29082AE9" w14:textId="77777777" w:rsidR="009549CE" w:rsidRPr="006645DC" w:rsidRDefault="009549CE" w:rsidP="00C951D5">
      <w:pPr>
        <w:pStyle w:val="Heading3"/>
        <w:numPr>
          <w:ilvl w:val="0"/>
          <w:numId w:val="46"/>
        </w:numPr>
        <w:rPr>
          <w:color w:val="31849B"/>
          <w:lang w:val="en-GB"/>
        </w:rPr>
      </w:pPr>
      <w:bookmarkStart w:id="113" w:name="_Toc371008811"/>
      <w:bookmarkStart w:id="114" w:name="_Toc254543762"/>
      <w:r w:rsidRPr="006645DC">
        <w:rPr>
          <w:lang w:val="en-GB"/>
        </w:rPr>
        <w:t>Territorial challenges:</w:t>
      </w:r>
      <w:bookmarkEnd w:id="113"/>
      <w:bookmarkEnd w:id="114"/>
    </w:p>
    <w:p w14:paraId="3DA949D2" w14:textId="77777777" w:rsidR="00717722" w:rsidRPr="006645DC" w:rsidRDefault="00717722" w:rsidP="00717722">
      <w:pPr>
        <w:pStyle w:val="ListParagraph"/>
        <w:rPr>
          <w:lang w:val="en-GB"/>
        </w:rPr>
      </w:pPr>
      <w:r w:rsidRPr="006645DC">
        <w:rPr>
          <w:lang w:val="en-GB"/>
        </w:rPr>
        <w:t xml:space="preserve">Lack of links and collaboration between the education and the business sectors, outdated curricula or/and lack of training facilities. </w:t>
      </w:r>
    </w:p>
    <w:p w14:paraId="45A6BD02" w14:textId="77777777" w:rsidR="00717722" w:rsidRPr="006645DC" w:rsidRDefault="00717722" w:rsidP="00717722">
      <w:pPr>
        <w:pStyle w:val="ListParagraph"/>
        <w:rPr>
          <w:lang w:val="en-GB"/>
        </w:rPr>
      </w:pPr>
      <w:r w:rsidRPr="006645DC">
        <w:rPr>
          <w:lang w:val="en-GB"/>
        </w:rPr>
        <w:t xml:space="preserve">The activity rate is too low with many working-age persons needing training in order to be integrated on the labor market. </w:t>
      </w:r>
    </w:p>
    <w:p w14:paraId="114E849D" w14:textId="72E20F43" w:rsidR="00717722" w:rsidRPr="006645DC" w:rsidRDefault="00717722" w:rsidP="009549CE">
      <w:pPr>
        <w:pStyle w:val="ListParagraph"/>
        <w:rPr>
          <w:lang w:val="en-GB"/>
        </w:rPr>
      </w:pPr>
      <w:r w:rsidRPr="006645DC">
        <w:rPr>
          <w:lang w:val="en-GB"/>
        </w:rPr>
        <w:t>Lack of cross border mobility for goods and persons. Companies and people don’t take advantage of being in a cross border area and don’t even feel it as an opportunity to widen their markets or to have access to new jobs.</w:t>
      </w:r>
    </w:p>
    <w:p w14:paraId="3962EEF5" w14:textId="77777777" w:rsidR="009549CE" w:rsidRPr="006645DC" w:rsidRDefault="009549CE" w:rsidP="009549CE">
      <w:pPr>
        <w:pStyle w:val="ListParagraph"/>
        <w:rPr>
          <w:lang w:val="en-GB"/>
        </w:rPr>
      </w:pPr>
      <w:r w:rsidRPr="006645DC">
        <w:rPr>
          <w:lang w:val="en-GB"/>
        </w:rPr>
        <w:t xml:space="preserve">Low efficiency and competitiveness of many agricultural enterprises, with the main agricultural products being not processed (raw agricultural produce and not food).  </w:t>
      </w:r>
    </w:p>
    <w:p w14:paraId="2375FD54" w14:textId="77777777" w:rsidR="009549CE" w:rsidRPr="006645DC" w:rsidRDefault="009549CE" w:rsidP="009549CE">
      <w:pPr>
        <w:pStyle w:val="ListParagraph"/>
        <w:rPr>
          <w:lang w:val="en-GB"/>
        </w:rPr>
      </w:pPr>
      <w:r w:rsidRPr="006645DC">
        <w:rPr>
          <w:lang w:val="en-GB"/>
        </w:rPr>
        <w:t xml:space="preserve">A competitiveness structure highly vulnerable with a main comparative factor that is eroding: the low-labour cost factor. </w:t>
      </w:r>
    </w:p>
    <w:p w14:paraId="00844E92" w14:textId="77777777" w:rsidR="009549CE" w:rsidRPr="006645DC" w:rsidRDefault="009549CE" w:rsidP="009549CE">
      <w:pPr>
        <w:pStyle w:val="ListParagraph"/>
        <w:rPr>
          <w:lang w:val="en-GB"/>
        </w:rPr>
      </w:pPr>
      <w:r w:rsidRPr="006645DC">
        <w:rPr>
          <w:lang w:val="en-GB"/>
        </w:rPr>
        <w:t>Low labor productivity and its slow evolution.</w:t>
      </w:r>
    </w:p>
    <w:p w14:paraId="5E005411" w14:textId="77777777" w:rsidR="009549CE" w:rsidRPr="006645DC" w:rsidRDefault="009549CE" w:rsidP="009549CE">
      <w:pPr>
        <w:pStyle w:val="ListParagraph"/>
        <w:rPr>
          <w:lang w:val="en-GB"/>
        </w:rPr>
      </w:pPr>
      <w:r w:rsidRPr="006645DC">
        <w:rPr>
          <w:lang w:val="en-GB"/>
        </w:rPr>
        <w:t>Low level of innovation with R&amp;D infrastructure and personnel either isolated from businesses or not involved in applicative research (low development of clusters).</w:t>
      </w:r>
    </w:p>
    <w:p w14:paraId="4DA600CB" w14:textId="77777777" w:rsidR="009549CE" w:rsidRPr="006645DC" w:rsidRDefault="009549CE" w:rsidP="009549CE">
      <w:pPr>
        <w:pStyle w:val="ListParagraph"/>
        <w:rPr>
          <w:lang w:val="en-GB"/>
        </w:rPr>
      </w:pPr>
      <w:r w:rsidRPr="006645DC">
        <w:rPr>
          <w:lang w:val="en-GB"/>
        </w:rPr>
        <w:t xml:space="preserve">Support to IT-industry investments (IT services). Public-private partnerships should be built to increase the connection IT business-universities in the area. </w:t>
      </w:r>
    </w:p>
    <w:p w14:paraId="747945CF" w14:textId="77777777" w:rsidR="009549CE" w:rsidRPr="006645DC" w:rsidRDefault="009549CE" w:rsidP="009549CE">
      <w:pPr>
        <w:pStyle w:val="ListParagraph"/>
        <w:rPr>
          <w:lang w:val="en-GB"/>
        </w:rPr>
      </w:pPr>
      <w:r w:rsidRPr="006645DC">
        <w:rPr>
          <w:lang w:val="en-GB"/>
        </w:rPr>
        <w:t xml:space="preserve">Support to the diversification process of the regional economy. Tourism, while presenting an important potential, especially for the ports area but also all along the Danube, is under-developed with the exception of the seaside counties. Investments in tourism accessibility, information and urban renewal (urban centers, port areas, etc.) can prove to be strong catalysts of tourism development in an area not far from main urban tourism emitting areas (Bucharest, Sofia). </w:t>
      </w:r>
    </w:p>
    <w:p w14:paraId="6B77FCC6" w14:textId="77777777" w:rsidR="009549CE" w:rsidRPr="006645DC" w:rsidRDefault="009549CE" w:rsidP="009549CE">
      <w:pPr>
        <w:pStyle w:val="ListParagraph"/>
        <w:rPr>
          <w:lang w:val="en-GB"/>
        </w:rPr>
      </w:pPr>
      <w:r w:rsidRPr="006645DC">
        <w:rPr>
          <w:lang w:val="en-GB"/>
        </w:rPr>
        <w:t xml:space="preserve">The access to financing of companies is limited, especially after the economic crisis. The structuring of SMEs around cross-border territorial comparative advantages can improve their access to financing through better bankable business objectives. </w:t>
      </w:r>
    </w:p>
    <w:p w14:paraId="47729815" w14:textId="77777777" w:rsidR="009549CE" w:rsidRPr="006645DC" w:rsidRDefault="009549CE" w:rsidP="009549CE">
      <w:pPr>
        <w:pStyle w:val="ListParagraph"/>
        <w:rPr>
          <w:lang w:val="en-GB"/>
        </w:rPr>
      </w:pPr>
      <w:r w:rsidRPr="006645DC">
        <w:rPr>
          <w:lang w:val="en-GB"/>
        </w:rPr>
        <w:t xml:space="preserve">Low level of internationalization and low innovation and patent registration activity for cross border companies. </w:t>
      </w:r>
      <w:bookmarkStart w:id="115" w:name="_Toc371008812"/>
    </w:p>
    <w:p w14:paraId="1241481B" w14:textId="77777777" w:rsidR="009549CE" w:rsidRPr="006645DC" w:rsidRDefault="009549CE" w:rsidP="009549CE">
      <w:pPr>
        <w:pStyle w:val="ListParagraph"/>
        <w:rPr>
          <w:lang w:val="en-GB"/>
        </w:rPr>
        <w:sectPr w:rsidR="009549CE" w:rsidRPr="006645DC" w:rsidSect="00187E88">
          <w:pgSz w:w="12240" w:h="15840"/>
          <w:pgMar w:top="1440" w:right="1440" w:bottom="1440" w:left="1440" w:header="720" w:footer="720" w:gutter="0"/>
          <w:cols w:space="720"/>
          <w:docGrid w:linePitch="360"/>
        </w:sectPr>
      </w:pPr>
    </w:p>
    <w:p w14:paraId="6D77EB8E" w14:textId="77777777" w:rsidR="009549CE" w:rsidRPr="006645DC" w:rsidRDefault="009549CE" w:rsidP="009549CE">
      <w:pPr>
        <w:pStyle w:val="Heading3"/>
        <w:rPr>
          <w:lang w:val="en-GB"/>
        </w:rPr>
      </w:pPr>
      <w:bookmarkStart w:id="116" w:name="_Toc254543763"/>
      <w:r w:rsidRPr="006645DC">
        <w:rPr>
          <w:lang w:val="en-GB"/>
        </w:rPr>
        <w:lastRenderedPageBreak/>
        <w:t>Needs</w:t>
      </w:r>
      <w:bookmarkEnd w:id="115"/>
      <w:bookmarkEnd w:id="116"/>
    </w:p>
    <w:tbl>
      <w:tblPr>
        <w:tblW w:w="10522" w:type="dxa"/>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542"/>
        <w:gridCol w:w="6771"/>
        <w:gridCol w:w="615"/>
        <w:gridCol w:w="576"/>
        <w:gridCol w:w="652"/>
        <w:gridCol w:w="652"/>
        <w:gridCol w:w="714"/>
      </w:tblGrid>
      <w:tr w:rsidR="009549CE" w:rsidRPr="006645DC" w14:paraId="21E5E589" w14:textId="77777777" w:rsidTr="00393EB7">
        <w:trPr>
          <w:trHeight w:val="113"/>
          <w:jc w:val="center"/>
        </w:trPr>
        <w:tc>
          <w:tcPr>
            <w:tcW w:w="542" w:type="dxa"/>
            <w:vMerge w:val="restart"/>
            <w:shd w:val="clear" w:color="auto" w:fill="auto"/>
            <w:vAlign w:val="center"/>
          </w:tcPr>
          <w:p w14:paraId="2C9485D2" w14:textId="77777777" w:rsidR="009549CE" w:rsidRPr="006645DC" w:rsidRDefault="009549CE" w:rsidP="00393EB7">
            <w:pPr>
              <w:spacing w:before="0" w:after="0"/>
              <w:jc w:val="center"/>
              <w:rPr>
                <w:rFonts w:eastAsia="Times New Roman" w:cs="Calibri"/>
                <w:b/>
                <w:bCs/>
                <w:lang w:val="en-GB"/>
              </w:rPr>
            </w:pPr>
            <w:r w:rsidRPr="006645DC">
              <w:rPr>
                <w:rFonts w:eastAsia="Times New Roman" w:cs="Calibri"/>
                <w:b/>
                <w:bCs/>
                <w:lang w:val="en-GB"/>
              </w:rPr>
              <w:t>No.</w:t>
            </w:r>
          </w:p>
        </w:tc>
        <w:tc>
          <w:tcPr>
            <w:tcW w:w="6771" w:type="dxa"/>
            <w:vMerge w:val="restart"/>
            <w:shd w:val="clear" w:color="auto" w:fill="auto"/>
            <w:vAlign w:val="center"/>
          </w:tcPr>
          <w:p w14:paraId="58DE9E08" w14:textId="77777777" w:rsidR="009549CE" w:rsidRPr="006645DC" w:rsidRDefault="009549CE" w:rsidP="00393EB7">
            <w:pPr>
              <w:spacing w:before="0" w:after="0"/>
              <w:rPr>
                <w:rFonts w:eastAsia="Times New Roman" w:cs="Calibri"/>
                <w:b/>
                <w:bCs/>
                <w:lang w:val="en-GB"/>
              </w:rPr>
            </w:pPr>
            <w:r w:rsidRPr="006645DC">
              <w:rPr>
                <w:rFonts w:eastAsia="Times New Roman" w:cs="Calibri"/>
                <w:b/>
                <w:bCs/>
                <w:lang w:val="en-GB"/>
              </w:rPr>
              <w:t>Identified need</w:t>
            </w:r>
          </w:p>
        </w:tc>
        <w:tc>
          <w:tcPr>
            <w:tcW w:w="1191" w:type="dxa"/>
            <w:gridSpan w:val="2"/>
            <w:shd w:val="clear" w:color="auto" w:fill="auto"/>
            <w:vAlign w:val="center"/>
          </w:tcPr>
          <w:p w14:paraId="6F618374" w14:textId="77777777" w:rsidR="009549CE" w:rsidRPr="006645DC" w:rsidRDefault="009549CE" w:rsidP="00393EB7">
            <w:pPr>
              <w:spacing w:before="0" w:after="0"/>
              <w:jc w:val="center"/>
              <w:rPr>
                <w:rFonts w:eastAsia="Times New Roman" w:cs="Calibri"/>
                <w:b/>
                <w:bCs/>
                <w:lang w:val="en-GB"/>
              </w:rPr>
            </w:pPr>
            <w:r w:rsidRPr="006645DC">
              <w:rPr>
                <w:rFonts w:eastAsia="Times New Roman" w:cs="Calibri"/>
                <w:b/>
                <w:bCs/>
                <w:lang w:val="en-GB"/>
              </w:rPr>
              <w:t>Relevance for each national cross-border area</w:t>
            </w:r>
          </w:p>
        </w:tc>
        <w:tc>
          <w:tcPr>
            <w:tcW w:w="2018" w:type="dxa"/>
            <w:gridSpan w:val="3"/>
            <w:shd w:val="clear" w:color="auto" w:fill="auto"/>
            <w:vAlign w:val="center"/>
          </w:tcPr>
          <w:p w14:paraId="0AFCDE39" w14:textId="77777777" w:rsidR="009549CE" w:rsidRPr="006645DC" w:rsidRDefault="009549CE" w:rsidP="00393EB7">
            <w:pPr>
              <w:spacing w:before="0" w:after="0"/>
              <w:jc w:val="center"/>
              <w:rPr>
                <w:rFonts w:eastAsia="Times New Roman" w:cs="Calibri"/>
                <w:b/>
                <w:bCs/>
                <w:lang w:val="en-GB"/>
              </w:rPr>
            </w:pPr>
            <w:r w:rsidRPr="006645DC">
              <w:rPr>
                <w:rFonts w:eastAsia="Times New Roman" w:cs="Calibri"/>
                <w:b/>
                <w:bCs/>
                <w:lang w:val="en-GB"/>
              </w:rPr>
              <w:t>Relevance for the ERDF Thematic Objectives</w:t>
            </w:r>
          </w:p>
        </w:tc>
      </w:tr>
      <w:tr w:rsidR="009549CE" w:rsidRPr="006645DC" w14:paraId="7406167E" w14:textId="77777777" w:rsidTr="00393EB7">
        <w:trPr>
          <w:trHeight w:val="113"/>
          <w:jc w:val="center"/>
        </w:trPr>
        <w:tc>
          <w:tcPr>
            <w:tcW w:w="542" w:type="dxa"/>
            <w:vMerge/>
            <w:shd w:val="clear" w:color="auto" w:fill="auto"/>
            <w:vAlign w:val="center"/>
          </w:tcPr>
          <w:p w14:paraId="0BA36E6C" w14:textId="77777777" w:rsidR="009549CE" w:rsidRPr="006645DC" w:rsidRDefault="009549CE" w:rsidP="00393EB7">
            <w:pPr>
              <w:spacing w:before="0" w:after="0"/>
              <w:jc w:val="center"/>
              <w:rPr>
                <w:rFonts w:eastAsia="Times New Roman" w:cs="Calibri"/>
                <w:b/>
                <w:bCs/>
                <w:lang w:val="en-GB"/>
              </w:rPr>
            </w:pPr>
          </w:p>
        </w:tc>
        <w:tc>
          <w:tcPr>
            <w:tcW w:w="6771" w:type="dxa"/>
            <w:vMerge/>
            <w:shd w:val="clear" w:color="auto" w:fill="auto"/>
            <w:vAlign w:val="center"/>
          </w:tcPr>
          <w:p w14:paraId="17CFDAD0" w14:textId="77777777" w:rsidR="009549CE" w:rsidRPr="006645DC" w:rsidRDefault="009549CE" w:rsidP="00393EB7">
            <w:pPr>
              <w:spacing w:before="0" w:after="0"/>
              <w:rPr>
                <w:rFonts w:cs="Calibri"/>
                <w:lang w:val="en-GB"/>
              </w:rPr>
            </w:pPr>
          </w:p>
        </w:tc>
        <w:tc>
          <w:tcPr>
            <w:tcW w:w="615" w:type="dxa"/>
            <w:shd w:val="clear" w:color="auto" w:fill="auto"/>
            <w:vAlign w:val="center"/>
          </w:tcPr>
          <w:p w14:paraId="1C0A0C2C" w14:textId="77777777" w:rsidR="009549CE" w:rsidRPr="006645DC" w:rsidRDefault="009549CE" w:rsidP="00393EB7">
            <w:pPr>
              <w:spacing w:before="0" w:after="0"/>
              <w:jc w:val="center"/>
              <w:rPr>
                <w:rFonts w:cs="Calibri"/>
                <w:b/>
                <w:lang w:val="en-GB"/>
              </w:rPr>
            </w:pPr>
            <w:r w:rsidRPr="006645DC">
              <w:rPr>
                <w:rFonts w:cs="Calibri"/>
                <w:b/>
                <w:lang w:val="en-GB"/>
              </w:rPr>
              <w:t>RO</w:t>
            </w:r>
          </w:p>
        </w:tc>
        <w:tc>
          <w:tcPr>
            <w:tcW w:w="576" w:type="dxa"/>
            <w:shd w:val="clear" w:color="auto" w:fill="auto"/>
            <w:vAlign w:val="center"/>
          </w:tcPr>
          <w:p w14:paraId="4881A6B6" w14:textId="77777777" w:rsidR="009549CE" w:rsidRPr="006645DC" w:rsidRDefault="009549CE" w:rsidP="00393EB7">
            <w:pPr>
              <w:spacing w:before="0" w:after="0"/>
              <w:jc w:val="center"/>
              <w:rPr>
                <w:rFonts w:cs="Calibri"/>
                <w:b/>
                <w:lang w:val="en-GB"/>
              </w:rPr>
            </w:pPr>
            <w:r w:rsidRPr="006645DC">
              <w:rPr>
                <w:rFonts w:cs="Calibri"/>
                <w:b/>
                <w:lang w:val="en-GB"/>
              </w:rPr>
              <w:t>BG</w:t>
            </w:r>
          </w:p>
        </w:tc>
        <w:tc>
          <w:tcPr>
            <w:tcW w:w="652" w:type="dxa"/>
            <w:shd w:val="clear" w:color="auto" w:fill="auto"/>
            <w:vAlign w:val="center"/>
          </w:tcPr>
          <w:p w14:paraId="30E56CD5" w14:textId="77777777" w:rsidR="009549CE" w:rsidRPr="006645DC" w:rsidRDefault="009549CE" w:rsidP="00393EB7">
            <w:pPr>
              <w:spacing w:before="0" w:after="0"/>
              <w:jc w:val="center"/>
              <w:rPr>
                <w:rFonts w:cs="Calibri"/>
                <w:b/>
                <w:lang w:val="en-GB"/>
              </w:rPr>
            </w:pPr>
            <w:r w:rsidRPr="006645DC">
              <w:rPr>
                <w:rFonts w:cs="Calibri"/>
                <w:b/>
                <w:lang w:val="en-GB"/>
              </w:rPr>
              <w:t>TO1</w:t>
            </w:r>
          </w:p>
        </w:tc>
        <w:tc>
          <w:tcPr>
            <w:tcW w:w="652" w:type="dxa"/>
            <w:shd w:val="clear" w:color="auto" w:fill="auto"/>
            <w:vAlign w:val="center"/>
          </w:tcPr>
          <w:p w14:paraId="6C8D039D" w14:textId="77777777" w:rsidR="009549CE" w:rsidRPr="006645DC" w:rsidRDefault="009549CE" w:rsidP="00393EB7">
            <w:pPr>
              <w:spacing w:before="0" w:after="0"/>
              <w:jc w:val="center"/>
              <w:rPr>
                <w:rFonts w:cs="Calibri"/>
                <w:b/>
                <w:lang w:val="en-GB"/>
              </w:rPr>
            </w:pPr>
            <w:r w:rsidRPr="006645DC">
              <w:rPr>
                <w:rFonts w:cs="Calibri"/>
                <w:b/>
                <w:lang w:val="en-GB"/>
              </w:rPr>
              <w:t>TO3</w:t>
            </w:r>
          </w:p>
        </w:tc>
        <w:tc>
          <w:tcPr>
            <w:tcW w:w="714" w:type="dxa"/>
            <w:shd w:val="clear" w:color="auto" w:fill="auto"/>
            <w:vAlign w:val="center"/>
          </w:tcPr>
          <w:p w14:paraId="78D08EE0" w14:textId="77777777" w:rsidR="009549CE" w:rsidRPr="006645DC" w:rsidRDefault="009549CE" w:rsidP="00393EB7">
            <w:pPr>
              <w:spacing w:before="0" w:after="0"/>
              <w:jc w:val="center"/>
              <w:rPr>
                <w:rFonts w:cs="Calibri"/>
                <w:b/>
                <w:lang w:val="en-GB"/>
              </w:rPr>
            </w:pPr>
            <w:r w:rsidRPr="006645DC">
              <w:rPr>
                <w:rFonts w:cs="Calibri"/>
                <w:b/>
                <w:lang w:val="en-GB"/>
              </w:rPr>
              <w:t>TO8</w:t>
            </w:r>
          </w:p>
        </w:tc>
      </w:tr>
      <w:tr w:rsidR="00B66F8C" w:rsidRPr="006645DC" w14:paraId="4ABD05C5" w14:textId="77777777" w:rsidTr="00393EB7">
        <w:trPr>
          <w:trHeight w:val="113"/>
          <w:jc w:val="center"/>
        </w:trPr>
        <w:tc>
          <w:tcPr>
            <w:tcW w:w="542" w:type="dxa"/>
            <w:shd w:val="clear" w:color="auto" w:fill="auto"/>
            <w:vAlign w:val="center"/>
          </w:tcPr>
          <w:p w14:paraId="2899C800" w14:textId="192069D6" w:rsidR="00B66F8C" w:rsidRPr="006645DC" w:rsidRDefault="00717722" w:rsidP="00393EB7">
            <w:pPr>
              <w:spacing w:before="0" w:after="0"/>
              <w:jc w:val="center"/>
              <w:rPr>
                <w:rFonts w:eastAsia="Times New Roman" w:cs="Calibri"/>
                <w:b/>
                <w:bCs/>
                <w:lang w:val="en-GB"/>
              </w:rPr>
            </w:pPr>
            <w:r w:rsidRPr="006645DC">
              <w:rPr>
                <w:rFonts w:eastAsia="Times New Roman" w:cs="Calibri"/>
                <w:b/>
                <w:bCs/>
                <w:lang w:val="en-GB"/>
              </w:rPr>
              <w:t>1</w:t>
            </w:r>
          </w:p>
        </w:tc>
        <w:tc>
          <w:tcPr>
            <w:tcW w:w="6771" w:type="dxa"/>
            <w:shd w:val="clear" w:color="auto" w:fill="auto"/>
            <w:vAlign w:val="center"/>
          </w:tcPr>
          <w:p w14:paraId="2E9A74F4" w14:textId="77777777" w:rsidR="00B66F8C" w:rsidRPr="006645DC" w:rsidRDefault="00B66F8C" w:rsidP="00B66F8C">
            <w:pPr>
              <w:spacing w:before="0" w:after="0"/>
              <w:rPr>
                <w:rFonts w:cs="Calibri"/>
                <w:lang w:val="en-GB"/>
              </w:rPr>
            </w:pPr>
            <w:r w:rsidRPr="006645DC">
              <w:rPr>
                <w:rFonts w:asciiTheme="minorHAnsi" w:hAnsiTheme="minorHAnsi" w:cstheme="minorHAnsi"/>
                <w:lang w:val="en-GB"/>
              </w:rPr>
              <w:t>Promote the reintegration of the working-age population in the labour market, by training, support, exchanges of good practices, and awareness-raising actions.</w:t>
            </w:r>
          </w:p>
        </w:tc>
        <w:tc>
          <w:tcPr>
            <w:tcW w:w="615" w:type="dxa"/>
            <w:shd w:val="clear" w:color="auto" w:fill="auto"/>
            <w:vAlign w:val="center"/>
          </w:tcPr>
          <w:p w14:paraId="76857D05" w14:textId="77777777" w:rsidR="00B66F8C" w:rsidRPr="006645DC" w:rsidRDefault="00B66F8C" w:rsidP="00393EB7">
            <w:pPr>
              <w:spacing w:before="0" w:after="0"/>
              <w:jc w:val="center"/>
              <w:rPr>
                <w:rFonts w:cs="Calibri"/>
                <w:lang w:val="en-GB"/>
              </w:rPr>
            </w:pPr>
            <w:r w:rsidRPr="006645DC">
              <w:rPr>
                <w:rFonts w:cs="Calibri"/>
                <w:lang w:val="en-GB"/>
              </w:rPr>
              <w:t>+++</w:t>
            </w:r>
          </w:p>
        </w:tc>
        <w:tc>
          <w:tcPr>
            <w:tcW w:w="576" w:type="dxa"/>
            <w:shd w:val="clear" w:color="auto" w:fill="auto"/>
            <w:vAlign w:val="center"/>
          </w:tcPr>
          <w:p w14:paraId="7A1A147C" w14:textId="77777777" w:rsidR="00B66F8C" w:rsidRPr="006645DC" w:rsidRDefault="00B66F8C" w:rsidP="00393EB7">
            <w:pPr>
              <w:spacing w:before="0" w:after="0"/>
              <w:jc w:val="center"/>
              <w:rPr>
                <w:rFonts w:cs="Calibri"/>
                <w:lang w:val="en-GB"/>
              </w:rPr>
            </w:pPr>
            <w:r w:rsidRPr="006645DC">
              <w:rPr>
                <w:rFonts w:cs="Calibri"/>
                <w:lang w:val="en-GB"/>
              </w:rPr>
              <w:t>+++</w:t>
            </w:r>
          </w:p>
        </w:tc>
        <w:tc>
          <w:tcPr>
            <w:tcW w:w="652" w:type="dxa"/>
            <w:shd w:val="clear" w:color="auto" w:fill="auto"/>
            <w:vAlign w:val="center"/>
          </w:tcPr>
          <w:p w14:paraId="5590D9FF" w14:textId="77777777" w:rsidR="00B66F8C" w:rsidRPr="006645DC" w:rsidRDefault="00B66F8C" w:rsidP="00393EB7">
            <w:pPr>
              <w:spacing w:before="0" w:after="0"/>
              <w:jc w:val="center"/>
              <w:rPr>
                <w:rFonts w:cs="Calibri"/>
                <w:b/>
                <w:lang w:val="en-GB"/>
              </w:rPr>
            </w:pPr>
          </w:p>
        </w:tc>
        <w:tc>
          <w:tcPr>
            <w:tcW w:w="652" w:type="dxa"/>
            <w:shd w:val="clear" w:color="auto" w:fill="auto"/>
            <w:vAlign w:val="center"/>
          </w:tcPr>
          <w:p w14:paraId="3107FCB4" w14:textId="77777777" w:rsidR="00B66F8C" w:rsidRPr="006645DC" w:rsidRDefault="00B66F8C" w:rsidP="00393EB7">
            <w:pPr>
              <w:spacing w:before="0" w:after="0"/>
              <w:jc w:val="center"/>
              <w:rPr>
                <w:rFonts w:cs="Calibri"/>
                <w:b/>
                <w:lang w:val="en-GB"/>
              </w:rPr>
            </w:pPr>
          </w:p>
        </w:tc>
        <w:tc>
          <w:tcPr>
            <w:tcW w:w="714" w:type="dxa"/>
            <w:shd w:val="clear" w:color="auto" w:fill="auto"/>
            <w:vAlign w:val="center"/>
          </w:tcPr>
          <w:p w14:paraId="1A7662E7" w14:textId="77777777" w:rsidR="00B66F8C" w:rsidRPr="006645DC" w:rsidRDefault="00B66F8C" w:rsidP="00393EB7">
            <w:pPr>
              <w:spacing w:before="0" w:after="0"/>
              <w:jc w:val="center"/>
              <w:rPr>
                <w:rFonts w:cs="Calibri"/>
                <w:b/>
                <w:lang w:val="en-GB"/>
              </w:rPr>
            </w:pPr>
            <w:r w:rsidRPr="006645DC">
              <w:rPr>
                <w:rFonts w:cs="Calibri"/>
                <w:b/>
                <w:lang w:val="en-GB"/>
              </w:rPr>
              <w:t>√</w:t>
            </w:r>
          </w:p>
        </w:tc>
      </w:tr>
      <w:tr w:rsidR="009549CE" w:rsidRPr="006645DC" w14:paraId="6653DFB9" w14:textId="77777777" w:rsidTr="00393EB7">
        <w:trPr>
          <w:trHeight w:val="113"/>
          <w:jc w:val="center"/>
        </w:trPr>
        <w:tc>
          <w:tcPr>
            <w:tcW w:w="542" w:type="dxa"/>
            <w:shd w:val="clear" w:color="auto" w:fill="auto"/>
            <w:vAlign w:val="center"/>
          </w:tcPr>
          <w:p w14:paraId="509325D7" w14:textId="1E7FD8AA" w:rsidR="009549CE" w:rsidRPr="006645DC" w:rsidRDefault="00717722" w:rsidP="00393EB7">
            <w:pPr>
              <w:spacing w:before="0" w:after="0"/>
              <w:jc w:val="center"/>
              <w:rPr>
                <w:rFonts w:eastAsia="Times New Roman" w:cs="Calibri"/>
                <w:b/>
                <w:bCs/>
                <w:lang w:val="en-GB"/>
              </w:rPr>
            </w:pPr>
            <w:r w:rsidRPr="006645DC">
              <w:rPr>
                <w:rFonts w:eastAsia="Times New Roman" w:cs="Calibri"/>
                <w:b/>
                <w:bCs/>
                <w:lang w:val="en-GB"/>
              </w:rPr>
              <w:t>2</w:t>
            </w:r>
          </w:p>
        </w:tc>
        <w:tc>
          <w:tcPr>
            <w:tcW w:w="6771" w:type="dxa"/>
            <w:shd w:val="clear" w:color="auto" w:fill="auto"/>
            <w:vAlign w:val="center"/>
          </w:tcPr>
          <w:p w14:paraId="381F89B0" w14:textId="567E7A37" w:rsidR="009549CE" w:rsidRPr="006645DC" w:rsidRDefault="009549CE" w:rsidP="00C367E2">
            <w:pPr>
              <w:spacing w:before="0" w:after="0"/>
              <w:rPr>
                <w:rFonts w:cs="Calibri"/>
                <w:lang w:val="en-GB"/>
              </w:rPr>
            </w:pPr>
            <w:r w:rsidRPr="006645DC">
              <w:rPr>
                <w:rFonts w:cs="Calibri"/>
                <w:lang w:val="en-GB"/>
              </w:rPr>
              <w:t xml:space="preserve">The development of </w:t>
            </w:r>
            <w:r w:rsidR="00C367E2">
              <w:rPr>
                <w:rFonts w:cs="Calibri"/>
                <w:lang w:val="en-GB"/>
              </w:rPr>
              <w:t>cross border links between the local SMEs in order to widen their markets and find new collaboration opportunities</w:t>
            </w:r>
            <w:r w:rsidRPr="006645DC">
              <w:rPr>
                <w:rFonts w:cs="Calibri"/>
                <w:lang w:val="en-GB"/>
              </w:rPr>
              <w:t xml:space="preserve"> </w:t>
            </w:r>
          </w:p>
        </w:tc>
        <w:tc>
          <w:tcPr>
            <w:tcW w:w="615" w:type="dxa"/>
            <w:shd w:val="clear" w:color="auto" w:fill="auto"/>
            <w:vAlign w:val="center"/>
          </w:tcPr>
          <w:p w14:paraId="2CF203F3" w14:textId="77777777" w:rsidR="009549CE" w:rsidRPr="006645DC" w:rsidRDefault="009549CE" w:rsidP="00393EB7">
            <w:pPr>
              <w:spacing w:before="0" w:after="0"/>
              <w:jc w:val="center"/>
              <w:rPr>
                <w:rFonts w:cs="Calibri"/>
                <w:lang w:val="en-GB"/>
              </w:rPr>
            </w:pPr>
            <w:r w:rsidRPr="006645DC">
              <w:rPr>
                <w:rFonts w:cs="Calibri"/>
                <w:lang w:val="en-GB"/>
              </w:rPr>
              <w:t>+++</w:t>
            </w:r>
          </w:p>
        </w:tc>
        <w:tc>
          <w:tcPr>
            <w:tcW w:w="576" w:type="dxa"/>
            <w:shd w:val="clear" w:color="auto" w:fill="auto"/>
            <w:vAlign w:val="center"/>
          </w:tcPr>
          <w:p w14:paraId="5B8E410A" w14:textId="77777777" w:rsidR="009549CE" w:rsidRPr="006645DC" w:rsidRDefault="009549CE" w:rsidP="00393EB7">
            <w:pPr>
              <w:spacing w:before="0" w:after="0"/>
              <w:jc w:val="center"/>
              <w:rPr>
                <w:rFonts w:cs="Calibri"/>
                <w:lang w:val="en-GB"/>
              </w:rPr>
            </w:pPr>
            <w:r w:rsidRPr="006645DC">
              <w:rPr>
                <w:rFonts w:cs="Calibri"/>
                <w:lang w:val="en-GB"/>
              </w:rPr>
              <w:t>+++</w:t>
            </w:r>
          </w:p>
        </w:tc>
        <w:tc>
          <w:tcPr>
            <w:tcW w:w="652" w:type="dxa"/>
            <w:shd w:val="clear" w:color="auto" w:fill="auto"/>
            <w:vAlign w:val="center"/>
          </w:tcPr>
          <w:p w14:paraId="7B620C93" w14:textId="77777777" w:rsidR="009549CE" w:rsidRPr="006645DC" w:rsidRDefault="009549CE" w:rsidP="00393EB7">
            <w:pPr>
              <w:spacing w:before="0" w:after="0"/>
              <w:jc w:val="center"/>
              <w:rPr>
                <w:rFonts w:cs="Calibri"/>
                <w:b/>
                <w:lang w:val="en-GB"/>
              </w:rPr>
            </w:pPr>
          </w:p>
        </w:tc>
        <w:tc>
          <w:tcPr>
            <w:tcW w:w="652" w:type="dxa"/>
            <w:shd w:val="clear" w:color="auto" w:fill="auto"/>
            <w:vAlign w:val="center"/>
          </w:tcPr>
          <w:p w14:paraId="7B894B79" w14:textId="77777777" w:rsidR="009549CE" w:rsidRPr="006645DC" w:rsidRDefault="009549CE" w:rsidP="00393EB7">
            <w:pPr>
              <w:spacing w:before="0" w:after="0"/>
              <w:jc w:val="center"/>
              <w:rPr>
                <w:rFonts w:cs="Calibri"/>
                <w:b/>
                <w:lang w:val="en-GB"/>
              </w:rPr>
            </w:pPr>
            <w:r w:rsidRPr="006645DC">
              <w:rPr>
                <w:rFonts w:cs="Calibri"/>
                <w:b/>
                <w:lang w:val="en-GB"/>
              </w:rPr>
              <w:t>√</w:t>
            </w:r>
          </w:p>
        </w:tc>
        <w:tc>
          <w:tcPr>
            <w:tcW w:w="714" w:type="dxa"/>
            <w:shd w:val="clear" w:color="auto" w:fill="auto"/>
            <w:vAlign w:val="center"/>
          </w:tcPr>
          <w:p w14:paraId="5D216CB2" w14:textId="77777777" w:rsidR="009549CE" w:rsidRPr="006645DC" w:rsidRDefault="009549CE" w:rsidP="00393EB7">
            <w:pPr>
              <w:spacing w:before="0" w:after="0"/>
              <w:jc w:val="center"/>
              <w:rPr>
                <w:rFonts w:cs="Calibri"/>
                <w:b/>
                <w:lang w:val="en-GB"/>
              </w:rPr>
            </w:pPr>
            <w:r w:rsidRPr="006645DC">
              <w:rPr>
                <w:rFonts w:cs="Calibri"/>
                <w:b/>
                <w:lang w:val="en-GB"/>
              </w:rPr>
              <w:t>√</w:t>
            </w:r>
          </w:p>
        </w:tc>
      </w:tr>
      <w:tr w:rsidR="009549CE" w:rsidRPr="006645DC" w14:paraId="503404B5" w14:textId="77777777" w:rsidTr="00393EB7">
        <w:trPr>
          <w:trHeight w:val="113"/>
          <w:jc w:val="center"/>
        </w:trPr>
        <w:tc>
          <w:tcPr>
            <w:tcW w:w="542" w:type="dxa"/>
            <w:shd w:val="clear" w:color="auto" w:fill="auto"/>
            <w:vAlign w:val="center"/>
          </w:tcPr>
          <w:p w14:paraId="3ABAAE19" w14:textId="227FFDAF" w:rsidR="009549CE" w:rsidRPr="006645DC" w:rsidRDefault="00717722" w:rsidP="00393EB7">
            <w:pPr>
              <w:spacing w:before="0" w:after="0"/>
              <w:jc w:val="center"/>
              <w:rPr>
                <w:rFonts w:eastAsia="Times New Roman" w:cs="Calibri"/>
                <w:b/>
                <w:bCs/>
                <w:lang w:val="en-GB"/>
              </w:rPr>
            </w:pPr>
            <w:r w:rsidRPr="006645DC">
              <w:rPr>
                <w:rFonts w:eastAsia="Times New Roman" w:cs="Calibri"/>
                <w:b/>
                <w:bCs/>
                <w:lang w:val="en-GB"/>
              </w:rPr>
              <w:t>3</w:t>
            </w:r>
          </w:p>
        </w:tc>
        <w:tc>
          <w:tcPr>
            <w:tcW w:w="6771" w:type="dxa"/>
            <w:shd w:val="clear" w:color="auto" w:fill="auto"/>
            <w:vAlign w:val="center"/>
          </w:tcPr>
          <w:p w14:paraId="26B5D285" w14:textId="77777777" w:rsidR="009549CE" w:rsidRPr="006645DC" w:rsidRDefault="009549CE" w:rsidP="00393EB7">
            <w:pPr>
              <w:spacing w:before="0" w:after="0"/>
              <w:rPr>
                <w:rFonts w:cs="Calibri"/>
                <w:lang w:val="en-GB"/>
              </w:rPr>
            </w:pPr>
            <w:r w:rsidRPr="006645DC">
              <w:rPr>
                <w:rFonts w:cs="Calibri"/>
                <w:lang w:val="en-GB"/>
              </w:rPr>
              <w:t xml:space="preserve">Encouraging the linkage of the existing research infrastructure and the business sector through cross-border clustering </w:t>
            </w:r>
          </w:p>
        </w:tc>
        <w:tc>
          <w:tcPr>
            <w:tcW w:w="615" w:type="dxa"/>
            <w:shd w:val="clear" w:color="auto" w:fill="auto"/>
            <w:vAlign w:val="center"/>
          </w:tcPr>
          <w:p w14:paraId="2859FF33" w14:textId="77777777" w:rsidR="009549CE" w:rsidRPr="006645DC" w:rsidRDefault="009549CE" w:rsidP="00393EB7">
            <w:pPr>
              <w:spacing w:before="0" w:after="0"/>
              <w:jc w:val="center"/>
              <w:rPr>
                <w:rFonts w:cs="Calibri"/>
                <w:lang w:val="en-GB"/>
              </w:rPr>
            </w:pPr>
            <w:r w:rsidRPr="006645DC">
              <w:rPr>
                <w:rFonts w:cs="Calibri"/>
                <w:lang w:val="en-GB"/>
              </w:rPr>
              <w:t>++</w:t>
            </w:r>
          </w:p>
        </w:tc>
        <w:tc>
          <w:tcPr>
            <w:tcW w:w="576" w:type="dxa"/>
            <w:shd w:val="clear" w:color="auto" w:fill="auto"/>
            <w:vAlign w:val="center"/>
          </w:tcPr>
          <w:p w14:paraId="1FA01AED" w14:textId="77777777" w:rsidR="009549CE" w:rsidRPr="006645DC" w:rsidRDefault="009549CE" w:rsidP="00393EB7">
            <w:pPr>
              <w:spacing w:before="0" w:after="0"/>
              <w:jc w:val="center"/>
              <w:rPr>
                <w:rFonts w:cs="Calibri"/>
                <w:lang w:val="en-GB"/>
              </w:rPr>
            </w:pPr>
            <w:r w:rsidRPr="006645DC">
              <w:rPr>
                <w:rFonts w:cs="Calibri"/>
                <w:lang w:val="en-GB"/>
              </w:rPr>
              <w:t>++</w:t>
            </w:r>
          </w:p>
        </w:tc>
        <w:tc>
          <w:tcPr>
            <w:tcW w:w="652" w:type="dxa"/>
            <w:shd w:val="clear" w:color="auto" w:fill="auto"/>
            <w:vAlign w:val="center"/>
          </w:tcPr>
          <w:p w14:paraId="5C35AFF1" w14:textId="77777777" w:rsidR="009549CE" w:rsidRPr="006645DC" w:rsidRDefault="009549CE" w:rsidP="00393EB7">
            <w:pPr>
              <w:spacing w:before="0" w:after="0"/>
              <w:jc w:val="center"/>
              <w:rPr>
                <w:rFonts w:cs="Calibri"/>
                <w:b/>
                <w:lang w:val="en-GB"/>
              </w:rPr>
            </w:pPr>
            <w:r w:rsidRPr="006645DC">
              <w:rPr>
                <w:rFonts w:cs="Calibri"/>
                <w:b/>
                <w:lang w:val="en-GB"/>
              </w:rPr>
              <w:t>√</w:t>
            </w:r>
          </w:p>
        </w:tc>
        <w:tc>
          <w:tcPr>
            <w:tcW w:w="652" w:type="dxa"/>
            <w:shd w:val="clear" w:color="auto" w:fill="auto"/>
            <w:vAlign w:val="center"/>
          </w:tcPr>
          <w:p w14:paraId="12AB9316" w14:textId="77777777" w:rsidR="009549CE" w:rsidRPr="006645DC" w:rsidRDefault="009549CE" w:rsidP="00393EB7">
            <w:pPr>
              <w:spacing w:before="0" w:after="0"/>
              <w:jc w:val="center"/>
              <w:rPr>
                <w:rFonts w:cs="Calibri"/>
                <w:b/>
                <w:lang w:val="en-GB"/>
              </w:rPr>
            </w:pPr>
            <w:r w:rsidRPr="006645DC">
              <w:rPr>
                <w:rFonts w:cs="Calibri"/>
                <w:b/>
                <w:lang w:val="en-GB"/>
              </w:rPr>
              <w:t>√</w:t>
            </w:r>
          </w:p>
        </w:tc>
        <w:tc>
          <w:tcPr>
            <w:tcW w:w="714" w:type="dxa"/>
            <w:shd w:val="clear" w:color="auto" w:fill="auto"/>
            <w:vAlign w:val="center"/>
          </w:tcPr>
          <w:p w14:paraId="5B3660FF" w14:textId="092E6656" w:rsidR="009549CE" w:rsidRPr="006645DC" w:rsidRDefault="006328DB" w:rsidP="00393EB7">
            <w:pPr>
              <w:spacing w:before="0" w:after="0"/>
              <w:jc w:val="center"/>
              <w:rPr>
                <w:rFonts w:cs="Calibri"/>
                <w:b/>
                <w:lang w:val="en-GB"/>
              </w:rPr>
            </w:pPr>
            <w:r w:rsidRPr="006645DC">
              <w:rPr>
                <w:rFonts w:cs="Calibri"/>
                <w:b/>
                <w:lang w:val="en-GB"/>
              </w:rPr>
              <w:t>√</w:t>
            </w:r>
          </w:p>
        </w:tc>
      </w:tr>
      <w:tr w:rsidR="009549CE" w:rsidRPr="006645DC" w14:paraId="0C669179" w14:textId="77777777" w:rsidTr="00393EB7">
        <w:trPr>
          <w:trHeight w:val="113"/>
          <w:jc w:val="center"/>
        </w:trPr>
        <w:tc>
          <w:tcPr>
            <w:tcW w:w="542" w:type="dxa"/>
            <w:shd w:val="clear" w:color="auto" w:fill="auto"/>
            <w:vAlign w:val="center"/>
          </w:tcPr>
          <w:p w14:paraId="76A56712" w14:textId="172E9C52" w:rsidR="009549CE" w:rsidRPr="006645DC" w:rsidRDefault="00717722" w:rsidP="00393EB7">
            <w:pPr>
              <w:spacing w:before="0" w:after="0"/>
              <w:jc w:val="center"/>
              <w:rPr>
                <w:rFonts w:cs="Calibri"/>
                <w:b/>
                <w:lang w:val="en-GB"/>
              </w:rPr>
            </w:pPr>
            <w:r w:rsidRPr="006645DC">
              <w:rPr>
                <w:rFonts w:eastAsia="Times New Roman" w:cs="Calibri"/>
                <w:b/>
                <w:bCs/>
                <w:lang w:val="en-GB"/>
              </w:rPr>
              <w:t>4</w:t>
            </w:r>
          </w:p>
        </w:tc>
        <w:tc>
          <w:tcPr>
            <w:tcW w:w="6771" w:type="dxa"/>
            <w:shd w:val="clear" w:color="auto" w:fill="auto"/>
            <w:vAlign w:val="center"/>
          </w:tcPr>
          <w:p w14:paraId="42701D24" w14:textId="77777777" w:rsidR="009549CE" w:rsidRPr="006645DC" w:rsidRDefault="009549CE" w:rsidP="00393EB7">
            <w:pPr>
              <w:spacing w:before="0" w:after="0"/>
              <w:rPr>
                <w:rFonts w:cs="Calibri"/>
                <w:lang w:val="en-GB"/>
              </w:rPr>
            </w:pPr>
            <w:r w:rsidRPr="006645DC">
              <w:rPr>
                <w:rFonts w:cs="Calibri"/>
                <w:lang w:val="en-GB"/>
              </w:rPr>
              <w:t>Encourage smart specialization of the cross-border region in specific sectors (such as bio-food, eco-tourism, creative industries, ICT, logistics)</w:t>
            </w:r>
          </w:p>
        </w:tc>
        <w:tc>
          <w:tcPr>
            <w:tcW w:w="615" w:type="dxa"/>
            <w:shd w:val="clear" w:color="auto" w:fill="auto"/>
            <w:vAlign w:val="center"/>
          </w:tcPr>
          <w:p w14:paraId="621AD4CE" w14:textId="77777777" w:rsidR="009549CE" w:rsidRPr="006645DC" w:rsidRDefault="009549CE" w:rsidP="00393EB7">
            <w:pPr>
              <w:spacing w:before="0" w:after="0"/>
              <w:jc w:val="center"/>
              <w:rPr>
                <w:rFonts w:cs="Calibri"/>
                <w:lang w:val="en-GB"/>
              </w:rPr>
            </w:pPr>
            <w:r w:rsidRPr="006645DC">
              <w:rPr>
                <w:rFonts w:cs="Calibri"/>
                <w:lang w:val="en-GB"/>
              </w:rPr>
              <w:t>+++</w:t>
            </w:r>
          </w:p>
        </w:tc>
        <w:tc>
          <w:tcPr>
            <w:tcW w:w="576" w:type="dxa"/>
            <w:shd w:val="clear" w:color="auto" w:fill="auto"/>
            <w:vAlign w:val="center"/>
          </w:tcPr>
          <w:p w14:paraId="3A62BDCD" w14:textId="77777777" w:rsidR="009549CE" w:rsidRPr="006645DC" w:rsidRDefault="009549CE" w:rsidP="00393EB7">
            <w:pPr>
              <w:spacing w:before="0" w:after="0"/>
              <w:jc w:val="center"/>
              <w:rPr>
                <w:rFonts w:cs="Calibri"/>
                <w:lang w:val="en-GB"/>
              </w:rPr>
            </w:pPr>
            <w:r w:rsidRPr="006645DC">
              <w:rPr>
                <w:rFonts w:cs="Calibri"/>
                <w:lang w:val="en-GB"/>
              </w:rPr>
              <w:t>+++</w:t>
            </w:r>
          </w:p>
        </w:tc>
        <w:tc>
          <w:tcPr>
            <w:tcW w:w="652" w:type="dxa"/>
            <w:shd w:val="clear" w:color="auto" w:fill="auto"/>
            <w:vAlign w:val="center"/>
          </w:tcPr>
          <w:p w14:paraId="79182894" w14:textId="77777777" w:rsidR="009549CE" w:rsidRPr="006645DC" w:rsidRDefault="009549CE" w:rsidP="00393EB7">
            <w:pPr>
              <w:spacing w:before="0" w:after="0"/>
              <w:jc w:val="center"/>
              <w:rPr>
                <w:rFonts w:cs="Calibri"/>
                <w:b/>
                <w:lang w:val="en-GB"/>
              </w:rPr>
            </w:pPr>
            <w:r w:rsidRPr="006645DC">
              <w:rPr>
                <w:rFonts w:cs="Calibri"/>
                <w:b/>
                <w:lang w:val="en-GB"/>
              </w:rPr>
              <w:t>√</w:t>
            </w:r>
          </w:p>
        </w:tc>
        <w:tc>
          <w:tcPr>
            <w:tcW w:w="652" w:type="dxa"/>
            <w:shd w:val="clear" w:color="auto" w:fill="auto"/>
            <w:vAlign w:val="center"/>
          </w:tcPr>
          <w:p w14:paraId="2ED99E11" w14:textId="77777777" w:rsidR="009549CE" w:rsidRPr="006645DC" w:rsidRDefault="009549CE" w:rsidP="00393EB7">
            <w:pPr>
              <w:spacing w:before="0" w:after="0"/>
              <w:jc w:val="center"/>
              <w:rPr>
                <w:rFonts w:cs="Calibri"/>
                <w:b/>
                <w:lang w:val="en-GB"/>
              </w:rPr>
            </w:pPr>
            <w:r w:rsidRPr="006645DC">
              <w:rPr>
                <w:rFonts w:cs="Calibri"/>
                <w:b/>
                <w:lang w:val="en-GB"/>
              </w:rPr>
              <w:t>√</w:t>
            </w:r>
          </w:p>
        </w:tc>
        <w:tc>
          <w:tcPr>
            <w:tcW w:w="714" w:type="dxa"/>
            <w:shd w:val="clear" w:color="auto" w:fill="auto"/>
            <w:vAlign w:val="center"/>
          </w:tcPr>
          <w:p w14:paraId="6D91C605" w14:textId="77777777" w:rsidR="009549CE" w:rsidRPr="006645DC" w:rsidRDefault="009549CE" w:rsidP="00393EB7">
            <w:pPr>
              <w:spacing w:before="0" w:after="0"/>
              <w:jc w:val="center"/>
              <w:rPr>
                <w:rFonts w:cs="Calibri"/>
                <w:b/>
                <w:lang w:val="en-GB"/>
              </w:rPr>
            </w:pPr>
            <w:r w:rsidRPr="006645DC">
              <w:rPr>
                <w:rFonts w:cs="Calibri"/>
                <w:b/>
                <w:lang w:val="en-GB"/>
              </w:rPr>
              <w:t>√</w:t>
            </w:r>
          </w:p>
        </w:tc>
      </w:tr>
      <w:tr w:rsidR="009549CE" w:rsidRPr="006645DC" w14:paraId="3A533055" w14:textId="77777777" w:rsidTr="00393EB7">
        <w:trPr>
          <w:trHeight w:val="113"/>
          <w:jc w:val="center"/>
        </w:trPr>
        <w:tc>
          <w:tcPr>
            <w:tcW w:w="542" w:type="dxa"/>
            <w:shd w:val="clear" w:color="auto" w:fill="auto"/>
            <w:vAlign w:val="center"/>
          </w:tcPr>
          <w:p w14:paraId="55E798E9" w14:textId="29244B63" w:rsidR="009549CE" w:rsidRPr="006645DC" w:rsidRDefault="00717722" w:rsidP="00393EB7">
            <w:pPr>
              <w:spacing w:before="0" w:after="0"/>
              <w:jc w:val="center"/>
              <w:rPr>
                <w:rFonts w:eastAsia="Times New Roman" w:cs="Calibri"/>
                <w:b/>
                <w:bCs/>
                <w:lang w:val="en-GB"/>
              </w:rPr>
            </w:pPr>
            <w:r w:rsidRPr="006645DC">
              <w:rPr>
                <w:rFonts w:eastAsia="Times New Roman" w:cs="Calibri"/>
                <w:b/>
                <w:bCs/>
                <w:lang w:val="en-GB"/>
              </w:rPr>
              <w:t>5</w:t>
            </w:r>
          </w:p>
        </w:tc>
        <w:tc>
          <w:tcPr>
            <w:tcW w:w="6771" w:type="dxa"/>
            <w:shd w:val="clear" w:color="auto" w:fill="auto"/>
            <w:vAlign w:val="center"/>
          </w:tcPr>
          <w:p w14:paraId="30E20733" w14:textId="77777777" w:rsidR="009549CE" w:rsidRPr="006645DC" w:rsidRDefault="009549CE" w:rsidP="00393EB7">
            <w:pPr>
              <w:spacing w:before="0" w:after="0"/>
              <w:rPr>
                <w:rFonts w:cs="Calibri"/>
                <w:lang w:val="en-GB"/>
              </w:rPr>
            </w:pPr>
            <w:r w:rsidRPr="006645DC">
              <w:rPr>
                <w:rFonts w:cs="Calibri"/>
                <w:lang w:val="en-GB"/>
              </w:rPr>
              <w:t>Adopt best practices in terms of local business regulations that encourage the efficient market selection of comparative-advantage economic sectors for the cross-border area</w:t>
            </w:r>
          </w:p>
        </w:tc>
        <w:tc>
          <w:tcPr>
            <w:tcW w:w="615" w:type="dxa"/>
            <w:shd w:val="clear" w:color="auto" w:fill="auto"/>
            <w:vAlign w:val="center"/>
          </w:tcPr>
          <w:p w14:paraId="6A3B0039" w14:textId="77777777" w:rsidR="009549CE" w:rsidRPr="006645DC" w:rsidRDefault="009549CE" w:rsidP="00393EB7">
            <w:pPr>
              <w:spacing w:before="0" w:after="0"/>
              <w:jc w:val="center"/>
              <w:rPr>
                <w:rFonts w:cs="Calibri"/>
                <w:lang w:val="en-GB"/>
              </w:rPr>
            </w:pPr>
            <w:r w:rsidRPr="006645DC">
              <w:rPr>
                <w:rFonts w:cs="Calibri"/>
                <w:lang w:val="en-GB"/>
              </w:rPr>
              <w:t>++</w:t>
            </w:r>
          </w:p>
        </w:tc>
        <w:tc>
          <w:tcPr>
            <w:tcW w:w="576" w:type="dxa"/>
            <w:shd w:val="clear" w:color="auto" w:fill="auto"/>
            <w:vAlign w:val="center"/>
          </w:tcPr>
          <w:p w14:paraId="74847C98" w14:textId="77777777" w:rsidR="009549CE" w:rsidRPr="006645DC" w:rsidRDefault="009549CE" w:rsidP="00393EB7">
            <w:pPr>
              <w:spacing w:before="0" w:after="0"/>
              <w:jc w:val="center"/>
              <w:rPr>
                <w:rFonts w:cs="Calibri"/>
                <w:lang w:val="en-GB"/>
              </w:rPr>
            </w:pPr>
            <w:r w:rsidRPr="006645DC">
              <w:rPr>
                <w:rFonts w:cs="Calibri"/>
                <w:lang w:val="en-GB"/>
              </w:rPr>
              <w:t>++</w:t>
            </w:r>
          </w:p>
        </w:tc>
        <w:tc>
          <w:tcPr>
            <w:tcW w:w="652" w:type="dxa"/>
            <w:shd w:val="clear" w:color="auto" w:fill="auto"/>
            <w:vAlign w:val="center"/>
          </w:tcPr>
          <w:p w14:paraId="19ACD705" w14:textId="77777777" w:rsidR="009549CE" w:rsidRPr="006645DC" w:rsidRDefault="009549CE" w:rsidP="00393EB7">
            <w:pPr>
              <w:spacing w:before="0" w:after="0"/>
              <w:jc w:val="center"/>
              <w:rPr>
                <w:rFonts w:cs="Calibri"/>
                <w:b/>
                <w:lang w:val="en-GB"/>
              </w:rPr>
            </w:pPr>
          </w:p>
        </w:tc>
        <w:tc>
          <w:tcPr>
            <w:tcW w:w="652" w:type="dxa"/>
            <w:shd w:val="clear" w:color="auto" w:fill="auto"/>
            <w:vAlign w:val="center"/>
          </w:tcPr>
          <w:p w14:paraId="16C1A1C7" w14:textId="543A35AF" w:rsidR="009549CE" w:rsidRPr="006645DC" w:rsidRDefault="009549CE" w:rsidP="00393EB7">
            <w:pPr>
              <w:spacing w:before="0" w:after="0"/>
              <w:jc w:val="center"/>
              <w:rPr>
                <w:rFonts w:cs="Calibri"/>
                <w:b/>
                <w:lang w:val="en-GB"/>
              </w:rPr>
            </w:pPr>
          </w:p>
        </w:tc>
        <w:tc>
          <w:tcPr>
            <w:tcW w:w="714" w:type="dxa"/>
            <w:shd w:val="clear" w:color="auto" w:fill="auto"/>
            <w:vAlign w:val="center"/>
          </w:tcPr>
          <w:p w14:paraId="1D68034C" w14:textId="77777777" w:rsidR="009549CE" w:rsidRPr="006645DC" w:rsidRDefault="009549CE" w:rsidP="00393EB7">
            <w:pPr>
              <w:spacing w:before="0" w:after="0"/>
              <w:jc w:val="center"/>
              <w:rPr>
                <w:rFonts w:cs="Calibri"/>
                <w:b/>
                <w:lang w:val="en-GB"/>
              </w:rPr>
            </w:pPr>
            <w:r w:rsidRPr="006645DC">
              <w:rPr>
                <w:rFonts w:cs="Calibri"/>
                <w:b/>
                <w:lang w:val="en-GB"/>
              </w:rPr>
              <w:t>√</w:t>
            </w:r>
          </w:p>
        </w:tc>
      </w:tr>
      <w:tr w:rsidR="009549CE" w:rsidRPr="006645DC" w14:paraId="55C63E32" w14:textId="77777777" w:rsidTr="00393EB7">
        <w:trPr>
          <w:trHeight w:val="113"/>
          <w:jc w:val="center"/>
        </w:trPr>
        <w:tc>
          <w:tcPr>
            <w:tcW w:w="542" w:type="dxa"/>
            <w:shd w:val="clear" w:color="auto" w:fill="auto"/>
            <w:vAlign w:val="center"/>
          </w:tcPr>
          <w:p w14:paraId="24720FC9" w14:textId="1A29D384" w:rsidR="009549CE" w:rsidRPr="006645DC" w:rsidRDefault="00717722" w:rsidP="00393EB7">
            <w:pPr>
              <w:spacing w:before="0" w:after="0"/>
              <w:jc w:val="center"/>
              <w:rPr>
                <w:rFonts w:eastAsia="Times New Roman" w:cs="Calibri"/>
                <w:b/>
                <w:bCs/>
                <w:lang w:val="en-GB"/>
              </w:rPr>
            </w:pPr>
            <w:r w:rsidRPr="006645DC">
              <w:rPr>
                <w:rFonts w:eastAsia="Times New Roman" w:cs="Calibri"/>
                <w:b/>
                <w:bCs/>
                <w:lang w:val="en-GB"/>
              </w:rPr>
              <w:t>6</w:t>
            </w:r>
          </w:p>
        </w:tc>
        <w:tc>
          <w:tcPr>
            <w:tcW w:w="6771" w:type="dxa"/>
            <w:shd w:val="clear" w:color="auto" w:fill="auto"/>
            <w:vAlign w:val="center"/>
          </w:tcPr>
          <w:p w14:paraId="46D462DE" w14:textId="49F5E250" w:rsidR="009549CE" w:rsidRPr="006645DC" w:rsidRDefault="009549CE" w:rsidP="00C367E2">
            <w:pPr>
              <w:spacing w:before="0" w:after="0"/>
              <w:rPr>
                <w:rFonts w:cs="Calibri"/>
                <w:lang w:val="en-GB"/>
              </w:rPr>
            </w:pPr>
            <w:r w:rsidRPr="006645DC">
              <w:rPr>
                <w:rFonts w:cs="Calibri"/>
                <w:lang w:val="en-GB"/>
              </w:rPr>
              <w:t>Unleash the comparative advantage in underdeveloped economic sectors (</w:t>
            </w:r>
            <w:r w:rsidR="00C367E2">
              <w:rPr>
                <w:rFonts w:cs="Calibri"/>
                <w:lang w:val="en-GB"/>
              </w:rPr>
              <w:t xml:space="preserve"> such as tourism</w:t>
            </w:r>
            <w:r w:rsidRPr="006645DC">
              <w:rPr>
                <w:rFonts w:cs="Calibri"/>
                <w:lang w:val="en-GB"/>
              </w:rPr>
              <w:t>) by clustering and by common development of</w:t>
            </w:r>
            <w:r w:rsidR="00C367E2">
              <w:rPr>
                <w:rFonts w:cs="Calibri"/>
                <w:lang w:val="en-GB"/>
              </w:rPr>
              <w:t xml:space="preserve"> the</w:t>
            </w:r>
            <w:r w:rsidRPr="006645DC">
              <w:rPr>
                <w:rFonts w:cs="Calibri"/>
                <w:lang w:val="en-GB"/>
              </w:rPr>
              <w:t xml:space="preserve"> Danube </w:t>
            </w:r>
            <w:r w:rsidR="00C367E2">
              <w:rPr>
                <w:rFonts w:cs="Calibri"/>
                <w:lang w:val="en-GB"/>
              </w:rPr>
              <w:t>as a safe economic corridor</w:t>
            </w:r>
            <w:r w:rsidRPr="006645DC">
              <w:rPr>
                <w:rFonts w:cs="Calibri"/>
                <w:lang w:val="en-GB"/>
              </w:rPr>
              <w:t xml:space="preserve"> (</w:t>
            </w:r>
            <w:r w:rsidR="00C367E2">
              <w:rPr>
                <w:rFonts w:cs="Calibri"/>
                <w:lang w:val="en-GB"/>
              </w:rPr>
              <w:t>navigability</w:t>
            </w:r>
            <w:r w:rsidRPr="006645DC">
              <w:rPr>
                <w:rFonts w:cs="Calibri"/>
                <w:lang w:val="en-GB"/>
              </w:rPr>
              <w:t xml:space="preserve">, </w:t>
            </w:r>
            <w:r w:rsidR="00C367E2">
              <w:rPr>
                <w:rFonts w:cs="Calibri"/>
                <w:lang w:val="en-GB"/>
              </w:rPr>
              <w:t>joint risk and natural hazard prevention</w:t>
            </w:r>
            <w:r w:rsidRPr="006645DC">
              <w:rPr>
                <w:rFonts w:cs="Calibri"/>
                <w:lang w:val="en-GB"/>
              </w:rPr>
              <w:t>).</w:t>
            </w:r>
          </w:p>
        </w:tc>
        <w:tc>
          <w:tcPr>
            <w:tcW w:w="615" w:type="dxa"/>
            <w:shd w:val="clear" w:color="auto" w:fill="auto"/>
            <w:vAlign w:val="center"/>
          </w:tcPr>
          <w:p w14:paraId="5CE1B81D" w14:textId="77777777" w:rsidR="009549CE" w:rsidRPr="006645DC" w:rsidRDefault="009549CE" w:rsidP="00393EB7">
            <w:pPr>
              <w:spacing w:before="0" w:after="0"/>
              <w:jc w:val="center"/>
              <w:rPr>
                <w:rFonts w:cs="Calibri"/>
                <w:lang w:val="en-GB"/>
              </w:rPr>
            </w:pPr>
            <w:r w:rsidRPr="006645DC">
              <w:rPr>
                <w:rFonts w:cs="Calibri"/>
                <w:lang w:val="en-GB"/>
              </w:rPr>
              <w:t>+++</w:t>
            </w:r>
          </w:p>
        </w:tc>
        <w:tc>
          <w:tcPr>
            <w:tcW w:w="576" w:type="dxa"/>
            <w:shd w:val="clear" w:color="auto" w:fill="auto"/>
            <w:vAlign w:val="center"/>
          </w:tcPr>
          <w:p w14:paraId="5A6105BA" w14:textId="77777777" w:rsidR="009549CE" w:rsidRPr="006645DC" w:rsidRDefault="009549CE" w:rsidP="00393EB7">
            <w:pPr>
              <w:spacing w:before="0" w:after="0"/>
              <w:jc w:val="center"/>
              <w:rPr>
                <w:rFonts w:cs="Calibri"/>
                <w:lang w:val="en-GB"/>
              </w:rPr>
            </w:pPr>
            <w:r w:rsidRPr="006645DC">
              <w:rPr>
                <w:rFonts w:cs="Calibri"/>
                <w:lang w:val="en-GB"/>
              </w:rPr>
              <w:t>+++</w:t>
            </w:r>
          </w:p>
        </w:tc>
        <w:tc>
          <w:tcPr>
            <w:tcW w:w="652" w:type="dxa"/>
            <w:shd w:val="clear" w:color="auto" w:fill="auto"/>
            <w:vAlign w:val="center"/>
          </w:tcPr>
          <w:p w14:paraId="57259E90" w14:textId="78F7F3AC" w:rsidR="009549CE" w:rsidRPr="006645DC" w:rsidRDefault="009549CE" w:rsidP="00393EB7">
            <w:pPr>
              <w:spacing w:before="0" w:after="0"/>
              <w:jc w:val="center"/>
              <w:rPr>
                <w:rFonts w:cs="Calibri"/>
                <w:b/>
                <w:lang w:val="en-GB"/>
              </w:rPr>
            </w:pPr>
          </w:p>
        </w:tc>
        <w:tc>
          <w:tcPr>
            <w:tcW w:w="652" w:type="dxa"/>
            <w:shd w:val="clear" w:color="auto" w:fill="auto"/>
            <w:vAlign w:val="center"/>
          </w:tcPr>
          <w:p w14:paraId="5940ED07" w14:textId="582A4BCC" w:rsidR="009549CE" w:rsidRPr="006645DC" w:rsidRDefault="009549CE" w:rsidP="00393EB7">
            <w:pPr>
              <w:spacing w:before="0" w:after="0"/>
              <w:jc w:val="center"/>
              <w:rPr>
                <w:rFonts w:cs="Calibri"/>
                <w:b/>
                <w:lang w:val="en-GB"/>
              </w:rPr>
            </w:pPr>
          </w:p>
        </w:tc>
        <w:tc>
          <w:tcPr>
            <w:tcW w:w="714" w:type="dxa"/>
            <w:shd w:val="clear" w:color="auto" w:fill="auto"/>
            <w:vAlign w:val="center"/>
          </w:tcPr>
          <w:p w14:paraId="2AD202E8" w14:textId="4E8EB81E" w:rsidR="009549CE" w:rsidRPr="006645DC" w:rsidRDefault="006328DB" w:rsidP="00393EB7">
            <w:pPr>
              <w:spacing w:before="0" w:after="0"/>
              <w:jc w:val="center"/>
              <w:rPr>
                <w:rFonts w:cs="Calibri"/>
                <w:b/>
                <w:lang w:val="en-GB"/>
              </w:rPr>
            </w:pPr>
            <w:r w:rsidRPr="006645DC">
              <w:rPr>
                <w:rFonts w:cs="Calibri"/>
                <w:b/>
                <w:lang w:val="en-GB"/>
              </w:rPr>
              <w:t>√</w:t>
            </w:r>
          </w:p>
        </w:tc>
      </w:tr>
      <w:tr w:rsidR="009549CE" w:rsidRPr="006645DC" w14:paraId="1A294465" w14:textId="77777777" w:rsidTr="00393EB7">
        <w:trPr>
          <w:trHeight w:val="113"/>
          <w:jc w:val="center"/>
        </w:trPr>
        <w:tc>
          <w:tcPr>
            <w:tcW w:w="542" w:type="dxa"/>
            <w:shd w:val="clear" w:color="auto" w:fill="auto"/>
            <w:vAlign w:val="center"/>
          </w:tcPr>
          <w:p w14:paraId="314CDBAE" w14:textId="22EBCF10" w:rsidR="009549CE" w:rsidRPr="006645DC" w:rsidRDefault="00717722" w:rsidP="00393EB7">
            <w:pPr>
              <w:spacing w:before="0" w:after="0"/>
              <w:jc w:val="center"/>
              <w:rPr>
                <w:rFonts w:eastAsia="Times New Roman" w:cs="Calibri"/>
                <w:b/>
                <w:bCs/>
                <w:lang w:val="en-GB"/>
              </w:rPr>
            </w:pPr>
            <w:r w:rsidRPr="006645DC">
              <w:rPr>
                <w:rFonts w:eastAsia="Times New Roman" w:cs="Calibri"/>
                <w:b/>
                <w:bCs/>
                <w:lang w:val="en-GB"/>
              </w:rPr>
              <w:t>7</w:t>
            </w:r>
          </w:p>
        </w:tc>
        <w:tc>
          <w:tcPr>
            <w:tcW w:w="6771" w:type="dxa"/>
            <w:shd w:val="clear" w:color="auto" w:fill="auto"/>
            <w:vAlign w:val="center"/>
          </w:tcPr>
          <w:p w14:paraId="6C94820B" w14:textId="77777777" w:rsidR="009549CE" w:rsidRPr="006645DC" w:rsidRDefault="009549CE" w:rsidP="00393EB7">
            <w:pPr>
              <w:spacing w:before="0" w:after="0"/>
              <w:rPr>
                <w:rFonts w:cs="Calibri"/>
                <w:lang w:val="en-GB"/>
              </w:rPr>
            </w:pPr>
            <w:r w:rsidRPr="006645DC">
              <w:rPr>
                <w:rFonts w:cs="Calibri"/>
                <w:lang w:val="en-GB"/>
              </w:rPr>
              <w:t>Develop the infrastructures (energy, transport, IT) towards the medium-size towns, especially the ports on the Danube, in order to create the connection to the Danube axis and encourage hinterland development through efficient and concentrated policentricity</w:t>
            </w:r>
            <w:r w:rsidRPr="006645DC">
              <w:rPr>
                <w:rStyle w:val="FootnoteReference"/>
                <w:rFonts w:cs="Calibri"/>
                <w:lang w:val="en-GB"/>
              </w:rPr>
              <w:footnoteReference w:id="12"/>
            </w:r>
            <w:r w:rsidRPr="006645DC">
              <w:rPr>
                <w:rFonts w:cs="Calibri"/>
                <w:lang w:val="en-GB"/>
              </w:rPr>
              <w:t xml:space="preserve">. </w:t>
            </w:r>
          </w:p>
        </w:tc>
        <w:tc>
          <w:tcPr>
            <w:tcW w:w="615" w:type="dxa"/>
            <w:shd w:val="clear" w:color="auto" w:fill="auto"/>
            <w:vAlign w:val="center"/>
          </w:tcPr>
          <w:p w14:paraId="184DC60D" w14:textId="77777777" w:rsidR="009549CE" w:rsidRPr="006645DC" w:rsidRDefault="009549CE" w:rsidP="00393EB7">
            <w:pPr>
              <w:spacing w:before="0" w:after="0"/>
              <w:jc w:val="center"/>
              <w:rPr>
                <w:rFonts w:cs="Calibri"/>
                <w:lang w:val="en-GB"/>
              </w:rPr>
            </w:pPr>
            <w:r w:rsidRPr="006645DC">
              <w:rPr>
                <w:rFonts w:cs="Calibri"/>
                <w:lang w:val="en-GB"/>
              </w:rPr>
              <w:t>+++</w:t>
            </w:r>
          </w:p>
        </w:tc>
        <w:tc>
          <w:tcPr>
            <w:tcW w:w="576" w:type="dxa"/>
            <w:shd w:val="clear" w:color="auto" w:fill="auto"/>
            <w:vAlign w:val="center"/>
          </w:tcPr>
          <w:p w14:paraId="7AB3A37B" w14:textId="77777777" w:rsidR="009549CE" w:rsidRPr="006645DC" w:rsidRDefault="009549CE" w:rsidP="00393EB7">
            <w:pPr>
              <w:spacing w:before="0" w:after="0"/>
              <w:jc w:val="center"/>
              <w:rPr>
                <w:rFonts w:cs="Calibri"/>
                <w:lang w:val="en-GB"/>
              </w:rPr>
            </w:pPr>
            <w:r w:rsidRPr="006645DC">
              <w:rPr>
                <w:rFonts w:cs="Calibri"/>
                <w:lang w:val="en-GB"/>
              </w:rPr>
              <w:t>+++</w:t>
            </w:r>
          </w:p>
        </w:tc>
        <w:tc>
          <w:tcPr>
            <w:tcW w:w="652" w:type="dxa"/>
            <w:shd w:val="clear" w:color="auto" w:fill="auto"/>
            <w:vAlign w:val="center"/>
          </w:tcPr>
          <w:p w14:paraId="58939FD1" w14:textId="77777777" w:rsidR="009549CE" w:rsidRPr="006645DC" w:rsidRDefault="009549CE" w:rsidP="00393EB7">
            <w:pPr>
              <w:spacing w:before="0" w:after="0"/>
              <w:jc w:val="center"/>
              <w:rPr>
                <w:rFonts w:cs="Calibri"/>
                <w:b/>
                <w:lang w:val="en-GB"/>
              </w:rPr>
            </w:pPr>
          </w:p>
        </w:tc>
        <w:tc>
          <w:tcPr>
            <w:tcW w:w="652" w:type="dxa"/>
            <w:shd w:val="clear" w:color="auto" w:fill="auto"/>
            <w:vAlign w:val="center"/>
          </w:tcPr>
          <w:p w14:paraId="3266F1C3" w14:textId="77777777" w:rsidR="009549CE" w:rsidRPr="006645DC" w:rsidRDefault="009549CE" w:rsidP="00393EB7">
            <w:pPr>
              <w:spacing w:before="0" w:after="0"/>
              <w:jc w:val="center"/>
              <w:rPr>
                <w:rFonts w:cs="Calibri"/>
                <w:b/>
                <w:lang w:val="en-GB"/>
              </w:rPr>
            </w:pPr>
            <w:r w:rsidRPr="006645DC">
              <w:rPr>
                <w:rFonts w:cs="Calibri"/>
                <w:b/>
                <w:lang w:val="en-GB"/>
              </w:rPr>
              <w:t>√</w:t>
            </w:r>
          </w:p>
        </w:tc>
        <w:tc>
          <w:tcPr>
            <w:tcW w:w="714" w:type="dxa"/>
            <w:shd w:val="clear" w:color="auto" w:fill="auto"/>
            <w:vAlign w:val="center"/>
          </w:tcPr>
          <w:p w14:paraId="3255A1B4" w14:textId="77777777" w:rsidR="009549CE" w:rsidRPr="006645DC" w:rsidRDefault="009549CE" w:rsidP="00393EB7">
            <w:pPr>
              <w:spacing w:before="0" w:after="0"/>
              <w:jc w:val="center"/>
              <w:rPr>
                <w:rFonts w:cs="Calibri"/>
                <w:b/>
                <w:lang w:val="en-GB"/>
              </w:rPr>
            </w:pPr>
            <w:r w:rsidRPr="006645DC">
              <w:rPr>
                <w:rFonts w:cs="Calibri"/>
                <w:b/>
                <w:lang w:val="en-GB"/>
              </w:rPr>
              <w:t>√</w:t>
            </w:r>
          </w:p>
        </w:tc>
      </w:tr>
    </w:tbl>
    <w:p w14:paraId="3C318D8A" w14:textId="77777777" w:rsidR="009549CE" w:rsidRPr="006645DC" w:rsidRDefault="009549CE" w:rsidP="009549CE">
      <w:pPr>
        <w:spacing w:before="0" w:after="0"/>
        <w:rPr>
          <w:b/>
          <w:lang w:val="en-GB"/>
        </w:rPr>
      </w:pPr>
      <w:r w:rsidRPr="006645DC">
        <w:rPr>
          <w:b/>
          <w:lang w:val="en-GB"/>
        </w:rPr>
        <w:t>Table key:</w:t>
      </w:r>
    </w:p>
    <w:tbl>
      <w:tblPr>
        <w:tblW w:w="0" w:type="auto"/>
        <w:jc w:val="center"/>
        <w:tblLook w:val="04A0" w:firstRow="1" w:lastRow="0" w:firstColumn="1" w:lastColumn="0" w:noHBand="0" w:noVBand="1"/>
      </w:tblPr>
      <w:tblGrid>
        <w:gridCol w:w="3192"/>
        <w:gridCol w:w="3192"/>
        <w:gridCol w:w="3192"/>
      </w:tblGrid>
      <w:tr w:rsidR="009549CE" w:rsidRPr="006645DC" w14:paraId="4083447C" w14:textId="77777777" w:rsidTr="00393EB7">
        <w:trPr>
          <w:trHeight w:val="283"/>
          <w:jc w:val="center"/>
        </w:trPr>
        <w:tc>
          <w:tcPr>
            <w:tcW w:w="3192" w:type="dxa"/>
            <w:shd w:val="clear" w:color="auto" w:fill="auto"/>
            <w:vAlign w:val="center"/>
          </w:tcPr>
          <w:p w14:paraId="540FBF79" w14:textId="7E438412" w:rsidR="009549CE" w:rsidRPr="006645DC" w:rsidRDefault="00982AD8" w:rsidP="00393EB7">
            <w:pPr>
              <w:spacing w:before="0" w:after="0"/>
              <w:jc w:val="center"/>
              <w:rPr>
                <w:b/>
                <w:lang w:val="en-GB"/>
              </w:rPr>
            </w:pPr>
            <w:r w:rsidRPr="006645DC">
              <w:rPr>
                <w:b/>
                <w:noProof/>
                <w:lang w:val="bg-BG" w:eastAsia="bg-BG"/>
              </w:rPr>
              <mc:AlternateContent>
                <mc:Choice Requires="wps">
                  <w:drawing>
                    <wp:anchor distT="0" distB="0" distL="114300" distR="114300" simplePos="0" relativeHeight="251656192" behindDoc="0" locked="0" layoutInCell="1" allowOverlap="1" wp14:anchorId="380E8D67" wp14:editId="4EDFE43B">
                      <wp:simplePos x="0" y="0"/>
                      <wp:positionH relativeFrom="column">
                        <wp:posOffset>135255</wp:posOffset>
                      </wp:positionH>
                      <wp:positionV relativeFrom="paragraph">
                        <wp:posOffset>132715</wp:posOffset>
                      </wp:positionV>
                      <wp:extent cx="5848350" cy="179705"/>
                      <wp:effectExtent l="0" t="0" r="0" b="48895"/>
                      <wp:wrapNone/>
                      <wp:docPr id="94" name="Right Arrow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8350" cy="179705"/>
                              </a:xfrm>
                              <a:prstGeom prst="rightArrow">
                                <a:avLst>
                                  <a:gd name="adj1" fmla="val 50000"/>
                                  <a:gd name="adj2" fmla="val 50022"/>
                                </a:avLst>
                              </a:prstGeom>
                              <a:gradFill rotWithShape="1">
                                <a:gsLst>
                                  <a:gs pos="0">
                                    <a:srgbClr val="FF0000"/>
                                  </a:gs>
                                  <a:gs pos="74001">
                                    <a:srgbClr val="C2D1ED"/>
                                  </a:gs>
                                  <a:gs pos="100000">
                                    <a:srgbClr val="E1E8F5"/>
                                  </a:gs>
                                </a:gsLst>
                                <a:lin ang="10800000" scaled="1"/>
                              </a:gradFill>
                              <a:ln>
                                <a:noFill/>
                              </a:ln>
                              <a:effectLst>
                                <a:outerShdw dist="50800" dir="5400000" algn="ctr" rotWithShape="0">
                                  <a:srgbClr val="808080"/>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14:paraId="180B87DE" w14:textId="77777777" w:rsidR="00F14D1E" w:rsidRDefault="00F14D1E" w:rsidP="009549CE">
                                  <w:pPr>
                                    <w:jc w:val="center"/>
                                  </w:pPr>
                                  <w:r w:rsidRPr="00393EB7">
                                    <w:rPr>
                                      <w:color w:val="000000"/>
                                    </w:rPr>
                                    <w:t>ImportaceImportance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5" o:spid="_x0000_s1026" type="#_x0000_t13" style="position:absolute;left:0;text-align:left;margin-left:10.65pt;margin-top:10.45pt;width:460.5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" adj="21268" fillcolor="red" stroked="f" strokeweight="2pt">
                      <v:fill color2="#e1e8f5" rotate="t" angle="270" colors="0 red;48497f #c2d1ed;1 #e1e8f5" focus="100%" type="gradient"/>
                      <v:shadow on="t" offset="0,4pt"/>
                      <v:textbox>
                        <w:txbxContent>
                          <w:p w14:paraId="180B87DE" w14:textId="77777777" w:rsidR="00F14D1E" w:rsidRDefault="00F14D1E" w:rsidP="009549CE">
                            <w:pPr>
                              <w:jc w:val="center"/>
                            </w:pPr>
                            <w:r w:rsidRPr="00393EB7">
                              <w:rPr>
                                <w:color w:val="000000"/>
                              </w:rPr>
                              <w:t>ImportaceImportance</w:t>
                            </w:r>
                          </w:p>
                        </w:txbxContent>
                      </v:textbox>
                    </v:shape>
                  </w:pict>
                </mc:Fallback>
              </mc:AlternateContent>
            </w:r>
            <w:r w:rsidR="009549CE" w:rsidRPr="006645DC">
              <w:rPr>
                <w:b/>
                <w:lang w:val="en-GB"/>
              </w:rPr>
              <w:t>+</w:t>
            </w:r>
          </w:p>
        </w:tc>
        <w:tc>
          <w:tcPr>
            <w:tcW w:w="3192" w:type="dxa"/>
            <w:shd w:val="clear" w:color="auto" w:fill="auto"/>
            <w:vAlign w:val="center"/>
          </w:tcPr>
          <w:p w14:paraId="7B3164B6" w14:textId="77777777" w:rsidR="009549CE" w:rsidRPr="006645DC" w:rsidRDefault="009549CE" w:rsidP="00393EB7">
            <w:pPr>
              <w:spacing w:before="0" w:after="0"/>
              <w:jc w:val="center"/>
              <w:rPr>
                <w:b/>
                <w:lang w:val="en-GB"/>
              </w:rPr>
            </w:pPr>
            <w:r w:rsidRPr="006645DC">
              <w:rPr>
                <w:b/>
                <w:lang w:val="en-GB"/>
              </w:rPr>
              <w:t>++</w:t>
            </w:r>
          </w:p>
        </w:tc>
        <w:tc>
          <w:tcPr>
            <w:tcW w:w="3192" w:type="dxa"/>
            <w:shd w:val="clear" w:color="auto" w:fill="auto"/>
            <w:vAlign w:val="center"/>
          </w:tcPr>
          <w:p w14:paraId="30F19F91" w14:textId="77777777" w:rsidR="009549CE" w:rsidRPr="006645DC" w:rsidRDefault="009549CE" w:rsidP="00393EB7">
            <w:pPr>
              <w:spacing w:before="0" w:after="0"/>
              <w:jc w:val="center"/>
              <w:rPr>
                <w:b/>
                <w:lang w:val="en-GB"/>
              </w:rPr>
            </w:pPr>
            <w:r w:rsidRPr="006645DC">
              <w:rPr>
                <w:b/>
                <w:lang w:val="en-GB"/>
              </w:rPr>
              <w:t>+++</w:t>
            </w:r>
          </w:p>
        </w:tc>
      </w:tr>
    </w:tbl>
    <w:p w14:paraId="06E7157A" w14:textId="77777777" w:rsidR="009549CE" w:rsidRPr="006645DC" w:rsidRDefault="009549CE" w:rsidP="009549CE">
      <w:pPr>
        <w:spacing w:before="0" w:after="0"/>
        <w:jc w:val="center"/>
        <w:rPr>
          <w:i/>
          <w:lang w:val="en-GB"/>
        </w:rPr>
      </w:pPr>
    </w:p>
    <w:p w14:paraId="6A2FA749" w14:textId="77777777" w:rsidR="009549CE" w:rsidRPr="006645DC" w:rsidRDefault="009549CE" w:rsidP="009549CE">
      <w:pPr>
        <w:spacing w:before="0" w:after="0"/>
        <w:jc w:val="center"/>
        <w:rPr>
          <w:i/>
          <w:lang w:val="en-GB"/>
        </w:rPr>
      </w:pPr>
      <w:r w:rsidRPr="006645DC">
        <w:rPr>
          <w:i/>
          <w:lang w:val="en-GB"/>
        </w:rPr>
        <w:t>Degree of each need’s territorial relevance</w:t>
      </w:r>
    </w:p>
    <w:p w14:paraId="41317DAD" w14:textId="77777777" w:rsidR="009549CE" w:rsidRPr="006645DC" w:rsidRDefault="009549CE" w:rsidP="009549CE">
      <w:pPr>
        <w:spacing w:before="0" w:after="0"/>
        <w:rPr>
          <w:b/>
          <w:i/>
          <w:lang w:val="en-GB"/>
        </w:rPr>
      </w:pPr>
      <w:r w:rsidRPr="006645DC">
        <w:rPr>
          <w:b/>
          <w:i/>
          <w:lang w:val="en-GB"/>
        </w:rPr>
        <w:t>TO1 –Strengthening research, technological development and innovation</w:t>
      </w:r>
    </w:p>
    <w:p w14:paraId="22AF2DBE" w14:textId="77777777" w:rsidR="009549CE" w:rsidRPr="006645DC" w:rsidRDefault="009549CE" w:rsidP="009549CE">
      <w:pPr>
        <w:spacing w:before="0" w:after="0"/>
        <w:rPr>
          <w:b/>
          <w:i/>
          <w:lang w:val="en-GB"/>
        </w:rPr>
      </w:pPr>
      <w:r w:rsidRPr="006645DC">
        <w:rPr>
          <w:b/>
          <w:i/>
          <w:lang w:val="en-GB"/>
        </w:rPr>
        <w:t>TO3 – Enhancing the competitiveness of SMEs</w:t>
      </w:r>
    </w:p>
    <w:p w14:paraId="357A87F9" w14:textId="1C6B21F2" w:rsidR="009549CE" w:rsidRPr="006645DC" w:rsidRDefault="009549CE" w:rsidP="009549CE">
      <w:pPr>
        <w:spacing w:before="0" w:after="0"/>
        <w:rPr>
          <w:b/>
          <w:i/>
          <w:lang w:val="en-GB"/>
        </w:rPr>
      </w:pPr>
      <w:r w:rsidRPr="006645DC">
        <w:rPr>
          <w:b/>
          <w:i/>
          <w:lang w:val="en-GB"/>
        </w:rPr>
        <w:t xml:space="preserve">TO8 – Promoting </w:t>
      </w:r>
      <w:r w:rsidR="00A952D6" w:rsidRPr="006645DC">
        <w:rPr>
          <w:b/>
          <w:i/>
          <w:lang w:val="en-GB"/>
        </w:rPr>
        <w:t xml:space="preserve">sustainable and quality employment </w:t>
      </w:r>
      <w:r w:rsidRPr="006645DC">
        <w:rPr>
          <w:b/>
          <w:i/>
          <w:lang w:val="en-GB"/>
        </w:rPr>
        <w:t>and supporting labour mobility</w:t>
      </w:r>
    </w:p>
    <w:p w14:paraId="0F342DCB" w14:textId="77777777" w:rsidR="00AC53A9" w:rsidRPr="006645DC" w:rsidRDefault="00AC53A9" w:rsidP="00874655">
      <w:pPr>
        <w:rPr>
          <w:lang w:val="en-GB"/>
        </w:rPr>
      </w:pPr>
    </w:p>
    <w:p w14:paraId="5FCD8F60" w14:textId="77777777" w:rsidR="000F0F04" w:rsidRPr="006645DC" w:rsidRDefault="000F0F04" w:rsidP="009549CE">
      <w:pPr>
        <w:pStyle w:val="Heading2"/>
        <w:rPr>
          <w:lang w:val="en-GB"/>
        </w:rPr>
        <w:sectPr w:rsidR="000F0F04" w:rsidRPr="006645DC" w:rsidSect="00187E88">
          <w:headerReference w:type="default" r:id="rId62"/>
          <w:footerReference w:type="default" r:id="rId63"/>
          <w:pgSz w:w="12240" w:h="15840"/>
          <w:pgMar w:top="1440" w:right="1440" w:bottom="1440" w:left="1440" w:header="720" w:footer="720" w:gutter="0"/>
          <w:cols w:space="720"/>
          <w:docGrid w:linePitch="360"/>
        </w:sectPr>
      </w:pPr>
    </w:p>
    <w:p w14:paraId="6C022C6A" w14:textId="77777777" w:rsidR="00B801E7" w:rsidRPr="006645DC" w:rsidRDefault="003531E5" w:rsidP="00EA46BF">
      <w:pPr>
        <w:pStyle w:val="Heading1"/>
        <w:rPr>
          <w:lang w:val="en-GB"/>
        </w:rPr>
      </w:pPr>
      <w:bookmarkStart w:id="117" w:name="_Toc376198449"/>
      <w:bookmarkStart w:id="118" w:name="_Toc254543764"/>
      <w:bookmarkStart w:id="119" w:name="_Toc391150167"/>
      <w:r w:rsidRPr="006645DC">
        <w:rPr>
          <w:lang w:val="en-GB"/>
        </w:rPr>
        <w:lastRenderedPageBreak/>
        <w:t>Accessibility</w:t>
      </w:r>
      <w:bookmarkEnd w:id="117"/>
      <w:bookmarkEnd w:id="118"/>
      <w:bookmarkEnd w:id="119"/>
    </w:p>
    <w:p w14:paraId="2A6ED6D8" w14:textId="77777777" w:rsidR="00587CF0" w:rsidRPr="006645DC" w:rsidRDefault="00587CF0" w:rsidP="00C951D5">
      <w:pPr>
        <w:pStyle w:val="Heading2"/>
        <w:numPr>
          <w:ilvl w:val="0"/>
          <w:numId w:val="92"/>
        </w:numPr>
        <w:rPr>
          <w:lang w:val="en-GB"/>
        </w:rPr>
      </w:pPr>
      <w:bookmarkStart w:id="120" w:name="_Toc371092788"/>
      <w:bookmarkStart w:id="121" w:name="_Toc371284493"/>
      <w:bookmarkStart w:id="122" w:name="_Toc376198450"/>
      <w:bookmarkStart w:id="123" w:name="_Toc254543765"/>
      <w:bookmarkStart w:id="124" w:name="_Toc391150168"/>
      <w:r w:rsidRPr="006645DC">
        <w:rPr>
          <w:lang w:val="en-GB"/>
        </w:rPr>
        <w:t>Transport infrastructure in the cross-border region</w:t>
      </w:r>
      <w:bookmarkEnd w:id="120"/>
      <w:bookmarkEnd w:id="121"/>
      <w:bookmarkEnd w:id="122"/>
      <w:bookmarkEnd w:id="123"/>
      <w:bookmarkEnd w:id="124"/>
    </w:p>
    <w:p w14:paraId="7934EB84" w14:textId="77777777" w:rsidR="00587CF0" w:rsidRPr="006645DC" w:rsidRDefault="00587CF0" w:rsidP="00587CF0">
      <w:pPr>
        <w:rPr>
          <w:lang w:val="en-GB"/>
        </w:rPr>
      </w:pPr>
      <w:r w:rsidRPr="006645DC">
        <w:rPr>
          <w:lang w:val="en-GB"/>
        </w:rPr>
        <w:t>As a part of the Pan-European transport corridor VII of the European Union, the Danube is an important navigable waterway, linking, through the Rhine-Main-Danube canal the port of Constanta to industrial centers in Western Europe, and to the port of Rotterdam. The Danube basin contains states and regions that may benefit in the future from direct access to the Black Sea, to the Caucasus and Central Asia. The Danube River is crossed by 2 TEN-T European transport corridors on the territory of the cross-border area, linking Central and Northern Europe to the Middle East and the south-eastern part of the continent.</w:t>
      </w:r>
    </w:p>
    <w:p w14:paraId="7E3C18FE" w14:textId="77777777" w:rsidR="00587CF0" w:rsidRPr="006645DC" w:rsidRDefault="00587CF0" w:rsidP="00587CF0">
      <w:pPr>
        <w:rPr>
          <w:lang w:val="en-GB"/>
        </w:rPr>
      </w:pPr>
    </w:p>
    <w:p w14:paraId="6297B3CB" w14:textId="77777777" w:rsidR="00587CF0" w:rsidRPr="006645DC" w:rsidRDefault="00AA4C82" w:rsidP="00587CF0">
      <w:pPr>
        <w:rPr>
          <w:lang w:val="en-GB"/>
        </w:rPr>
      </w:pPr>
      <w:r w:rsidRPr="006645DC">
        <w:rPr>
          <w:noProof/>
          <w:lang w:val="bg-BG" w:eastAsia="bg-BG"/>
        </w:rPr>
        <w:drawing>
          <wp:anchor distT="0" distB="0" distL="114300" distR="114300" simplePos="0" relativeHeight="251670528" behindDoc="0" locked="0" layoutInCell="1" allowOverlap="1" wp14:anchorId="2153846F" wp14:editId="1C0C4BE7">
            <wp:simplePos x="0" y="0"/>
            <wp:positionH relativeFrom="column">
              <wp:posOffset>14605</wp:posOffset>
            </wp:positionH>
            <wp:positionV relativeFrom="paragraph">
              <wp:posOffset>3175</wp:posOffset>
            </wp:positionV>
            <wp:extent cx="3171190" cy="3418840"/>
            <wp:effectExtent l="19050" t="0" r="0" b="0"/>
            <wp:wrapSquare wrapText="bothSides"/>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a:srcRect/>
                    <a:stretch>
                      <a:fillRect/>
                    </a:stretch>
                  </pic:blipFill>
                  <pic:spPr bwMode="auto">
                    <a:xfrm>
                      <a:off x="0" y="0"/>
                      <a:ext cx="3171190" cy="3418840"/>
                    </a:xfrm>
                    <a:prstGeom prst="rect">
                      <a:avLst/>
                    </a:prstGeom>
                    <a:solidFill>
                      <a:srgbClr val="FFFFFF"/>
                    </a:solidFill>
                  </pic:spPr>
                </pic:pic>
              </a:graphicData>
            </a:graphic>
          </wp:anchor>
        </w:drawing>
      </w:r>
    </w:p>
    <w:p w14:paraId="70D965C2" w14:textId="77777777" w:rsidR="00587CF0" w:rsidRPr="006645DC" w:rsidRDefault="00587CF0" w:rsidP="00587CF0">
      <w:pPr>
        <w:pStyle w:val="Lgende1"/>
        <w:rPr>
          <w:lang w:val="en-GB"/>
        </w:rPr>
      </w:pPr>
      <w:bookmarkStart w:id="125" w:name="_Toc391150008"/>
      <w:r w:rsidRPr="006645DC">
        <w:rPr>
          <w:lang w:val="en-GB"/>
        </w:rPr>
        <w:t xml:space="preserve">Map </w:t>
      </w:r>
      <w:r w:rsidR="005979EB" w:rsidRPr="006645DC">
        <w:rPr>
          <w:lang w:val="en-GB"/>
        </w:rPr>
        <w:fldChar w:fldCharType="begin"/>
      </w:r>
      <w:r w:rsidRPr="006645DC">
        <w:rPr>
          <w:lang w:val="en-GB"/>
        </w:rPr>
        <w:instrText xml:space="preserve"> SEQ "Map" \*Arabic </w:instrText>
      </w:r>
      <w:r w:rsidR="005979EB" w:rsidRPr="006645DC">
        <w:rPr>
          <w:lang w:val="en-GB"/>
        </w:rPr>
        <w:fldChar w:fldCharType="separate"/>
      </w:r>
      <w:r w:rsidR="00523DE6">
        <w:rPr>
          <w:noProof/>
          <w:lang w:val="en-GB"/>
        </w:rPr>
        <w:t>4</w:t>
      </w:r>
      <w:r w:rsidR="005979EB" w:rsidRPr="006645DC">
        <w:rPr>
          <w:lang w:val="en-GB"/>
        </w:rPr>
        <w:fldChar w:fldCharType="end"/>
      </w:r>
      <w:r w:rsidRPr="006645DC">
        <w:rPr>
          <w:lang w:val="en-GB"/>
        </w:rPr>
        <w:t xml:space="preserve"> - TEN-T Core Network Corridors passing through the Romania-Bulgaria cross-border region</w:t>
      </w:r>
      <w:bookmarkEnd w:id="125"/>
    </w:p>
    <w:p w14:paraId="5F21BCB5" w14:textId="77777777" w:rsidR="00587CF0" w:rsidRPr="006645DC" w:rsidRDefault="00587CF0" w:rsidP="00587CF0">
      <w:pPr>
        <w:pStyle w:val="Heading4"/>
        <w:rPr>
          <w:lang w:val="en-GB"/>
        </w:rPr>
      </w:pPr>
      <w:r w:rsidRPr="006645DC">
        <w:rPr>
          <w:lang w:val="en-GB"/>
        </w:rPr>
        <w:t>Source: European Commission (2013)</w:t>
      </w:r>
    </w:p>
    <w:p w14:paraId="2C516810" w14:textId="77777777" w:rsidR="00587CF0" w:rsidRPr="006645DC" w:rsidRDefault="00587CF0" w:rsidP="00587CF0">
      <w:pPr>
        <w:rPr>
          <w:lang w:val="en-GB"/>
        </w:rPr>
      </w:pPr>
    </w:p>
    <w:p w14:paraId="4A11EE67" w14:textId="77777777" w:rsidR="00587CF0" w:rsidRPr="006645DC" w:rsidRDefault="00587CF0" w:rsidP="00587CF0">
      <w:pPr>
        <w:rPr>
          <w:lang w:val="en-GB"/>
        </w:rPr>
      </w:pPr>
    </w:p>
    <w:p w14:paraId="2CF3AEED" w14:textId="77777777" w:rsidR="00587CF0" w:rsidRPr="006645DC" w:rsidRDefault="00587CF0" w:rsidP="00587CF0">
      <w:pPr>
        <w:rPr>
          <w:lang w:val="en-GB"/>
        </w:rPr>
      </w:pPr>
    </w:p>
    <w:p w14:paraId="1B8A74D8" w14:textId="77777777" w:rsidR="00587CF0" w:rsidRPr="006645DC" w:rsidRDefault="00587CF0" w:rsidP="00587CF0">
      <w:pPr>
        <w:rPr>
          <w:lang w:val="en-GB"/>
        </w:rPr>
      </w:pPr>
    </w:p>
    <w:p w14:paraId="29B14588" w14:textId="77777777" w:rsidR="00587CF0" w:rsidRPr="006645DC" w:rsidRDefault="00587CF0" w:rsidP="00587CF0">
      <w:pPr>
        <w:rPr>
          <w:lang w:val="en-GB"/>
        </w:rPr>
      </w:pPr>
    </w:p>
    <w:p w14:paraId="10C53BB0" w14:textId="77777777" w:rsidR="00587CF0" w:rsidRPr="006645DC" w:rsidRDefault="00587CF0" w:rsidP="00587CF0">
      <w:pPr>
        <w:rPr>
          <w:lang w:val="en-GB"/>
        </w:rPr>
      </w:pPr>
    </w:p>
    <w:p w14:paraId="798F9B23" w14:textId="77777777" w:rsidR="00587CF0" w:rsidRPr="006645DC" w:rsidRDefault="00587CF0" w:rsidP="00587CF0">
      <w:pPr>
        <w:rPr>
          <w:lang w:val="en-GB"/>
        </w:rPr>
      </w:pPr>
    </w:p>
    <w:p w14:paraId="153F8381" w14:textId="77777777" w:rsidR="00587CF0" w:rsidRPr="006645DC" w:rsidRDefault="00587CF0" w:rsidP="00587CF0">
      <w:pPr>
        <w:rPr>
          <w:lang w:val="en-GB"/>
        </w:rPr>
      </w:pPr>
    </w:p>
    <w:p w14:paraId="40A4B405" w14:textId="77777777" w:rsidR="00587CF0" w:rsidRPr="006645DC" w:rsidRDefault="00587CF0" w:rsidP="00587CF0">
      <w:pPr>
        <w:rPr>
          <w:lang w:val="en-GB"/>
        </w:rPr>
      </w:pPr>
    </w:p>
    <w:p w14:paraId="099AFA96" w14:textId="77777777" w:rsidR="00587CF0" w:rsidRPr="006645DC" w:rsidRDefault="00587CF0" w:rsidP="00587CF0">
      <w:pPr>
        <w:rPr>
          <w:lang w:val="en-GB"/>
        </w:rPr>
      </w:pPr>
    </w:p>
    <w:p w14:paraId="198C0D02" w14:textId="77777777" w:rsidR="00587CF0" w:rsidRPr="006645DC" w:rsidRDefault="00587CF0" w:rsidP="00587CF0">
      <w:pPr>
        <w:rPr>
          <w:lang w:val="en-GB"/>
        </w:rPr>
      </w:pPr>
    </w:p>
    <w:p w14:paraId="2CDBC844" w14:textId="77777777" w:rsidR="00587CF0" w:rsidRPr="006645DC" w:rsidRDefault="00587CF0" w:rsidP="00587CF0">
      <w:pPr>
        <w:rPr>
          <w:b/>
          <w:bCs/>
          <w:color w:val="365F91"/>
          <w:sz w:val="28"/>
          <w:szCs w:val="26"/>
          <w:lang w:val="en-GB"/>
        </w:rPr>
        <w:sectPr w:rsidR="00587CF0" w:rsidRPr="006645DC">
          <w:pgSz w:w="12240" w:h="15840"/>
          <w:pgMar w:top="1440" w:right="1440" w:bottom="1440" w:left="1440" w:header="708" w:footer="708" w:gutter="0"/>
          <w:cols w:space="720"/>
        </w:sectPr>
      </w:pPr>
    </w:p>
    <w:p w14:paraId="069E9792" w14:textId="77777777" w:rsidR="00587CF0" w:rsidRPr="006645DC" w:rsidRDefault="00587CF0" w:rsidP="00C951D5">
      <w:pPr>
        <w:pStyle w:val="Heading3"/>
        <w:numPr>
          <w:ilvl w:val="0"/>
          <w:numId w:val="127"/>
        </w:numPr>
        <w:rPr>
          <w:rFonts w:ascii="ArialMT" w:hAnsi="ArialMT" w:cs="ArialMT"/>
          <w:u w:val="single"/>
          <w:lang w:val="en-GB"/>
        </w:rPr>
      </w:pPr>
      <w:bookmarkStart w:id="126" w:name="_Toc376198451"/>
      <w:bookmarkStart w:id="127" w:name="_Toc254543766"/>
      <w:r w:rsidRPr="006645DC">
        <w:rPr>
          <w:lang w:val="en-GB"/>
        </w:rPr>
        <w:lastRenderedPageBreak/>
        <w:t>Strategic documents</w:t>
      </w:r>
      <w:bookmarkEnd w:id="126"/>
      <w:bookmarkEnd w:id="127"/>
      <w:r w:rsidRPr="006645DC">
        <w:rPr>
          <w:lang w:val="en-GB"/>
        </w:rPr>
        <w:t xml:space="preserve"> </w:t>
      </w:r>
    </w:p>
    <w:p w14:paraId="0D297EBB" w14:textId="77777777" w:rsidR="00587CF0" w:rsidRPr="006645DC" w:rsidRDefault="00587CF0" w:rsidP="00587CF0">
      <w:pPr>
        <w:rPr>
          <w:rFonts w:cs="Calibri"/>
          <w:u w:val="single"/>
          <w:lang w:val="en-GB"/>
        </w:rPr>
      </w:pPr>
      <w:r w:rsidRPr="006645DC">
        <w:rPr>
          <w:u w:val="single"/>
          <w:lang w:val="en-GB"/>
        </w:rPr>
        <w:t>Romania General Transport Master Plan (final version to be adopted in 2014)</w:t>
      </w:r>
    </w:p>
    <w:p w14:paraId="0BEF7260" w14:textId="77777777" w:rsidR="00587CF0" w:rsidRPr="006645DC" w:rsidRDefault="00587CF0" w:rsidP="00587CF0">
      <w:pPr>
        <w:rPr>
          <w:lang w:val="en-GB"/>
        </w:rPr>
      </w:pPr>
      <w:r w:rsidRPr="006645DC">
        <w:rPr>
          <w:lang w:val="en-GB"/>
        </w:rPr>
        <w:t xml:space="preserve">The General Transport Master Plan is designed to provide a clear strategy for the development of Romania’s transport sector for the next 20 years. The “immediate” aim of the Master Plan is to provide projects for the 2014-2020 Transport Operational Programme of Romania. </w:t>
      </w:r>
    </w:p>
    <w:p w14:paraId="7C038751" w14:textId="77777777" w:rsidR="00587CF0" w:rsidRPr="006645DC" w:rsidRDefault="00587CF0" w:rsidP="00587CF0">
      <w:pPr>
        <w:rPr>
          <w:u w:val="single"/>
          <w:lang w:val="en-GB"/>
        </w:rPr>
      </w:pPr>
      <w:r w:rsidRPr="006645DC">
        <w:rPr>
          <w:u w:val="single"/>
          <w:lang w:val="en-GB"/>
        </w:rPr>
        <w:t>Romanian National Intermodal Transport Strategy 2020 (adopted in May 2011)</w:t>
      </w:r>
    </w:p>
    <w:p w14:paraId="2E6B2257" w14:textId="77777777" w:rsidR="00587CF0" w:rsidRPr="006645DC" w:rsidRDefault="00587CF0" w:rsidP="00587CF0">
      <w:pPr>
        <w:rPr>
          <w:lang w:val="en-GB"/>
        </w:rPr>
      </w:pPr>
      <w:r w:rsidRPr="006645DC">
        <w:rPr>
          <w:lang w:val="en-GB"/>
        </w:rPr>
        <w:t xml:space="preserve">The overall objective of the strategy is the development of the national intermodal freight transport system in order to improve freight transport and the environmental impact of transport and traffic safety in Romania. </w:t>
      </w:r>
    </w:p>
    <w:p w14:paraId="5F113D71" w14:textId="77777777" w:rsidR="00587CF0" w:rsidRPr="006645DC" w:rsidRDefault="00587CF0" w:rsidP="00587CF0">
      <w:pPr>
        <w:rPr>
          <w:lang w:val="en-GB"/>
        </w:rPr>
      </w:pPr>
      <w:r w:rsidRPr="006645DC">
        <w:rPr>
          <w:lang w:val="en-GB"/>
        </w:rPr>
        <w:t>Achieving this objective will contribute directly to increase the accessibility of Romania by decreasing congestion problems and protecting road infrastructure, and promoting balanced development of all modes of transport improving the quality and efficiency of services, reducing gas and minimizing adverse effects on the environment.</w:t>
      </w:r>
    </w:p>
    <w:p w14:paraId="336F1016" w14:textId="77777777" w:rsidR="00587CF0" w:rsidRPr="006645DC" w:rsidRDefault="00587CF0" w:rsidP="00587CF0">
      <w:pPr>
        <w:rPr>
          <w:u w:val="single"/>
          <w:lang w:val="en-GB"/>
        </w:rPr>
      </w:pPr>
      <w:r w:rsidRPr="006645DC">
        <w:rPr>
          <w:u w:val="single"/>
          <w:lang w:val="en-GB"/>
        </w:rPr>
        <w:t>Sectorial Strategy for the medium term decentralisation – Ministry of Transport (adopted August 2008)</w:t>
      </w:r>
    </w:p>
    <w:p w14:paraId="46C8F562" w14:textId="77777777" w:rsidR="00587CF0" w:rsidRPr="006645DC" w:rsidRDefault="00587CF0" w:rsidP="00587CF0">
      <w:pPr>
        <w:rPr>
          <w:lang w:val="en-GB"/>
        </w:rPr>
      </w:pPr>
      <w:r w:rsidRPr="006645DC">
        <w:rPr>
          <w:lang w:val="en-GB"/>
        </w:rPr>
        <w:t xml:space="preserve">The document defines its strategic objective to be the modernization, restructuring and reorganization of activities related to the fields of the Ministry of Transport to increase the quality of public services and relations with users. More specifically: </w:t>
      </w:r>
    </w:p>
    <w:p w14:paraId="267A7ED4" w14:textId="77777777" w:rsidR="00587CF0" w:rsidRPr="006645DC" w:rsidRDefault="00587CF0" w:rsidP="00587CF0">
      <w:pPr>
        <w:pStyle w:val="ListParagraph"/>
        <w:rPr>
          <w:lang w:val="en-GB"/>
        </w:rPr>
      </w:pPr>
      <w:r w:rsidRPr="006645DC">
        <w:rPr>
          <w:lang w:val="en-GB"/>
        </w:rPr>
        <w:t>Reducing the tasks of the central government and in accordance with this principle of subsidiarity;</w:t>
      </w:r>
    </w:p>
    <w:p w14:paraId="446056C5" w14:textId="77777777" w:rsidR="00587CF0" w:rsidRPr="006645DC" w:rsidRDefault="00587CF0" w:rsidP="00587CF0">
      <w:pPr>
        <w:pStyle w:val="ListParagraph"/>
        <w:rPr>
          <w:lang w:val="en-GB"/>
        </w:rPr>
      </w:pPr>
      <w:r w:rsidRPr="006645DC">
        <w:rPr>
          <w:lang w:val="en-GB"/>
        </w:rPr>
        <w:t>Reducing administrative tasks and state ownership (privatization of companies);</w:t>
      </w:r>
    </w:p>
    <w:p w14:paraId="3EED8F8B" w14:textId="77777777" w:rsidR="00587CF0" w:rsidRPr="006645DC" w:rsidRDefault="00587CF0" w:rsidP="00587CF0">
      <w:pPr>
        <w:pStyle w:val="ListParagraph"/>
        <w:rPr>
          <w:lang w:val="en-GB"/>
        </w:rPr>
      </w:pPr>
      <w:r w:rsidRPr="006645DC">
        <w:rPr>
          <w:lang w:val="en-GB"/>
        </w:rPr>
        <w:t>Strengthening partnership between the central and local governments (development of national/regional level projects).</w:t>
      </w:r>
    </w:p>
    <w:p w14:paraId="3AA8A861" w14:textId="77777777" w:rsidR="00587CF0" w:rsidRPr="006645DC" w:rsidRDefault="00587CF0" w:rsidP="00587CF0">
      <w:pPr>
        <w:rPr>
          <w:u w:val="single"/>
          <w:lang w:val="en-GB"/>
        </w:rPr>
      </w:pPr>
      <w:r w:rsidRPr="006645DC">
        <w:rPr>
          <w:u w:val="single"/>
          <w:lang w:val="en-GB"/>
        </w:rPr>
        <w:t>Romanian Strategy for Sustainable Transport - 2007-2013 and 2020, 2030 (adopted in 2008)</w:t>
      </w:r>
    </w:p>
    <w:p w14:paraId="735065C1" w14:textId="77777777" w:rsidR="00587CF0" w:rsidRPr="006645DC" w:rsidRDefault="00587CF0" w:rsidP="00587CF0">
      <w:pPr>
        <w:rPr>
          <w:lang w:val="en-GB"/>
        </w:rPr>
      </w:pPr>
      <w:r w:rsidRPr="006645DC">
        <w:rPr>
          <w:lang w:val="en-GB"/>
        </w:rPr>
        <w:t xml:space="preserve">The document addresses the following strategic objectives for the short, medium and long run: </w:t>
      </w:r>
    </w:p>
    <w:p w14:paraId="6E5C991E" w14:textId="77777777" w:rsidR="00587CF0" w:rsidRPr="006645DC" w:rsidRDefault="00587CF0" w:rsidP="00587CF0">
      <w:pPr>
        <w:pStyle w:val="ListParagraph"/>
        <w:rPr>
          <w:lang w:val="en-GB"/>
        </w:rPr>
      </w:pPr>
      <w:r w:rsidRPr="006645DC">
        <w:rPr>
          <w:lang w:val="en-GB"/>
        </w:rPr>
        <w:t>“Horizon 2013: To incorporate the principles and practices of sustainable development in all the programmes and public policies of Romania as an EU Member State;</w:t>
      </w:r>
    </w:p>
    <w:p w14:paraId="716B056A" w14:textId="77777777" w:rsidR="00137264" w:rsidRPr="006645DC" w:rsidRDefault="00587CF0" w:rsidP="00587CF0">
      <w:pPr>
        <w:pStyle w:val="ListParagraph"/>
        <w:rPr>
          <w:lang w:val="en-GB"/>
        </w:rPr>
      </w:pPr>
      <w:r w:rsidRPr="006645DC">
        <w:rPr>
          <w:lang w:val="en-GB"/>
        </w:rPr>
        <w:t>Horizon 2020: To reach the current average level of the EU countries for the main indicators of sustainable development;</w:t>
      </w:r>
    </w:p>
    <w:p w14:paraId="31BB948B" w14:textId="77777777" w:rsidR="00587CF0" w:rsidRPr="006645DC" w:rsidRDefault="00587CF0" w:rsidP="00587CF0">
      <w:pPr>
        <w:pStyle w:val="ListParagraph"/>
        <w:rPr>
          <w:lang w:val="en-GB"/>
        </w:rPr>
      </w:pPr>
      <w:r w:rsidRPr="006645DC">
        <w:rPr>
          <w:lang w:val="en-GB"/>
        </w:rPr>
        <w:t>Horizon 2030: To get significantly close to the average performance of the EU Member States in that year in terms of sustainable development indicators.”</w:t>
      </w:r>
      <w:r w:rsidRPr="006645DC">
        <w:rPr>
          <w:sz w:val="16"/>
          <w:szCs w:val="16"/>
          <w:lang w:val="en-GB"/>
        </w:rPr>
        <w:footnoteReference w:id="13"/>
      </w:r>
    </w:p>
    <w:p w14:paraId="043E54AB" w14:textId="77777777" w:rsidR="00587CF0" w:rsidRPr="006645DC" w:rsidRDefault="00587CF0" w:rsidP="00587CF0">
      <w:pPr>
        <w:rPr>
          <w:lang w:val="en-GB"/>
        </w:rPr>
      </w:pPr>
      <w:r w:rsidRPr="006645DC">
        <w:rPr>
          <w:lang w:val="en-GB"/>
        </w:rPr>
        <w:lastRenderedPageBreak/>
        <w:t>Concerning the transport sector the document considers upgrading “basic infrastructure to EU standards, emphasizing the sustainable development of transport infrastructure and means of transport by reducing negative environmental impacts, promoting inter-modality, improving traffic safety and the protection of critical infrastructure”.</w:t>
      </w:r>
      <w:r w:rsidRPr="006645DC">
        <w:rPr>
          <w:sz w:val="16"/>
          <w:szCs w:val="16"/>
          <w:lang w:val="en-GB"/>
        </w:rPr>
        <w:footnoteReference w:id="14"/>
      </w:r>
    </w:p>
    <w:p w14:paraId="6642D220" w14:textId="77777777" w:rsidR="00587CF0" w:rsidRPr="006645DC" w:rsidRDefault="00587CF0" w:rsidP="00587CF0">
      <w:pPr>
        <w:rPr>
          <w:u w:val="single"/>
          <w:lang w:val="en-GB"/>
        </w:rPr>
      </w:pPr>
      <w:r w:rsidRPr="006645DC">
        <w:rPr>
          <w:u w:val="single"/>
          <w:lang w:val="en-GB"/>
        </w:rPr>
        <w:t>Strategy for Development of the Transport System of the Republic of Bulgaria until 2020 (adopted March 2010)</w:t>
      </w:r>
    </w:p>
    <w:p w14:paraId="2C8403B2" w14:textId="77777777" w:rsidR="00587CF0" w:rsidRPr="006645DC" w:rsidRDefault="00587CF0" w:rsidP="00587CF0">
      <w:pPr>
        <w:rPr>
          <w:lang w:val="en-GB"/>
        </w:rPr>
      </w:pPr>
      <w:r w:rsidRPr="006645DC">
        <w:rPr>
          <w:lang w:val="en-GB"/>
        </w:rPr>
        <w:t xml:space="preserve">The document provides the basis for planning of all transport measures in Bulgaria, developed by the Ministry of Transport, Information Technologies and Communications. </w:t>
      </w:r>
    </w:p>
    <w:p w14:paraId="5F8E96FC" w14:textId="77777777" w:rsidR="00587CF0" w:rsidRPr="006645DC" w:rsidRDefault="00587CF0" w:rsidP="00587CF0">
      <w:pPr>
        <w:rPr>
          <w:lang w:val="en-GB"/>
        </w:rPr>
      </w:pPr>
      <w:r w:rsidRPr="006645DC">
        <w:rPr>
          <w:lang w:val="en-GB"/>
        </w:rPr>
        <w:t>The strategy sets the following priorities:</w:t>
      </w:r>
    </w:p>
    <w:p w14:paraId="7C431AC8" w14:textId="77777777" w:rsidR="00587CF0" w:rsidRPr="006645DC" w:rsidRDefault="00587CF0" w:rsidP="00587CF0">
      <w:pPr>
        <w:pStyle w:val="ListParagraph"/>
        <w:rPr>
          <w:lang w:val="en-GB"/>
        </w:rPr>
      </w:pPr>
      <w:r w:rsidRPr="006645DC">
        <w:rPr>
          <w:lang w:val="en-GB"/>
        </w:rPr>
        <w:t>Efficient maintenance, modernisation and development of the transport infrastructure;</w:t>
      </w:r>
    </w:p>
    <w:p w14:paraId="356777AC" w14:textId="77777777" w:rsidR="00587CF0" w:rsidRPr="006645DC" w:rsidRDefault="00587CF0" w:rsidP="00587CF0">
      <w:pPr>
        <w:pStyle w:val="ListParagraph"/>
        <w:rPr>
          <w:lang w:val="en-GB"/>
        </w:rPr>
      </w:pPr>
      <w:r w:rsidRPr="006645DC">
        <w:rPr>
          <w:lang w:val="en-GB"/>
        </w:rPr>
        <w:t>Integration of the Bulgarian transport system into the European transport system;</w:t>
      </w:r>
    </w:p>
    <w:p w14:paraId="5D66D5A1" w14:textId="77777777" w:rsidR="00587CF0" w:rsidRPr="006645DC" w:rsidRDefault="00587CF0" w:rsidP="00587CF0">
      <w:pPr>
        <w:pStyle w:val="ListParagraph"/>
        <w:rPr>
          <w:lang w:val="en-GB"/>
        </w:rPr>
      </w:pPr>
      <w:r w:rsidRPr="006645DC">
        <w:rPr>
          <w:lang w:val="en-GB"/>
        </w:rPr>
        <w:t>Provision of transparent and harmonised competitive business environment of the transport market;</w:t>
      </w:r>
    </w:p>
    <w:p w14:paraId="4D1E5AA7" w14:textId="77777777" w:rsidR="00587CF0" w:rsidRPr="006645DC" w:rsidRDefault="00587CF0" w:rsidP="00587CF0">
      <w:pPr>
        <w:pStyle w:val="ListParagraph"/>
        <w:rPr>
          <w:lang w:val="en-GB"/>
        </w:rPr>
      </w:pPr>
      <w:r w:rsidRPr="006645DC">
        <w:rPr>
          <w:lang w:val="en-GB"/>
        </w:rPr>
        <w:t>Sufficient financing for transport sector development and performance. Efficient absorption of EU funds;</w:t>
      </w:r>
    </w:p>
    <w:p w14:paraId="2088985B" w14:textId="77777777" w:rsidR="00587CF0" w:rsidRPr="006645DC" w:rsidRDefault="00587CF0" w:rsidP="00587CF0">
      <w:pPr>
        <w:pStyle w:val="ListParagraph"/>
        <w:rPr>
          <w:lang w:val="en-GB"/>
        </w:rPr>
      </w:pPr>
      <w:r w:rsidRPr="006645DC">
        <w:rPr>
          <w:lang w:val="en-GB"/>
        </w:rPr>
        <w:t>Reduction of the transport sector negative impact on the environment and human health;</w:t>
      </w:r>
    </w:p>
    <w:p w14:paraId="33498CD0" w14:textId="77777777" w:rsidR="00587CF0" w:rsidRPr="006645DC" w:rsidRDefault="00587CF0" w:rsidP="00587CF0">
      <w:pPr>
        <w:pStyle w:val="ListParagraph"/>
        <w:rPr>
          <w:lang w:val="en-GB"/>
        </w:rPr>
      </w:pPr>
      <w:r w:rsidRPr="006645DC">
        <w:rPr>
          <w:lang w:val="en-GB"/>
        </w:rPr>
        <w:t>Safety and security of the transport system;</w:t>
      </w:r>
    </w:p>
    <w:p w14:paraId="27ABD26B" w14:textId="77777777" w:rsidR="00587CF0" w:rsidRPr="006645DC" w:rsidRDefault="00587CF0" w:rsidP="00587CF0">
      <w:pPr>
        <w:pStyle w:val="ListParagraph"/>
        <w:rPr>
          <w:lang w:val="en-GB"/>
        </w:rPr>
      </w:pPr>
      <w:r w:rsidRPr="006645DC">
        <w:rPr>
          <w:lang w:val="en-GB"/>
        </w:rPr>
        <w:t>Provision of high-quality and accessible transport in all regions of the country;</w:t>
      </w:r>
    </w:p>
    <w:p w14:paraId="05B417F5" w14:textId="77777777" w:rsidR="00587CF0" w:rsidRPr="006645DC" w:rsidRDefault="00587CF0" w:rsidP="00587CF0">
      <w:pPr>
        <w:pStyle w:val="ListParagraph"/>
        <w:rPr>
          <w:lang w:val="en-GB"/>
        </w:rPr>
      </w:pPr>
      <w:r w:rsidRPr="006645DC">
        <w:rPr>
          <w:lang w:val="en-GB"/>
        </w:rPr>
        <w:t>Sustainable development of urban passenger transport.</w:t>
      </w:r>
    </w:p>
    <w:p w14:paraId="6907D79C" w14:textId="77777777" w:rsidR="00587CF0" w:rsidRPr="006645DC" w:rsidRDefault="00587CF0" w:rsidP="00587CF0">
      <w:pPr>
        <w:rPr>
          <w:u w:val="single"/>
          <w:lang w:val="en-GB"/>
        </w:rPr>
      </w:pPr>
      <w:r w:rsidRPr="006645DC">
        <w:rPr>
          <w:u w:val="single"/>
          <w:lang w:val="en-GB"/>
        </w:rPr>
        <w:t xml:space="preserve">The Bulgarian National Development Program 2020 – Priority: Improvement of transport connectivity and access to markets </w:t>
      </w:r>
    </w:p>
    <w:p w14:paraId="6CE7720E" w14:textId="77777777" w:rsidR="00587CF0" w:rsidRPr="006645DC" w:rsidRDefault="00587CF0" w:rsidP="00587CF0">
      <w:pPr>
        <w:rPr>
          <w:lang w:val="en-GB"/>
        </w:rPr>
      </w:pPr>
      <w:r w:rsidRPr="006645DC">
        <w:rPr>
          <w:lang w:val="en-GB"/>
        </w:rPr>
        <w:t>The document refers to motorways and express roads, which are relevant for the cross-border area. Some of them are listed below:</w:t>
      </w:r>
    </w:p>
    <w:p w14:paraId="060F82FE" w14:textId="77777777" w:rsidR="00587CF0" w:rsidRPr="006645DC" w:rsidRDefault="00587CF0" w:rsidP="00163BE5">
      <w:pPr>
        <w:pStyle w:val="ListParagraph"/>
        <w:rPr>
          <w:lang w:val="en-GB"/>
        </w:rPr>
      </w:pPr>
      <w:r w:rsidRPr="006645DC">
        <w:rPr>
          <w:lang w:val="en-GB"/>
        </w:rPr>
        <w:t>ER Vratsa-Mezdra-Botevgrad</w:t>
      </w:r>
    </w:p>
    <w:p w14:paraId="1C210026" w14:textId="77777777" w:rsidR="00587CF0" w:rsidRPr="006645DC" w:rsidRDefault="00587CF0" w:rsidP="00163BE5">
      <w:pPr>
        <w:pStyle w:val="ListParagraph"/>
        <w:rPr>
          <w:lang w:val="en-GB"/>
        </w:rPr>
      </w:pPr>
      <w:r w:rsidRPr="006645DC">
        <w:rPr>
          <w:lang w:val="en-GB"/>
        </w:rPr>
        <w:t>SR Vidin-Montana</w:t>
      </w:r>
    </w:p>
    <w:p w14:paraId="390F7C49" w14:textId="77777777" w:rsidR="00587CF0" w:rsidRPr="006645DC" w:rsidRDefault="00587CF0" w:rsidP="00163BE5">
      <w:pPr>
        <w:pStyle w:val="ListParagraph"/>
        <w:rPr>
          <w:lang w:val="en-GB"/>
        </w:rPr>
      </w:pPr>
      <w:r w:rsidRPr="006645DC">
        <w:rPr>
          <w:lang w:val="en-GB"/>
        </w:rPr>
        <w:t>Completion of construction of Hemus Motorway (280 km)</w:t>
      </w:r>
    </w:p>
    <w:p w14:paraId="221FC521" w14:textId="77777777" w:rsidR="00587CF0" w:rsidRPr="006645DC" w:rsidRDefault="00587CF0" w:rsidP="00163BE5">
      <w:pPr>
        <w:pStyle w:val="ListParagraph"/>
        <w:rPr>
          <w:lang w:val="en-GB"/>
        </w:rPr>
      </w:pPr>
      <w:r w:rsidRPr="006645DC">
        <w:rPr>
          <w:lang w:val="en-GB"/>
        </w:rPr>
        <w:t xml:space="preserve">SR Ruse- Veliko Turnovo-Makaza Border Check Point </w:t>
      </w:r>
    </w:p>
    <w:p w14:paraId="37DA36D7" w14:textId="0CE18B47" w:rsidR="00587CF0" w:rsidRPr="006645DC" w:rsidRDefault="00C367E2" w:rsidP="00163BE5">
      <w:pPr>
        <w:pStyle w:val="ListParagraph"/>
        <w:rPr>
          <w:lang w:val="en-GB"/>
        </w:rPr>
      </w:pPr>
      <w:r>
        <w:rPr>
          <w:lang w:val="en-GB"/>
        </w:rPr>
        <w:t>SR Ruse-Sh</w:t>
      </w:r>
      <w:r w:rsidR="00587CF0" w:rsidRPr="006645DC">
        <w:rPr>
          <w:lang w:val="en-GB"/>
        </w:rPr>
        <w:t>umen</w:t>
      </w:r>
    </w:p>
    <w:p w14:paraId="4976A441" w14:textId="77777777" w:rsidR="00587CF0" w:rsidRPr="006645DC" w:rsidRDefault="00587CF0" w:rsidP="00587CF0">
      <w:pPr>
        <w:pStyle w:val="ListParagraph"/>
        <w:rPr>
          <w:lang w:val="en-GB"/>
        </w:rPr>
      </w:pPr>
      <w:r w:rsidRPr="006645DC">
        <w:rPr>
          <w:lang w:val="en-GB"/>
        </w:rPr>
        <w:lastRenderedPageBreak/>
        <w:t>SR Durankulak-Varna</w:t>
      </w:r>
    </w:p>
    <w:p w14:paraId="67883CC2" w14:textId="77777777" w:rsidR="00587CF0" w:rsidRPr="006645DC" w:rsidRDefault="00587CF0" w:rsidP="00587CF0">
      <w:pPr>
        <w:rPr>
          <w:lang w:val="en-GB"/>
        </w:rPr>
      </w:pPr>
      <w:r w:rsidRPr="006645DC">
        <w:rPr>
          <w:lang w:val="en-GB"/>
        </w:rPr>
        <w:t>In addition, the document refers to the following infrastructure projects planned and related to the cross-border region:</w:t>
      </w:r>
    </w:p>
    <w:p w14:paraId="708FD4F0" w14:textId="77777777" w:rsidR="00587CF0" w:rsidRPr="006645DC" w:rsidRDefault="00587CF0" w:rsidP="00137264">
      <w:pPr>
        <w:pStyle w:val="ListParagraph"/>
        <w:rPr>
          <w:lang w:val="en-GB"/>
        </w:rPr>
      </w:pPr>
      <w:r w:rsidRPr="006645DC">
        <w:rPr>
          <w:lang w:val="en-GB"/>
        </w:rPr>
        <w:t>Construction of Intermodal Terminal in the town of Ruse;</w:t>
      </w:r>
    </w:p>
    <w:p w14:paraId="58E8DBB2" w14:textId="77777777" w:rsidR="00587CF0" w:rsidRPr="006645DC" w:rsidRDefault="00587CF0" w:rsidP="00137264">
      <w:pPr>
        <w:pStyle w:val="ListParagraph"/>
        <w:rPr>
          <w:lang w:val="en-GB"/>
        </w:rPr>
      </w:pPr>
      <w:r w:rsidRPr="006645DC">
        <w:rPr>
          <w:lang w:val="en-GB"/>
        </w:rPr>
        <w:t>Improvement of the vessel navigation in the joint Bulgarian-Romanian section of the Danube River (deepening, construction of jetties, fortification of river banks and others);</w:t>
      </w:r>
    </w:p>
    <w:p w14:paraId="784113B4" w14:textId="77777777" w:rsidR="00587CF0" w:rsidRPr="006645DC" w:rsidRDefault="00587CF0" w:rsidP="00137264">
      <w:pPr>
        <w:pStyle w:val="ListParagraph"/>
        <w:rPr>
          <w:lang w:val="en-GB"/>
        </w:rPr>
      </w:pPr>
      <w:r w:rsidRPr="006645DC">
        <w:rPr>
          <w:lang w:val="en-GB"/>
        </w:rPr>
        <w:t>Modernisation of the railroad Vidin-Sofia;</w:t>
      </w:r>
    </w:p>
    <w:p w14:paraId="739DCAA3" w14:textId="77777777" w:rsidR="00587CF0" w:rsidRPr="006645DC" w:rsidRDefault="00587CF0" w:rsidP="00137264">
      <w:pPr>
        <w:pStyle w:val="ListParagraph"/>
        <w:rPr>
          <w:lang w:val="en-GB"/>
        </w:rPr>
      </w:pPr>
      <w:r w:rsidRPr="006645DC">
        <w:rPr>
          <w:lang w:val="en-GB"/>
        </w:rPr>
        <w:t>Restoration of project parameters of railroad Ruse-Varna;</w:t>
      </w:r>
    </w:p>
    <w:p w14:paraId="0773BEF0" w14:textId="77777777" w:rsidR="00587CF0" w:rsidRPr="006645DC" w:rsidRDefault="00587CF0" w:rsidP="00137264">
      <w:pPr>
        <w:pStyle w:val="ListParagraph"/>
        <w:rPr>
          <w:lang w:val="en-GB"/>
        </w:rPr>
      </w:pPr>
      <w:r w:rsidRPr="006645DC">
        <w:rPr>
          <w:lang w:val="en-GB"/>
        </w:rPr>
        <w:t>Railroad Mezdra-Gorna Oryahovitsa.</w:t>
      </w:r>
    </w:p>
    <w:p w14:paraId="7E70AA11" w14:textId="77777777" w:rsidR="00587CF0" w:rsidRPr="006645DC" w:rsidRDefault="00587CF0" w:rsidP="00587CF0">
      <w:pPr>
        <w:rPr>
          <w:u w:val="single"/>
          <w:lang w:val="en-GB"/>
        </w:rPr>
      </w:pPr>
      <w:r w:rsidRPr="006645DC">
        <w:rPr>
          <w:u w:val="single"/>
          <w:lang w:val="en-GB"/>
        </w:rPr>
        <w:t>Memorandum of Understanding and Inter-ministerial Committee for the sustainable development of the inland waterway transport, on the Romanian –Bulgarian common sector of the Danube</w:t>
      </w:r>
    </w:p>
    <w:p w14:paraId="433946CF" w14:textId="77777777" w:rsidR="00587CF0" w:rsidRPr="006645DC" w:rsidRDefault="00587CF0" w:rsidP="00587CF0">
      <w:pPr>
        <w:spacing w:before="0"/>
        <w:rPr>
          <w:lang w:val="en-GB"/>
        </w:rPr>
      </w:pPr>
      <w:r w:rsidRPr="006645DC">
        <w:rPr>
          <w:lang w:val="en-GB"/>
        </w:rPr>
        <w:t xml:space="preserve">On the 11st of October 2012 a Memorandum of Understanding was signed between the Bulgarian and Romanian government to set up an Inter-ministerial Committee for the sustainable development of the inland waterway transport, on the Romanian –Bulgarian common sector of the Danube. An Action Plan was adopted by the Inter-ministerial Committee to improve the navigation conditions for the Romanian - Bulgarian common sector of the Danube in line with the EU Strategy for the Danube Region (EUSDR) adopted in 2010 by the European Commission. </w:t>
      </w:r>
    </w:p>
    <w:p w14:paraId="075E5E20" w14:textId="77777777" w:rsidR="00587CF0" w:rsidRPr="006645DC" w:rsidRDefault="00587CF0" w:rsidP="00587CF0">
      <w:pPr>
        <w:rPr>
          <w:u w:val="single"/>
          <w:lang w:val="en-GB"/>
        </w:rPr>
      </w:pPr>
      <w:r w:rsidRPr="006645DC">
        <w:rPr>
          <w:u w:val="single"/>
          <w:lang w:val="en-GB"/>
        </w:rPr>
        <w:t>Roadmap to a Single European Transport Area- Towards a competitive and resource efficient transport system – White paper 2011</w:t>
      </w:r>
    </w:p>
    <w:p w14:paraId="4A4DACD1" w14:textId="77777777" w:rsidR="00587CF0" w:rsidRPr="006645DC" w:rsidRDefault="00587CF0" w:rsidP="00587CF0">
      <w:pPr>
        <w:rPr>
          <w:lang w:val="en-GB"/>
        </w:rPr>
      </w:pPr>
      <w:r w:rsidRPr="006645DC">
        <w:rPr>
          <w:lang w:val="en-GB"/>
        </w:rPr>
        <w:t>The White Paper considers “to build a competitive transport system that will increase mobility, remove major barriers in key areas and fuel growth and employment. At the same time, the proposals will dramatically reduce Europe's dependence on imported oil and cut carbon emissions in transport by 60% by 2050.”</w:t>
      </w:r>
      <w:r w:rsidRPr="006645DC">
        <w:rPr>
          <w:sz w:val="16"/>
          <w:szCs w:val="16"/>
          <w:lang w:val="en-GB"/>
        </w:rPr>
        <w:footnoteReference w:id="15"/>
      </w:r>
    </w:p>
    <w:p w14:paraId="20EBBACC" w14:textId="77777777" w:rsidR="00587CF0" w:rsidRPr="006645DC" w:rsidRDefault="00587CF0" w:rsidP="00587CF0">
      <w:pPr>
        <w:rPr>
          <w:lang w:val="en-GB"/>
        </w:rPr>
      </w:pPr>
      <w:r w:rsidRPr="006645DC">
        <w:rPr>
          <w:lang w:val="en-GB"/>
        </w:rPr>
        <w:t>The Transport White Paper published in 2011 sets out in Annex I a list of initiatives, under several headings, which may be regarded as its objectives. These are:</w:t>
      </w:r>
    </w:p>
    <w:p w14:paraId="0E69FB08" w14:textId="77777777" w:rsidR="00587CF0" w:rsidRPr="006645DC" w:rsidRDefault="00587CF0" w:rsidP="00587CF0">
      <w:pPr>
        <w:rPr>
          <w:lang w:val="en-GB"/>
        </w:rPr>
      </w:pPr>
      <w:r w:rsidRPr="006645DC">
        <w:rPr>
          <w:lang w:val="en-GB"/>
        </w:rPr>
        <w:t>a) An efficient and integrated Mobility System</w:t>
      </w:r>
    </w:p>
    <w:p w14:paraId="12D009FF" w14:textId="77777777" w:rsidR="00587CF0" w:rsidRPr="006645DC" w:rsidRDefault="00587CF0" w:rsidP="00587CF0">
      <w:pPr>
        <w:pStyle w:val="ListParagraph"/>
        <w:rPr>
          <w:lang w:val="en-GB"/>
        </w:rPr>
      </w:pPr>
      <w:r w:rsidRPr="006645DC">
        <w:rPr>
          <w:lang w:val="en-GB"/>
        </w:rPr>
        <w:t>A single European Transport Area;</w:t>
      </w:r>
    </w:p>
    <w:p w14:paraId="521C35EE" w14:textId="77777777" w:rsidR="00587CF0" w:rsidRPr="006645DC" w:rsidRDefault="00587CF0" w:rsidP="00587CF0">
      <w:pPr>
        <w:pStyle w:val="ListParagraph"/>
        <w:rPr>
          <w:lang w:val="en-GB"/>
        </w:rPr>
      </w:pPr>
      <w:r w:rsidRPr="006645DC">
        <w:rPr>
          <w:lang w:val="en-GB"/>
        </w:rPr>
        <w:t>Promoting quality jobs and working conditions;</w:t>
      </w:r>
    </w:p>
    <w:p w14:paraId="1F4DD171" w14:textId="77777777" w:rsidR="00587CF0" w:rsidRPr="006645DC" w:rsidRDefault="00587CF0" w:rsidP="00587CF0">
      <w:pPr>
        <w:pStyle w:val="ListParagraph"/>
        <w:rPr>
          <w:lang w:val="en-GB"/>
        </w:rPr>
      </w:pPr>
      <w:r w:rsidRPr="006645DC">
        <w:rPr>
          <w:lang w:val="en-GB"/>
        </w:rPr>
        <w:t>Secure transport;</w:t>
      </w:r>
    </w:p>
    <w:p w14:paraId="076897B3" w14:textId="77777777" w:rsidR="00587CF0" w:rsidRPr="006645DC" w:rsidRDefault="00587CF0" w:rsidP="00587CF0">
      <w:pPr>
        <w:pStyle w:val="ListParagraph"/>
        <w:rPr>
          <w:lang w:val="en-GB"/>
        </w:rPr>
      </w:pPr>
      <w:r w:rsidRPr="006645DC">
        <w:rPr>
          <w:lang w:val="en-GB"/>
        </w:rPr>
        <w:t>Service quality and reliability.</w:t>
      </w:r>
    </w:p>
    <w:p w14:paraId="5290519E" w14:textId="77777777" w:rsidR="00587CF0" w:rsidRPr="006645DC" w:rsidRDefault="00587CF0" w:rsidP="00587CF0">
      <w:pPr>
        <w:rPr>
          <w:lang w:val="en-GB"/>
        </w:rPr>
      </w:pPr>
      <w:r w:rsidRPr="006645DC">
        <w:rPr>
          <w:lang w:val="en-GB"/>
        </w:rPr>
        <w:lastRenderedPageBreak/>
        <w:t>b) Innovating for the Future: Technology and Behaviour</w:t>
      </w:r>
    </w:p>
    <w:p w14:paraId="0597FEF5" w14:textId="77777777" w:rsidR="00587CF0" w:rsidRPr="006645DC" w:rsidRDefault="00587CF0" w:rsidP="00587CF0">
      <w:pPr>
        <w:pStyle w:val="ListParagraph"/>
        <w:rPr>
          <w:lang w:val="en-GB"/>
        </w:rPr>
      </w:pPr>
      <w:r w:rsidRPr="006645DC">
        <w:rPr>
          <w:lang w:val="en-GB"/>
        </w:rPr>
        <w:t>A European Transport and Research and Innovation Policy;</w:t>
      </w:r>
    </w:p>
    <w:p w14:paraId="331CA757" w14:textId="77777777" w:rsidR="00587CF0" w:rsidRPr="006645DC" w:rsidRDefault="00587CF0" w:rsidP="00587CF0">
      <w:pPr>
        <w:pStyle w:val="ListParagraph"/>
        <w:rPr>
          <w:lang w:val="en-GB"/>
        </w:rPr>
      </w:pPr>
      <w:r w:rsidRPr="006645DC">
        <w:rPr>
          <w:lang w:val="en-GB"/>
        </w:rPr>
        <w:t>Promoting more sustainable behaviour;</w:t>
      </w:r>
    </w:p>
    <w:p w14:paraId="6D4C8021" w14:textId="77777777" w:rsidR="00587CF0" w:rsidRPr="006645DC" w:rsidRDefault="00587CF0" w:rsidP="00163BE5">
      <w:pPr>
        <w:pStyle w:val="ListParagraph"/>
        <w:rPr>
          <w:lang w:val="en-GB"/>
        </w:rPr>
      </w:pPr>
      <w:r w:rsidRPr="006645DC">
        <w:rPr>
          <w:lang w:val="en-GB"/>
        </w:rPr>
        <w:t>Integrated urban mobility.</w:t>
      </w:r>
    </w:p>
    <w:p w14:paraId="2ADC75CA" w14:textId="77777777" w:rsidR="00587CF0" w:rsidRPr="006645DC" w:rsidRDefault="00587CF0" w:rsidP="00AE1E9E">
      <w:pPr>
        <w:pStyle w:val="Heading3"/>
        <w:rPr>
          <w:lang w:val="en-GB"/>
        </w:rPr>
      </w:pPr>
      <w:bookmarkStart w:id="128" w:name="_Toc376198452"/>
      <w:bookmarkStart w:id="129" w:name="_Toc254543767"/>
      <w:r w:rsidRPr="006645DC">
        <w:rPr>
          <w:lang w:val="en-GB"/>
        </w:rPr>
        <w:t>Existing infrastructure</w:t>
      </w:r>
      <w:bookmarkEnd w:id="128"/>
      <w:bookmarkEnd w:id="129"/>
      <w:r w:rsidRPr="006645DC">
        <w:rPr>
          <w:lang w:val="en-GB"/>
        </w:rPr>
        <w:t xml:space="preserve"> </w:t>
      </w:r>
    </w:p>
    <w:p w14:paraId="669F8D56" w14:textId="77777777" w:rsidR="00587CF0" w:rsidRPr="006645DC" w:rsidRDefault="00587CF0" w:rsidP="00587CF0">
      <w:pPr>
        <w:rPr>
          <w:b/>
          <w:sz w:val="20"/>
          <w:szCs w:val="20"/>
          <w:lang w:val="en-GB"/>
        </w:rPr>
      </w:pPr>
      <w:r w:rsidRPr="006645DC">
        <w:rPr>
          <w:lang w:val="en-GB"/>
        </w:rPr>
        <w:t xml:space="preserve">The table below presents the different transport axes that are in the Romanian-Bulgarian cross-border area. </w:t>
      </w:r>
    </w:p>
    <w:tbl>
      <w:tblPr>
        <w:tblW w:w="10741" w:type="dxa"/>
        <w:jc w:val="center"/>
        <w:tblLayout w:type="fixed"/>
        <w:tblLook w:val="04A0" w:firstRow="1" w:lastRow="0" w:firstColumn="1" w:lastColumn="0" w:noHBand="0" w:noVBand="1"/>
      </w:tblPr>
      <w:tblGrid>
        <w:gridCol w:w="2067"/>
        <w:gridCol w:w="1757"/>
        <w:gridCol w:w="6917"/>
      </w:tblGrid>
      <w:tr w:rsidR="00137264" w:rsidRPr="006645DC" w14:paraId="17690B40" w14:textId="77777777" w:rsidTr="00137264">
        <w:trPr>
          <w:jc w:val="center"/>
        </w:trPr>
        <w:tc>
          <w:tcPr>
            <w:tcW w:w="2067" w:type="dxa"/>
            <w:tcBorders>
              <w:top w:val="single" w:sz="4" w:space="0" w:color="000000"/>
              <w:left w:val="single" w:sz="4" w:space="0" w:color="000000"/>
              <w:bottom w:val="single" w:sz="4" w:space="0" w:color="000000"/>
              <w:right w:val="nil"/>
            </w:tcBorders>
            <w:vAlign w:val="center"/>
            <w:hideMark/>
          </w:tcPr>
          <w:p w14:paraId="11FE1CF9" w14:textId="77777777" w:rsidR="00587CF0" w:rsidRPr="006645DC" w:rsidRDefault="00587CF0" w:rsidP="00137264">
            <w:pPr>
              <w:suppressAutoHyphens/>
              <w:spacing w:before="0" w:after="0"/>
              <w:jc w:val="center"/>
              <w:rPr>
                <w:rFonts w:eastAsia="Arial" w:cs="Calibri"/>
                <w:b/>
                <w:kern w:val="2"/>
                <w:sz w:val="20"/>
                <w:szCs w:val="20"/>
                <w:lang w:val="en-GB"/>
              </w:rPr>
            </w:pPr>
            <w:r w:rsidRPr="006645DC">
              <w:rPr>
                <w:b/>
                <w:sz w:val="20"/>
                <w:szCs w:val="20"/>
                <w:lang w:val="en-GB"/>
              </w:rPr>
              <w:t>Mode of transport (Agreement)</w:t>
            </w:r>
          </w:p>
        </w:tc>
        <w:tc>
          <w:tcPr>
            <w:tcW w:w="1757" w:type="dxa"/>
            <w:tcBorders>
              <w:top w:val="single" w:sz="4" w:space="0" w:color="000000"/>
              <w:left w:val="single" w:sz="4" w:space="0" w:color="000000"/>
              <w:bottom w:val="single" w:sz="4" w:space="0" w:color="000000"/>
              <w:right w:val="nil"/>
            </w:tcBorders>
            <w:vAlign w:val="center"/>
            <w:hideMark/>
          </w:tcPr>
          <w:p w14:paraId="5CAA322E" w14:textId="77777777" w:rsidR="00587CF0" w:rsidRPr="006645DC" w:rsidRDefault="00587CF0" w:rsidP="00137264">
            <w:pPr>
              <w:suppressAutoHyphens/>
              <w:spacing w:before="0" w:after="0"/>
              <w:jc w:val="center"/>
              <w:rPr>
                <w:rFonts w:eastAsia="Times New Roman" w:cs="Calibri"/>
                <w:b/>
                <w:kern w:val="2"/>
                <w:sz w:val="20"/>
                <w:szCs w:val="20"/>
                <w:lang w:val="en-GB"/>
              </w:rPr>
            </w:pPr>
            <w:r w:rsidRPr="006645DC">
              <w:rPr>
                <w:b/>
                <w:sz w:val="20"/>
                <w:szCs w:val="20"/>
                <w:lang w:val="en-GB"/>
              </w:rPr>
              <w:t>Mode of transport indicative</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0853F19F" w14:textId="77777777" w:rsidR="00587CF0" w:rsidRPr="006645DC" w:rsidRDefault="00587CF0" w:rsidP="00137264">
            <w:pPr>
              <w:pStyle w:val="NormalWeb"/>
              <w:spacing w:before="0" w:beforeAutospacing="0" w:after="0" w:afterAutospacing="0"/>
              <w:jc w:val="center"/>
              <w:rPr>
                <w:rFonts w:ascii="Calibri" w:hAnsi="Calibri" w:cs="Calibri"/>
                <w:kern w:val="2"/>
                <w:sz w:val="20"/>
                <w:szCs w:val="20"/>
                <w:lang w:val="en-GB"/>
              </w:rPr>
            </w:pPr>
            <w:r w:rsidRPr="006645DC">
              <w:rPr>
                <w:rFonts w:ascii="Calibri" w:hAnsi="Calibri" w:cs="Calibri"/>
                <w:b/>
                <w:sz w:val="20"/>
                <w:szCs w:val="20"/>
                <w:lang w:val="en-GB"/>
              </w:rPr>
              <w:t>Route</w:t>
            </w:r>
          </w:p>
        </w:tc>
      </w:tr>
      <w:tr w:rsidR="00137264" w:rsidRPr="006645DC" w14:paraId="030720B5" w14:textId="77777777" w:rsidTr="00137264">
        <w:trPr>
          <w:cantSplit/>
          <w:jc w:val="center"/>
        </w:trPr>
        <w:tc>
          <w:tcPr>
            <w:tcW w:w="2067" w:type="dxa"/>
            <w:vMerge w:val="restart"/>
            <w:tcBorders>
              <w:top w:val="single" w:sz="4" w:space="0" w:color="000000"/>
              <w:left w:val="single" w:sz="4" w:space="0" w:color="000000"/>
              <w:bottom w:val="single" w:sz="4" w:space="0" w:color="000000"/>
              <w:right w:val="nil"/>
            </w:tcBorders>
            <w:vAlign w:val="center"/>
          </w:tcPr>
          <w:p w14:paraId="33E1495A" w14:textId="77777777" w:rsidR="00587CF0" w:rsidRPr="006645DC" w:rsidRDefault="00587CF0" w:rsidP="00137264">
            <w:pPr>
              <w:pStyle w:val="NormalWeb"/>
              <w:spacing w:before="0" w:beforeAutospacing="0" w:after="0" w:afterAutospacing="0"/>
              <w:jc w:val="left"/>
              <w:rPr>
                <w:rFonts w:ascii="Calibri" w:hAnsi="Calibri" w:cs="Calibri"/>
                <w:kern w:val="2"/>
                <w:sz w:val="20"/>
                <w:szCs w:val="20"/>
                <w:lang w:val="en-GB"/>
              </w:rPr>
            </w:pPr>
            <w:r w:rsidRPr="006645DC">
              <w:rPr>
                <w:rFonts w:ascii="Calibri" w:hAnsi="Calibri" w:cs="Calibri"/>
                <w:sz w:val="20"/>
                <w:szCs w:val="20"/>
                <w:lang w:val="en-GB"/>
              </w:rPr>
              <w:t>Road transport (AGR)</w:t>
            </w:r>
          </w:p>
          <w:p w14:paraId="64C7D6E3" w14:textId="77777777" w:rsidR="00587CF0" w:rsidRPr="006645DC" w:rsidRDefault="00587CF0" w:rsidP="00137264">
            <w:pPr>
              <w:pStyle w:val="NormalWeb"/>
              <w:spacing w:before="0" w:beforeAutospacing="0" w:after="0" w:afterAutospacing="0"/>
              <w:jc w:val="left"/>
              <w:rPr>
                <w:rFonts w:ascii="Calibri" w:hAnsi="Calibri" w:cs="Calibri"/>
                <w:kern w:val="2"/>
                <w:sz w:val="20"/>
                <w:szCs w:val="20"/>
                <w:lang w:val="en-GB"/>
              </w:rPr>
            </w:pPr>
          </w:p>
        </w:tc>
        <w:tc>
          <w:tcPr>
            <w:tcW w:w="1757" w:type="dxa"/>
            <w:tcBorders>
              <w:top w:val="single" w:sz="4" w:space="0" w:color="000000"/>
              <w:left w:val="single" w:sz="4" w:space="0" w:color="000000"/>
              <w:bottom w:val="single" w:sz="4" w:space="0" w:color="000000"/>
              <w:right w:val="nil"/>
            </w:tcBorders>
            <w:vAlign w:val="center"/>
            <w:hideMark/>
          </w:tcPr>
          <w:p w14:paraId="618BB075" w14:textId="77777777" w:rsidR="00587CF0" w:rsidRPr="006645DC" w:rsidRDefault="00587CF0" w:rsidP="00137264">
            <w:pPr>
              <w:keepNext/>
              <w:keepLines/>
              <w:suppressAutoHyphens/>
              <w:spacing w:before="0" w:after="0"/>
              <w:ind w:left="757" w:hanging="360"/>
              <w:jc w:val="left"/>
              <w:rPr>
                <w:rFonts w:eastAsia="Arial" w:cs="Calibri"/>
                <w:kern w:val="2"/>
                <w:sz w:val="20"/>
                <w:szCs w:val="20"/>
                <w:lang w:val="en-GB"/>
              </w:rPr>
            </w:pPr>
            <w:r w:rsidRPr="006645DC">
              <w:rPr>
                <w:sz w:val="20"/>
                <w:szCs w:val="20"/>
                <w:lang w:val="en-GB"/>
              </w:rPr>
              <w:t>E 70</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46FD6B38" w14:textId="77777777" w:rsidR="00587CF0" w:rsidRPr="006645DC" w:rsidRDefault="00587CF0" w:rsidP="00137264">
            <w:pPr>
              <w:keepNext/>
              <w:keepLines/>
              <w:suppressAutoHyphens/>
              <w:spacing w:before="0" w:after="0"/>
              <w:jc w:val="left"/>
              <w:rPr>
                <w:rFonts w:eastAsia="Times New Roman" w:cs="Calibri"/>
                <w:kern w:val="2"/>
                <w:sz w:val="20"/>
                <w:szCs w:val="20"/>
                <w:lang w:val="en-GB"/>
              </w:rPr>
            </w:pPr>
            <w:r w:rsidRPr="006645DC">
              <w:rPr>
                <w:sz w:val="20"/>
                <w:szCs w:val="20"/>
                <w:lang w:val="en-GB"/>
              </w:rPr>
              <w:t>(</w:t>
            </w:r>
            <w:r w:rsidRPr="006645DC">
              <w:rPr>
                <w:i/>
                <w:sz w:val="20"/>
                <w:szCs w:val="20"/>
                <w:lang w:val="en-GB"/>
              </w:rPr>
              <w:t>Serbia</w:t>
            </w:r>
            <w:r w:rsidRPr="006645DC">
              <w:rPr>
                <w:sz w:val="20"/>
                <w:szCs w:val="20"/>
                <w:lang w:val="en-GB"/>
              </w:rPr>
              <w:t xml:space="preserve">) - Timişoara − Caransebeş − Drobeta Turnu Severin − Craiova − Alexandria− Bucharest − </w:t>
            </w:r>
            <w:r w:rsidRPr="006645DC">
              <w:rPr>
                <w:b/>
                <w:sz w:val="20"/>
                <w:szCs w:val="20"/>
                <w:lang w:val="en-GB"/>
              </w:rPr>
              <w:t xml:space="preserve">Giurgiu − Ruse </w:t>
            </w:r>
            <w:r w:rsidRPr="006645DC">
              <w:rPr>
                <w:sz w:val="20"/>
                <w:szCs w:val="20"/>
                <w:lang w:val="en-GB"/>
              </w:rPr>
              <w:t xml:space="preserve">− Razgrad − Shoumen − Varna – (ferryboat to Samsun, </w:t>
            </w:r>
            <w:r w:rsidRPr="006645DC">
              <w:rPr>
                <w:i/>
                <w:sz w:val="20"/>
                <w:szCs w:val="20"/>
                <w:lang w:val="en-GB"/>
              </w:rPr>
              <w:t>Turcia</w:t>
            </w:r>
            <w:r w:rsidRPr="006645DC">
              <w:rPr>
                <w:sz w:val="20"/>
                <w:szCs w:val="20"/>
                <w:lang w:val="en-GB"/>
              </w:rPr>
              <w:t>)</w:t>
            </w:r>
          </w:p>
        </w:tc>
      </w:tr>
      <w:tr w:rsidR="00137264" w:rsidRPr="006645DC" w14:paraId="563B0DB5" w14:textId="77777777" w:rsidTr="00137264">
        <w:trPr>
          <w:cantSplit/>
          <w:jc w:val="center"/>
        </w:trPr>
        <w:tc>
          <w:tcPr>
            <w:tcW w:w="2067" w:type="dxa"/>
            <w:vMerge/>
            <w:tcBorders>
              <w:top w:val="single" w:sz="4" w:space="0" w:color="000000"/>
              <w:left w:val="single" w:sz="4" w:space="0" w:color="000000"/>
              <w:bottom w:val="single" w:sz="4" w:space="0" w:color="000000"/>
              <w:right w:val="nil"/>
            </w:tcBorders>
            <w:vAlign w:val="center"/>
            <w:hideMark/>
          </w:tcPr>
          <w:p w14:paraId="437E7FAB" w14:textId="77777777" w:rsidR="00587CF0" w:rsidRPr="006645DC" w:rsidRDefault="00587CF0" w:rsidP="00137264">
            <w:pPr>
              <w:spacing w:before="0" w:after="0"/>
              <w:jc w:val="left"/>
              <w:rPr>
                <w:rFonts w:eastAsia="Times New Roman" w:cs="Calibri"/>
                <w:kern w:val="2"/>
                <w:sz w:val="20"/>
                <w:szCs w:val="20"/>
                <w:lang w:val="en-GB"/>
              </w:rPr>
            </w:pPr>
          </w:p>
        </w:tc>
        <w:tc>
          <w:tcPr>
            <w:tcW w:w="1757" w:type="dxa"/>
            <w:tcBorders>
              <w:top w:val="single" w:sz="4" w:space="0" w:color="000000"/>
              <w:left w:val="single" w:sz="4" w:space="0" w:color="000000"/>
              <w:bottom w:val="single" w:sz="4" w:space="0" w:color="000000"/>
              <w:right w:val="nil"/>
            </w:tcBorders>
            <w:vAlign w:val="center"/>
            <w:hideMark/>
          </w:tcPr>
          <w:p w14:paraId="66F49AA3" w14:textId="77777777" w:rsidR="00587CF0" w:rsidRPr="006645DC" w:rsidRDefault="00587CF0" w:rsidP="00137264">
            <w:pPr>
              <w:keepNext/>
              <w:keepLines/>
              <w:suppressAutoHyphens/>
              <w:spacing w:before="0" w:after="0"/>
              <w:ind w:left="757" w:hanging="360"/>
              <w:jc w:val="left"/>
              <w:rPr>
                <w:rFonts w:eastAsia="Arial" w:cs="Calibri"/>
                <w:kern w:val="2"/>
                <w:sz w:val="20"/>
                <w:szCs w:val="20"/>
                <w:lang w:val="en-GB"/>
              </w:rPr>
            </w:pPr>
            <w:r w:rsidRPr="006645DC">
              <w:rPr>
                <w:sz w:val="20"/>
                <w:szCs w:val="20"/>
                <w:lang w:val="en-GB"/>
              </w:rPr>
              <w:t>E 85</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50DD560D" w14:textId="77777777" w:rsidR="00587CF0" w:rsidRPr="006645DC" w:rsidRDefault="00587CF0" w:rsidP="00137264">
            <w:pPr>
              <w:keepNext/>
              <w:keepLines/>
              <w:suppressAutoHyphens/>
              <w:spacing w:before="0" w:after="0"/>
              <w:jc w:val="left"/>
              <w:rPr>
                <w:rFonts w:eastAsia="Times New Roman" w:cs="Calibri"/>
                <w:kern w:val="2"/>
                <w:sz w:val="20"/>
                <w:szCs w:val="20"/>
                <w:lang w:val="en-GB"/>
              </w:rPr>
            </w:pPr>
            <w:r w:rsidRPr="006645DC">
              <w:rPr>
                <w:sz w:val="20"/>
                <w:szCs w:val="20"/>
                <w:lang w:val="en-GB"/>
              </w:rPr>
              <w:t>(</w:t>
            </w:r>
            <w:r w:rsidRPr="006645DC">
              <w:rPr>
                <w:i/>
                <w:sz w:val="20"/>
                <w:szCs w:val="20"/>
                <w:lang w:val="en-GB"/>
              </w:rPr>
              <w:t>Ukraine</w:t>
            </w:r>
            <w:r w:rsidRPr="006645DC">
              <w:rPr>
                <w:sz w:val="20"/>
                <w:szCs w:val="20"/>
                <w:lang w:val="en-GB"/>
              </w:rPr>
              <w:t xml:space="preserve">) - Siret - Suceava - Sabaoani - Roman - Bacau - Maraşeşti - Tişiţa - Buzau - Urziceni - Bucharest - </w:t>
            </w:r>
            <w:r w:rsidRPr="006645DC">
              <w:rPr>
                <w:b/>
                <w:sz w:val="20"/>
                <w:szCs w:val="20"/>
                <w:lang w:val="en-GB"/>
              </w:rPr>
              <w:t xml:space="preserve">Giurgiu - Ruse </w:t>
            </w:r>
            <w:r w:rsidRPr="006645DC">
              <w:rPr>
                <w:sz w:val="20"/>
                <w:szCs w:val="20"/>
                <w:lang w:val="en-GB"/>
              </w:rPr>
              <w:t>- Biala - Veliko Târnovo - Stara Zagora - Haskovo - Svilengrad – (</w:t>
            </w:r>
            <w:r w:rsidRPr="006645DC">
              <w:rPr>
                <w:i/>
                <w:sz w:val="20"/>
                <w:szCs w:val="20"/>
                <w:lang w:val="en-GB"/>
              </w:rPr>
              <w:t>Greece</w:t>
            </w:r>
            <w:r w:rsidRPr="006645DC">
              <w:rPr>
                <w:sz w:val="20"/>
                <w:szCs w:val="20"/>
                <w:lang w:val="en-GB"/>
              </w:rPr>
              <w:t>)</w:t>
            </w:r>
          </w:p>
        </w:tc>
      </w:tr>
      <w:tr w:rsidR="00137264" w:rsidRPr="006645DC" w14:paraId="782B33C1" w14:textId="77777777" w:rsidTr="00137264">
        <w:trPr>
          <w:cantSplit/>
          <w:jc w:val="center"/>
        </w:trPr>
        <w:tc>
          <w:tcPr>
            <w:tcW w:w="2067" w:type="dxa"/>
            <w:vMerge/>
            <w:tcBorders>
              <w:top w:val="single" w:sz="4" w:space="0" w:color="000000"/>
              <w:left w:val="single" w:sz="4" w:space="0" w:color="000000"/>
              <w:bottom w:val="single" w:sz="4" w:space="0" w:color="000000"/>
              <w:right w:val="nil"/>
            </w:tcBorders>
            <w:vAlign w:val="center"/>
            <w:hideMark/>
          </w:tcPr>
          <w:p w14:paraId="3289C28E" w14:textId="77777777" w:rsidR="00587CF0" w:rsidRPr="006645DC" w:rsidRDefault="00587CF0" w:rsidP="00137264">
            <w:pPr>
              <w:spacing w:before="0" w:after="0"/>
              <w:jc w:val="left"/>
              <w:rPr>
                <w:rFonts w:eastAsia="Times New Roman" w:cs="Calibri"/>
                <w:kern w:val="2"/>
                <w:sz w:val="20"/>
                <w:szCs w:val="20"/>
                <w:lang w:val="en-GB"/>
              </w:rPr>
            </w:pPr>
          </w:p>
        </w:tc>
        <w:tc>
          <w:tcPr>
            <w:tcW w:w="1757" w:type="dxa"/>
            <w:tcBorders>
              <w:top w:val="single" w:sz="4" w:space="0" w:color="000000"/>
              <w:left w:val="single" w:sz="4" w:space="0" w:color="000000"/>
              <w:bottom w:val="single" w:sz="4" w:space="0" w:color="000000"/>
              <w:right w:val="nil"/>
            </w:tcBorders>
            <w:vAlign w:val="center"/>
            <w:hideMark/>
          </w:tcPr>
          <w:p w14:paraId="69F98758" w14:textId="77777777" w:rsidR="00587CF0" w:rsidRPr="006645DC" w:rsidRDefault="00587CF0" w:rsidP="00137264">
            <w:pPr>
              <w:keepNext/>
              <w:keepLines/>
              <w:suppressAutoHyphens/>
              <w:spacing w:before="0" w:after="0"/>
              <w:ind w:left="757" w:hanging="360"/>
              <w:jc w:val="left"/>
              <w:rPr>
                <w:rFonts w:eastAsia="Arial" w:cs="Calibri"/>
                <w:kern w:val="2"/>
                <w:sz w:val="20"/>
                <w:szCs w:val="20"/>
                <w:lang w:val="en-GB"/>
              </w:rPr>
            </w:pPr>
            <w:r w:rsidRPr="006645DC">
              <w:rPr>
                <w:sz w:val="20"/>
                <w:szCs w:val="20"/>
                <w:lang w:val="en-GB"/>
              </w:rPr>
              <w:t>E 79</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24CA18EE" w14:textId="77777777" w:rsidR="00587CF0" w:rsidRPr="006645DC" w:rsidRDefault="00587CF0" w:rsidP="00137264">
            <w:pPr>
              <w:keepNext/>
              <w:keepLines/>
              <w:suppressAutoHyphens/>
              <w:spacing w:before="0" w:after="0"/>
              <w:jc w:val="left"/>
              <w:rPr>
                <w:rFonts w:eastAsia="Times New Roman" w:cs="Calibri"/>
                <w:kern w:val="2"/>
                <w:sz w:val="20"/>
                <w:szCs w:val="20"/>
                <w:lang w:val="en-GB"/>
              </w:rPr>
            </w:pPr>
            <w:r w:rsidRPr="006645DC">
              <w:rPr>
                <w:sz w:val="20"/>
                <w:szCs w:val="20"/>
                <w:lang w:val="en-GB"/>
              </w:rPr>
              <w:t>(</w:t>
            </w:r>
            <w:r w:rsidRPr="006645DC">
              <w:rPr>
                <w:i/>
                <w:sz w:val="20"/>
                <w:szCs w:val="20"/>
                <w:lang w:val="en-GB"/>
              </w:rPr>
              <w:t>Hungary</w:t>
            </w:r>
            <w:r w:rsidRPr="006645DC">
              <w:rPr>
                <w:sz w:val="20"/>
                <w:szCs w:val="20"/>
                <w:lang w:val="en-GB"/>
              </w:rPr>
              <w:t xml:space="preserve">) - Oradea - Beiuş - Deva - Petroşani - Targu Jiu - Craiova - </w:t>
            </w:r>
            <w:r w:rsidRPr="006645DC">
              <w:rPr>
                <w:b/>
                <w:sz w:val="20"/>
                <w:szCs w:val="20"/>
                <w:lang w:val="en-GB"/>
              </w:rPr>
              <w:t xml:space="preserve">Calafat - Vidin </w:t>
            </w:r>
            <w:r w:rsidRPr="006645DC">
              <w:rPr>
                <w:sz w:val="20"/>
                <w:szCs w:val="20"/>
                <w:lang w:val="en-GB"/>
              </w:rPr>
              <w:t>- Vratsa - Botevgrad - Sofia - Blogoevgrad - Serai -</w:t>
            </w:r>
          </w:p>
        </w:tc>
      </w:tr>
      <w:tr w:rsidR="00137264" w:rsidRPr="006645DC" w14:paraId="15639CA6" w14:textId="77777777" w:rsidTr="00137264">
        <w:trPr>
          <w:cantSplit/>
          <w:jc w:val="center"/>
        </w:trPr>
        <w:tc>
          <w:tcPr>
            <w:tcW w:w="2067" w:type="dxa"/>
            <w:vMerge/>
            <w:tcBorders>
              <w:top w:val="single" w:sz="4" w:space="0" w:color="000000"/>
              <w:left w:val="single" w:sz="4" w:space="0" w:color="000000"/>
              <w:bottom w:val="single" w:sz="4" w:space="0" w:color="000000"/>
              <w:right w:val="nil"/>
            </w:tcBorders>
            <w:vAlign w:val="center"/>
            <w:hideMark/>
          </w:tcPr>
          <w:p w14:paraId="2C6D7664" w14:textId="77777777" w:rsidR="00587CF0" w:rsidRPr="006645DC" w:rsidRDefault="00587CF0" w:rsidP="00137264">
            <w:pPr>
              <w:spacing w:before="0" w:after="0"/>
              <w:jc w:val="left"/>
              <w:rPr>
                <w:rFonts w:eastAsia="Times New Roman" w:cs="Calibri"/>
                <w:kern w:val="2"/>
                <w:sz w:val="20"/>
                <w:szCs w:val="20"/>
                <w:lang w:val="en-GB"/>
              </w:rPr>
            </w:pPr>
          </w:p>
        </w:tc>
        <w:tc>
          <w:tcPr>
            <w:tcW w:w="1757" w:type="dxa"/>
            <w:tcBorders>
              <w:top w:val="single" w:sz="4" w:space="0" w:color="000000"/>
              <w:left w:val="single" w:sz="4" w:space="0" w:color="000000"/>
              <w:bottom w:val="single" w:sz="4" w:space="0" w:color="000000"/>
              <w:right w:val="nil"/>
            </w:tcBorders>
            <w:vAlign w:val="center"/>
            <w:hideMark/>
          </w:tcPr>
          <w:p w14:paraId="7E6396CB" w14:textId="77777777" w:rsidR="00587CF0" w:rsidRPr="006645DC" w:rsidRDefault="00587CF0" w:rsidP="00137264">
            <w:pPr>
              <w:keepNext/>
              <w:keepLines/>
              <w:suppressAutoHyphens/>
              <w:spacing w:before="0" w:after="0"/>
              <w:ind w:left="757" w:hanging="360"/>
              <w:jc w:val="left"/>
              <w:rPr>
                <w:rFonts w:eastAsia="Arial" w:cs="Calibri"/>
                <w:kern w:val="2"/>
                <w:sz w:val="20"/>
                <w:szCs w:val="20"/>
                <w:lang w:val="en-GB"/>
              </w:rPr>
            </w:pPr>
            <w:r w:rsidRPr="006645DC">
              <w:rPr>
                <w:sz w:val="20"/>
                <w:szCs w:val="20"/>
                <w:lang w:val="en-GB"/>
              </w:rPr>
              <w:t>E 87</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4D9CD9FD" w14:textId="77777777" w:rsidR="00587CF0" w:rsidRPr="006645DC" w:rsidRDefault="00587CF0" w:rsidP="00137264">
            <w:pPr>
              <w:keepNext/>
              <w:keepLines/>
              <w:suppressAutoHyphens/>
              <w:spacing w:before="0" w:after="0"/>
              <w:jc w:val="left"/>
              <w:rPr>
                <w:rFonts w:eastAsia="Times New Roman" w:cs="Calibri"/>
                <w:kern w:val="2"/>
                <w:sz w:val="20"/>
                <w:szCs w:val="20"/>
                <w:lang w:val="en-GB"/>
              </w:rPr>
            </w:pPr>
            <w:r w:rsidRPr="006645DC">
              <w:rPr>
                <w:sz w:val="20"/>
                <w:szCs w:val="20"/>
                <w:lang w:val="en-GB"/>
              </w:rPr>
              <w:t>(</w:t>
            </w:r>
            <w:r w:rsidRPr="006645DC">
              <w:rPr>
                <w:i/>
                <w:sz w:val="20"/>
                <w:szCs w:val="20"/>
                <w:lang w:val="en-GB"/>
              </w:rPr>
              <w:t>Ukraine</w:t>
            </w:r>
            <w:r w:rsidRPr="006645DC">
              <w:rPr>
                <w:sz w:val="20"/>
                <w:szCs w:val="20"/>
                <w:lang w:val="en-GB"/>
              </w:rPr>
              <w:t xml:space="preserve">) - Galaţi  -  Tulcea  - Constanţa  - </w:t>
            </w:r>
            <w:r w:rsidRPr="006645DC">
              <w:rPr>
                <w:b/>
                <w:sz w:val="20"/>
                <w:szCs w:val="20"/>
                <w:lang w:val="en-GB"/>
              </w:rPr>
              <w:t xml:space="preserve">Vama Veche – Durankulak </w:t>
            </w:r>
            <w:r w:rsidRPr="006645DC">
              <w:rPr>
                <w:sz w:val="20"/>
                <w:szCs w:val="20"/>
                <w:lang w:val="en-GB"/>
              </w:rPr>
              <w:t xml:space="preserve">- Varna  - Burgas  - </w:t>
            </w:r>
            <w:r w:rsidRPr="006645DC">
              <w:rPr>
                <w:rFonts w:eastAsia="Times New Roman"/>
                <w:sz w:val="20"/>
                <w:szCs w:val="20"/>
                <w:lang w:val="en-GB"/>
              </w:rPr>
              <w:t>Marinka  - Malko Turnovo – (Turkey)</w:t>
            </w:r>
          </w:p>
        </w:tc>
      </w:tr>
      <w:tr w:rsidR="00137264" w:rsidRPr="006645DC" w14:paraId="79C502A2" w14:textId="77777777" w:rsidTr="00137264">
        <w:trPr>
          <w:cantSplit/>
          <w:jc w:val="center"/>
        </w:trPr>
        <w:tc>
          <w:tcPr>
            <w:tcW w:w="2067" w:type="dxa"/>
            <w:vMerge/>
            <w:tcBorders>
              <w:top w:val="single" w:sz="4" w:space="0" w:color="000000"/>
              <w:left w:val="single" w:sz="4" w:space="0" w:color="000000"/>
              <w:bottom w:val="single" w:sz="4" w:space="0" w:color="000000"/>
              <w:right w:val="nil"/>
            </w:tcBorders>
            <w:vAlign w:val="center"/>
            <w:hideMark/>
          </w:tcPr>
          <w:p w14:paraId="297D48B3" w14:textId="77777777" w:rsidR="00587CF0" w:rsidRPr="006645DC" w:rsidRDefault="00587CF0" w:rsidP="00137264">
            <w:pPr>
              <w:spacing w:before="0" w:after="0"/>
              <w:jc w:val="left"/>
              <w:rPr>
                <w:rFonts w:eastAsia="Times New Roman" w:cs="Calibri"/>
                <w:kern w:val="2"/>
                <w:sz w:val="20"/>
                <w:szCs w:val="20"/>
                <w:lang w:val="en-GB"/>
              </w:rPr>
            </w:pPr>
          </w:p>
        </w:tc>
        <w:tc>
          <w:tcPr>
            <w:tcW w:w="1757" w:type="dxa"/>
            <w:tcBorders>
              <w:top w:val="single" w:sz="4" w:space="0" w:color="000000"/>
              <w:left w:val="single" w:sz="4" w:space="0" w:color="000000"/>
              <w:bottom w:val="single" w:sz="4" w:space="0" w:color="000000"/>
              <w:right w:val="nil"/>
            </w:tcBorders>
            <w:vAlign w:val="center"/>
            <w:hideMark/>
          </w:tcPr>
          <w:p w14:paraId="465ABDF0" w14:textId="77777777" w:rsidR="00587CF0" w:rsidRPr="006645DC" w:rsidRDefault="00587CF0" w:rsidP="00137264">
            <w:pPr>
              <w:keepNext/>
              <w:keepLines/>
              <w:suppressAutoHyphens/>
              <w:spacing w:before="0" w:after="0"/>
              <w:ind w:left="757" w:hanging="360"/>
              <w:jc w:val="left"/>
              <w:rPr>
                <w:rFonts w:eastAsia="Arial" w:cs="Calibri"/>
                <w:kern w:val="2"/>
                <w:sz w:val="20"/>
                <w:szCs w:val="20"/>
                <w:lang w:val="en-GB"/>
              </w:rPr>
            </w:pPr>
            <w:r w:rsidRPr="006645DC">
              <w:rPr>
                <w:sz w:val="20"/>
                <w:szCs w:val="20"/>
                <w:lang w:val="en-GB"/>
              </w:rPr>
              <w:t>E 675</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223581E5" w14:textId="7B0E6962" w:rsidR="00587CF0" w:rsidRPr="006645DC" w:rsidRDefault="00587CF0" w:rsidP="00137264">
            <w:pPr>
              <w:keepNext/>
              <w:keepLines/>
              <w:suppressAutoHyphens/>
              <w:spacing w:before="0" w:after="0"/>
              <w:jc w:val="left"/>
              <w:rPr>
                <w:rFonts w:eastAsia="Times New Roman" w:cs="Calibri"/>
                <w:kern w:val="2"/>
                <w:sz w:val="20"/>
                <w:szCs w:val="20"/>
                <w:lang w:val="en-GB"/>
              </w:rPr>
            </w:pPr>
            <w:r w:rsidRPr="006645DC">
              <w:rPr>
                <w:sz w:val="20"/>
                <w:szCs w:val="20"/>
                <w:lang w:val="en-GB"/>
              </w:rPr>
              <w:t xml:space="preserve">Agigea – </w:t>
            </w:r>
            <w:r w:rsidRPr="006645DC">
              <w:rPr>
                <w:b/>
                <w:sz w:val="20"/>
                <w:szCs w:val="20"/>
                <w:lang w:val="en-GB"/>
              </w:rPr>
              <w:t xml:space="preserve">Negru Voda </w:t>
            </w:r>
            <w:r w:rsidR="00885173" w:rsidRPr="006645DC">
              <w:rPr>
                <w:b/>
                <w:sz w:val="20"/>
                <w:szCs w:val="20"/>
                <w:lang w:val="en-GB"/>
              </w:rPr>
              <w:t>–</w:t>
            </w:r>
            <w:r w:rsidRPr="006645DC">
              <w:rPr>
                <w:b/>
                <w:sz w:val="20"/>
                <w:szCs w:val="20"/>
                <w:lang w:val="en-GB"/>
              </w:rPr>
              <w:t xml:space="preserve"> Kardam</w:t>
            </w:r>
          </w:p>
        </w:tc>
      </w:tr>
      <w:tr w:rsidR="00137264" w:rsidRPr="006645DC" w14:paraId="14BB5672" w14:textId="77777777" w:rsidTr="00137264">
        <w:trPr>
          <w:cantSplit/>
          <w:jc w:val="center"/>
        </w:trPr>
        <w:tc>
          <w:tcPr>
            <w:tcW w:w="2067" w:type="dxa"/>
            <w:vMerge w:val="restart"/>
            <w:tcBorders>
              <w:top w:val="single" w:sz="4" w:space="0" w:color="000000"/>
              <w:left w:val="single" w:sz="4" w:space="0" w:color="000000"/>
              <w:bottom w:val="single" w:sz="4" w:space="0" w:color="000000"/>
              <w:right w:val="nil"/>
            </w:tcBorders>
            <w:vAlign w:val="center"/>
            <w:hideMark/>
          </w:tcPr>
          <w:p w14:paraId="1602F5E4" w14:textId="77777777" w:rsidR="00587CF0" w:rsidRPr="006645DC" w:rsidRDefault="00587CF0" w:rsidP="00137264">
            <w:pPr>
              <w:pStyle w:val="NormalWeb"/>
              <w:keepNext/>
              <w:keepLines/>
              <w:spacing w:before="0" w:beforeAutospacing="0" w:after="0" w:afterAutospacing="0"/>
              <w:jc w:val="left"/>
              <w:rPr>
                <w:rFonts w:cs="Calibri"/>
                <w:kern w:val="2"/>
                <w:sz w:val="20"/>
                <w:szCs w:val="20"/>
                <w:lang w:val="en-GB"/>
              </w:rPr>
            </w:pPr>
            <w:r w:rsidRPr="006645DC">
              <w:rPr>
                <w:rFonts w:ascii="Calibri" w:hAnsi="Calibri" w:cs="Calibri"/>
                <w:sz w:val="20"/>
                <w:szCs w:val="20"/>
                <w:lang w:val="en-GB"/>
              </w:rPr>
              <w:t>Rail Transport (AGC)</w:t>
            </w:r>
          </w:p>
        </w:tc>
        <w:tc>
          <w:tcPr>
            <w:tcW w:w="1757" w:type="dxa"/>
            <w:tcBorders>
              <w:top w:val="single" w:sz="4" w:space="0" w:color="000000"/>
              <w:left w:val="single" w:sz="4" w:space="0" w:color="000000"/>
              <w:bottom w:val="single" w:sz="4" w:space="0" w:color="000000"/>
              <w:right w:val="nil"/>
            </w:tcBorders>
            <w:vAlign w:val="center"/>
            <w:hideMark/>
          </w:tcPr>
          <w:p w14:paraId="0A9FFB2E" w14:textId="77777777" w:rsidR="00587CF0" w:rsidRPr="006645DC" w:rsidRDefault="00587CF0" w:rsidP="00137264">
            <w:pPr>
              <w:keepNext/>
              <w:keepLines/>
              <w:suppressAutoHyphens/>
              <w:spacing w:before="0" w:after="0"/>
              <w:ind w:left="757" w:hanging="360"/>
              <w:jc w:val="left"/>
              <w:rPr>
                <w:rFonts w:eastAsia="Arial" w:cs="Calibri"/>
                <w:kern w:val="2"/>
                <w:sz w:val="20"/>
                <w:szCs w:val="20"/>
                <w:lang w:val="en-GB"/>
              </w:rPr>
            </w:pPr>
            <w:r w:rsidRPr="006645DC">
              <w:rPr>
                <w:sz w:val="20"/>
                <w:szCs w:val="20"/>
                <w:lang w:val="en-GB"/>
              </w:rPr>
              <w:t>E 95</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3673D4E6" w14:textId="77777777" w:rsidR="00587CF0" w:rsidRPr="006645DC" w:rsidRDefault="00587CF0" w:rsidP="00137264">
            <w:pPr>
              <w:keepNext/>
              <w:keepLines/>
              <w:suppressAutoHyphens/>
              <w:spacing w:before="0" w:after="0"/>
              <w:jc w:val="left"/>
              <w:rPr>
                <w:rFonts w:eastAsia="Times New Roman" w:cs="Calibri"/>
                <w:kern w:val="2"/>
                <w:sz w:val="20"/>
                <w:szCs w:val="20"/>
                <w:lang w:val="en-GB"/>
              </w:rPr>
            </w:pPr>
            <w:r w:rsidRPr="006645DC">
              <w:rPr>
                <w:sz w:val="20"/>
                <w:szCs w:val="20"/>
                <w:lang w:val="en-GB"/>
              </w:rPr>
              <w:t>(</w:t>
            </w:r>
            <w:r w:rsidRPr="006645DC">
              <w:rPr>
                <w:i/>
                <w:sz w:val="20"/>
                <w:szCs w:val="20"/>
                <w:lang w:val="en-GB"/>
              </w:rPr>
              <w:t>Moscow – Kiev – Chişinau</w:t>
            </w:r>
            <w:r w:rsidRPr="006645DC">
              <w:rPr>
                <w:sz w:val="20"/>
                <w:szCs w:val="20"/>
                <w:lang w:val="en-GB"/>
              </w:rPr>
              <w:t xml:space="preserve">) – Iaşi – Paşcani – Buzau – Ploieşti – Bucharest – Videle – </w:t>
            </w:r>
            <w:r w:rsidRPr="006645DC">
              <w:rPr>
                <w:b/>
                <w:sz w:val="20"/>
                <w:szCs w:val="20"/>
                <w:lang w:val="en-GB"/>
              </w:rPr>
              <w:t>Giurgiu –Ruse</w:t>
            </w:r>
            <w:r w:rsidRPr="006645DC">
              <w:rPr>
                <w:sz w:val="20"/>
                <w:szCs w:val="20"/>
                <w:lang w:val="en-GB"/>
              </w:rPr>
              <w:t xml:space="preserve"> – </w:t>
            </w:r>
            <w:r w:rsidRPr="006645DC">
              <w:rPr>
                <w:b/>
                <w:sz w:val="20"/>
                <w:szCs w:val="20"/>
                <w:lang w:val="en-GB"/>
              </w:rPr>
              <w:t>Gorna Oriahovitsa</w:t>
            </w:r>
            <w:r w:rsidRPr="006645DC">
              <w:rPr>
                <w:sz w:val="20"/>
                <w:szCs w:val="20"/>
                <w:lang w:val="en-GB"/>
              </w:rPr>
              <w:t xml:space="preserve"> – Dimitrovgrad</w:t>
            </w:r>
          </w:p>
        </w:tc>
      </w:tr>
      <w:tr w:rsidR="00137264" w:rsidRPr="002448E1" w14:paraId="208F5032" w14:textId="77777777" w:rsidTr="00137264">
        <w:trPr>
          <w:cantSplit/>
          <w:jc w:val="center"/>
        </w:trPr>
        <w:tc>
          <w:tcPr>
            <w:tcW w:w="2067" w:type="dxa"/>
            <w:vMerge/>
            <w:tcBorders>
              <w:top w:val="single" w:sz="4" w:space="0" w:color="000000"/>
              <w:left w:val="single" w:sz="4" w:space="0" w:color="000000"/>
              <w:bottom w:val="single" w:sz="4" w:space="0" w:color="000000"/>
              <w:right w:val="nil"/>
            </w:tcBorders>
            <w:vAlign w:val="center"/>
            <w:hideMark/>
          </w:tcPr>
          <w:p w14:paraId="71F0138D" w14:textId="77777777" w:rsidR="00587CF0" w:rsidRPr="006645DC" w:rsidRDefault="00587CF0" w:rsidP="00137264">
            <w:pPr>
              <w:spacing w:before="0" w:after="0"/>
              <w:jc w:val="left"/>
              <w:rPr>
                <w:rFonts w:ascii="Times New Roman" w:eastAsia="Arial" w:hAnsi="Times New Roman" w:cs="Calibri"/>
                <w:kern w:val="2"/>
                <w:sz w:val="20"/>
                <w:szCs w:val="20"/>
                <w:lang w:val="en-GB"/>
              </w:rPr>
            </w:pPr>
          </w:p>
        </w:tc>
        <w:tc>
          <w:tcPr>
            <w:tcW w:w="1757" w:type="dxa"/>
            <w:tcBorders>
              <w:top w:val="single" w:sz="4" w:space="0" w:color="000000"/>
              <w:left w:val="single" w:sz="4" w:space="0" w:color="000000"/>
              <w:bottom w:val="single" w:sz="4" w:space="0" w:color="000000"/>
              <w:right w:val="nil"/>
            </w:tcBorders>
            <w:vAlign w:val="center"/>
            <w:hideMark/>
          </w:tcPr>
          <w:p w14:paraId="222AF4A5" w14:textId="77777777" w:rsidR="00587CF0" w:rsidRPr="006645DC" w:rsidRDefault="00587CF0" w:rsidP="00137264">
            <w:pPr>
              <w:keepNext/>
              <w:keepLines/>
              <w:suppressAutoHyphens/>
              <w:spacing w:before="0" w:after="0"/>
              <w:ind w:left="757" w:hanging="360"/>
              <w:jc w:val="left"/>
              <w:rPr>
                <w:rFonts w:eastAsia="Arial" w:cs="Calibri"/>
                <w:kern w:val="2"/>
                <w:sz w:val="20"/>
                <w:szCs w:val="20"/>
                <w:lang w:val="en-GB"/>
              </w:rPr>
            </w:pPr>
            <w:r w:rsidRPr="006645DC">
              <w:rPr>
                <w:sz w:val="20"/>
                <w:szCs w:val="20"/>
                <w:lang w:val="en-GB"/>
              </w:rPr>
              <w:t>-</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64F8317C" w14:textId="77777777" w:rsidR="00587CF0" w:rsidRPr="00021461" w:rsidRDefault="00587CF0" w:rsidP="00137264">
            <w:pPr>
              <w:keepNext/>
              <w:keepLines/>
              <w:suppressAutoHyphens/>
              <w:spacing w:before="0" w:after="0"/>
              <w:jc w:val="left"/>
              <w:rPr>
                <w:rFonts w:eastAsia="Times New Roman" w:cs="Calibri"/>
                <w:kern w:val="2"/>
                <w:sz w:val="20"/>
                <w:szCs w:val="20"/>
                <w:lang w:val="it-IT"/>
              </w:rPr>
            </w:pPr>
            <w:r w:rsidRPr="00021461">
              <w:rPr>
                <w:sz w:val="20"/>
                <w:szCs w:val="20"/>
                <w:lang w:val="it-IT"/>
              </w:rPr>
              <w:t>Bucharest-</w:t>
            </w:r>
            <w:r w:rsidRPr="00021461">
              <w:rPr>
                <w:b/>
                <w:sz w:val="20"/>
                <w:szCs w:val="20"/>
                <w:lang w:val="it-IT"/>
              </w:rPr>
              <w:t>Giurgiu-Ruse</w:t>
            </w:r>
            <w:r w:rsidRPr="00021461">
              <w:rPr>
                <w:sz w:val="20"/>
                <w:szCs w:val="20"/>
                <w:lang w:val="it-IT"/>
              </w:rPr>
              <w:t>-</w:t>
            </w:r>
            <w:r w:rsidRPr="00021461">
              <w:rPr>
                <w:b/>
                <w:sz w:val="20"/>
                <w:szCs w:val="20"/>
                <w:lang w:val="it-IT"/>
              </w:rPr>
              <w:t>Gorna Oryahovitsa</w:t>
            </w:r>
            <w:r w:rsidRPr="00021461">
              <w:rPr>
                <w:sz w:val="20"/>
                <w:szCs w:val="20"/>
                <w:lang w:val="it-IT"/>
              </w:rPr>
              <w:t>-Dimitrovgrad-Istanbul</w:t>
            </w:r>
          </w:p>
        </w:tc>
      </w:tr>
      <w:tr w:rsidR="00137264" w:rsidRPr="006645DC" w14:paraId="10808519" w14:textId="77777777" w:rsidTr="00137264">
        <w:trPr>
          <w:cantSplit/>
          <w:jc w:val="center"/>
        </w:trPr>
        <w:tc>
          <w:tcPr>
            <w:tcW w:w="2067" w:type="dxa"/>
            <w:vMerge/>
            <w:tcBorders>
              <w:top w:val="single" w:sz="4" w:space="0" w:color="000000"/>
              <w:left w:val="single" w:sz="4" w:space="0" w:color="000000"/>
              <w:bottom w:val="single" w:sz="4" w:space="0" w:color="000000"/>
              <w:right w:val="nil"/>
            </w:tcBorders>
            <w:vAlign w:val="center"/>
            <w:hideMark/>
          </w:tcPr>
          <w:p w14:paraId="35044217" w14:textId="77777777" w:rsidR="00587CF0" w:rsidRPr="00021461" w:rsidRDefault="00587CF0" w:rsidP="00137264">
            <w:pPr>
              <w:spacing w:before="0" w:after="0"/>
              <w:jc w:val="left"/>
              <w:rPr>
                <w:rFonts w:ascii="Times New Roman" w:eastAsia="Arial" w:hAnsi="Times New Roman" w:cs="Calibri"/>
                <w:kern w:val="2"/>
                <w:sz w:val="20"/>
                <w:szCs w:val="20"/>
                <w:lang w:val="it-IT"/>
              </w:rPr>
            </w:pPr>
          </w:p>
        </w:tc>
        <w:tc>
          <w:tcPr>
            <w:tcW w:w="1757" w:type="dxa"/>
            <w:tcBorders>
              <w:top w:val="single" w:sz="4" w:space="0" w:color="000000"/>
              <w:left w:val="single" w:sz="4" w:space="0" w:color="000000"/>
              <w:bottom w:val="single" w:sz="4" w:space="0" w:color="000000"/>
              <w:right w:val="nil"/>
            </w:tcBorders>
            <w:vAlign w:val="center"/>
            <w:hideMark/>
          </w:tcPr>
          <w:p w14:paraId="7F684178" w14:textId="77777777" w:rsidR="00587CF0" w:rsidRPr="006645DC" w:rsidRDefault="00587CF0" w:rsidP="00137264">
            <w:pPr>
              <w:keepNext/>
              <w:keepLines/>
              <w:suppressAutoHyphens/>
              <w:spacing w:before="0" w:after="0"/>
              <w:ind w:left="757" w:hanging="360"/>
              <w:jc w:val="left"/>
              <w:rPr>
                <w:rFonts w:eastAsia="Times New Roman" w:cs="Calibri"/>
                <w:b/>
                <w:kern w:val="2"/>
                <w:sz w:val="20"/>
                <w:szCs w:val="20"/>
                <w:lang w:val="en-GB"/>
              </w:rPr>
            </w:pPr>
            <w:r w:rsidRPr="006645DC">
              <w:rPr>
                <w:sz w:val="20"/>
                <w:szCs w:val="20"/>
                <w:lang w:val="en-GB"/>
              </w:rPr>
              <w:t>E 660</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5DA4A5FB" w14:textId="77777777" w:rsidR="00587CF0" w:rsidRPr="006645DC" w:rsidRDefault="00587CF0" w:rsidP="00137264">
            <w:pPr>
              <w:pStyle w:val="NormalWeb"/>
              <w:keepNext/>
              <w:keepLines/>
              <w:spacing w:before="0" w:beforeAutospacing="0" w:after="0" w:afterAutospacing="0"/>
              <w:jc w:val="left"/>
              <w:rPr>
                <w:rFonts w:ascii="Calibri" w:hAnsi="Calibri" w:cs="Calibri"/>
                <w:kern w:val="2"/>
                <w:sz w:val="20"/>
                <w:szCs w:val="20"/>
                <w:lang w:val="en-GB"/>
              </w:rPr>
            </w:pPr>
            <w:r w:rsidRPr="006645DC">
              <w:rPr>
                <w:rFonts w:ascii="Calibri" w:hAnsi="Calibri" w:cs="Calibri"/>
                <w:b/>
                <w:sz w:val="20"/>
                <w:szCs w:val="20"/>
                <w:lang w:val="en-GB"/>
              </w:rPr>
              <w:t xml:space="preserve">Ruse </w:t>
            </w:r>
            <w:r w:rsidRPr="006645DC">
              <w:rPr>
                <w:rFonts w:ascii="Calibri" w:hAnsi="Calibri" w:cs="Calibri"/>
                <w:sz w:val="20"/>
                <w:szCs w:val="20"/>
                <w:lang w:val="en-GB"/>
              </w:rPr>
              <w:t>– Kaspičan</w:t>
            </w:r>
          </w:p>
        </w:tc>
      </w:tr>
      <w:tr w:rsidR="00137264" w:rsidRPr="006645DC" w14:paraId="628A10C4" w14:textId="77777777" w:rsidTr="00137264">
        <w:trPr>
          <w:cantSplit/>
          <w:jc w:val="center"/>
        </w:trPr>
        <w:tc>
          <w:tcPr>
            <w:tcW w:w="2067" w:type="dxa"/>
            <w:vMerge w:val="restart"/>
            <w:tcBorders>
              <w:top w:val="single" w:sz="4" w:space="0" w:color="000000"/>
              <w:left w:val="single" w:sz="4" w:space="0" w:color="000000"/>
              <w:bottom w:val="single" w:sz="4" w:space="0" w:color="000000"/>
              <w:right w:val="nil"/>
            </w:tcBorders>
            <w:vAlign w:val="center"/>
            <w:hideMark/>
          </w:tcPr>
          <w:p w14:paraId="2D7ECDAD" w14:textId="77777777" w:rsidR="00587CF0" w:rsidRPr="006645DC" w:rsidRDefault="00587CF0" w:rsidP="00137264">
            <w:pPr>
              <w:pStyle w:val="NormalWeb"/>
              <w:keepNext/>
              <w:keepLines/>
              <w:spacing w:before="0" w:beforeAutospacing="0" w:after="0" w:afterAutospacing="0"/>
              <w:jc w:val="left"/>
              <w:rPr>
                <w:rFonts w:cs="Calibri"/>
                <w:kern w:val="2"/>
                <w:sz w:val="20"/>
                <w:szCs w:val="20"/>
                <w:lang w:val="en-GB"/>
              </w:rPr>
            </w:pPr>
            <w:r w:rsidRPr="006645DC">
              <w:rPr>
                <w:rFonts w:ascii="Calibri" w:hAnsi="Calibri" w:cs="Calibri"/>
                <w:sz w:val="20"/>
                <w:szCs w:val="20"/>
                <w:lang w:val="en-GB"/>
              </w:rPr>
              <w:t>Mixed Rail Transport (AGTC)</w:t>
            </w:r>
          </w:p>
        </w:tc>
        <w:tc>
          <w:tcPr>
            <w:tcW w:w="1757" w:type="dxa"/>
            <w:tcBorders>
              <w:top w:val="single" w:sz="4" w:space="0" w:color="000000"/>
              <w:left w:val="single" w:sz="4" w:space="0" w:color="000000"/>
              <w:bottom w:val="single" w:sz="4" w:space="0" w:color="000000"/>
              <w:right w:val="nil"/>
            </w:tcBorders>
            <w:vAlign w:val="center"/>
            <w:hideMark/>
          </w:tcPr>
          <w:p w14:paraId="74A52529" w14:textId="77777777" w:rsidR="00587CF0" w:rsidRPr="006645DC" w:rsidRDefault="00587CF0" w:rsidP="00137264">
            <w:pPr>
              <w:keepNext/>
              <w:keepLines/>
              <w:suppressAutoHyphens/>
              <w:spacing w:before="0" w:after="0"/>
              <w:ind w:left="757" w:hanging="360"/>
              <w:jc w:val="left"/>
              <w:rPr>
                <w:rFonts w:eastAsia="Arial" w:cs="Calibri"/>
                <w:kern w:val="2"/>
                <w:sz w:val="20"/>
                <w:szCs w:val="20"/>
                <w:lang w:val="en-GB"/>
              </w:rPr>
            </w:pPr>
            <w:r w:rsidRPr="006645DC">
              <w:rPr>
                <w:sz w:val="20"/>
                <w:szCs w:val="20"/>
                <w:lang w:val="en-GB"/>
              </w:rPr>
              <w:t>C-E 95</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7E8F8263" w14:textId="77777777" w:rsidR="00587CF0" w:rsidRPr="006645DC" w:rsidRDefault="00587CF0" w:rsidP="00137264">
            <w:pPr>
              <w:keepNext/>
              <w:keepLines/>
              <w:suppressAutoHyphens/>
              <w:spacing w:before="0" w:after="0"/>
              <w:jc w:val="left"/>
              <w:rPr>
                <w:rFonts w:eastAsia="Times New Roman" w:cs="Calibri"/>
                <w:kern w:val="2"/>
                <w:sz w:val="20"/>
                <w:szCs w:val="20"/>
                <w:lang w:val="en-GB"/>
              </w:rPr>
            </w:pPr>
            <w:r w:rsidRPr="006645DC">
              <w:rPr>
                <w:sz w:val="20"/>
                <w:szCs w:val="20"/>
                <w:lang w:val="en-GB"/>
              </w:rPr>
              <w:t>(</w:t>
            </w:r>
            <w:r w:rsidRPr="006645DC">
              <w:rPr>
                <w:i/>
                <w:sz w:val="20"/>
                <w:szCs w:val="20"/>
                <w:lang w:val="en-GB"/>
              </w:rPr>
              <w:t>Moscow – Kiev – Chişinau</w:t>
            </w:r>
            <w:r w:rsidRPr="006645DC">
              <w:rPr>
                <w:sz w:val="20"/>
                <w:szCs w:val="20"/>
                <w:lang w:val="en-GB"/>
              </w:rPr>
              <w:t xml:space="preserve">) – Iaşi – Paşcani – Buzau – Ploieşti – Bucharest – Videle – </w:t>
            </w:r>
            <w:r w:rsidRPr="006645DC">
              <w:rPr>
                <w:b/>
                <w:sz w:val="20"/>
                <w:szCs w:val="20"/>
                <w:lang w:val="en-GB"/>
              </w:rPr>
              <w:t>Giurgiu –Ruse</w:t>
            </w:r>
            <w:r w:rsidRPr="006645DC">
              <w:rPr>
                <w:sz w:val="20"/>
                <w:szCs w:val="20"/>
                <w:lang w:val="en-GB"/>
              </w:rPr>
              <w:t xml:space="preserve"> – </w:t>
            </w:r>
            <w:r w:rsidRPr="006645DC">
              <w:rPr>
                <w:b/>
                <w:sz w:val="20"/>
                <w:szCs w:val="20"/>
                <w:lang w:val="en-GB"/>
              </w:rPr>
              <w:t xml:space="preserve">Gorna Oriahoviţa </w:t>
            </w:r>
            <w:r w:rsidRPr="006645DC">
              <w:rPr>
                <w:sz w:val="20"/>
                <w:szCs w:val="20"/>
                <w:lang w:val="en-GB"/>
              </w:rPr>
              <w:t>– Dimitrovgrad</w:t>
            </w:r>
          </w:p>
        </w:tc>
      </w:tr>
      <w:tr w:rsidR="00137264" w:rsidRPr="006645DC" w14:paraId="7ABFDA08" w14:textId="77777777" w:rsidTr="00137264">
        <w:trPr>
          <w:cantSplit/>
          <w:jc w:val="center"/>
        </w:trPr>
        <w:tc>
          <w:tcPr>
            <w:tcW w:w="2067" w:type="dxa"/>
            <w:vMerge/>
            <w:tcBorders>
              <w:top w:val="single" w:sz="4" w:space="0" w:color="000000"/>
              <w:left w:val="single" w:sz="4" w:space="0" w:color="000000"/>
              <w:bottom w:val="single" w:sz="4" w:space="0" w:color="000000"/>
              <w:right w:val="nil"/>
            </w:tcBorders>
            <w:vAlign w:val="center"/>
            <w:hideMark/>
          </w:tcPr>
          <w:p w14:paraId="65B21255" w14:textId="77777777" w:rsidR="00587CF0" w:rsidRPr="006645DC" w:rsidRDefault="00587CF0" w:rsidP="00137264">
            <w:pPr>
              <w:spacing w:before="0" w:after="0"/>
              <w:jc w:val="left"/>
              <w:rPr>
                <w:rFonts w:ascii="Times New Roman" w:eastAsia="Arial" w:hAnsi="Times New Roman" w:cs="Calibri"/>
                <w:kern w:val="2"/>
                <w:sz w:val="20"/>
                <w:szCs w:val="20"/>
                <w:lang w:val="en-GB"/>
              </w:rPr>
            </w:pPr>
          </w:p>
        </w:tc>
        <w:tc>
          <w:tcPr>
            <w:tcW w:w="1757" w:type="dxa"/>
            <w:tcBorders>
              <w:top w:val="single" w:sz="4" w:space="0" w:color="000000"/>
              <w:left w:val="single" w:sz="4" w:space="0" w:color="000000"/>
              <w:bottom w:val="single" w:sz="4" w:space="0" w:color="000000"/>
              <w:right w:val="nil"/>
            </w:tcBorders>
            <w:vAlign w:val="center"/>
            <w:hideMark/>
          </w:tcPr>
          <w:p w14:paraId="7B762CA1" w14:textId="77777777" w:rsidR="00587CF0" w:rsidRPr="006645DC" w:rsidRDefault="00587CF0" w:rsidP="00137264">
            <w:pPr>
              <w:keepNext/>
              <w:keepLines/>
              <w:suppressAutoHyphens/>
              <w:spacing w:before="0" w:after="0"/>
              <w:ind w:left="757" w:hanging="360"/>
              <w:jc w:val="left"/>
              <w:rPr>
                <w:rFonts w:eastAsia="Arial" w:cs="Calibri"/>
                <w:kern w:val="2"/>
                <w:sz w:val="20"/>
                <w:szCs w:val="20"/>
                <w:lang w:val="en-GB"/>
              </w:rPr>
            </w:pPr>
            <w:r w:rsidRPr="006645DC">
              <w:rPr>
                <w:sz w:val="20"/>
                <w:szCs w:val="20"/>
                <w:lang w:val="en-GB"/>
              </w:rPr>
              <w:t>C 95</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7F9B0FF3" w14:textId="77777777" w:rsidR="00587CF0" w:rsidRPr="006645DC" w:rsidRDefault="00587CF0" w:rsidP="00137264">
            <w:pPr>
              <w:keepNext/>
              <w:keepLines/>
              <w:suppressAutoHyphens/>
              <w:spacing w:before="0" w:after="0"/>
              <w:jc w:val="left"/>
              <w:rPr>
                <w:rFonts w:eastAsia="Times New Roman" w:cs="Calibri"/>
                <w:kern w:val="2"/>
                <w:sz w:val="20"/>
                <w:szCs w:val="20"/>
                <w:lang w:val="en-GB"/>
              </w:rPr>
            </w:pPr>
            <w:r w:rsidRPr="006645DC">
              <w:rPr>
                <w:sz w:val="20"/>
                <w:szCs w:val="20"/>
                <w:lang w:val="en-GB"/>
              </w:rPr>
              <w:t xml:space="preserve">Craiova – </w:t>
            </w:r>
            <w:r w:rsidRPr="006645DC">
              <w:rPr>
                <w:b/>
                <w:sz w:val="20"/>
                <w:szCs w:val="20"/>
                <w:lang w:val="en-GB"/>
              </w:rPr>
              <w:t xml:space="preserve">Calafat – Vidin </w:t>
            </w:r>
            <w:r w:rsidRPr="006645DC">
              <w:rPr>
                <w:sz w:val="20"/>
                <w:szCs w:val="20"/>
                <w:lang w:val="en-GB"/>
              </w:rPr>
              <w:t>- Sofia</w:t>
            </w:r>
          </w:p>
        </w:tc>
      </w:tr>
      <w:tr w:rsidR="00137264" w:rsidRPr="006645DC" w14:paraId="3EA0A43C" w14:textId="77777777" w:rsidTr="00137264">
        <w:trPr>
          <w:cantSplit/>
          <w:jc w:val="center"/>
        </w:trPr>
        <w:tc>
          <w:tcPr>
            <w:tcW w:w="2067" w:type="dxa"/>
            <w:vMerge/>
            <w:tcBorders>
              <w:top w:val="single" w:sz="4" w:space="0" w:color="000000"/>
              <w:left w:val="single" w:sz="4" w:space="0" w:color="000000"/>
              <w:bottom w:val="single" w:sz="4" w:space="0" w:color="000000"/>
              <w:right w:val="nil"/>
            </w:tcBorders>
            <w:vAlign w:val="center"/>
            <w:hideMark/>
          </w:tcPr>
          <w:p w14:paraId="2D1C4F61" w14:textId="77777777" w:rsidR="00587CF0" w:rsidRPr="006645DC" w:rsidRDefault="00587CF0" w:rsidP="00137264">
            <w:pPr>
              <w:spacing w:before="0" w:after="0"/>
              <w:jc w:val="left"/>
              <w:rPr>
                <w:rFonts w:ascii="Times New Roman" w:eastAsia="Arial" w:hAnsi="Times New Roman" w:cs="Calibri"/>
                <w:kern w:val="2"/>
                <w:sz w:val="20"/>
                <w:szCs w:val="20"/>
                <w:lang w:val="en-GB"/>
              </w:rPr>
            </w:pPr>
          </w:p>
        </w:tc>
        <w:tc>
          <w:tcPr>
            <w:tcW w:w="1757" w:type="dxa"/>
            <w:tcBorders>
              <w:top w:val="single" w:sz="4" w:space="0" w:color="000000"/>
              <w:left w:val="single" w:sz="4" w:space="0" w:color="000000"/>
              <w:bottom w:val="single" w:sz="4" w:space="0" w:color="000000"/>
              <w:right w:val="nil"/>
            </w:tcBorders>
            <w:vAlign w:val="center"/>
            <w:hideMark/>
          </w:tcPr>
          <w:p w14:paraId="321E1A6D" w14:textId="77777777" w:rsidR="00587CF0" w:rsidRPr="006645DC" w:rsidRDefault="00587CF0" w:rsidP="00137264">
            <w:pPr>
              <w:keepNext/>
              <w:keepLines/>
              <w:suppressAutoHyphens/>
              <w:spacing w:before="0" w:after="0"/>
              <w:ind w:left="757" w:hanging="360"/>
              <w:jc w:val="left"/>
              <w:rPr>
                <w:rFonts w:eastAsia="Arial" w:cs="Calibri"/>
                <w:b/>
                <w:kern w:val="2"/>
                <w:sz w:val="20"/>
                <w:szCs w:val="20"/>
                <w:lang w:val="en-GB"/>
              </w:rPr>
            </w:pPr>
            <w:r w:rsidRPr="006645DC">
              <w:rPr>
                <w:sz w:val="20"/>
                <w:szCs w:val="20"/>
                <w:lang w:val="en-GB"/>
              </w:rPr>
              <w:t>C-E 660</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47E88770" w14:textId="77777777" w:rsidR="00587CF0" w:rsidRPr="006645DC" w:rsidRDefault="00587CF0" w:rsidP="00137264">
            <w:pPr>
              <w:keepNext/>
              <w:keepLines/>
              <w:suppressAutoHyphens/>
              <w:spacing w:before="0" w:after="0"/>
              <w:jc w:val="left"/>
              <w:rPr>
                <w:rFonts w:eastAsia="Times New Roman" w:cs="Calibri"/>
                <w:kern w:val="2"/>
                <w:sz w:val="20"/>
                <w:szCs w:val="20"/>
                <w:lang w:val="en-GB"/>
              </w:rPr>
            </w:pPr>
            <w:r w:rsidRPr="006645DC">
              <w:rPr>
                <w:b/>
                <w:sz w:val="20"/>
                <w:szCs w:val="20"/>
                <w:lang w:val="en-GB"/>
              </w:rPr>
              <w:t xml:space="preserve">Ruse </w:t>
            </w:r>
            <w:r w:rsidRPr="006645DC">
              <w:rPr>
                <w:sz w:val="20"/>
                <w:szCs w:val="20"/>
                <w:lang w:val="en-GB"/>
              </w:rPr>
              <w:t>– Kaspičan</w:t>
            </w:r>
          </w:p>
        </w:tc>
      </w:tr>
      <w:tr w:rsidR="00137264" w:rsidRPr="006645DC" w14:paraId="7EC55695" w14:textId="77777777" w:rsidTr="00137264">
        <w:trPr>
          <w:jc w:val="center"/>
        </w:trPr>
        <w:tc>
          <w:tcPr>
            <w:tcW w:w="2067" w:type="dxa"/>
            <w:tcBorders>
              <w:top w:val="single" w:sz="4" w:space="0" w:color="000000"/>
              <w:left w:val="single" w:sz="4" w:space="0" w:color="000000"/>
              <w:bottom w:val="single" w:sz="4" w:space="0" w:color="000000"/>
              <w:right w:val="nil"/>
            </w:tcBorders>
            <w:vAlign w:val="center"/>
            <w:hideMark/>
          </w:tcPr>
          <w:p w14:paraId="33C975C1" w14:textId="77777777" w:rsidR="00587CF0" w:rsidRPr="006645DC" w:rsidRDefault="00587CF0" w:rsidP="00137264">
            <w:pPr>
              <w:pStyle w:val="NormalWeb"/>
              <w:keepNext/>
              <w:keepLines/>
              <w:spacing w:before="0" w:beforeAutospacing="0" w:after="0" w:afterAutospacing="0"/>
              <w:jc w:val="left"/>
              <w:rPr>
                <w:rFonts w:cs="Calibri"/>
                <w:kern w:val="2"/>
                <w:sz w:val="20"/>
                <w:szCs w:val="20"/>
                <w:lang w:val="en-GB"/>
              </w:rPr>
            </w:pPr>
            <w:r w:rsidRPr="006645DC">
              <w:rPr>
                <w:rFonts w:ascii="Calibri" w:hAnsi="Calibri" w:cs="Calibri"/>
                <w:sz w:val="20"/>
                <w:szCs w:val="20"/>
                <w:lang w:val="en-GB"/>
              </w:rPr>
              <w:t>Important terminals for combined transport (AGTC)</w:t>
            </w:r>
          </w:p>
        </w:tc>
        <w:tc>
          <w:tcPr>
            <w:tcW w:w="1757" w:type="dxa"/>
            <w:tcBorders>
              <w:top w:val="single" w:sz="4" w:space="0" w:color="000000"/>
              <w:left w:val="single" w:sz="4" w:space="0" w:color="000000"/>
              <w:bottom w:val="single" w:sz="4" w:space="0" w:color="000000"/>
              <w:right w:val="nil"/>
            </w:tcBorders>
            <w:vAlign w:val="center"/>
            <w:hideMark/>
          </w:tcPr>
          <w:p w14:paraId="52B72C6D" w14:textId="77777777" w:rsidR="00587CF0" w:rsidRPr="006645DC" w:rsidRDefault="00587CF0" w:rsidP="00137264">
            <w:pPr>
              <w:keepNext/>
              <w:keepLines/>
              <w:suppressAutoHyphens/>
              <w:spacing w:before="0" w:after="0"/>
              <w:ind w:left="757" w:hanging="360"/>
              <w:jc w:val="left"/>
              <w:rPr>
                <w:rFonts w:eastAsia="Arial" w:cs="Calibri"/>
                <w:b/>
                <w:kern w:val="2"/>
                <w:sz w:val="20"/>
                <w:szCs w:val="20"/>
                <w:lang w:val="en-GB"/>
              </w:rPr>
            </w:pPr>
            <w:r w:rsidRPr="006645DC">
              <w:rPr>
                <w:sz w:val="20"/>
                <w:szCs w:val="20"/>
                <w:lang w:val="en-GB"/>
              </w:rPr>
              <w:t>-</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58303E18" w14:textId="77777777" w:rsidR="00587CF0" w:rsidRPr="00021461" w:rsidRDefault="00587CF0" w:rsidP="00137264">
            <w:pPr>
              <w:keepNext/>
              <w:keepLines/>
              <w:spacing w:before="0" w:after="0"/>
              <w:jc w:val="left"/>
              <w:rPr>
                <w:rFonts w:eastAsia="Arial" w:cs="Calibri"/>
                <w:kern w:val="2"/>
                <w:sz w:val="20"/>
                <w:szCs w:val="20"/>
                <w:lang w:val="it-IT"/>
              </w:rPr>
            </w:pPr>
            <w:r w:rsidRPr="00021461">
              <w:rPr>
                <w:b/>
                <w:sz w:val="20"/>
                <w:szCs w:val="20"/>
                <w:lang w:val="it-IT"/>
              </w:rPr>
              <w:t>Ruse</w:t>
            </w:r>
            <w:r w:rsidRPr="00021461">
              <w:rPr>
                <w:sz w:val="20"/>
                <w:szCs w:val="20"/>
                <w:lang w:val="it-IT"/>
              </w:rPr>
              <w:t xml:space="preserve">, Sofia, Varna, Kaspičan, </w:t>
            </w:r>
            <w:r w:rsidRPr="00021461">
              <w:rPr>
                <w:b/>
                <w:sz w:val="20"/>
                <w:szCs w:val="20"/>
                <w:lang w:val="it-IT"/>
              </w:rPr>
              <w:t xml:space="preserve">Gorna Oriahovitsa </w:t>
            </w:r>
            <w:r w:rsidRPr="00021461">
              <w:rPr>
                <w:sz w:val="20"/>
                <w:szCs w:val="20"/>
                <w:lang w:val="it-IT"/>
              </w:rPr>
              <w:t>(Bulgaria)</w:t>
            </w:r>
          </w:p>
          <w:p w14:paraId="4DCAF928" w14:textId="77777777" w:rsidR="00587CF0" w:rsidRPr="006645DC" w:rsidRDefault="00587CF0" w:rsidP="00137264">
            <w:pPr>
              <w:suppressAutoHyphens/>
              <w:spacing w:before="0" w:after="0"/>
              <w:jc w:val="left"/>
              <w:rPr>
                <w:rFonts w:eastAsia="Times New Roman" w:cs="Calibri"/>
                <w:kern w:val="2"/>
                <w:sz w:val="20"/>
                <w:szCs w:val="20"/>
                <w:lang w:val="en-GB"/>
              </w:rPr>
            </w:pPr>
            <w:r w:rsidRPr="006645DC">
              <w:rPr>
                <w:sz w:val="20"/>
                <w:szCs w:val="20"/>
                <w:lang w:val="en-GB"/>
              </w:rPr>
              <w:t>Bucharest, Craiova, Constanţa (Romania)</w:t>
            </w:r>
          </w:p>
        </w:tc>
      </w:tr>
      <w:tr w:rsidR="00137264" w:rsidRPr="006645DC" w14:paraId="0F1D398B" w14:textId="77777777" w:rsidTr="00137264">
        <w:trPr>
          <w:jc w:val="center"/>
        </w:trPr>
        <w:tc>
          <w:tcPr>
            <w:tcW w:w="2067" w:type="dxa"/>
            <w:tcBorders>
              <w:top w:val="single" w:sz="4" w:space="0" w:color="000000"/>
              <w:left w:val="single" w:sz="4" w:space="0" w:color="000000"/>
              <w:bottom w:val="single" w:sz="4" w:space="0" w:color="000000"/>
              <w:right w:val="nil"/>
            </w:tcBorders>
            <w:vAlign w:val="center"/>
            <w:hideMark/>
          </w:tcPr>
          <w:p w14:paraId="73979746" w14:textId="77777777" w:rsidR="00587CF0" w:rsidRPr="006645DC" w:rsidRDefault="00587CF0" w:rsidP="00137264">
            <w:pPr>
              <w:pStyle w:val="NormalWeb"/>
              <w:keepNext/>
              <w:keepLines/>
              <w:spacing w:before="0" w:beforeAutospacing="0" w:after="0" w:afterAutospacing="0"/>
              <w:jc w:val="left"/>
              <w:rPr>
                <w:rFonts w:cs="Calibri"/>
                <w:kern w:val="2"/>
                <w:sz w:val="20"/>
                <w:szCs w:val="20"/>
                <w:lang w:val="en-GB"/>
              </w:rPr>
            </w:pPr>
            <w:r w:rsidRPr="006645DC">
              <w:rPr>
                <w:rFonts w:ascii="Calibri" w:hAnsi="Calibri" w:cs="Calibri"/>
                <w:sz w:val="20"/>
                <w:szCs w:val="20"/>
                <w:lang w:val="en-GB"/>
              </w:rPr>
              <w:t>Important border points for combined transport (AGTC)</w:t>
            </w:r>
          </w:p>
        </w:tc>
        <w:tc>
          <w:tcPr>
            <w:tcW w:w="1757" w:type="dxa"/>
            <w:tcBorders>
              <w:top w:val="single" w:sz="4" w:space="0" w:color="000000"/>
              <w:left w:val="single" w:sz="4" w:space="0" w:color="000000"/>
              <w:bottom w:val="single" w:sz="4" w:space="0" w:color="000000"/>
              <w:right w:val="nil"/>
            </w:tcBorders>
            <w:vAlign w:val="center"/>
            <w:hideMark/>
          </w:tcPr>
          <w:p w14:paraId="19935018" w14:textId="77777777" w:rsidR="00587CF0" w:rsidRPr="006645DC" w:rsidRDefault="00587CF0" w:rsidP="00137264">
            <w:pPr>
              <w:keepNext/>
              <w:keepLines/>
              <w:suppressAutoHyphens/>
              <w:spacing w:before="0" w:after="0"/>
              <w:ind w:left="757" w:hanging="360"/>
              <w:jc w:val="left"/>
              <w:rPr>
                <w:rFonts w:eastAsia="Arial" w:cs="Calibri"/>
                <w:b/>
                <w:kern w:val="2"/>
                <w:sz w:val="20"/>
                <w:szCs w:val="20"/>
                <w:lang w:val="en-GB"/>
              </w:rPr>
            </w:pPr>
            <w:r w:rsidRPr="006645DC">
              <w:rPr>
                <w:sz w:val="20"/>
                <w:szCs w:val="20"/>
                <w:lang w:val="en-GB"/>
              </w:rPr>
              <w:t>-</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43745F57" w14:textId="77777777" w:rsidR="00587CF0" w:rsidRPr="006645DC" w:rsidRDefault="00587CF0" w:rsidP="00137264">
            <w:pPr>
              <w:keepNext/>
              <w:keepLines/>
              <w:spacing w:before="0" w:after="0"/>
              <w:jc w:val="left"/>
              <w:rPr>
                <w:rFonts w:eastAsia="Arial" w:cs="Calibri"/>
                <w:b/>
                <w:kern w:val="2"/>
                <w:sz w:val="20"/>
                <w:szCs w:val="20"/>
                <w:lang w:val="en-GB"/>
              </w:rPr>
            </w:pPr>
            <w:r w:rsidRPr="006645DC">
              <w:rPr>
                <w:b/>
                <w:sz w:val="20"/>
                <w:szCs w:val="20"/>
                <w:lang w:val="en-GB"/>
              </w:rPr>
              <w:t>Ruse – Giurgiu</w:t>
            </w:r>
          </w:p>
          <w:p w14:paraId="627A7667" w14:textId="77777777" w:rsidR="00587CF0" w:rsidRPr="006645DC" w:rsidRDefault="00587CF0" w:rsidP="00137264">
            <w:pPr>
              <w:suppressAutoHyphens/>
              <w:spacing w:before="0" w:after="0"/>
              <w:jc w:val="left"/>
              <w:rPr>
                <w:rFonts w:eastAsia="Times New Roman" w:cs="Calibri"/>
                <w:kern w:val="2"/>
                <w:sz w:val="20"/>
                <w:szCs w:val="20"/>
                <w:lang w:val="en-GB"/>
              </w:rPr>
            </w:pPr>
            <w:r w:rsidRPr="006645DC">
              <w:rPr>
                <w:b/>
                <w:sz w:val="20"/>
                <w:szCs w:val="20"/>
                <w:lang w:val="en-GB"/>
              </w:rPr>
              <w:t>Calafat – Vidin</w:t>
            </w:r>
          </w:p>
        </w:tc>
      </w:tr>
      <w:tr w:rsidR="00137264" w:rsidRPr="006645DC" w14:paraId="3C7D0F7D" w14:textId="77777777" w:rsidTr="00137264">
        <w:trPr>
          <w:cantSplit/>
          <w:jc w:val="center"/>
        </w:trPr>
        <w:tc>
          <w:tcPr>
            <w:tcW w:w="2067" w:type="dxa"/>
            <w:vMerge w:val="restart"/>
            <w:tcBorders>
              <w:top w:val="single" w:sz="4" w:space="0" w:color="000000"/>
              <w:left w:val="single" w:sz="4" w:space="0" w:color="000000"/>
              <w:bottom w:val="single" w:sz="4" w:space="0" w:color="000000"/>
              <w:right w:val="nil"/>
            </w:tcBorders>
            <w:vAlign w:val="center"/>
            <w:hideMark/>
          </w:tcPr>
          <w:p w14:paraId="6F354117" w14:textId="77777777" w:rsidR="00587CF0" w:rsidRPr="006645DC" w:rsidRDefault="00587CF0" w:rsidP="00137264">
            <w:pPr>
              <w:pStyle w:val="NormalWeb"/>
              <w:keepNext/>
              <w:keepLines/>
              <w:spacing w:before="0" w:beforeAutospacing="0" w:after="0" w:afterAutospacing="0"/>
              <w:jc w:val="left"/>
              <w:rPr>
                <w:rFonts w:cs="Calibri"/>
                <w:kern w:val="2"/>
                <w:sz w:val="20"/>
                <w:szCs w:val="20"/>
                <w:lang w:val="en-GB"/>
              </w:rPr>
            </w:pPr>
            <w:r w:rsidRPr="006645DC">
              <w:rPr>
                <w:rFonts w:ascii="Calibri" w:hAnsi="Calibri" w:cs="Calibri"/>
                <w:sz w:val="20"/>
                <w:szCs w:val="20"/>
                <w:lang w:val="en-GB"/>
              </w:rPr>
              <w:t>Inland waterway transport (AGN)</w:t>
            </w:r>
          </w:p>
        </w:tc>
        <w:tc>
          <w:tcPr>
            <w:tcW w:w="1757" w:type="dxa"/>
            <w:tcBorders>
              <w:top w:val="single" w:sz="4" w:space="0" w:color="000000"/>
              <w:left w:val="single" w:sz="4" w:space="0" w:color="000000"/>
              <w:bottom w:val="single" w:sz="4" w:space="0" w:color="000000"/>
              <w:right w:val="nil"/>
            </w:tcBorders>
            <w:vAlign w:val="center"/>
            <w:hideMark/>
          </w:tcPr>
          <w:p w14:paraId="690F0704" w14:textId="77777777" w:rsidR="00587CF0" w:rsidRPr="006645DC" w:rsidRDefault="00587CF0" w:rsidP="00137264">
            <w:pPr>
              <w:keepNext/>
              <w:keepLines/>
              <w:suppressAutoHyphens/>
              <w:spacing w:before="0" w:after="0"/>
              <w:ind w:left="757" w:hanging="360"/>
              <w:jc w:val="left"/>
              <w:rPr>
                <w:rFonts w:eastAsia="Arial" w:cs="Calibri"/>
                <w:kern w:val="2"/>
                <w:sz w:val="20"/>
                <w:szCs w:val="20"/>
                <w:lang w:val="en-GB"/>
              </w:rPr>
            </w:pPr>
            <w:r w:rsidRPr="006645DC">
              <w:rPr>
                <w:sz w:val="20"/>
                <w:szCs w:val="20"/>
                <w:lang w:val="en-GB"/>
              </w:rPr>
              <w:t>E 80</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008D0171" w14:textId="77777777" w:rsidR="00587CF0" w:rsidRPr="006645DC" w:rsidRDefault="00587CF0" w:rsidP="00137264">
            <w:pPr>
              <w:pStyle w:val="NormalWeb"/>
              <w:keepNext/>
              <w:keepLines/>
              <w:spacing w:before="0" w:beforeAutospacing="0" w:after="0" w:afterAutospacing="0"/>
              <w:jc w:val="left"/>
              <w:rPr>
                <w:rFonts w:ascii="Calibri" w:hAnsi="Calibri" w:cs="Calibri"/>
                <w:kern w:val="2"/>
                <w:sz w:val="20"/>
                <w:szCs w:val="20"/>
                <w:lang w:val="en-GB"/>
              </w:rPr>
            </w:pPr>
            <w:r w:rsidRPr="006645DC">
              <w:rPr>
                <w:rFonts w:ascii="Calibri" w:hAnsi="Calibri" w:cs="Calibri"/>
                <w:sz w:val="20"/>
                <w:szCs w:val="20"/>
                <w:lang w:val="en-GB"/>
              </w:rPr>
              <w:t xml:space="preserve">The Danube </w:t>
            </w:r>
          </w:p>
        </w:tc>
      </w:tr>
      <w:tr w:rsidR="00137264" w:rsidRPr="006645DC" w14:paraId="1578B7C8" w14:textId="77777777" w:rsidTr="00137264">
        <w:trPr>
          <w:cantSplit/>
          <w:jc w:val="center"/>
        </w:trPr>
        <w:tc>
          <w:tcPr>
            <w:tcW w:w="2067" w:type="dxa"/>
            <w:vMerge/>
            <w:tcBorders>
              <w:top w:val="single" w:sz="4" w:space="0" w:color="000000"/>
              <w:left w:val="single" w:sz="4" w:space="0" w:color="000000"/>
              <w:bottom w:val="single" w:sz="4" w:space="0" w:color="000000"/>
              <w:right w:val="nil"/>
            </w:tcBorders>
            <w:vAlign w:val="center"/>
            <w:hideMark/>
          </w:tcPr>
          <w:p w14:paraId="24C7F42C" w14:textId="77777777" w:rsidR="00587CF0" w:rsidRPr="006645DC" w:rsidRDefault="00587CF0" w:rsidP="00137264">
            <w:pPr>
              <w:spacing w:before="0" w:after="0"/>
              <w:jc w:val="left"/>
              <w:rPr>
                <w:rFonts w:ascii="Times New Roman" w:eastAsia="Arial" w:hAnsi="Times New Roman" w:cs="Calibri"/>
                <w:kern w:val="2"/>
                <w:sz w:val="20"/>
                <w:szCs w:val="20"/>
                <w:lang w:val="en-GB"/>
              </w:rPr>
            </w:pPr>
          </w:p>
        </w:tc>
        <w:tc>
          <w:tcPr>
            <w:tcW w:w="1757" w:type="dxa"/>
            <w:tcBorders>
              <w:top w:val="single" w:sz="4" w:space="0" w:color="000000"/>
              <w:left w:val="single" w:sz="4" w:space="0" w:color="000000"/>
              <w:bottom w:val="single" w:sz="4" w:space="0" w:color="000000"/>
              <w:right w:val="nil"/>
            </w:tcBorders>
            <w:vAlign w:val="center"/>
            <w:hideMark/>
          </w:tcPr>
          <w:p w14:paraId="25EEFF0C" w14:textId="77777777" w:rsidR="00587CF0" w:rsidRPr="006645DC" w:rsidRDefault="00587CF0" w:rsidP="00137264">
            <w:pPr>
              <w:keepNext/>
              <w:keepLines/>
              <w:suppressAutoHyphens/>
              <w:spacing w:before="0" w:after="0"/>
              <w:ind w:left="757" w:hanging="360"/>
              <w:jc w:val="left"/>
              <w:rPr>
                <w:rFonts w:eastAsia="Arial" w:cs="Calibri"/>
                <w:kern w:val="2"/>
                <w:sz w:val="20"/>
                <w:szCs w:val="20"/>
                <w:lang w:val="en-GB"/>
              </w:rPr>
            </w:pPr>
            <w:r w:rsidRPr="006645DC">
              <w:rPr>
                <w:sz w:val="20"/>
                <w:szCs w:val="20"/>
                <w:lang w:val="en-GB"/>
              </w:rPr>
              <w:t>E 80-03</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5CBB38A3" w14:textId="77777777" w:rsidR="00587CF0" w:rsidRPr="006645DC" w:rsidRDefault="00587CF0" w:rsidP="00137264">
            <w:pPr>
              <w:keepNext/>
              <w:keepLines/>
              <w:suppressAutoHyphens/>
              <w:spacing w:before="0" w:after="0"/>
              <w:jc w:val="left"/>
              <w:rPr>
                <w:rFonts w:eastAsia="Times New Roman" w:cs="Calibri"/>
                <w:kern w:val="2"/>
                <w:sz w:val="20"/>
                <w:szCs w:val="20"/>
                <w:lang w:val="en-GB"/>
              </w:rPr>
            </w:pPr>
            <w:r w:rsidRPr="006645DC">
              <w:rPr>
                <w:sz w:val="20"/>
                <w:szCs w:val="20"/>
                <w:lang w:val="en-GB"/>
              </w:rPr>
              <w:t>Olt</w:t>
            </w:r>
            <w:r w:rsidRPr="006645DC">
              <w:rPr>
                <w:b/>
                <w:sz w:val="20"/>
                <w:szCs w:val="20"/>
                <w:lang w:val="en-GB"/>
              </w:rPr>
              <w:t xml:space="preserve"> </w:t>
            </w:r>
            <w:r w:rsidRPr="006645DC">
              <w:rPr>
                <w:sz w:val="20"/>
                <w:szCs w:val="20"/>
                <w:lang w:val="en-GB"/>
              </w:rPr>
              <w:t>(from Slatina to intake)</w:t>
            </w:r>
          </w:p>
        </w:tc>
      </w:tr>
      <w:tr w:rsidR="00137264" w:rsidRPr="006645DC" w14:paraId="73E26AE5" w14:textId="77777777" w:rsidTr="00137264">
        <w:trPr>
          <w:cantSplit/>
          <w:jc w:val="center"/>
        </w:trPr>
        <w:tc>
          <w:tcPr>
            <w:tcW w:w="2067" w:type="dxa"/>
            <w:vMerge/>
            <w:tcBorders>
              <w:top w:val="single" w:sz="4" w:space="0" w:color="000000"/>
              <w:left w:val="single" w:sz="4" w:space="0" w:color="000000"/>
              <w:bottom w:val="single" w:sz="4" w:space="0" w:color="000000"/>
              <w:right w:val="nil"/>
            </w:tcBorders>
            <w:vAlign w:val="center"/>
            <w:hideMark/>
          </w:tcPr>
          <w:p w14:paraId="532F4314" w14:textId="77777777" w:rsidR="00587CF0" w:rsidRPr="006645DC" w:rsidRDefault="00587CF0" w:rsidP="00137264">
            <w:pPr>
              <w:spacing w:before="0" w:after="0"/>
              <w:jc w:val="left"/>
              <w:rPr>
                <w:rFonts w:ascii="Times New Roman" w:eastAsia="Arial" w:hAnsi="Times New Roman" w:cs="Calibri"/>
                <w:kern w:val="2"/>
                <w:sz w:val="20"/>
                <w:szCs w:val="20"/>
                <w:lang w:val="en-GB"/>
              </w:rPr>
            </w:pPr>
          </w:p>
        </w:tc>
        <w:tc>
          <w:tcPr>
            <w:tcW w:w="1757" w:type="dxa"/>
            <w:tcBorders>
              <w:top w:val="single" w:sz="4" w:space="0" w:color="000000"/>
              <w:left w:val="single" w:sz="4" w:space="0" w:color="000000"/>
              <w:bottom w:val="single" w:sz="4" w:space="0" w:color="000000"/>
              <w:right w:val="nil"/>
            </w:tcBorders>
            <w:vAlign w:val="center"/>
            <w:hideMark/>
          </w:tcPr>
          <w:p w14:paraId="572D44C9" w14:textId="77777777" w:rsidR="00587CF0" w:rsidRPr="006645DC" w:rsidRDefault="00587CF0" w:rsidP="00137264">
            <w:pPr>
              <w:keepNext/>
              <w:keepLines/>
              <w:suppressAutoHyphens/>
              <w:spacing w:before="0" w:after="0"/>
              <w:ind w:left="757" w:hanging="360"/>
              <w:jc w:val="left"/>
              <w:rPr>
                <w:rFonts w:eastAsia="Times New Roman" w:cs="Calibri"/>
                <w:kern w:val="2"/>
                <w:sz w:val="20"/>
                <w:szCs w:val="20"/>
                <w:lang w:val="en-GB"/>
              </w:rPr>
            </w:pPr>
            <w:r w:rsidRPr="006645DC">
              <w:rPr>
                <w:sz w:val="20"/>
                <w:szCs w:val="20"/>
                <w:lang w:val="en-GB"/>
              </w:rPr>
              <w:t>E 80-05</w:t>
            </w:r>
          </w:p>
        </w:tc>
        <w:tc>
          <w:tcPr>
            <w:tcW w:w="6917" w:type="dxa"/>
            <w:tcBorders>
              <w:top w:val="single" w:sz="4" w:space="0" w:color="000000"/>
              <w:left w:val="single" w:sz="4" w:space="0" w:color="000000"/>
              <w:bottom w:val="single" w:sz="4" w:space="0" w:color="000000"/>
              <w:right w:val="single" w:sz="4" w:space="0" w:color="000000"/>
            </w:tcBorders>
            <w:vAlign w:val="center"/>
            <w:hideMark/>
          </w:tcPr>
          <w:p w14:paraId="7EB4A9C8" w14:textId="77777777" w:rsidR="00587CF0" w:rsidRPr="006645DC" w:rsidRDefault="00587CF0" w:rsidP="00137264">
            <w:pPr>
              <w:pStyle w:val="NormalWeb"/>
              <w:keepNext/>
              <w:keepLines/>
              <w:spacing w:before="0" w:beforeAutospacing="0" w:after="0" w:afterAutospacing="0"/>
              <w:jc w:val="left"/>
              <w:rPr>
                <w:kern w:val="2"/>
                <w:lang w:val="en-GB"/>
              </w:rPr>
            </w:pPr>
            <w:r w:rsidRPr="006645DC">
              <w:rPr>
                <w:rFonts w:ascii="Calibri" w:hAnsi="Calibri" w:cs="Calibri"/>
                <w:sz w:val="20"/>
                <w:szCs w:val="20"/>
                <w:lang w:val="en-GB"/>
              </w:rPr>
              <w:t>The Danube-Bucharest Canal</w:t>
            </w:r>
          </w:p>
        </w:tc>
      </w:tr>
    </w:tbl>
    <w:p w14:paraId="502BBC2A" w14:textId="77777777" w:rsidR="00587CF0" w:rsidRPr="006645DC" w:rsidRDefault="00587CF0" w:rsidP="00587CF0">
      <w:pPr>
        <w:pStyle w:val="Lgende1"/>
        <w:rPr>
          <w:kern w:val="2"/>
          <w:lang w:val="en-GB"/>
        </w:rPr>
      </w:pPr>
      <w:bookmarkStart w:id="130" w:name="_Toc391150101"/>
      <w:r w:rsidRPr="006645DC">
        <w:rPr>
          <w:lang w:val="en-GB"/>
        </w:rPr>
        <w:t xml:space="preserve">Table </w:t>
      </w:r>
      <w:r w:rsidR="005979EB" w:rsidRPr="006645DC">
        <w:rPr>
          <w:lang w:val="en-GB"/>
        </w:rPr>
        <w:fldChar w:fldCharType="begin"/>
      </w:r>
      <w:r w:rsidRPr="006645DC">
        <w:rPr>
          <w:lang w:val="en-GB"/>
        </w:rPr>
        <w:instrText xml:space="preserve"> SEQ "Table" \*Arabic </w:instrText>
      </w:r>
      <w:r w:rsidR="005979EB" w:rsidRPr="006645DC">
        <w:rPr>
          <w:lang w:val="en-GB"/>
        </w:rPr>
        <w:fldChar w:fldCharType="separate"/>
      </w:r>
      <w:r w:rsidR="00523DE6">
        <w:rPr>
          <w:noProof/>
          <w:lang w:val="en-GB"/>
        </w:rPr>
        <w:t>4</w:t>
      </w:r>
      <w:r w:rsidR="005979EB" w:rsidRPr="006645DC">
        <w:rPr>
          <w:lang w:val="en-GB"/>
        </w:rPr>
        <w:fldChar w:fldCharType="end"/>
      </w:r>
      <w:r w:rsidRPr="006645DC">
        <w:rPr>
          <w:lang w:val="en-GB"/>
        </w:rPr>
        <w:t xml:space="preserve"> - The different transport axes that are in the Romanian-Bulgarian cross-border area.</w:t>
      </w:r>
      <w:bookmarkEnd w:id="130"/>
      <w:r w:rsidRPr="006645DC">
        <w:rPr>
          <w:lang w:val="en-GB"/>
        </w:rPr>
        <w:t xml:space="preserve"> </w:t>
      </w:r>
    </w:p>
    <w:p w14:paraId="38DE8388" w14:textId="77777777" w:rsidR="00587CF0" w:rsidRPr="006645DC" w:rsidRDefault="00587CF0" w:rsidP="00587CF0">
      <w:pPr>
        <w:pStyle w:val="Heading4"/>
        <w:rPr>
          <w:i w:val="0"/>
          <w:iCs w:val="0"/>
          <w:color w:val="00000A"/>
          <w:sz w:val="22"/>
          <w:lang w:val="en-GB"/>
        </w:rPr>
      </w:pPr>
      <w:r w:rsidRPr="006645DC">
        <w:rPr>
          <w:lang w:val="en-GB" w:eastAsia="ro-RO"/>
        </w:rPr>
        <w:t>Source: Détente Consultants</w:t>
      </w:r>
    </w:p>
    <w:p w14:paraId="4B68BDF0" w14:textId="77777777" w:rsidR="00587CF0" w:rsidRPr="006645DC" w:rsidRDefault="00587CF0" w:rsidP="00163BE5">
      <w:pPr>
        <w:rPr>
          <w:lang w:val="en-GB"/>
        </w:rPr>
      </w:pPr>
    </w:p>
    <w:p w14:paraId="0C4B8F9C" w14:textId="77777777" w:rsidR="00587CF0" w:rsidRPr="006645DC" w:rsidRDefault="00587CF0" w:rsidP="00AE1E9E">
      <w:pPr>
        <w:pStyle w:val="Heading3"/>
        <w:rPr>
          <w:lang w:val="en-GB"/>
        </w:rPr>
      </w:pPr>
      <w:bookmarkStart w:id="131" w:name="_Toc376198453"/>
      <w:bookmarkStart w:id="132" w:name="_Toc254543768"/>
      <w:r w:rsidRPr="006645DC">
        <w:rPr>
          <w:lang w:val="en-GB"/>
        </w:rPr>
        <w:lastRenderedPageBreak/>
        <w:t>Future actions related to the development of the cross-border transport infrastructure</w:t>
      </w:r>
      <w:bookmarkEnd w:id="131"/>
      <w:bookmarkEnd w:id="132"/>
    </w:p>
    <w:p w14:paraId="49D10AF8" w14:textId="77777777" w:rsidR="00587CF0" w:rsidRPr="006645DC" w:rsidRDefault="00587CF0" w:rsidP="00EA46BF">
      <w:pPr>
        <w:rPr>
          <w:lang w:val="en-GB"/>
        </w:rPr>
      </w:pPr>
      <w:r w:rsidRPr="006645DC">
        <w:rPr>
          <w:lang w:val="en-GB"/>
        </w:rPr>
        <w:t>The most important planned railway and road development projects in the CBC region are listed below:</w:t>
      </w:r>
    </w:p>
    <w:p w14:paraId="739EA7E1" w14:textId="77777777" w:rsidR="00587CF0" w:rsidRPr="006645DC" w:rsidRDefault="00587CF0" w:rsidP="00AE1E9E">
      <w:pPr>
        <w:pStyle w:val="ListParagraph"/>
        <w:rPr>
          <w:lang w:val="en-GB"/>
        </w:rPr>
      </w:pPr>
      <w:r w:rsidRPr="006645DC">
        <w:rPr>
          <w:lang w:val="en-GB"/>
        </w:rPr>
        <w:t>Modernisation of Karnobat – Sindel Railway Line;</w:t>
      </w:r>
    </w:p>
    <w:p w14:paraId="289B5023" w14:textId="77777777" w:rsidR="00587CF0" w:rsidRPr="006645DC" w:rsidRDefault="00587CF0" w:rsidP="00AE1E9E">
      <w:pPr>
        <w:pStyle w:val="ListParagraph"/>
        <w:rPr>
          <w:lang w:val="en-GB"/>
        </w:rPr>
      </w:pPr>
      <w:r w:rsidRPr="006645DC">
        <w:rPr>
          <w:lang w:val="en-GB"/>
        </w:rPr>
        <w:t>Rehabilitation of Ruse – Varna Railway Line;</w:t>
      </w:r>
    </w:p>
    <w:p w14:paraId="695E09AE" w14:textId="77777777" w:rsidR="00587CF0" w:rsidRPr="006645DC" w:rsidRDefault="00587CF0" w:rsidP="00AE1E9E">
      <w:pPr>
        <w:pStyle w:val="ListParagraph"/>
        <w:rPr>
          <w:lang w:val="en-GB"/>
        </w:rPr>
      </w:pPr>
      <w:r w:rsidRPr="006645DC">
        <w:rPr>
          <w:lang w:val="en-GB"/>
        </w:rPr>
        <w:t>Modernisation of Vidin – Medkovetz Railway Section (part of Vidin – Sofia Railway Line;</w:t>
      </w:r>
    </w:p>
    <w:p w14:paraId="57A6568A" w14:textId="77777777" w:rsidR="00587CF0" w:rsidRPr="006645DC" w:rsidRDefault="00587CF0" w:rsidP="00AE1E9E">
      <w:pPr>
        <w:pStyle w:val="ListParagraph"/>
        <w:rPr>
          <w:lang w:val="en-GB"/>
        </w:rPr>
      </w:pPr>
      <w:r w:rsidRPr="006645DC">
        <w:rPr>
          <w:lang w:val="en-GB"/>
        </w:rPr>
        <w:t>Construction of Intermodal Terminal in Ruse;</w:t>
      </w:r>
    </w:p>
    <w:p w14:paraId="3AEBE2D6" w14:textId="11F0297A" w:rsidR="00587CF0" w:rsidRPr="00C367E2" w:rsidRDefault="00587CF0" w:rsidP="00C367E2">
      <w:pPr>
        <w:pStyle w:val="ListParagraph"/>
        <w:rPr>
          <w:i/>
          <w:iCs/>
          <w:lang w:val="en-GB"/>
        </w:rPr>
      </w:pPr>
      <w:r w:rsidRPr="006645DC">
        <w:rPr>
          <w:lang w:val="en-GB"/>
        </w:rPr>
        <w:t>Hemus Motorway to connect Sofia with coastal Varna.</w:t>
      </w:r>
    </w:p>
    <w:p w14:paraId="0669F09B" w14:textId="77777777" w:rsidR="00587CF0" w:rsidRPr="006645DC" w:rsidRDefault="00587CF0" w:rsidP="00587CF0">
      <w:pPr>
        <w:spacing w:before="0"/>
        <w:rPr>
          <w:lang w:val="en-GB"/>
        </w:rPr>
      </w:pPr>
      <w:r w:rsidRPr="006645DC">
        <w:rPr>
          <w:rFonts w:cs="Arial"/>
          <w:lang w:val="en-GB"/>
        </w:rPr>
        <w:t xml:space="preserve">The construction of the motorway Hemus will be one of the most important investments for Bulgaria since this motorway will improve the quality of transport in the North-West, North Central, and North-East </w:t>
      </w:r>
      <w:r w:rsidRPr="006645DC">
        <w:rPr>
          <w:lang w:val="en-GB"/>
        </w:rPr>
        <w:t>NUTS 2 regions of Bulgaria which are among the poorest regions of the EU. The total planned length of the Hemus motorway is 433 km and it will connect Sofia with the coastal town of Varna.</w:t>
      </w:r>
    </w:p>
    <w:p w14:paraId="29401B04" w14:textId="77777777" w:rsidR="00587CF0" w:rsidRPr="006645DC" w:rsidRDefault="00587CF0" w:rsidP="00587CF0">
      <w:pPr>
        <w:spacing w:before="0"/>
        <w:rPr>
          <w:lang w:val="en-GB"/>
        </w:rPr>
      </w:pPr>
      <w:r w:rsidRPr="006645DC">
        <w:rPr>
          <w:lang w:val="en-GB"/>
        </w:rPr>
        <w:t xml:space="preserve">The Romanian Ministry of Transport allocated 1.3 billion euro for the rehabilitation of Craiova-Calafat railway and for the modernisation of 16 Danube and </w:t>
      </w:r>
      <w:r w:rsidR="00F21105" w:rsidRPr="006645DC">
        <w:rPr>
          <w:lang w:val="en-GB"/>
        </w:rPr>
        <w:t>seaports</w:t>
      </w:r>
      <w:r w:rsidRPr="006645DC">
        <w:rPr>
          <w:lang w:val="en-GB"/>
        </w:rPr>
        <w:t xml:space="preserve"> which will also be included in the Romania General Master Plan for Transport. Nevertheless, the Romanian OP Transport and the strategic agenda of the Ministry of Transport cover several </w:t>
      </w:r>
      <w:r w:rsidR="00F21105" w:rsidRPr="006645DC">
        <w:rPr>
          <w:lang w:val="en-GB"/>
        </w:rPr>
        <w:t>projects, which</w:t>
      </w:r>
      <w:r w:rsidRPr="006645DC">
        <w:rPr>
          <w:lang w:val="en-GB"/>
        </w:rPr>
        <w:t xml:space="preserve"> have a crucial effect on the Romanian-Bulgarian cross-border region. There is also a strong willingness from both Bulgaria and Romania to build a third bridge crossing their common border along the Danube, linking Calarasi and Silistra. </w:t>
      </w:r>
    </w:p>
    <w:p w14:paraId="1B591E7B" w14:textId="77777777" w:rsidR="00AE1E9E" w:rsidRPr="006645DC" w:rsidRDefault="00AA4C82" w:rsidP="00587CF0">
      <w:pPr>
        <w:pStyle w:val="Lgende1"/>
        <w:rPr>
          <w:lang w:val="en-GB"/>
        </w:rPr>
      </w:pPr>
      <w:r w:rsidRPr="006645DC">
        <w:rPr>
          <w:noProof/>
          <w:lang w:val="bg-BG" w:eastAsia="bg-BG"/>
        </w:rPr>
        <w:drawing>
          <wp:inline distT="0" distB="0" distL="0" distR="0" wp14:anchorId="1EC88B87" wp14:editId="51A8BACD">
            <wp:extent cx="6056416" cy="2802576"/>
            <wp:effectExtent l="0" t="0" r="1905" b="0"/>
            <wp:docPr id="407" name="Imag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65"/>
                    <a:srcRect t="11882"/>
                    <a:stretch>
                      <a:fillRect/>
                    </a:stretch>
                  </pic:blipFill>
                  <pic:spPr bwMode="auto">
                    <a:xfrm>
                      <a:off x="0" y="0"/>
                      <a:ext cx="6054185" cy="2801544"/>
                    </a:xfrm>
                    <a:prstGeom prst="rect">
                      <a:avLst/>
                    </a:prstGeom>
                    <a:solidFill>
                      <a:srgbClr val="FFFFFF"/>
                    </a:solidFill>
                    <a:ln w="9525">
                      <a:noFill/>
                      <a:miter lim="800000"/>
                      <a:headEnd/>
                      <a:tailEnd/>
                    </a:ln>
                  </pic:spPr>
                </pic:pic>
              </a:graphicData>
            </a:graphic>
          </wp:inline>
        </w:drawing>
      </w:r>
    </w:p>
    <w:p w14:paraId="44F306BC" w14:textId="77777777" w:rsidR="00587CF0" w:rsidRPr="006645DC" w:rsidRDefault="00587CF0" w:rsidP="00587CF0">
      <w:pPr>
        <w:pStyle w:val="Lgende1"/>
        <w:rPr>
          <w:lang w:val="en-GB"/>
        </w:rPr>
      </w:pPr>
      <w:bookmarkStart w:id="133" w:name="_Toc391150009"/>
      <w:r w:rsidRPr="006645DC">
        <w:rPr>
          <w:lang w:val="en-GB"/>
        </w:rPr>
        <w:t xml:space="preserve">Map </w:t>
      </w:r>
      <w:r w:rsidR="005979EB" w:rsidRPr="006645DC">
        <w:rPr>
          <w:lang w:val="en-GB"/>
        </w:rPr>
        <w:fldChar w:fldCharType="begin"/>
      </w:r>
      <w:r w:rsidRPr="006645DC">
        <w:rPr>
          <w:lang w:val="en-GB"/>
        </w:rPr>
        <w:instrText xml:space="preserve"> SEQ "Map" \*Arabic </w:instrText>
      </w:r>
      <w:r w:rsidR="005979EB" w:rsidRPr="006645DC">
        <w:rPr>
          <w:lang w:val="en-GB"/>
        </w:rPr>
        <w:fldChar w:fldCharType="separate"/>
      </w:r>
      <w:r w:rsidR="00523DE6">
        <w:rPr>
          <w:noProof/>
          <w:lang w:val="en-GB"/>
        </w:rPr>
        <w:t>5</w:t>
      </w:r>
      <w:r w:rsidR="005979EB" w:rsidRPr="006645DC">
        <w:rPr>
          <w:lang w:val="en-GB"/>
        </w:rPr>
        <w:fldChar w:fldCharType="end"/>
      </w:r>
      <w:r w:rsidRPr="006645DC">
        <w:rPr>
          <w:lang w:val="en-GB"/>
        </w:rPr>
        <w:t xml:space="preserve"> - Hierarchy of the road network</w:t>
      </w:r>
      <w:bookmarkEnd w:id="133"/>
    </w:p>
    <w:p w14:paraId="3A564106" w14:textId="77777777" w:rsidR="00587CF0" w:rsidRPr="006645DC" w:rsidRDefault="00587CF0" w:rsidP="00587CF0">
      <w:pPr>
        <w:pStyle w:val="Heading4"/>
        <w:rPr>
          <w:lang w:val="en-GB"/>
        </w:rPr>
      </w:pPr>
      <w:r w:rsidRPr="006645DC">
        <w:rPr>
          <w:lang w:val="en-GB"/>
        </w:rPr>
        <w:t>Source: Détente Consultants</w:t>
      </w:r>
    </w:p>
    <w:p w14:paraId="1A095E25" w14:textId="77777777" w:rsidR="00587CF0" w:rsidRPr="006645DC" w:rsidRDefault="00587CF0" w:rsidP="00587CF0">
      <w:pPr>
        <w:rPr>
          <w:lang w:val="en-GB"/>
        </w:rPr>
      </w:pPr>
    </w:p>
    <w:p w14:paraId="746D788C" w14:textId="77777777" w:rsidR="00587CF0" w:rsidRPr="006645DC" w:rsidRDefault="00587CF0" w:rsidP="00EA46BF">
      <w:pPr>
        <w:rPr>
          <w:lang w:val="en-GB"/>
        </w:rPr>
      </w:pPr>
      <w:r w:rsidRPr="006645DC">
        <w:rPr>
          <w:lang w:val="en-GB"/>
        </w:rPr>
        <w:lastRenderedPageBreak/>
        <w:t xml:space="preserve">The Romania-Bulgaria cross-border region’s main advantage concerning accessibility is the presence of the Danube and of the Black Sea. The Danube is a major transport axis in Central Europe, connecting Western Europe with the Black Sea. According to the new EU infrastructure policy published in October 2013, the main TEN-T Core Network Corridors in the Romania-Bulgaria cross-border area are the following: </w:t>
      </w:r>
    </w:p>
    <w:p w14:paraId="26B67B29" w14:textId="77777777" w:rsidR="00587CF0" w:rsidRPr="006645DC" w:rsidRDefault="00587CF0" w:rsidP="00C951D5">
      <w:pPr>
        <w:pStyle w:val="Heading5"/>
        <w:numPr>
          <w:ilvl w:val="0"/>
          <w:numId w:val="128"/>
        </w:numPr>
        <w:rPr>
          <w:lang w:val="en-GB"/>
        </w:rPr>
      </w:pPr>
      <w:r w:rsidRPr="006645DC">
        <w:rPr>
          <w:lang w:val="en-GB"/>
        </w:rPr>
        <w:t>The Rhine-Danube Corridor</w:t>
      </w:r>
    </w:p>
    <w:p w14:paraId="419FA7BD" w14:textId="77777777" w:rsidR="00587CF0" w:rsidRPr="006645DC" w:rsidRDefault="00587CF0" w:rsidP="00EA46BF">
      <w:pPr>
        <w:rPr>
          <w:lang w:val="en-GB"/>
        </w:rPr>
      </w:pPr>
      <w:r w:rsidRPr="006645DC">
        <w:rPr>
          <w:lang w:val="en-GB"/>
        </w:rPr>
        <w:t>This corridor will connect France and Germany, Austria, the Czech Republic, Slovakia, Hungary, Romania and Bulgaria all along the Main and the Danube to the Black Sea, including the development of (high-speed) rail and inland waterway interconnections. One of its main lines is the Wien/Bratislava – Budapest – Arad – Braşov/Craiova – Bucharest – Constanta – Sulina path. The corridor is related to several sections of Priority Projects 7, 17, 18, 22. Those pre-identified projects of the corridor, which are relevant for the Romanian-Bulgarian cross-border area, are listed below:</w:t>
      </w:r>
    </w:p>
    <w:p w14:paraId="24F2E151" w14:textId="77777777" w:rsidR="00587CF0" w:rsidRPr="006645DC" w:rsidRDefault="00587CF0" w:rsidP="00AE1E9E">
      <w:pPr>
        <w:pStyle w:val="ListParagraph"/>
        <w:spacing w:before="60" w:after="0"/>
        <w:rPr>
          <w:lang w:val="en-GB"/>
        </w:rPr>
      </w:pPr>
      <w:r w:rsidRPr="006645DC">
        <w:rPr>
          <w:lang w:val="en-GB"/>
        </w:rPr>
        <w:t>Arad - Braşov - Bucharest – Constanta (rail);</w:t>
      </w:r>
    </w:p>
    <w:p w14:paraId="14BAAA3C" w14:textId="77777777" w:rsidR="00587CF0" w:rsidRPr="006645DC" w:rsidRDefault="00587CF0" w:rsidP="00AE1E9E">
      <w:pPr>
        <w:pStyle w:val="ListParagraph"/>
        <w:spacing w:before="60" w:after="0"/>
        <w:rPr>
          <w:lang w:val="en-GB"/>
        </w:rPr>
      </w:pPr>
      <w:r w:rsidRPr="006645DC">
        <w:rPr>
          <w:lang w:val="en-GB"/>
        </w:rPr>
        <w:t>Giurgiu, Galați (port);</w:t>
      </w:r>
    </w:p>
    <w:p w14:paraId="5821700D" w14:textId="77777777" w:rsidR="00587CF0" w:rsidRPr="006645DC" w:rsidRDefault="00587CF0" w:rsidP="00AE1E9E">
      <w:pPr>
        <w:pStyle w:val="ListParagraph"/>
        <w:spacing w:before="60" w:after="0"/>
        <w:rPr>
          <w:lang w:val="en-GB"/>
        </w:rPr>
      </w:pPr>
      <w:r w:rsidRPr="006645DC">
        <w:rPr>
          <w:lang w:val="en-GB"/>
        </w:rPr>
        <w:t>Danube (Kehlheim - Constanța/Midia/Sulina) (inland waterway);</w:t>
      </w:r>
    </w:p>
    <w:p w14:paraId="15D47BAA" w14:textId="77777777" w:rsidR="00587CF0" w:rsidRPr="006645DC" w:rsidRDefault="00587CF0" w:rsidP="00AE1E9E">
      <w:pPr>
        <w:pStyle w:val="ListParagraph"/>
        <w:spacing w:before="60" w:after="0"/>
        <w:rPr>
          <w:lang w:val="en-GB"/>
        </w:rPr>
      </w:pPr>
      <w:r w:rsidRPr="006645DC">
        <w:rPr>
          <w:lang w:val="en-GB"/>
        </w:rPr>
        <w:t>Constanta (port, motorways of the Sea);</w:t>
      </w:r>
    </w:p>
    <w:p w14:paraId="1398F38A" w14:textId="77777777" w:rsidR="00587CF0" w:rsidRPr="006645DC" w:rsidRDefault="00587CF0" w:rsidP="00AE1E9E">
      <w:pPr>
        <w:pStyle w:val="ListParagraph"/>
        <w:spacing w:before="60" w:after="0"/>
        <w:rPr>
          <w:lang w:val="en-GB"/>
        </w:rPr>
      </w:pPr>
      <w:r w:rsidRPr="006645DC">
        <w:rPr>
          <w:lang w:val="en-GB"/>
        </w:rPr>
        <w:t>Craiova – Bucharest (rail).</w:t>
      </w:r>
    </w:p>
    <w:p w14:paraId="6DC3B33F" w14:textId="77777777" w:rsidR="00587CF0" w:rsidRPr="006645DC" w:rsidRDefault="00587CF0" w:rsidP="00137264">
      <w:pPr>
        <w:pStyle w:val="Heading5"/>
        <w:rPr>
          <w:lang w:val="en-GB"/>
        </w:rPr>
      </w:pPr>
      <w:r w:rsidRPr="006645DC">
        <w:rPr>
          <w:lang w:val="en-GB"/>
        </w:rPr>
        <w:t xml:space="preserve">The Orient/East-Med Corridor </w:t>
      </w:r>
    </w:p>
    <w:p w14:paraId="07C067FC" w14:textId="77777777" w:rsidR="00587CF0" w:rsidRPr="006645DC" w:rsidRDefault="00587CF0" w:rsidP="00EA46BF">
      <w:pPr>
        <w:rPr>
          <w:lang w:val="en-GB"/>
        </w:rPr>
      </w:pPr>
      <w:r w:rsidRPr="006645DC">
        <w:rPr>
          <w:lang w:val="en-GB"/>
        </w:rPr>
        <w:t>This corridor which is related to nine different paths (including the Kolin – Pardubice – Brno – Wien/Bratislava – Budapest – Arad – Timişoara – Craiova – Calafat – Vidin – Sofia line) will integrate Priority Projects 7 and 22, ERTMS corridor E and Rail Freight Corridor 7 (RFC 7). It will improve the multimodal connections of Southeast Europe. Those pre-identified projects of the corridor, which are relevant for the Romanian-Bulgarian cross-border area, are listed below:</w:t>
      </w:r>
    </w:p>
    <w:p w14:paraId="7B61D7D4" w14:textId="77777777" w:rsidR="00587CF0" w:rsidRPr="006645DC" w:rsidRDefault="00587CF0" w:rsidP="00AE1E9E">
      <w:pPr>
        <w:pStyle w:val="ListParagraph"/>
        <w:rPr>
          <w:lang w:val="en-GB"/>
        </w:rPr>
      </w:pPr>
      <w:r w:rsidRPr="006645DC">
        <w:rPr>
          <w:lang w:val="en-GB"/>
        </w:rPr>
        <w:t>Budapest – Arad – Timişoara – Calafat (raill, on goingongoing in Romania);</w:t>
      </w:r>
    </w:p>
    <w:p w14:paraId="73A1E370" w14:textId="77777777" w:rsidR="00587CF0" w:rsidRPr="006645DC" w:rsidRDefault="00587CF0" w:rsidP="00AE1E9E">
      <w:pPr>
        <w:pStyle w:val="ListParagraph"/>
        <w:rPr>
          <w:lang w:val="en-GB"/>
        </w:rPr>
      </w:pPr>
      <w:r w:rsidRPr="006645DC">
        <w:rPr>
          <w:lang w:val="en-GB"/>
        </w:rPr>
        <w:t>Vidin – Sofia – Burgas/TR border Sofia – Thessaloniki – Athens/Piraeus (rail);</w:t>
      </w:r>
    </w:p>
    <w:p w14:paraId="249F309B" w14:textId="77777777" w:rsidR="00587CF0" w:rsidRPr="006645DC" w:rsidRDefault="00587CF0" w:rsidP="00AE1E9E">
      <w:pPr>
        <w:pStyle w:val="ListParagraph"/>
        <w:rPr>
          <w:lang w:val="en-GB"/>
        </w:rPr>
      </w:pPr>
      <w:r w:rsidRPr="006645DC">
        <w:rPr>
          <w:lang w:val="en-GB"/>
        </w:rPr>
        <w:t>Vidin – Craiova (road, cross-border upgrading).</w:t>
      </w:r>
    </w:p>
    <w:p w14:paraId="0A1879F6" w14:textId="77777777" w:rsidR="00587CF0" w:rsidRPr="006645DC" w:rsidRDefault="00587CF0" w:rsidP="00587CF0">
      <w:pPr>
        <w:rPr>
          <w:lang w:val="en-GB"/>
        </w:rPr>
      </w:pPr>
      <w:r w:rsidRPr="006645DC">
        <w:rPr>
          <w:lang w:val="en-GB"/>
        </w:rPr>
        <w:t>The new core network that will be supported by comprehensive networks is planned to be completed by 2030. Due to the planned developments the cross-border area will have effective trade corridors increasing the transit trade of goods between Asia and Europe through Constanta. Furthermore, the improved accessibility not only enhances the competitiveness of the cross-border area, but also can decrease the price of the imported products. Currently, the length of motorways is limited, the share of electrified railway lines is relatively low, and the overall quality of the infrastructure is rather underdeveloped in the cross-border region.</w:t>
      </w:r>
    </w:p>
    <w:p w14:paraId="680B8910" w14:textId="77777777" w:rsidR="00587CF0" w:rsidRPr="006645DC" w:rsidRDefault="00587CF0" w:rsidP="00587CF0">
      <w:pPr>
        <w:rPr>
          <w:lang w:val="en-GB"/>
        </w:rPr>
      </w:pPr>
      <w:r w:rsidRPr="006645DC">
        <w:rPr>
          <w:lang w:val="en-GB"/>
        </w:rPr>
        <w:br w:type="page"/>
      </w:r>
    </w:p>
    <w:tbl>
      <w:tblPr>
        <w:tblW w:w="0" w:type="auto"/>
        <w:jc w:val="center"/>
        <w:tblLayout w:type="fixed"/>
        <w:tblLook w:val="04A0" w:firstRow="1" w:lastRow="0" w:firstColumn="1" w:lastColumn="0" w:noHBand="0" w:noVBand="1"/>
      </w:tblPr>
      <w:tblGrid>
        <w:gridCol w:w="3692"/>
        <w:gridCol w:w="1061"/>
        <w:gridCol w:w="1060"/>
        <w:gridCol w:w="1061"/>
        <w:gridCol w:w="1060"/>
        <w:gridCol w:w="1059"/>
      </w:tblGrid>
      <w:tr w:rsidR="00587CF0" w:rsidRPr="006645DC" w14:paraId="10D1DBD2" w14:textId="77777777" w:rsidTr="00587CF0">
        <w:trPr>
          <w:trHeight w:val="300"/>
          <w:jc w:val="center"/>
        </w:trPr>
        <w:tc>
          <w:tcPr>
            <w:tcW w:w="3692" w:type="dxa"/>
            <w:tcBorders>
              <w:top w:val="single" w:sz="4" w:space="0" w:color="000000"/>
              <w:left w:val="single" w:sz="4" w:space="0" w:color="000000"/>
              <w:bottom w:val="single" w:sz="4" w:space="0" w:color="000000"/>
              <w:right w:val="nil"/>
            </w:tcBorders>
            <w:shd w:val="clear" w:color="auto" w:fill="FFFFFF"/>
            <w:vAlign w:val="bottom"/>
            <w:hideMark/>
          </w:tcPr>
          <w:p w14:paraId="1D961B95" w14:textId="77777777" w:rsidR="00587CF0" w:rsidRPr="006645DC" w:rsidRDefault="00587CF0">
            <w:pPr>
              <w:suppressAutoHyphens/>
              <w:spacing w:before="0" w:after="0" w:line="276" w:lineRule="auto"/>
              <w:rPr>
                <w:rFonts w:eastAsia="Arial" w:cs="Calibri"/>
                <w:b/>
                <w:kern w:val="2"/>
                <w:lang w:val="en-GB"/>
              </w:rPr>
            </w:pPr>
            <w:r w:rsidRPr="006645DC">
              <w:rPr>
                <w:b/>
                <w:lang w:val="en-GB"/>
              </w:rPr>
              <w:lastRenderedPageBreak/>
              <w:t>Romania</w:t>
            </w:r>
          </w:p>
        </w:tc>
        <w:tc>
          <w:tcPr>
            <w:tcW w:w="1061" w:type="dxa"/>
            <w:tcBorders>
              <w:top w:val="single" w:sz="4" w:space="0" w:color="000000"/>
              <w:left w:val="single" w:sz="4" w:space="0" w:color="000000"/>
              <w:bottom w:val="single" w:sz="4" w:space="0" w:color="000000"/>
              <w:right w:val="nil"/>
            </w:tcBorders>
            <w:shd w:val="clear" w:color="auto" w:fill="FFFFFF"/>
            <w:vAlign w:val="center"/>
            <w:hideMark/>
          </w:tcPr>
          <w:p w14:paraId="22ACE4C5"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2007</w:t>
            </w:r>
          </w:p>
        </w:tc>
        <w:tc>
          <w:tcPr>
            <w:tcW w:w="1060" w:type="dxa"/>
            <w:tcBorders>
              <w:top w:val="single" w:sz="4" w:space="0" w:color="000000"/>
              <w:left w:val="single" w:sz="4" w:space="0" w:color="000000"/>
              <w:bottom w:val="single" w:sz="4" w:space="0" w:color="000000"/>
              <w:right w:val="nil"/>
            </w:tcBorders>
            <w:shd w:val="clear" w:color="auto" w:fill="FFFFFF"/>
            <w:vAlign w:val="center"/>
            <w:hideMark/>
          </w:tcPr>
          <w:p w14:paraId="5DD11189"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2008</w:t>
            </w:r>
          </w:p>
        </w:tc>
        <w:tc>
          <w:tcPr>
            <w:tcW w:w="106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89AA8E9"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2009</w:t>
            </w:r>
          </w:p>
        </w:tc>
        <w:tc>
          <w:tcPr>
            <w:tcW w:w="1060" w:type="dxa"/>
            <w:tcBorders>
              <w:top w:val="single" w:sz="4" w:space="0" w:color="000000"/>
              <w:left w:val="single" w:sz="4" w:space="0" w:color="000000"/>
              <w:bottom w:val="single" w:sz="4" w:space="0" w:color="000000"/>
              <w:right w:val="single" w:sz="4" w:space="0" w:color="000000"/>
            </w:tcBorders>
            <w:hideMark/>
          </w:tcPr>
          <w:p w14:paraId="204EBAF4"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2010</w:t>
            </w:r>
          </w:p>
        </w:tc>
        <w:tc>
          <w:tcPr>
            <w:tcW w:w="1059" w:type="dxa"/>
            <w:tcBorders>
              <w:top w:val="single" w:sz="4" w:space="0" w:color="000000"/>
              <w:left w:val="single" w:sz="4" w:space="0" w:color="000000"/>
              <w:bottom w:val="single" w:sz="4" w:space="0" w:color="000000"/>
              <w:right w:val="single" w:sz="4" w:space="0" w:color="000000"/>
            </w:tcBorders>
            <w:hideMark/>
          </w:tcPr>
          <w:p w14:paraId="0766E0FC" w14:textId="77777777" w:rsidR="00587CF0" w:rsidRPr="006645DC" w:rsidRDefault="00587CF0">
            <w:pPr>
              <w:suppressAutoHyphens/>
              <w:spacing w:before="0" w:after="0" w:line="100" w:lineRule="atLeast"/>
              <w:jc w:val="center"/>
              <w:rPr>
                <w:rFonts w:eastAsia="Arial" w:cs="Calibri"/>
                <w:kern w:val="2"/>
                <w:lang w:val="en-GB"/>
              </w:rPr>
            </w:pPr>
            <w:r w:rsidRPr="006645DC">
              <w:rPr>
                <w:b/>
                <w:lang w:val="en-GB"/>
              </w:rPr>
              <w:t>2011</w:t>
            </w:r>
          </w:p>
        </w:tc>
      </w:tr>
      <w:tr w:rsidR="00587CF0" w:rsidRPr="006645DC" w14:paraId="27B34FDE" w14:textId="77777777" w:rsidTr="00587CF0">
        <w:trPr>
          <w:trHeight w:val="300"/>
          <w:jc w:val="center"/>
        </w:trPr>
        <w:tc>
          <w:tcPr>
            <w:tcW w:w="3692" w:type="dxa"/>
            <w:tcBorders>
              <w:top w:val="single" w:sz="4" w:space="0" w:color="000000"/>
              <w:left w:val="single" w:sz="4" w:space="0" w:color="000000"/>
              <w:bottom w:val="single" w:sz="4" w:space="0" w:color="000000"/>
              <w:right w:val="nil"/>
            </w:tcBorders>
            <w:vAlign w:val="center"/>
            <w:hideMark/>
          </w:tcPr>
          <w:p w14:paraId="5DEACA93" w14:textId="77777777" w:rsidR="00587CF0" w:rsidRPr="006645DC" w:rsidRDefault="00587CF0">
            <w:pPr>
              <w:suppressAutoHyphens/>
              <w:spacing w:before="0" w:after="0" w:line="276" w:lineRule="auto"/>
              <w:rPr>
                <w:rFonts w:eastAsia="Arial" w:cs="Calibri"/>
                <w:kern w:val="2"/>
                <w:lang w:val="en-GB"/>
              </w:rPr>
            </w:pPr>
            <w:r w:rsidRPr="006645DC">
              <w:rPr>
                <w:lang w:val="en-GB"/>
              </w:rPr>
              <w:t>Trains</w:t>
            </w:r>
          </w:p>
        </w:tc>
        <w:tc>
          <w:tcPr>
            <w:tcW w:w="1061" w:type="dxa"/>
            <w:tcBorders>
              <w:top w:val="single" w:sz="4" w:space="0" w:color="000000"/>
              <w:left w:val="single" w:sz="4" w:space="0" w:color="000000"/>
              <w:bottom w:val="single" w:sz="4" w:space="0" w:color="000000"/>
              <w:right w:val="nil"/>
            </w:tcBorders>
            <w:vAlign w:val="center"/>
            <w:hideMark/>
          </w:tcPr>
          <w:p w14:paraId="136A4797"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8,6</w:t>
            </w:r>
          </w:p>
        </w:tc>
        <w:tc>
          <w:tcPr>
            <w:tcW w:w="1060" w:type="dxa"/>
            <w:tcBorders>
              <w:top w:val="single" w:sz="4" w:space="0" w:color="000000"/>
              <w:left w:val="single" w:sz="4" w:space="0" w:color="000000"/>
              <w:bottom w:val="single" w:sz="4" w:space="0" w:color="000000"/>
              <w:right w:val="nil"/>
            </w:tcBorders>
            <w:vAlign w:val="center"/>
            <w:hideMark/>
          </w:tcPr>
          <w:p w14:paraId="6F492BB1"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7,6</w:t>
            </w:r>
          </w:p>
        </w:tc>
        <w:tc>
          <w:tcPr>
            <w:tcW w:w="1061" w:type="dxa"/>
            <w:tcBorders>
              <w:top w:val="single" w:sz="4" w:space="0" w:color="000000"/>
              <w:left w:val="single" w:sz="4" w:space="0" w:color="000000"/>
              <w:bottom w:val="single" w:sz="4" w:space="0" w:color="000000"/>
              <w:right w:val="single" w:sz="4" w:space="0" w:color="000000"/>
            </w:tcBorders>
            <w:vAlign w:val="center"/>
            <w:hideMark/>
          </w:tcPr>
          <w:p w14:paraId="651E1C3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6,5</w:t>
            </w:r>
          </w:p>
        </w:tc>
        <w:tc>
          <w:tcPr>
            <w:tcW w:w="1060" w:type="dxa"/>
            <w:tcBorders>
              <w:top w:val="single" w:sz="4" w:space="0" w:color="000000"/>
              <w:left w:val="single" w:sz="4" w:space="0" w:color="000000"/>
              <w:bottom w:val="single" w:sz="4" w:space="0" w:color="000000"/>
              <w:right w:val="single" w:sz="4" w:space="0" w:color="000000"/>
            </w:tcBorders>
            <w:hideMark/>
          </w:tcPr>
          <w:p w14:paraId="4F2D27A5"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5,9</w:t>
            </w:r>
          </w:p>
        </w:tc>
        <w:tc>
          <w:tcPr>
            <w:tcW w:w="1059" w:type="dxa"/>
            <w:tcBorders>
              <w:top w:val="single" w:sz="4" w:space="0" w:color="000000"/>
              <w:left w:val="single" w:sz="4" w:space="0" w:color="000000"/>
              <w:bottom w:val="single" w:sz="4" w:space="0" w:color="000000"/>
              <w:right w:val="single" w:sz="4" w:space="0" w:color="000000"/>
            </w:tcBorders>
            <w:hideMark/>
          </w:tcPr>
          <w:p w14:paraId="1256D197"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5,5</w:t>
            </w:r>
          </w:p>
        </w:tc>
      </w:tr>
      <w:tr w:rsidR="00587CF0" w:rsidRPr="006645DC" w14:paraId="0478193A" w14:textId="77777777" w:rsidTr="00587CF0">
        <w:trPr>
          <w:trHeight w:val="300"/>
          <w:jc w:val="center"/>
        </w:trPr>
        <w:tc>
          <w:tcPr>
            <w:tcW w:w="3692" w:type="dxa"/>
            <w:tcBorders>
              <w:top w:val="single" w:sz="4" w:space="0" w:color="000000"/>
              <w:left w:val="single" w:sz="4" w:space="0" w:color="000000"/>
              <w:bottom w:val="single" w:sz="4" w:space="0" w:color="000000"/>
              <w:right w:val="nil"/>
            </w:tcBorders>
            <w:vAlign w:val="center"/>
            <w:hideMark/>
          </w:tcPr>
          <w:p w14:paraId="250BD277" w14:textId="77777777" w:rsidR="00587CF0" w:rsidRPr="006645DC" w:rsidRDefault="00587CF0">
            <w:pPr>
              <w:suppressAutoHyphens/>
              <w:spacing w:before="0" w:after="0" w:line="276" w:lineRule="auto"/>
              <w:rPr>
                <w:rFonts w:eastAsia="Arial" w:cs="Calibri"/>
                <w:kern w:val="2"/>
                <w:lang w:val="en-GB"/>
              </w:rPr>
            </w:pPr>
            <w:r w:rsidRPr="006645DC">
              <w:rPr>
                <w:lang w:val="en-GB"/>
              </w:rPr>
              <w:t>Passenger cars</w:t>
            </w:r>
          </w:p>
        </w:tc>
        <w:tc>
          <w:tcPr>
            <w:tcW w:w="1061" w:type="dxa"/>
            <w:tcBorders>
              <w:top w:val="single" w:sz="4" w:space="0" w:color="000000"/>
              <w:left w:val="single" w:sz="4" w:space="0" w:color="000000"/>
              <w:bottom w:val="single" w:sz="4" w:space="0" w:color="000000"/>
              <w:right w:val="nil"/>
            </w:tcBorders>
            <w:vAlign w:val="center"/>
            <w:hideMark/>
          </w:tcPr>
          <w:p w14:paraId="5195D86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85,3</w:t>
            </w:r>
          </w:p>
        </w:tc>
        <w:tc>
          <w:tcPr>
            <w:tcW w:w="1060" w:type="dxa"/>
            <w:tcBorders>
              <w:top w:val="single" w:sz="4" w:space="0" w:color="000000"/>
              <w:left w:val="single" w:sz="4" w:space="0" w:color="000000"/>
              <w:bottom w:val="single" w:sz="4" w:space="0" w:color="000000"/>
              <w:right w:val="nil"/>
            </w:tcBorders>
            <w:vAlign w:val="center"/>
            <w:hideMark/>
          </w:tcPr>
          <w:p w14:paraId="7C9BB198"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85,2</w:t>
            </w:r>
          </w:p>
        </w:tc>
        <w:tc>
          <w:tcPr>
            <w:tcW w:w="1061" w:type="dxa"/>
            <w:tcBorders>
              <w:top w:val="single" w:sz="4" w:space="0" w:color="000000"/>
              <w:left w:val="single" w:sz="4" w:space="0" w:color="000000"/>
              <w:bottom w:val="single" w:sz="4" w:space="0" w:color="000000"/>
              <w:right w:val="single" w:sz="4" w:space="0" w:color="000000"/>
            </w:tcBorders>
            <w:vAlign w:val="center"/>
            <w:hideMark/>
          </w:tcPr>
          <w:p w14:paraId="7BF90DAD"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85,4</w:t>
            </w:r>
          </w:p>
        </w:tc>
        <w:tc>
          <w:tcPr>
            <w:tcW w:w="1060" w:type="dxa"/>
            <w:tcBorders>
              <w:top w:val="single" w:sz="4" w:space="0" w:color="000000"/>
              <w:left w:val="single" w:sz="4" w:space="0" w:color="000000"/>
              <w:bottom w:val="single" w:sz="4" w:space="0" w:color="000000"/>
              <w:right w:val="single" w:sz="4" w:space="0" w:color="000000"/>
            </w:tcBorders>
            <w:hideMark/>
          </w:tcPr>
          <w:p w14:paraId="1C8E909F"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85,1</w:t>
            </w:r>
          </w:p>
        </w:tc>
        <w:tc>
          <w:tcPr>
            <w:tcW w:w="1059" w:type="dxa"/>
            <w:tcBorders>
              <w:top w:val="single" w:sz="4" w:space="0" w:color="000000"/>
              <w:left w:val="single" w:sz="4" w:space="0" w:color="000000"/>
              <w:bottom w:val="single" w:sz="4" w:space="0" w:color="000000"/>
              <w:right w:val="single" w:sz="4" w:space="0" w:color="000000"/>
            </w:tcBorders>
            <w:hideMark/>
          </w:tcPr>
          <w:p w14:paraId="244EF775"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84,8</w:t>
            </w:r>
          </w:p>
        </w:tc>
      </w:tr>
      <w:tr w:rsidR="00587CF0" w:rsidRPr="006645DC" w14:paraId="6FC6E721" w14:textId="77777777" w:rsidTr="00587CF0">
        <w:trPr>
          <w:trHeight w:val="300"/>
          <w:jc w:val="center"/>
        </w:trPr>
        <w:tc>
          <w:tcPr>
            <w:tcW w:w="3692" w:type="dxa"/>
            <w:tcBorders>
              <w:top w:val="single" w:sz="4" w:space="0" w:color="000000"/>
              <w:left w:val="single" w:sz="4" w:space="0" w:color="000000"/>
              <w:bottom w:val="single" w:sz="4" w:space="0" w:color="000000"/>
              <w:right w:val="nil"/>
            </w:tcBorders>
            <w:vAlign w:val="center"/>
            <w:hideMark/>
          </w:tcPr>
          <w:p w14:paraId="0E6C71C2" w14:textId="77777777" w:rsidR="00587CF0" w:rsidRPr="006645DC" w:rsidRDefault="00587CF0">
            <w:pPr>
              <w:suppressAutoHyphens/>
              <w:spacing w:before="0" w:after="0" w:line="276" w:lineRule="auto"/>
              <w:rPr>
                <w:rFonts w:eastAsia="Arial" w:cs="Calibri"/>
                <w:kern w:val="2"/>
                <w:lang w:val="en-GB"/>
              </w:rPr>
            </w:pPr>
            <w:r w:rsidRPr="006645DC">
              <w:rPr>
                <w:lang w:val="en-GB"/>
              </w:rPr>
              <w:t>Motor coaches buses and trolley buses</w:t>
            </w:r>
          </w:p>
        </w:tc>
        <w:tc>
          <w:tcPr>
            <w:tcW w:w="1061" w:type="dxa"/>
            <w:tcBorders>
              <w:top w:val="single" w:sz="4" w:space="0" w:color="000000"/>
              <w:left w:val="single" w:sz="4" w:space="0" w:color="000000"/>
              <w:bottom w:val="single" w:sz="4" w:space="0" w:color="000000"/>
              <w:right w:val="nil"/>
            </w:tcBorders>
            <w:vAlign w:val="center"/>
            <w:hideMark/>
          </w:tcPr>
          <w:p w14:paraId="7154CEFA"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14</w:t>
            </w:r>
          </w:p>
        </w:tc>
        <w:tc>
          <w:tcPr>
            <w:tcW w:w="1060" w:type="dxa"/>
            <w:tcBorders>
              <w:top w:val="single" w:sz="4" w:space="0" w:color="000000"/>
              <w:left w:val="single" w:sz="4" w:space="0" w:color="000000"/>
              <w:bottom w:val="single" w:sz="4" w:space="0" w:color="000000"/>
              <w:right w:val="nil"/>
            </w:tcBorders>
            <w:vAlign w:val="center"/>
            <w:hideMark/>
          </w:tcPr>
          <w:p w14:paraId="5D95532A"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15,2</w:t>
            </w:r>
          </w:p>
        </w:tc>
        <w:tc>
          <w:tcPr>
            <w:tcW w:w="1061" w:type="dxa"/>
            <w:tcBorders>
              <w:top w:val="single" w:sz="4" w:space="0" w:color="000000"/>
              <w:left w:val="single" w:sz="4" w:space="0" w:color="000000"/>
              <w:bottom w:val="single" w:sz="4" w:space="0" w:color="000000"/>
              <w:right w:val="single" w:sz="4" w:space="0" w:color="000000"/>
            </w:tcBorders>
            <w:vAlign w:val="center"/>
            <w:hideMark/>
          </w:tcPr>
          <w:p w14:paraId="44A46652"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13,6</w:t>
            </w:r>
          </w:p>
        </w:tc>
        <w:tc>
          <w:tcPr>
            <w:tcW w:w="1060" w:type="dxa"/>
            <w:tcBorders>
              <w:top w:val="single" w:sz="4" w:space="0" w:color="000000"/>
              <w:left w:val="single" w:sz="4" w:space="0" w:color="000000"/>
              <w:bottom w:val="single" w:sz="4" w:space="0" w:color="000000"/>
              <w:right w:val="single" w:sz="4" w:space="0" w:color="000000"/>
            </w:tcBorders>
            <w:vAlign w:val="center"/>
            <w:hideMark/>
          </w:tcPr>
          <w:p w14:paraId="71F63F7D"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12,9</w:t>
            </w:r>
          </w:p>
        </w:tc>
        <w:tc>
          <w:tcPr>
            <w:tcW w:w="1059" w:type="dxa"/>
            <w:tcBorders>
              <w:top w:val="single" w:sz="4" w:space="0" w:color="000000"/>
              <w:left w:val="single" w:sz="4" w:space="0" w:color="000000"/>
              <w:bottom w:val="single" w:sz="4" w:space="0" w:color="000000"/>
              <w:right w:val="single" w:sz="4" w:space="0" w:color="000000"/>
            </w:tcBorders>
            <w:vAlign w:val="center"/>
            <w:hideMark/>
          </w:tcPr>
          <w:p w14:paraId="0EEE873D" w14:textId="77777777" w:rsidR="00587CF0" w:rsidRPr="006645DC" w:rsidRDefault="00587CF0">
            <w:pPr>
              <w:keepNext/>
              <w:keepLines/>
              <w:suppressAutoHyphens/>
              <w:spacing w:before="0" w:after="0" w:line="100" w:lineRule="atLeast"/>
              <w:ind w:left="757" w:hanging="360"/>
              <w:jc w:val="right"/>
              <w:rPr>
                <w:rFonts w:eastAsia="Arial" w:cs="Calibri"/>
                <w:b/>
                <w:kern w:val="2"/>
                <w:lang w:val="en-GB"/>
              </w:rPr>
            </w:pPr>
            <w:r w:rsidRPr="006645DC">
              <w:rPr>
                <w:lang w:val="en-GB"/>
              </w:rPr>
              <w:t>12,8</w:t>
            </w:r>
          </w:p>
        </w:tc>
      </w:tr>
      <w:tr w:rsidR="00587CF0" w:rsidRPr="006645DC" w14:paraId="7A2A1EF9" w14:textId="77777777" w:rsidTr="00587CF0">
        <w:trPr>
          <w:trHeight w:val="270"/>
          <w:jc w:val="center"/>
        </w:trPr>
        <w:tc>
          <w:tcPr>
            <w:tcW w:w="3692" w:type="dxa"/>
            <w:tcBorders>
              <w:top w:val="single" w:sz="4" w:space="0" w:color="000000"/>
              <w:left w:val="single" w:sz="4" w:space="0" w:color="000000"/>
              <w:bottom w:val="single" w:sz="4" w:space="0" w:color="000000"/>
              <w:right w:val="nil"/>
            </w:tcBorders>
            <w:shd w:val="clear" w:color="auto" w:fill="FFFFFF"/>
            <w:vAlign w:val="center"/>
            <w:hideMark/>
          </w:tcPr>
          <w:p w14:paraId="3C9DD121" w14:textId="77777777" w:rsidR="00587CF0" w:rsidRPr="006645DC" w:rsidRDefault="00587CF0">
            <w:pPr>
              <w:suppressAutoHyphens/>
              <w:spacing w:before="0" w:after="0" w:line="276" w:lineRule="auto"/>
              <w:rPr>
                <w:rFonts w:eastAsia="Arial" w:cs="Calibri"/>
                <w:b/>
                <w:kern w:val="2"/>
                <w:lang w:val="en-GB"/>
              </w:rPr>
            </w:pPr>
            <w:r w:rsidRPr="006645DC">
              <w:rPr>
                <w:b/>
                <w:lang w:val="en-GB"/>
              </w:rPr>
              <w:t>Bulgaria</w:t>
            </w:r>
          </w:p>
        </w:tc>
        <w:tc>
          <w:tcPr>
            <w:tcW w:w="1061" w:type="dxa"/>
            <w:tcBorders>
              <w:top w:val="single" w:sz="4" w:space="0" w:color="000000"/>
              <w:left w:val="single" w:sz="4" w:space="0" w:color="000000"/>
              <w:bottom w:val="single" w:sz="4" w:space="0" w:color="000000"/>
              <w:right w:val="nil"/>
            </w:tcBorders>
            <w:shd w:val="clear" w:color="auto" w:fill="FFFFFF"/>
            <w:vAlign w:val="center"/>
            <w:hideMark/>
          </w:tcPr>
          <w:p w14:paraId="0D6CA773"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2007</w:t>
            </w:r>
          </w:p>
        </w:tc>
        <w:tc>
          <w:tcPr>
            <w:tcW w:w="1060" w:type="dxa"/>
            <w:tcBorders>
              <w:top w:val="single" w:sz="4" w:space="0" w:color="000000"/>
              <w:left w:val="single" w:sz="4" w:space="0" w:color="000000"/>
              <w:bottom w:val="single" w:sz="4" w:space="0" w:color="000000"/>
              <w:right w:val="nil"/>
            </w:tcBorders>
            <w:shd w:val="clear" w:color="auto" w:fill="FFFFFF"/>
            <w:vAlign w:val="center"/>
            <w:hideMark/>
          </w:tcPr>
          <w:p w14:paraId="1C608CB2"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2008</w:t>
            </w:r>
          </w:p>
        </w:tc>
        <w:tc>
          <w:tcPr>
            <w:tcW w:w="106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F0238B2"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2009</w:t>
            </w:r>
          </w:p>
        </w:tc>
        <w:tc>
          <w:tcPr>
            <w:tcW w:w="1060" w:type="dxa"/>
            <w:tcBorders>
              <w:top w:val="single" w:sz="4" w:space="0" w:color="000000"/>
              <w:left w:val="single" w:sz="4" w:space="0" w:color="000000"/>
              <w:bottom w:val="single" w:sz="4" w:space="0" w:color="000000"/>
              <w:right w:val="single" w:sz="4" w:space="0" w:color="000000"/>
            </w:tcBorders>
            <w:hideMark/>
          </w:tcPr>
          <w:p w14:paraId="5345C8B3"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2010</w:t>
            </w:r>
          </w:p>
        </w:tc>
        <w:tc>
          <w:tcPr>
            <w:tcW w:w="1059" w:type="dxa"/>
            <w:tcBorders>
              <w:top w:val="single" w:sz="4" w:space="0" w:color="000000"/>
              <w:left w:val="single" w:sz="4" w:space="0" w:color="000000"/>
              <w:bottom w:val="single" w:sz="4" w:space="0" w:color="000000"/>
              <w:right w:val="single" w:sz="4" w:space="0" w:color="000000"/>
            </w:tcBorders>
            <w:hideMark/>
          </w:tcPr>
          <w:p w14:paraId="3731522B"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2011</w:t>
            </w:r>
          </w:p>
        </w:tc>
      </w:tr>
      <w:tr w:rsidR="00587CF0" w:rsidRPr="006645DC" w14:paraId="7079AFFC" w14:textId="77777777" w:rsidTr="00587CF0">
        <w:trPr>
          <w:trHeight w:val="255"/>
          <w:jc w:val="center"/>
        </w:trPr>
        <w:tc>
          <w:tcPr>
            <w:tcW w:w="3692" w:type="dxa"/>
            <w:tcBorders>
              <w:top w:val="single" w:sz="4" w:space="0" w:color="000000"/>
              <w:left w:val="single" w:sz="4" w:space="0" w:color="000000"/>
              <w:bottom w:val="single" w:sz="4" w:space="0" w:color="000000"/>
              <w:right w:val="nil"/>
            </w:tcBorders>
            <w:shd w:val="clear" w:color="auto" w:fill="FFFFFF"/>
            <w:vAlign w:val="bottom"/>
            <w:hideMark/>
          </w:tcPr>
          <w:p w14:paraId="3CF3311D" w14:textId="77777777" w:rsidR="00587CF0" w:rsidRPr="006645DC" w:rsidRDefault="00587CF0">
            <w:pPr>
              <w:suppressAutoHyphens/>
              <w:spacing w:before="0" w:after="0" w:line="276" w:lineRule="auto"/>
              <w:rPr>
                <w:rFonts w:eastAsia="Arial" w:cs="Calibri"/>
                <w:kern w:val="2"/>
                <w:lang w:val="en-GB"/>
              </w:rPr>
            </w:pPr>
            <w:r w:rsidRPr="006645DC">
              <w:rPr>
                <w:lang w:val="en-GB"/>
              </w:rPr>
              <w:t>Trains</w:t>
            </w:r>
          </w:p>
        </w:tc>
        <w:tc>
          <w:tcPr>
            <w:tcW w:w="1061" w:type="dxa"/>
            <w:tcBorders>
              <w:top w:val="single" w:sz="4" w:space="0" w:color="000000"/>
              <w:left w:val="single" w:sz="4" w:space="0" w:color="000000"/>
              <w:bottom w:val="single" w:sz="4" w:space="0" w:color="000000"/>
              <w:right w:val="nil"/>
            </w:tcBorders>
            <w:shd w:val="clear" w:color="auto" w:fill="FFFFFF"/>
            <w:vAlign w:val="center"/>
            <w:hideMark/>
          </w:tcPr>
          <w:p w14:paraId="58B00CB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4,4</w:t>
            </w:r>
          </w:p>
        </w:tc>
        <w:tc>
          <w:tcPr>
            <w:tcW w:w="1060" w:type="dxa"/>
            <w:tcBorders>
              <w:top w:val="single" w:sz="4" w:space="0" w:color="000000"/>
              <w:left w:val="single" w:sz="4" w:space="0" w:color="000000"/>
              <w:bottom w:val="single" w:sz="4" w:space="0" w:color="000000"/>
              <w:right w:val="nil"/>
            </w:tcBorders>
            <w:shd w:val="clear" w:color="auto" w:fill="FFFFFF"/>
            <w:vAlign w:val="center"/>
            <w:hideMark/>
          </w:tcPr>
          <w:p w14:paraId="74E4808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4</w:t>
            </w:r>
          </w:p>
        </w:tc>
        <w:tc>
          <w:tcPr>
            <w:tcW w:w="106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D238FC9"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3,7</w:t>
            </w:r>
          </w:p>
        </w:tc>
        <w:tc>
          <w:tcPr>
            <w:tcW w:w="1060" w:type="dxa"/>
            <w:tcBorders>
              <w:top w:val="single" w:sz="4" w:space="0" w:color="000000"/>
              <w:left w:val="single" w:sz="4" w:space="0" w:color="000000"/>
              <w:bottom w:val="single" w:sz="4" w:space="0" w:color="000000"/>
              <w:right w:val="single" w:sz="4" w:space="0" w:color="000000"/>
            </w:tcBorders>
            <w:hideMark/>
          </w:tcPr>
          <w:p w14:paraId="584FFCA4"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3,6</w:t>
            </w:r>
          </w:p>
        </w:tc>
        <w:tc>
          <w:tcPr>
            <w:tcW w:w="1059" w:type="dxa"/>
            <w:tcBorders>
              <w:top w:val="single" w:sz="4" w:space="0" w:color="000000"/>
              <w:left w:val="single" w:sz="4" w:space="0" w:color="000000"/>
              <w:bottom w:val="single" w:sz="4" w:space="0" w:color="000000"/>
              <w:right w:val="single" w:sz="4" w:space="0" w:color="000000"/>
            </w:tcBorders>
            <w:hideMark/>
          </w:tcPr>
          <w:p w14:paraId="0F9C0BB4"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3,5</w:t>
            </w:r>
          </w:p>
        </w:tc>
      </w:tr>
      <w:tr w:rsidR="00587CF0" w:rsidRPr="006645DC" w14:paraId="05BEF20A" w14:textId="77777777" w:rsidTr="00587CF0">
        <w:trPr>
          <w:trHeight w:val="255"/>
          <w:jc w:val="center"/>
        </w:trPr>
        <w:tc>
          <w:tcPr>
            <w:tcW w:w="3692" w:type="dxa"/>
            <w:tcBorders>
              <w:top w:val="single" w:sz="4" w:space="0" w:color="000000"/>
              <w:left w:val="single" w:sz="4" w:space="0" w:color="000000"/>
              <w:bottom w:val="single" w:sz="4" w:space="0" w:color="000000"/>
              <w:right w:val="nil"/>
            </w:tcBorders>
            <w:vAlign w:val="center"/>
            <w:hideMark/>
          </w:tcPr>
          <w:p w14:paraId="07614E36" w14:textId="77777777" w:rsidR="00587CF0" w:rsidRPr="006645DC" w:rsidRDefault="00587CF0">
            <w:pPr>
              <w:suppressAutoHyphens/>
              <w:spacing w:before="0" w:after="0" w:line="276" w:lineRule="auto"/>
              <w:rPr>
                <w:rFonts w:eastAsia="Arial" w:cs="Calibri"/>
                <w:kern w:val="2"/>
                <w:lang w:val="en-GB"/>
              </w:rPr>
            </w:pPr>
            <w:r w:rsidRPr="006645DC">
              <w:rPr>
                <w:lang w:val="en-GB"/>
              </w:rPr>
              <w:t>Passenger cars</w:t>
            </w:r>
          </w:p>
        </w:tc>
        <w:tc>
          <w:tcPr>
            <w:tcW w:w="1061" w:type="dxa"/>
            <w:tcBorders>
              <w:top w:val="single" w:sz="4" w:space="0" w:color="000000"/>
              <w:left w:val="single" w:sz="4" w:space="0" w:color="000000"/>
              <w:bottom w:val="single" w:sz="4" w:space="0" w:color="000000"/>
              <w:right w:val="nil"/>
            </w:tcBorders>
            <w:vAlign w:val="center"/>
            <w:hideMark/>
          </w:tcPr>
          <w:p w14:paraId="3B02243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73,8</w:t>
            </w:r>
          </w:p>
        </w:tc>
        <w:tc>
          <w:tcPr>
            <w:tcW w:w="1060" w:type="dxa"/>
            <w:tcBorders>
              <w:top w:val="single" w:sz="4" w:space="0" w:color="000000"/>
              <w:left w:val="single" w:sz="4" w:space="0" w:color="000000"/>
              <w:bottom w:val="single" w:sz="4" w:space="0" w:color="000000"/>
              <w:right w:val="nil"/>
            </w:tcBorders>
            <w:vAlign w:val="center"/>
            <w:hideMark/>
          </w:tcPr>
          <w:p w14:paraId="5C3521F5"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75,1</w:t>
            </w:r>
          </w:p>
        </w:tc>
        <w:tc>
          <w:tcPr>
            <w:tcW w:w="1061" w:type="dxa"/>
            <w:tcBorders>
              <w:top w:val="single" w:sz="4" w:space="0" w:color="000000"/>
              <w:left w:val="single" w:sz="4" w:space="0" w:color="000000"/>
              <w:bottom w:val="single" w:sz="4" w:space="0" w:color="000000"/>
              <w:right w:val="single" w:sz="4" w:space="0" w:color="000000"/>
            </w:tcBorders>
            <w:vAlign w:val="center"/>
            <w:hideMark/>
          </w:tcPr>
          <w:p w14:paraId="7D64A01F"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79,5</w:t>
            </w:r>
          </w:p>
        </w:tc>
        <w:tc>
          <w:tcPr>
            <w:tcW w:w="1060" w:type="dxa"/>
            <w:tcBorders>
              <w:top w:val="single" w:sz="4" w:space="0" w:color="000000"/>
              <w:left w:val="single" w:sz="4" w:space="0" w:color="000000"/>
              <w:bottom w:val="single" w:sz="4" w:space="0" w:color="000000"/>
              <w:right w:val="single" w:sz="4" w:space="0" w:color="000000"/>
            </w:tcBorders>
            <w:hideMark/>
          </w:tcPr>
          <w:p w14:paraId="185FC99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80</w:t>
            </w:r>
          </w:p>
        </w:tc>
        <w:tc>
          <w:tcPr>
            <w:tcW w:w="1059" w:type="dxa"/>
            <w:tcBorders>
              <w:top w:val="single" w:sz="4" w:space="0" w:color="000000"/>
              <w:left w:val="single" w:sz="4" w:space="0" w:color="000000"/>
              <w:bottom w:val="single" w:sz="4" w:space="0" w:color="000000"/>
              <w:right w:val="single" w:sz="4" w:space="0" w:color="000000"/>
            </w:tcBorders>
            <w:hideMark/>
          </w:tcPr>
          <w:p w14:paraId="2DC550F1"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80,6</w:t>
            </w:r>
          </w:p>
        </w:tc>
      </w:tr>
      <w:tr w:rsidR="00587CF0" w:rsidRPr="006645DC" w14:paraId="6B702186" w14:textId="77777777" w:rsidTr="00587CF0">
        <w:trPr>
          <w:trHeight w:val="255"/>
          <w:jc w:val="center"/>
        </w:trPr>
        <w:tc>
          <w:tcPr>
            <w:tcW w:w="3692" w:type="dxa"/>
            <w:tcBorders>
              <w:top w:val="single" w:sz="4" w:space="0" w:color="000000"/>
              <w:left w:val="single" w:sz="4" w:space="0" w:color="000000"/>
              <w:bottom w:val="single" w:sz="4" w:space="0" w:color="000000"/>
              <w:right w:val="nil"/>
            </w:tcBorders>
            <w:vAlign w:val="center"/>
            <w:hideMark/>
          </w:tcPr>
          <w:p w14:paraId="09581DDD" w14:textId="77777777" w:rsidR="00587CF0" w:rsidRPr="006645DC" w:rsidRDefault="00587CF0">
            <w:pPr>
              <w:suppressAutoHyphens/>
              <w:spacing w:before="0" w:after="0" w:line="276" w:lineRule="auto"/>
              <w:rPr>
                <w:rFonts w:eastAsia="Arial" w:cs="Calibri"/>
                <w:kern w:val="2"/>
                <w:lang w:val="en-GB"/>
              </w:rPr>
            </w:pPr>
            <w:r w:rsidRPr="006645DC">
              <w:rPr>
                <w:lang w:val="en-GB"/>
              </w:rPr>
              <w:t>Motor coaches buses and trolley buses</w:t>
            </w:r>
          </w:p>
        </w:tc>
        <w:tc>
          <w:tcPr>
            <w:tcW w:w="1061" w:type="dxa"/>
            <w:tcBorders>
              <w:top w:val="single" w:sz="4" w:space="0" w:color="000000"/>
              <w:left w:val="single" w:sz="4" w:space="0" w:color="000000"/>
              <w:bottom w:val="single" w:sz="4" w:space="0" w:color="000000"/>
              <w:right w:val="nil"/>
            </w:tcBorders>
            <w:vAlign w:val="center"/>
            <w:hideMark/>
          </w:tcPr>
          <w:p w14:paraId="147E4B8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21,8</w:t>
            </w:r>
          </w:p>
        </w:tc>
        <w:tc>
          <w:tcPr>
            <w:tcW w:w="1060" w:type="dxa"/>
            <w:tcBorders>
              <w:top w:val="single" w:sz="4" w:space="0" w:color="000000"/>
              <w:left w:val="single" w:sz="4" w:space="0" w:color="000000"/>
              <w:bottom w:val="single" w:sz="4" w:space="0" w:color="000000"/>
              <w:right w:val="nil"/>
            </w:tcBorders>
            <w:vAlign w:val="center"/>
            <w:hideMark/>
          </w:tcPr>
          <w:p w14:paraId="4C2536C4"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20,8</w:t>
            </w:r>
          </w:p>
        </w:tc>
        <w:tc>
          <w:tcPr>
            <w:tcW w:w="1061" w:type="dxa"/>
            <w:tcBorders>
              <w:top w:val="single" w:sz="4" w:space="0" w:color="000000"/>
              <w:left w:val="single" w:sz="4" w:space="0" w:color="000000"/>
              <w:bottom w:val="single" w:sz="4" w:space="0" w:color="000000"/>
              <w:right w:val="single" w:sz="4" w:space="0" w:color="000000"/>
            </w:tcBorders>
            <w:vAlign w:val="center"/>
            <w:hideMark/>
          </w:tcPr>
          <w:p w14:paraId="4AB2CF2D"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16,8</w:t>
            </w:r>
          </w:p>
        </w:tc>
        <w:tc>
          <w:tcPr>
            <w:tcW w:w="1060" w:type="dxa"/>
            <w:tcBorders>
              <w:top w:val="single" w:sz="4" w:space="0" w:color="000000"/>
              <w:left w:val="single" w:sz="4" w:space="0" w:color="000000"/>
              <w:bottom w:val="single" w:sz="4" w:space="0" w:color="000000"/>
              <w:right w:val="single" w:sz="4" w:space="0" w:color="000000"/>
            </w:tcBorders>
            <w:vAlign w:val="center"/>
            <w:hideMark/>
          </w:tcPr>
          <w:p w14:paraId="48C2C03F"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16,4</w:t>
            </w:r>
          </w:p>
        </w:tc>
        <w:tc>
          <w:tcPr>
            <w:tcW w:w="1059" w:type="dxa"/>
            <w:tcBorders>
              <w:top w:val="single" w:sz="4" w:space="0" w:color="000000"/>
              <w:left w:val="single" w:sz="4" w:space="0" w:color="000000"/>
              <w:bottom w:val="single" w:sz="4" w:space="0" w:color="000000"/>
              <w:right w:val="single" w:sz="4" w:space="0" w:color="000000"/>
            </w:tcBorders>
            <w:vAlign w:val="center"/>
            <w:hideMark/>
          </w:tcPr>
          <w:p w14:paraId="725614FD"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15,9</w:t>
            </w:r>
          </w:p>
        </w:tc>
      </w:tr>
    </w:tbl>
    <w:p w14:paraId="47C2F602" w14:textId="77777777" w:rsidR="00587CF0" w:rsidRPr="006645DC" w:rsidRDefault="00587CF0" w:rsidP="00587CF0">
      <w:pPr>
        <w:pStyle w:val="Lgende1"/>
        <w:rPr>
          <w:kern w:val="2"/>
          <w:lang w:val="en-GB"/>
        </w:rPr>
      </w:pPr>
      <w:bookmarkStart w:id="134" w:name="_Toc391150102"/>
      <w:r w:rsidRPr="006645DC">
        <w:rPr>
          <w:lang w:val="en-GB"/>
        </w:rPr>
        <w:t xml:space="preserve">Table </w:t>
      </w:r>
      <w:r w:rsidR="005979EB" w:rsidRPr="006645DC">
        <w:rPr>
          <w:lang w:val="en-GB"/>
        </w:rPr>
        <w:fldChar w:fldCharType="begin"/>
      </w:r>
      <w:r w:rsidRPr="006645DC">
        <w:rPr>
          <w:lang w:val="en-GB"/>
        </w:rPr>
        <w:instrText xml:space="preserve"> SEQ "Table" \*Arabic </w:instrText>
      </w:r>
      <w:r w:rsidR="005979EB" w:rsidRPr="006645DC">
        <w:rPr>
          <w:lang w:val="en-GB"/>
        </w:rPr>
        <w:fldChar w:fldCharType="separate"/>
      </w:r>
      <w:r w:rsidR="00523DE6">
        <w:rPr>
          <w:noProof/>
          <w:lang w:val="en-GB"/>
        </w:rPr>
        <w:t>5</w:t>
      </w:r>
      <w:r w:rsidR="005979EB" w:rsidRPr="006645DC">
        <w:rPr>
          <w:lang w:val="en-GB"/>
        </w:rPr>
        <w:fldChar w:fldCharType="end"/>
      </w:r>
      <w:r w:rsidRPr="006645DC">
        <w:rPr>
          <w:lang w:val="en-GB"/>
        </w:rPr>
        <w:t xml:space="preserve"> - Modal split of passenger transport</w:t>
      </w:r>
      <w:r w:rsidRPr="006645DC">
        <w:rPr>
          <w:rStyle w:val="FootnoteReference"/>
          <w:lang w:val="en-GB"/>
        </w:rPr>
        <w:footnoteReference w:id="16"/>
      </w:r>
      <w:r w:rsidRPr="006645DC">
        <w:rPr>
          <w:lang w:val="en-GB"/>
        </w:rPr>
        <w:t>, (% in total inland passenger-km)</w:t>
      </w:r>
      <w:bookmarkEnd w:id="134"/>
      <w:r w:rsidRPr="006645DC">
        <w:rPr>
          <w:lang w:val="en-GB"/>
        </w:rPr>
        <w:t xml:space="preserve"> </w:t>
      </w:r>
    </w:p>
    <w:p w14:paraId="1D648CF6" w14:textId="77777777" w:rsidR="00587CF0" w:rsidRPr="006645DC" w:rsidRDefault="00587CF0" w:rsidP="00587CF0">
      <w:pPr>
        <w:pStyle w:val="Heading4"/>
        <w:rPr>
          <w:lang w:val="en-GB"/>
        </w:rPr>
      </w:pPr>
      <w:r w:rsidRPr="006645DC">
        <w:rPr>
          <w:lang w:val="en-GB"/>
        </w:rPr>
        <w:t>source: Eurostat</w:t>
      </w:r>
    </w:p>
    <w:p w14:paraId="358071DD" w14:textId="77777777" w:rsidR="00587CF0" w:rsidRPr="006645DC" w:rsidRDefault="00587CF0" w:rsidP="00587CF0">
      <w:pPr>
        <w:rPr>
          <w:lang w:val="en-GB"/>
        </w:rPr>
      </w:pPr>
      <w:r w:rsidRPr="006645DC">
        <w:rPr>
          <w:lang w:val="en-GB"/>
        </w:rPr>
        <w:t xml:space="preserve">Both in Bulgaria and in Romania the most commonly used means of transport were passenger cars. This mode of transport is increasing in Bulgaria and stable in Romania. The share of trains in modal split clearly decreased both in Romania and Bulgaria. </w:t>
      </w:r>
    </w:p>
    <w:tbl>
      <w:tblPr>
        <w:tblW w:w="0" w:type="auto"/>
        <w:jc w:val="center"/>
        <w:tblLayout w:type="fixed"/>
        <w:tblLook w:val="04A0" w:firstRow="1" w:lastRow="0" w:firstColumn="1" w:lastColumn="0" w:noHBand="0" w:noVBand="1"/>
      </w:tblPr>
      <w:tblGrid>
        <w:gridCol w:w="1938"/>
        <w:gridCol w:w="1060"/>
        <w:gridCol w:w="1060"/>
        <w:gridCol w:w="1060"/>
        <w:gridCol w:w="1060"/>
        <w:gridCol w:w="1061"/>
      </w:tblGrid>
      <w:tr w:rsidR="00587CF0" w:rsidRPr="006645DC" w14:paraId="0B7C14FF" w14:textId="77777777" w:rsidTr="00587CF0">
        <w:trPr>
          <w:trHeight w:val="300"/>
          <w:jc w:val="center"/>
        </w:trPr>
        <w:tc>
          <w:tcPr>
            <w:tcW w:w="1938" w:type="dxa"/>
            <w:tcBorders>
              <w:top w:val="single" w:sz="4" w:space="0" w:color="000000"/>
              <w:left w:val="single" w:sz="4" w:space="0" w:color="000000"/>
              <w:bottom w:val="single" w:sz="4" w:space="0" w:color="000000"/>
              <w:right w:val="nil"/>
            </w:tcBorders>
            <w:shd w:val="clear" w:color="auto" w:fill="FFFFFF"/>
            <w:vAlign w:val="bottom"/>
            <w:hideMark/>
          </w:tcPr>
          <w:p w14:paraId="1B9D037A" w14:textId="77777777" w:rsidR="00587CF0" w:rsidRPr="006645DC" w:rsidRDefault="00587CF0">
            <w:pPr>
              <w:suppressAutoHyphens/>
              <w:spacing w:before="0" w:after="0" w:line="276" w:lineRule="auto"/>
              <w:rPr>
                <w:rFonts w:eastAsia="Arial" w:cs="Calibri"/>
                <w:b/>
                <w:kern w:val="2"/>
                <w:lang w:val="en-GB"/>
              </w:rPr>
            </w:pPr>
            <w:r w:rsidRPr="006645DC">
              <w:rPr>
                <w:b/>
                <w:lang w:val="en-GB"/>
              </w:rPr>
              <w:t>Romania</w:t>
            </w:r>
          </w:p>
        </w:tc>
        <w:tc>
          <w:tcPr>
            <w:tcW w:w="1060" w:type="dxa"/>
            <w:tcBorders>
              <w:top w:val="single" w:sz="4" w:space="0" w:color="000000"/>
              <w:left w:val="single" w:sz="4" w:space="0" w:color="000000"/>
              <w:bottom w:val="single" w:sz="4" w:space="0" w:color="000000"/>
              <w:right w:val="nil"/>
            </w:tcBorders>
            <w:shd w:val="clear" w:color="auto" w:fill="FFFFFF"/>
            <w:vAlign w:val="center"/>
            <w:hideMark/>
          </w:tcPr>
          <w:p w14:paraId="719B3124"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2007</w:t>
            </w:r>
          </w:p>
        </w:tc>
        <w:tc>
          <w:tcPr>
            <w:tcW w:w="1060" w:type="dxa"/>
            <w:tcBorders>
              <w:top w:val="single" w:sz="4" w:space="0" w:color="000000"/>
              <w:left w:val="single" w:sz="4" w:space="0" w:color="000000"/>
              <w:bottom w:val="single" w:sz="4" w:space="0" w:color="000000"/>
              <w:right w:val="nil"/>
            </w:tcBorders>
            <w:shd w:val="clear" w:color="auto" w:fill="FFFFFF"/>
            <w:vAlign w:val="center"/>
            <w:hideMark/>
          </w:tcPr>
          <w:p w14:paraId="69B91967"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2008</w:t>
            </w:r>
          </w:p>
        </w:tc>
        <w:tc>
          <w:tcPr>
            <w:tcW w:w="10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D1070D6"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2009</w:t>
            </w:r>
          </w:p>
        </w:tc>
        <w:tc>
          <w:tcPr>
            <w:tcW w:w="1060" w:type="dxa"/>
            <w:tcBorders>
              <w:top w:val="single" w:sz="4" w:space="0" w:color="000000"/>
              <w:left w:val="single" w:sz="4" w:space="0" w:color="000000"/>
              <w:bottom w:val="single" w:sz="4" w:space="0" w:color="000000"/>
              <w:right w:val="single" w:sz="4" w:space="0" w:color="000000"/>
            </w:tcBorders>
            <w:hideMark/>
          </w:tcPr>
          <w:p w14:paraId="7AC5BB93"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2010</w:t>
            </w:r>
          </w:p>
        </w:tc>
        <w:tc>
          <w:tcPr>
            <w:tcW w:w="1061" w:type="dxa"/>
            <w:tcBorders>
              <w:top w:val="single" w:sz="4" w:space="0" w:color="000000"/>
              <w:left w:val="single" w:sz="4" w:space="0" w:color="000000"/>
              <w:bottom w:val="single" w:sz="4" w:space="0" w:color="000000"/>
              <w:right w:val="single" w:sz="4" w:space="0" w:color="000000"/>
            </w:tcBorders>
            <w:hideMark/>
          </w:tcPr>
          <w:p w14:paraId="0EB9DDBB" w14:textId="77777777" w:rsidR="00587CF0" w:rsidRPr="006645DC" w:rsidRDefault="00587CF0">
            <w:pPr>
              <w:suppressAutoHyphens/>
              <w:spacing w:before="0" w:after="0" w:line="100" w:lineRule="atLeast"/>
              <w:jc w:val="center"/>
              <w:rPr>
                <w:rFonts w:eastAsia="Arial" w:cs="Calibri"/>
                <w:kern w:val="2"/>
                <w:lang w:val="en-GB"/>
              </w:rPr>
            </w:pPr>
            <w:r w:rsidRPr="006645DC">
              <w:rPr>
                <w:b/>
                <w:lang w:val="en-GB"/>
              </w:rPr>
              <w:t>2011</w:t>
            </w:r>
          </w:p>
        </w:tc>
      </w:tr>
      <w:tr w:rsidR="00587CF0" w:rsidRPr="006645DC" w14:paraId="4C8A4BF3" w14:textId="77777777" w:rsidTr="00587CF0">
        <w:trPr>
          <w:trHeight w:val="300"/>
          <w:jc w:val="center"/>
        </w:trPr>
        <w:tc>
          <w:tcPr>
            <w:tcW w:w="1938" w:type="dxa"/>
            <w:tcBorders>
              <w:top w:val="single" w:sz="4" w:space="0" w:color="000000"/>
              <w:left w:val="single" w:sz="4" w:space="0" w:color="000000"/>
              <w:bottom w:val="single" w:sz="4" w:space="0" w:color="000000"/>
              <w:right w:val="nil"/>
            </w:tcBorders>
            <w:vAlign w:val="center"/>
            <w:hideMark/>
          </w:tcPr>
          <w:p w14:paraId="323E27BF" w14:textId="77777777" w:rsidR="00587CF0" w:rsidRPr="006645DC" w:rsidRDefault="00587CF0">
            <w:pPr>
              <w:suppressAutoHyphens/>
              <w:spacing w:before="0" w:after="0" w:line="276" w:lineRule="auto"/>
              <w:rPr>
                <w:rFonts w:eastAsia="Arial" w:cs="Calibri"/>
                <w:kern w:val="2"/>
                <w:lang w:val="en-GB"/>
              </w:rPr>
            </w:pPr>
            <w:r w:rsidRPr="006645DC">
              <w:rPr>
                <w:lang w:val="en-GB"/>
              </w:rPr>
              <w:t>Railways</w:t>
            </w:r>
          </w:p>
        </w:tc>
        <w:tc>
          <w:tcPr>
            <w:tcW w:w="1060" w:type="dxa"/>
            <w:tcBorders>
              <w:top w:val="single" w:sz="4" w:space="0" w:color="000000"/>
              <w:left w:val="single" w:sz="4" w:space="0" w:color="000000"/>
              <w:bottom w:val="single" w:sz="4" w:space="0" w:color="000000"/>
              <w:right w:val="nil"/>
            </w:tcBorders>
            <w:vAlign w:val="center"/>
            <w:hideMark/>
          </w:tcPr>
          <w:p w14:paraId="15878B34"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18,9</w:t>
            </w:r>
          </w:p>
        </w:tc>
        <w:tc>
          <w:tcPr>
            <w:tcW w:w="1060" w:type="dxa"/>
            <w:tcBorders>
              <w:top w:val="single" w:sz="4" w:space="0" w:color="000000"/>
              <w:left w:val="single" w:sz="4" w:space="0" w:color="000000"/>
              <w:bottom w:val="single" w:sz="4" w:space="0" w:color="000000"/>
              <w:right w:val="nil"/>
            </w:tcBorders>
            <w:vAlign w:val="center"/>
            <w:hideMark/>
          </w:tcPr>
          <w:p w14:paraId="0BF401F1"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19</w:t>
            </w:r>
          </w:p>
        </w:tc>
        <w:tc>
          <w:tcPr>
            <w:tcW w:w="1060" w:type="dxa"/>
            <w:tcBorders>
              <w:top w:val="single" w:sz="4" w:space="0" w:color="000000"/>
              <w:left w:val="single" w:sz="4" w:space="0" w:color="000000"/>
              <w:bottom w:val="single" w:sz="4" w:space="0" w:color="000000"/>
              <w:right w:val="single" w:sz="4" w:space="0" w:color="000000"/>
            </w:tcBorders>
            <w:vAlign w:val="center"/>
            <w:hideMark/>
          </w:tcPr>
          <w:p w14:paraId="2AFB28EF"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19,4</w:t>
            </w:r>
          </w:p>
        </w:tc>
        <w:tc>
          <w:tcPr>
            <w:tcW w:w="1060" w:type="dxa"/>
            <w:tcBorders>
              <w:top w:val="single" w:sz="4" w:space="0" w:color="000000"/>
              <w:left w:val="single" w:sz="4" w:space="0" w:color="000000"/>
              <w:bottom w:val="single" w:sz="4" w:space="0" w:color="000000"/>
              <w:right w:val="single" w:sz="4" w:space="0" w:color="000000"/>
            </w:tcBorders>
            <w:hideMark/>
          </w:tcPr>
          <w:p w14:paraId="005E1D03"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23,5</w:t>
            </w:r>
          </w:p>
        </w:tc>
        <w:tc>
          <w:tcPr>
            <w:tcW w:w="1061" w:type="dxa"/>
            <w:tcBorders>
              <w:top w:val="single" w:sz="4" w:space="0" w:color="000000"/>
              <w:left w:val="single" w:sz="4" w:space="0" w:color="000000"/>
              <w:bottom w:val="single" w:sz="4" w:space="0" w:color="000000"/>
              <w:right w:val="single" w:sz="4" w:space="0" w:color="000000"/>
            </w:tcBorders>
            <w:hideMark/>
          </w:tcPr>
          <w:p w14:paraId="358BBAC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28</w:t>
            </w:r>
          </w:p>
        </w:tc>
      </w:tr>
      <w:tr w:rsidR="00587CF0" w:rsidRPr="006645DC" w14:paraId="2442B2C7" w14:textId="77777777" w:rsidTr="00587CF0">
        <w:trPr>
          <w:trHeight w:val="300"/>
          <w:jc w:val="center"/>
        </w:trPr>
        <w:tc>
          <w:tcPr>
            <w:tcW w:w="1938" w:type="dxa"/>
            <w:tcBorders>
              <w:top w:val="single" w:sz="4" w:space="0" w:color="000000"/>
              <w:left w:val="single" w:sz="4" w:space="0" w:color="000000"/>
              <w:bottom w:val="single" w:sz="4" w:space="0" w:color="000000"/>
              <w:right w:val="nil"/>
            </w:tcBorders>
            <w:vAlign w:val="center"/>
            <w:hideMark/>
          </w:tcPr>
          <w:p w14:paraId="70908CB4" w14:textId="77777777" w:rsidR="00587CF0" w:rsidRPr="006645DC" w:rsidRDefault="00587CF0">
            <w:pPr>
              <w:suppressAutoHyphens/>
              <w:spacing w:before="0" w:after="0" w:line="276" w:lineRule="auto"/>
              <w:rPr>
                <w:rFonts w:eastAsia="Arial" w:cs="Calibri"/>
                <w:kern w:val="2"/>
                <w:lang w:val="en-GB"/>
              </w:rPr>
            </w:pPr>
            <w:r w:rsidRPr="006645DC">
              <w:rPr>
                <w:lang w:val="en-GB"/>
              </w:rPr>
              <w:t>Roads</w:t>
            </w:r>
          </w:p>
        </w:tc>
        <w:tc>
          <w:tcPr>
            <w:tcW w:w="1060" w:type="dxa"/>
            <w:tcBorders>
              <w:top w:val="single" w:sz="4" w:space="0" w:color="000000"/>
              <w:left w:val="single" w:sz="4" w:space="0" w:color="000000"/>
              <w:bottom w:val="single" w:sz="4" w:space="0" w:color="000000"/>
              <w:right w:val="nil"/>
            </w:tcBorders>
            <w:vAlign w:val="center"/>
            <w:hideMark/>
          </w:tcPr>
          <w:p w14:paraId="7472D704"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71,3</w:t>
            </w:r>
          </w:p>
        </w:tc>
        <w:tc>
          <w:tcPr>
            <w:tcW w:w="1060" w:type="dxa"/>
            <w:tcBorders>
              <w:top w:val="single" w:sz="4" w:space="0" w:color="000000"/>
              <w:left w:val="single" w:sz="4" w:space="0" w:color="000000"/>
              <w:bottom w:val="single" w:sz="4" w:space="0" w:color="000000"/>
              <w:right w:val="nil"/>
            </w:tcBorders>
            <w:vAlign w:val="center"/>
            <w:hideMark/>
          </w:tcPr>
          <w:p w14:paraId="74AF9795"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70,2</w:t>
            </w:r>
          </w:p>
        </w:tc>
        <w:tc>
          <w:tcPr>
            <w:tcW w:w="1060" w:type="dxa"/>
            <w:tcBorders>
              <w:top w:val="single" w:sz="4" w:space="0" w:color="000000"/>
              <w:left w:val="single" w:sz="4" w:space="0" w:color="000000"/>
              <w:bottom w:val="single" w:sz="4" w:space="0" w:color="000000"/>
              <w:right w:val="single" w:sz="4" w:space="0" w:color="000000"/>
            </w:tcBorders>
            <w:vAlign w:val="center"/>
            <w:hideMark/>
          </w:tcPr>
          <w:p w14:paraId="0F5714F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60</w:t>
            </w:r>
          </w:p>
        </w:tc>
        <w:tc>
          <w:tcPr>
            <w:tcW w:w="1060" w:type="dxa"/>
            <w:tcBorders>
              <w:top w:val="single" w:sz="4" w:space="0" w:color="000000"/>
              <w:left w:val="single" w:sz="4" w:space="0" w:color="000000"/>
              <w:bottom w:val="single" w:sz="4" w:space="0" w:color="000000"/>
              <w:right w:val="single" w:sz="4" w:space="0" w:color="000000"/>
            </w:tcBorders>
            <w:hideMark/>
          </w:tcPr>
          <w:p w14:paraId="1ACBCF27"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49,2</w:t>
            </w:r>
          </w:p>
        </w:tc>
        <w:tc>
          <w:tcPr>
            <w:tcW w:w="1061" w:type="dxa"/>
            <w:tcBorders>
              <w:top w:val="single" w:sz="4" w:space="0" w:color="000000"/>
              <w:left w:val="single" w:sz="4" w:space="0" w:color="000000"/>
              <w:bottom w:val="single" w:sz="4" w:space="0" w:color="000000"/>
              <w:right w:val="single" w:sz="4" w:space="0" w:color="000000"/>
            </w:tcBorders>
            <w:hideMark/>
          </w:tcPr>
          <w:p w14:paraId="17D6BDF9"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50,3</w:t>
            </w:r>
          </w:p>
        </w:tc>
      </w:tr>
      <w:tr w:rsidR="00587CF0" w:rsidRPr="006645DC" w14:paraId="040CCE04" w14:textId="77777777" w:rsidTr="00DB2F2B">
        <w:trPr>
          <w:trHeight w:val="300"/>
          <w:jc w:val="center"/>
        </w:trPr>
        <w:tc>
          <w:tcPr>
            <w:tcW w:w="1938" w:type="dxa"/>
            <w:tcBorders>
              <w:top w:val="single" w:sz="4" w:space="0" w:color="000000"/>
              <w:left w:val="single" w:sz="4" w:space="0" w:color="000000"/>
              <w:bottom w:val="single" w:sz="4" w:space="0" w:color="000000"/>
              <w:right w:val="nil"/>
            </w:tcBorders>
            <w:vAlign w:val="center"/>
            <w:hideMark/>
          </w:tcPr>
          <w:p w14:paraId="2DD15469" w14:textId="77777777" w:rsidR="00587CF0" w:rsidRPr="006645DC" w:rsidRDefault="00587CF0">
            <w:pPr>
              <w:suppressAutoHyphens/>
              <w:spacing w:before="0" w:after="0" w:line="276" w:lineRule="auto"/>
              <w:rPr>
                <w:rFonts w:eastAsia="Arial" w:cs="Calibri"/>
                <w:kern w:val="2"/>
                <w:lang w:val="en-GB"/>
              </w:rPr>
            </w:pPr>
            <w:r w:rsidRPr="006645DC">
              <w:rPr>
                <w:lang w:val="en-GB"/>
              </w:rPr>
              <w:t>Internal waterways</w:t>
            </w:r>
          </w:p>
        </w:tc>
        <w:tc>
          <w:tcPr>
            <w:tcW w:w="1060" w:type="dxa"/>
            <w:tcBorders>
              <w:top w:val="single" w:sz="4" w:space="0" w:color="000000"/>
              <w:left w:val="single" w:sz="4" w:space="0" w:color="000000"/>
              <w:bottom w:val="single" w:sz="4" w:space="0" w:color="000000"/>
              <w:right w:val="nil"/>
            </w:tcBorders>
            <w:vAlign w:val="center"/>
            <w:hideMark/>
          </w:tcPr>
          <w:p w14:paraId="52A00AFF"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9,8</w:t>
            </w:r>
          </w:p>
        </w:tc>
        <w:tc>
          <w:tcPr>
            <w:tcW w:w="1060" w:type="dxa"/>
            <w:tcBorders>
              <w:top w:val="single" w:sz="4" w:space="0" w:color="000000"/>
              <w:left w:val="single" w:sz="4" w:space="0" w:color="000000"/>
              <w:bottom w:val="single" w:sz="4" w:space="0" w:color="000000"/>
              <w:right w:val="nil"/>
            </w:tcBorders>
            <w:vAlign w:val="center"/>
            <w:hideMark/>
          </w:tcPr>
          <w:p w14:paraId="60D2C415"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10,8</w:t>
            </w:r>
          </w:p>
        </w:tc>
        <w:tc>
          <w:tcPr>
            <w:tcW w:w="1060" w:type="dxa"/>
            <w:tcBorders>
              <w:top w:val="single" w:sz="4" w:space="0" w:color="000000"/>
              <w:left w:val="single" w:sz="4" w:space="0" w:color="000000"/>
              <w:bottom w:val="single" w:sz="4" w:space="0" w:color="000000"/>
              <w:right w:val="single" w:sz="4" w:space="0" w:color="000000"/>
            </w:tcBorders>
            <w:vAlign w:val="center"/>
            <w:hideMark/>
          </w:tcPr>
          <w:p w14:paraId="10B9459B"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20,6</w:t>
            </w:r>
          </w:p>
        </w:tc>
        <w:tc>
          <w:tcPr>
            <w:tcW w:w="1060" w:type="dxa"/>
            <w:tcBorders>
              <w:top w:val="single" w:sz="4" w:space="0" w:color="000000"/>
              <w:left w:val="single" w:sz="4" w:space="0" w:color="000000"/>
              <w:bottom w:val="single" w:sz="4" w:space="0" w:color="000000"/>
              <w:right w:val="single" w:sz="4" w:space="0" w:color="000000"/>
            </w:tcBorders>
            <w:vAlign w:val="center"/>
            <w:hideMark/>
          </w:tcPr>
          <w:p w14:paraId="2EAFF4F8" w14:textId="77777777" w:rsidR="00587CF0" w:rsidRPr="006645DC" w:rsidRDefault="00587CF0" w:rsidP="00DB2F2B">
            <w:pPr>
              <w:keepNext/>
              <w:keepLines/>
              <w:suppressAutoHyphens/>
              <w:spacing w:before="0" w:after="0" w:line="100" w:lineRule="atLeast"/>
              <w:ind w:left="757" w:hanging="360"/>
              <w:jc w:val="center"/>
              <w:rPr>
                <w:rFonts w:eastAsia="Arial" w:cs="Calibri"/>
                <w:kern w:val="2"/>
                <w:lang w:val="en-GB"/>
              </w:rPr>
            </w:pPr>
            <w:r w:rsidRPr="006645DC">
              <w:rPr>
                <w:lang w:val="en-GB"/>
              </w:rPr>
              <w:t>27,7</w:t>
            </w:r>
          </w:p>
        </w:tc>
        <w:tc>
          <w:tcPr>
            <w:tcW w:w="1061" w:type="dxa"/>
            <w:tcBorders>
              <w:top w:val="single" w:sz="4" w:space="0" w:color="000000"/>
              <w:left w:val="single" w:sz="4" w:space="0" w:color="000000"/>
              <w:bottom w:val="single" w:sz="4" w:space="0" w:color="000000"/>
              <w:right w:val="single" w:sz="4" w:space="0" w:color="000000"/>
            </w:tcBorders>
            <w:vAlign w:val="center"/>
            <w:hideMark/>
          </w:tcPr>
          <w:p w14:paraId="2F55A7A2" w14:textId="77777777" w:rsidR="00587CF0" w:rsidRPr="006645DC" w:rsidRDefault="00587CF0" w:rsidP="00DB2F2B">
            <w:pPr>
              <w:keepNext/>
              <w:keepLines/>
              <w:suppressAutoHyphens/>
              <w:spacing w:before="0" w:after="0" w:line="100" w:lineRule="atLeast"/>
              <w:ind w:left="757" w:hanging="360"/>
              <w:jc w:val="center"/>
              <w:rPr>
                <w:rFonts w:eastAsia="Arial" w:cs="Calibri"/>
                <w:b/>
                <w:kern w:val="2"/>
                <w:lang w:val="en-GB"/>
              </w:rPr>
            </w:pPr>
            <w:r w:rsidRPr="006645DC">
              <w:rPr>
                <w:lang w:val="en-GB"/>
              </w:rPr>
              <w:t>21,7</w:t>
            </w:r>
          </w:p>
        </w:tc>
      </w:tr>
      <w:tr w:rsidR="00587CF0" w:rsidRPr="006645DC" w14:paraId="46CB4653" w14:textId="77777777" w:rsidTr="00DB2F2B">
        <w:trPr>
          <w:trHeight w:val="270"/>
          <w:jc w:val="center"/>
        </w:trPr>
        <w:tc>
          <w:tcPr>
            <w:tcW w:w="1938" w:type="dxa"/>
            <w:tcBorders>
              <w:top w:val="single" w:sz="4" w:space="0" w:color="000000"/>
              <w:left w:val="single" w:sz="4" w:space="0" w:color="000000"/>
              <w:bottom w:val="single" w:sz="4" w:space="0" w:color="000000"/>
              <w:right w:val="nil"/>
            </w:tcBorders>
            <w:shd w:val="clear" w:color="auto" w:fill="FFFFFF"/>
            <w:vAlign w:val="center"/>
            <w:hideMark/>
          </w:tcPr>
          <w:p w14:paraId="7A4832F6" w14:textId="77777777" w:rsidR="00587CF0" w:rsidRPr="006645DC" w:rsidRDefault="00587CF0">
            <w:pPr>
              <w:suppressAutoHyphens/>
              <w:spacing w:before="0" w:after="0" w:line="276" w:lineRule="auto"/>
              <w:rPr>
                <w:rFonts w:eastAsia="Arial" w:cs="Calibri"/>
                <w:b/>
                <w:kern w:val="2"/>
                <w:lang w:val="en-GB"/>
              </w:rPr>
            </w:pPr>
            <w:r w:rsidRPr="006645DC">
              <w:rPr>
                <w:b/>
                <w:lang w:val="en-GB"/>
              </w:rPr>
              <w:t>Bulgaria</w:t>
            </w:r>
          </w:p>
        </w:tc>
        <w:tc>
          <w:tcPr>
            <w:tcW w:w="1060" w:type="dxa"/>
            <w:tcBorders>
              <w:top w:val="single" w:sz="4" w:space="0" w:color="000000"/>
              <w:left w:val="single" w:sz="4" w:space="0" w:color="000000"/>
              <w:bottom w:val="single" w:sz="4" w:space="0" w:color="000000"/>
              <w:right w:val="nil"/>
            </w:tcBorders>
            <w:shd w:val="clear" w:color="auto" w:fill="FFFFFF"/>
            <w:vAlign w:val="center"/>
            <w:hideMark/>
          </w:tcPr>
          <w:p w14:paraId="3ED7FA75"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2007</w:t>
            </w:r>
          </w:p>
        </w:tc>
        <w:tc>
          <w:tcPr>
            <w:tcW w:w="1060" w:type="dxa"/>
            <w:tcBorders>
              <w:top w:val="single" w:sz="4" w:space="0" w:color="000000"/>
              <w:left w:val="single" w:sz="4" w:space="0" w:color="000000"/>
              <w:bottom w:val="single" w:sz="4" w:space="0" w:color="000000"/>
              <w:right w:val="nil"/>
            </w:tcBorders>
            <w:shd w:val="clear" w:color="auto" w:fill="FFFFFF"/>
            <w:vAlign w:val="center"/>
            <w:hideMark/>
          </w:tcPr>
          <w:p w14:paraId="7EB03457"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2008</w:t>
            </w:r>
          </w:p>
        </w:tc>
        <w:tc>
          <w:tcPr>
            <w:tcW w:w="106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8D4E5A4"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2009</w:t>
            </w:r>
          </w:p>
        </w:tc>
        <w:tc>
          <w:tcPr>
            <w:tcW w:w="1060" w:type="dxa"/>
            <w:tcBorders>
              <w:top w:val="single" w:sz="4" w:space="0" w:color="000000"/>
              <w:left w:val="single" w:sz="4" w:space="0" w:color="000000"/>
              <w:bottom w:val="single" w:sz="4" w:space="0" w:color="000000"/>
              <w:right w:val="single" w:sz="4" w:space="0" w:color="000000"/>
            </w:tcBorders>
            <w:vAlign w:val="center"/>
            <w:hideMark/>
          </w:tcPr>
          <w:p w14:paraId="2A7A9E1E" w14:textId="77777777" w:rsidR="00587CF0" w:rsidRPr="006645DC" w:rsidRDefault="00587CF0" w:rsidP="001753E9">
            <w:pPr>
              <w:suppressAutoHyphens/>
              <w:spacing w:before="0" w:after="0" w:line="100" w:lineRule="atLeast"/>
              <w:jc w:val="center"/>
              <w:rPr>
                <w:rFonts w:eastAsia="Arial" w:cs="Calibri"/>
                <w:b/>
                <w:kern w:val="2"/>
                <w:lang w:val="en-GB"/>
              </w:rPr>
            </w:pPr>
            <w:r w:rsidRPr="006645DC">
              <w:rPr>
                <w:b/>
                <w:lang w:val="en-GB"/>
              </w:rPr>
              <w:t>2011</w:t>
            </w:r>
          </w:p>
        </w:tc>
        <w:tc>
          <w:tcPr>
            <w:tcW w:w="1061" w:type="dxa"/>
            <w:tcBorders>
              <w:top w:val="single" w:sz="4" w:space="0" w:color="000000"/>
              <w:left w:val="single" w:sz="4" w:space="0" w:color="000000"/>
              <w:bottom w:val="single" w:sz="4" w:space="0" w:color="000000"/>
              <w:right w:val="single" w:sz="4" w:space="0" w:color="000000"/>
            </w:tcBorders>
            <w:vAlign w:val="center"/>
            <w:hideMark/>
          </w:tcPr>
          <w:p w14:paraId="3D10C110"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2012</w:t>
            </w:r>
          </w:p>
        </w:tc>
      </w:tr>
      <w:tr w:rsidR="00587CF0" w:rsidRPr="006645DC" w14:paraId="7FA4B02B" w14:textId="77777777" w:rsidTr="00DB2F2B">
        <w:trPr>
          <w:trHeight w:val="255"/>
          <w:jc w:val="center"/>
        </w:trPr>
        <w:tc>
          <w:tcPr>
            <w:tcW w:w="1938" w:type="dxa"/>
            <w:tcBorders>
              <w:top w:val="single" w:sz="4" w:space="0" w:color="000000"/>
              <w:left w:val="single" w:sz="4" w:space="0" w:color="000000"/>
              <w:bottom w:val="single" w:sz="4" w:space="0" w:color="000000"/>
              <w:right w:val="nil"/>
            </w:tcBorders>
            <w:shd w:val="clear" w:color="auto" w:fill="FFFFFF"/>
            <w:vAlign w:val="center"/>
            <w:hideMark/>
          </w:tcPr>
          <w:p w14:paraId="7F55AAE0" w14:textId="77777777" w:rsidR="00587CF0" w:rsidRPr="006645DC" w:rsidRDefault="00587CF0">
            <w:pPr>
              <w:suppressAutoHyphens/>
              <w:spacing w:before="0" w:after="0" w:line="276" w:lineRule="auto"/>
              <w:rPr>
                <w:rFonts w:eastAsia="Arial" w:cs="Calibri"/>
                <w:kern w:val="2"/>
                <w:lang w:val="en-GB"/>
              </w:rPr>
            </w:pPr>
            <w:r w:rsidRPr="006645DC">
              <w:rPr>
                <w:lang w:val="en-GB"/>
              </w:rPr>
              <w:t>Railways</w:t>
            </w:r>
          </w:p>
        </w:tc>
        <w:tc>
          <w:tcPr>
            <w:tcW w:w="1060" w:type="dxa"/>
            <w:tcBorders>
              <w:top w:val="single" w:sz="4" w:space="0" w:color="000000"/>
              <w:left w:val="single" w:sz="4" w:space="0" w:color="000000"/>
              <w:bottom w:val="single" w:sz="4" w:space="0" w:color="000000"/>
              <w:right w:val="nil"/>
            </w:tcBorders>
            <w:shd w:val="clear" w:color="auto" w:fill="FFFFFF"/>
            <w:vAlign w:val="bottom"/>
            <w:hideMark/>
          </w:tcPr>
          <w:p w14:paraId="14895395"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21,1</w:t>
            </w:r>
          </w:p>
        </w:tc>
        <w:tc>
          <w:tcPr>
            <w:tcW w:w="1060" w:type="dxa"/>
            <w:tcBorders>
              <w:top w:val="single" w:sz="4" w:space="0" w:color="000000"/>
              <w:left w:val="single" w:sz="4" w:space="0" w:color="000000"/>
              <w:bottom w:val="single" w:sz="4" w:space="0" w:color="000000"/>
              <w:right w:val="nil"/>
            </w:tcBorders>
            <w:shd w:val="clear" w:color="auto" w:fill="FFFFFF"/>
            <w:vAlign w:val="bottom"/>
            <w:hideMark/>
          </w:tcPr>
          <w:p w14:paraId="73582682"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20,5</w:t>
            </w:r>
          </w:p>
        </w:tc>
        <w:tc>
          <w:tcPr>
            <w:tcW w:w="1060"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14:paraId="17CA4FF3"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11,9</w:t>
            </w:r>
          </w:p>
        </w:tc>
        <w:tc>
          <w:tcPr>
            <w:tcW w:w="1060" w:type="dxa"/>
            <w:tcBorders>
              <w:top w:val="single" w:sz="4" w:space="0" w:color="000000"/>
              <w:left w:val="single" w:sz="4" w:space="0" w:color="000000"/>
              <w:bottom w:val="single" w:sz="4" w:space="0" w:color="000000"/>
              <w:right w:val="single" w:sz="4" w:space="0" w:color="000000"/>
            </w:tcBorders>
            <w:vAlign w:val="center"/>
            <w:hideMark/>
          </w:tcPr>
          <w:p w14:paraId="4769E788" w14:textId="77777777" w:rsidR="00587CF0" w:rsidRPr="006645DC" w:rsidRDefault="00587CF0" w:rsidP="00DB2F2B">
            <w:pPr>
              <w:keepNext/>
              <w:keepLines/>
              <w:suppressAutoHyphens/>
              <w:spacing w:before="0" w:after="0" w:line="100" w:lineRule="atLeast"/>
              <w:ind w:left="757" w:hanging="360"/>
              <w:jc w:val="center"/>
              <w:rPr>
                <w:rFonts w:eastAsia="Arial" w:cs="Calibri"/>
                <w:kern w:val="2"/>
                <w:lang w:val="en-GB"/>
              </w:rPr>
            </w:pPr>
            <w:r w:rsidRPr="006645DC">
              <w:rPr>
                <w:lang w:val="en-GB"/>
              </w:rPr>
              <w:t>10,7</w:t>
            </w:r>
          </w:p>
        </w:tc>
        <w:tc>
          <w:tcPr>
            <w:tcW w:w="1061" w:type="dxa"/>
            <w:tcBorders>
              <w:top w:val="single" w:sz="4" w:space="0" w:color="000000"/>
              <w:left w:val="single" w:sz="4" w:space="0" w:color="000000"/>
              <w:bottom w:val="single" w:sz="4" w:space="0" w:color="000000"/>
              <w:right w:val="single" w:sz="4" w:space="0" w:color="000000"/>
            </w:tcBorders>
            <w:vAlign w:val="center"/>
            <w:hideMark/>
          </w:tcPr>
          <w:p w14:paraId="44E42678" w14:textId="77777777" w:rsidR="00587CF0" w:rsidRPr="006645DC" w:rsidRDefault="00587CF0" w:rsidP="00DB2F2B">
            <w:pPr>
              <w:keepNext/>
              <w:keepLines/>
              <w:suppressAutoHyphens/>
              <w:spacing w:before="0" w:after="0" w:line="100" w:lineRule="atLeast"/>
              <w:ind w:left="757" w:hanging="360"/>
              <w:jc w:val="center"/>
              <w:rPr>
                <w:rFonts w:eastAsia="Arial" w:cs="Calibri"/>
                <w:kern w:val="2"/>
                <w:lang w:val="en-GB"/>
              </w:rPr>
            </w:pPr>
            <w:r w:rsidRPr="006645DC">
              <w:rPr>
                <w:lang w:val="en-GB"/>
              </w:rPr>
              <w:t>11,4</w:t>
            </w:r>
          </w:p>
        </w:tc>
      </w:tr>
      <w:tr w:rsidR="00587CF0" w:rsidRPr="006645DC" w14:paraId="01B6D304" w14:textId="77777777" w:rsidTr="00DB2F2B">
        <w:trPr>
          <w:trHeight w:val="255"/>
          <w:jc w:val="center"/>
        </w:trPr>
        <w:tc>
          <w:tcPr>
            <w:tcW w:w="1938" w:type="dxa"/>
            <w:tcBorders>
              <w:top w:val="single" w:sz="4" w:space="0" w:color="000000"/>
              <w:left w:val="single" w:sz="4" w:space="0" w:color="000000"/>
              <w:bottom w:val="single" w:sz="4" w:space="0" w:color="000000"/>
              <w:right w:val="nil"/>
            </w:tcBorders>
            <w:vAlign w:val="center"/>
            <w:hideMark/>
          </w:tcPr>
          <w:p w14:paraId="6C075502" w14:textId="77777777" w:rsidR="00587CF0" w:rsidRPr="006645DC" w:rsidRDefault="00587CF0">
            <w:pPr>
              <w:suppressAutoHyphens/>
              <w:spacing w:before="0" w:after="0" w:line="276" w:lineRule="auto"/>
              <w:rPr>
                <w:rFonts w:eastAsia="Arial" w:cs="Calibri"/>
                <w:kern w:val="2"/>
                <w:lang w:val="en-GB"/>
              </w:rPr>
            </w:pPr>
            <w:r w:rsidRPr="006645DC">
              <w:rPr>
                <w:lang w:val="en-GB"/>
              </w:rPr>
              <w:t>Roads</w:t>
            </w:r>
          </w:p>
        </w:tc>
        <w:tc>
          <w:tcPr>
            <w:tcW w:w="1060" w:type="dxa"/>
            <w:tcBorders>
              <w:top w:val="single" w:sz="4" w:space="0" w:color="000000"/>
              <w:left w:val="single" w:sz="4" w:space="0" w:color="000000"/>
              <w:bottom w:val="single" w:sz="4" w:space="0" w:color="000000"/>
              <w:right w:val="nil"/>
            </w:tcBorders>
            <w:vAlign w:val="bottom"/>
            <w:hideMark/>
          </w:tcPr>
          <w:p w14:paraId="70552370"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70,1</w:t>
            </w:r>
          </w:p>
        </w:tc>
        <w:tc>
          <w:tcPr>
            <w:tcW w:w="1060" w:type="dxa"/>
            <w:tcBorders>
              <w:top w:val="single" w:sz="4" w:space="0" w:color="000000"/>
              <w:left w:val="single" w:sz="4" w:space="0" w:color="000000"/>
              <w:bottom w:val="single" w:sz="4" w:space="0" w:color="000000"/>
              <w:right w:val="nil"/>
            </w:tcBorders>
            <w:vAlign w:val="bottom"/>
            <w:hideMark/>
          </w:tcPr>
          <w:p w14:paraId="0D3D6751"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66,9</w:t>
            </w:r>
          </w:p>
        </w:tc>
        <w:tc>
          <w:tcPr>
            <w:tcW w:w="1060" w:type="dxa"/>
            <w:tcBorders>
              <w:top w:val="single" w:sz="4" w:space="0" w:color="000000"/>
              <w:left w:val="single" w:sz="4" w:space="0" w:color="000000"/>
              <w:bottom w:val="single" w:sz="4" w:space="0" w:color="000000"/>
              <w:right w:val="single" w:sz="4" w:space="0" w:color="000000"/>
            </w:tcBorders>
            <w:vAlign w:val="bottom"/>
            <w:hideMark/>
          </w:tcPr>
          <w:p w14:paraId="07B149FF"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67,4</w:t>
            </w:r>
          </w:p>
        </w:tc>
        <w:tc>
          <w:tcPr>
            <w:tcW w:w="1060" w:type="dxa"/>
            <w:tcBorders>
              <w:top w:val="single" w:sz="4" w:space="0" w:color="000000"/>
              <w:left w:val="single" w:sz="4" w:space="0" w:color="000000"/>
              <w:bottom w:val="single" w:sz="4" w:space="0" w:color="000000"/>
              <w:right w:val="single" w:sz="4" w:space="0" w:color="000000"/>
            </w:tcBorders>
            <w:vAlign w:val="center"/>
            <w:hideMark/>
          </w:tcPr>
          <w:p w14:paraId="37707EA0" w14:textId="77777777" w:rsidR="00587CF0" w:rsidRPr="006645DC" w:rsidRDefault="00587CF0" w:rsidP="00DB2F2B">
            <w:pPr>
              <w:keepNext/>
              <w:keepLines/>
              <w:suppressAutoHyphens/>
              <w:spacing w:before="0" w:after="0" w:line="100" w:lineRule="atLeast"/>
              <w:ind w:left="757" w:hanging="360"/>
              <w:jc w:val="center"/>
              <w:rPr>
                <w:rFonts w:eastAsia="Arial" w:cs="Calibri"/>
                <w:kern w:val="2"/>
                <w:lang w:val="en-GB"/>
              </w:rPr>
            </w:pPr>
            <w:r w:rsidRPr="006645DC">
              <w:rPr>
                <w:lang w:val="en-GB"/>
              </w:rPr>
              <w:t>68,1</w:t>
            </w:r>
          </w:p>
        </w:tc>
        <w:tc>
          <w:tcPr>
            <w:tcW w:w="1061" w:type="dxa"/>
            <w:tcBorders>
              <w:top w:val="single" w:sz="4" w:space="0" w:color="000000"/>
              <w:left w:val="single" w:sz="4" w:space="0" w:color="000000"/>
              <w:bottom w:val="single" w:sz="4" w:space="0" w:color="000000"/>
              <w:right w:val="single" w:sz="4" w:space="0" w:color="000000"/>
            </w:tcBorders>
            <w:vAlign w:val="center"/>
            <w:hideMark/>
          </w:tcPr>
          <w:p w14:paraId="71B6826F" w14:textId="77777777" w:rsidR="00587CF0" w:rsidRPr="006645DC" w:rsidRDefault="00587CF0" w:rsidP="00DB2F2B">
            <w:pPr>
              <w:keepNext/>
              <w:keepLines/>
              <w:suppressAutoHyphens/>
              <w:spacing w:before="0" w:after="0" w:line="100" w:lineRule="atLeast"/>
              <w:ind w:left="757" w:hanging="360"/>
              <w:jc w:val="center"/>
              <w:rPr>
                <w:rFonts w:eastAsia="Arial" w:cs="Calibri"/>
                <w:kern w:val="2"/>
                <w:lang w:val="en-GB"/>
              </w:rPr>
            </w:pPr>
            <w:r w:rsidRPr="006645DC">
              <w:rPr>
                <w:lang w:val="en-GB"/>
              </w:rPr>
              <w:t>73,6</w:t>
            </w:r>
          </w:p>
        </w:tc>
      </w:tr>
      <w:tr w:rsidR="00587CF0" w:rsidRPr="006645DC" w14:paraId="04996A88" w14:textId="77777777" w:rsidTr="00DB2F2B">
        <w:trPr>
          <w:trHeight w:val="255"/>
          <w:jc w:val="center"/>
        </w:trPr>
        <w:tc>
          <w:tcPr>
            <w:tcW w:w="1938" w:type="dxa"/>
            <w:tcBorders>
              <w:top w:val="single" w:sz="4" w:space="0" w:color="000000"/>
              <w:left w:val="single" w:sz="4" w:space="0" w:color="000000"/>
              <w:bottom w:val="single" w:sz="4" w:space="0" w:color="000000"/>
              <w:right w:val="nil"/>
            </w:tcBorders>
            <w:vAlign w:val="center"/>
            <w:hideMark/>
          </w:tcPr>
          <w:p w14:paraId="5DC9E923" w14:textId="77777777" w:rsidR="00587CF0" w:rsidRPr="006645DC" w:rsidRDefault="00587CF0">
            <w:pPr>
              <w:suppressAutoHyphens/>
              <w:spacing w:before="0" w:after="0" w:line="276" w:lineRule="auto"/>
              <w:rPr>
                <w:rFonts w:eastAsia="Arial" w:cs="Calibri"/>
                <w:kern w:val="2"/>
                <w:lang w:val="en-GB"/>
              </w:rPr>
            </w:pPr>
            <w:r w:rsidRPr="006645DC">
              <w:rPr>
                <w:lang w:val="en-GB"/>
              </w:rPr>
              <w:t>Internal waterways</w:t>
            </w:r>
          </w:p>
        </w:tc>
        <w:tc>
          <w:tcPr>
            <w:tcW w:w="1060" w:type="dxa"/>
            <w:tcBorders>
              <w:top w:val="single" w:sz="4" w:space="0" w:color="000000"/>
              <w:left w:val="single" w:sz="4" w:space="0" w:color="000000"/>
              <w:bottom w:val="single" w:sz="4" w:space="0" w:color="000000"/>
              <w:right w:val="nil"/>
            </w:tcBorders>
            <w:vAlign w:val="center"/>
            <w:hideMark/>
          </w:tcPr>
          <w:p w14:paraId="2601D5C3" w14:textId="77777777" w:rsidR="00587CF0" w:rsidRPr="006645DC" w:rsidRDefault="00587CF0" w:rsidP="00DB2F2B">
            <w:pPr>
              <w:keepNext/>
              <w:keepLines/>
              <w:suppressAutoHyphens/>
              <w:spacing w:before="0" w:after="0" w:line="100" w:lineRule="atLeast"/>
              <w:ind w:left="757" w:hanging="360"/>
              <w:jc w:val="center"/>
              <w:rPr>
                <w:rFonts w:eastAsia="Arial" w:cs="Calibri"/>
                <w:kern w:val="2"/>
                <w:lang w:val="en-GB"/>
              </w:rPr>
            </w:pPr>
            <w:r w:rsidRPr="006645DC">
              <w:rPr>
                <w:lang w:val="en-GB"/>
              </w:rPr>
              <w:t>4,8</w:t>
            </w:r>
          </w:p>
        </w:tc>
        <w:tc>
          <w:tcPr>
            <w:tcW w:w="1060" w:type="dxa"/>
            <w:tcBorders>
              <w:top w:val="single" w:sz="4" w:space="0" w:color="000000"/>
              <w:left w:val="single" w:sz="4" w:space="0" w:color="000000"/>
              <w:bottom w:val="single" w:sz="4" w:space="0" w:color="000000"/>
              <w:right w:val="nil"/>
            </w:tcBorders>
            <w:vAlign w:val="center"/>
            <w:hideMark/>
          </w:tcPr>
          <w:p w14:paraId="2F724F7D" w14:textId="77777777" w:rsidR="00587CF0" w:rsidRPr="006645DC" w:rsidRDefault="00587CF0" w:rsidP="00DB2F2B">
            <w:pPr>
              <w:keepNext/>
              <w:keepLines/>
              <w:suppressAutoHyphens/>
              <w:spacing w:before="0" w:after="0" w:line="100" w:lineRule="atLeast"/>
              <w:ind w:left="757" w:hanging="360"/>
              <w:jc w:val="center"/>
              <w:rPr>
                <w:rFonts w:eastAsia="Arial" w:cs="Calibri"/>
                <w:kern w:val="2"/>
                <w:lang w:val="en-GB"/>
              </w:rPr>
            </w:pPr>
            <w:r w:rsidRPr="006645DC">
              <w:rPr>
                <w:lang w:val="en-GB"/>
              </w:rPr>
              <w:t>12,6</w:t>
            </w:r>
          </w:p>
        </w:tc>
        <w:tc>
          <w:tcPr>
            <w:tcW w:w="1060" w:type="dxa"/>
            <w:tcBorders>
              <w:top w:val="single" w:sz="4" w:space="0" w:color="000000"/>
              <w:left w:val="single" w:sz="4" w:space="0" w:color="000000"/>
              <w:bottom w:val="single" w:sz="4" w:space="0" w:color="000000"/>
              <w:right w:val="single" w:sz="4" w:space="0" w:color="000000"/>
            </w:tcBorders>
            <w:vAlign w:val="center"/>
            <w:hideMark/>
          </w:tcPr>
          <w:p w14:paraId="4F604A59" w14:textId="77777777" w:rsidR="00587CF0" w:rsidRPr="006645DC" w:rsidRDefault="00587CF0" w:rsidP="00DB2F2B">
            <w:pPr>
              <w:keepNext/>
              <w:keepLines/>
              <w:suppressAutoHyphens/>
              <w:spacing w:before="0" w:after="0" w:line="100" w:lineRule="atLeast"/>
              <w:ind w:left="757" w:hanging="360"/>
              <w:jc w:val="center"/>
              <w:rPr>
                <w:rFonts w:eastAsia="Arial" w:cs="Calibri"/>
                <w:kern w:val="2"/>
                <w:lang w:val="en-GB"/>
              </w:rPr>
            </w:pPr>
            <w:r w:rsidRPr="006645DC">
              <w:rPr>
                <w:lang w:val="en-GB"/>
              </w:rPr>
              <w:t>20,7</w:t>
            </w:r>
          </w:p>
        </w:tc>
        <w:tc>
          <w:tcPr>
            <w:tcW w:w="1060" w:type="dxa"/>
            <w:tcBorders>
              <w:top w:val="single" w:sz="4" w:space="0" w:color="000000"/>
              <w:left w:val="single" w:sz="4" w:space="0" w:color="000000"/>
              <w:bottom w:val="single" w:sz="4" w:space="0" w:color="000000"/>
              <w:right w:val="single" w:sz="4" w:space="0" w:color="000000"/>
            </w:tcBorders>
            <w:vAlign w:val="center"/>
            <w:hideMark/>
          </w:tcPr>
          <w:p w14:paraId="3C110D4D" w14:textId="77777777" w:rsidR="00587CF0" w:rsidRPr="006645DC" w:rsidRDefault="00587CF0" w:rsidP="00DB2F2B">
            <w:pPr>
              <w:keepNext/>
              <w:keepLines/>
              <w:suppressAutoHyphens/>
              <w:spacing w:before="0" w:after="0" w:line="100" w:lineRule="atLeast"/>
              <w:ind w:left="757" w:hanging="360"/>
              <w:jc w:val="center"/>
              <w:rPr>
                <w:rFonts w:eastAsia="Arial" w:cs="Calibri"/>
                <w:kern w:val="2"/>
                <w:lang w:val="en-GB"/>
              </w:rPr>
            </w:pPr>
            <w:r w:rsidRPr="006645DC">
              <w:rPr>
                <w:lang w:val="en-GB"/>
              </w:rPr>
              <w:t>21,2</w:t>
            </w:r>
          </w:p>
        </w:tc>
        <w:tc>
          <w:tcPr>
            <w:tcW w:w="1061" w:type="dxa"/>
            <w:tcBorders>
              <w:top w:val="single" w:sz="4" w:space="0" w:color="000000"/>
              <w:left w:val="single" w:sz="4" w:space="0" w:color="000000"/>
              <w:bottom w:val="single" w:sz="4" w:space="0" w:color="000000"/>
              <w:right w:val="single" w:sz="4" w:space="0" w:color="000000"/>
            </w:tcBorders>
            <w:vAlign w:val="center"/>
            <w:hideMark/>
          </w:tcPr>
          <w:p w14:paraId="75381C0F" w14:textId="77777777" w:rsidR="00587CF0" w:rsidRPr="006645DC" w:rsidRDefault="00587CF0" w:rsidP="00DB2F2B">
            <w:pPr>
              <w:keepNext/>
              <w:keepLines/>
              <w:suppressAutoHyphens/>
              <w:spacing w:before="0" w:after="0" w:line="100" w:lineRule="atLeast"/>
              <w:ind w:left="757" w:hanging="360"/>
              <w:jc w:val="center"/>
              <w:rPr>
                <w:rFonts w:eastAsia="Arial" w:cs="Calibri"/>
                <w:kern w:val="2"/>
                <w:lang w:val="en-GB"/>
              </w:rPr>
            </w:pPr>
            <w:r w:rsidRPr="006645DC">
              <w:rPr>
                <w:lang w:val="en-GB"/>
              </w:rPr>
              <w:t>15</w:t>
            </w:r>
          </w:p>
        </w:tc>
      </w:tr>
    </w:tbl>
    <w:p w14:paraId="0C989948" w14:textId="77777777" w:rsidR="00587CF0" w:rsidRPr="006645DC" w:rsidRDefault="00587CF0" w:rsidP="00587CF0">
      <w:pPr>
        <w:pStyle w:val="Lgende1"/>
        <w:rPr>
          <w:kern w:val="2"/>
          <w:lang w:val="en-GB"/>
        </w:rPr>
      </w:pPr>
      <w:bookmarkStart w:id="135" w:name="_Toc391150103"/>
      <w:r w:rsidRPr="006645DC">
        <w:rPr>
          <w:lang w:val="en-GB"/>
        </w:rPr>
        <w:t xml:space="preserve">Table </w:t>
      </w:r>
      <w:r w:rsidR="005979EB" w:rsidRPr="006645DC">
        <w:rPr>
          <w:lang w:val="en-GB"/>
        </w:rPr>
        <w:fldChar w:fldCharType="begin"/>
      </w:r>
      <w:r w:rsidRPr="006645DC">
        <w:rPr>
          <w:lang w:val="en-GB"/>
        </w:rPr>
        <w:instrText xml:space="preserve"> SEQ "Table" \*Arabic </w:instrText>
      </w:r>
      <w:r w:rsidR="005979EB" w:rsidRPr="006645DC">
        <w:rPr>
          <w:lang w:val="en-GB"/>
        </w:rPr>
        <w:fldChar w:fldCharType="separate"/>
      </w:r>
      <w:r w:rsidR="00523DE6">
        <w:rPr>
          <w:noProof/>
          <w:lang w:val="en-GB"/>
        </w:rPr>
        <w:t>6</w:t>
      </w:r>
      <w:r w:rsidR="005979EB" w:rsidRPr="006645DC">
        <w:rPr>
          <w:lang w:val="en-GB"/>
        </w:rPr>
        <w:fldChar w:fldCharType="end"/>
      </w:r>
      <w:r w:rsidRPr="006645DC">
        <w:rPr>
          <w:lang w:val="en-GB"/>
        </w:rPr>
        <w:t xml:space="preserve"> - Modal split of freight transport</w:t>
      </w:r>
      <w:r w:rsidRPr="006645DC">
        <w:rPr>
          <w:rStyle w:val="FootnoteReference"/>
          <w:lang w:val="en-GB"/>
        </w:rPr>
        <w:footnoteReference w:id="17"/>
      </w:r>
      <w:r w:rsidRPr="006645DC">
        <w:rPr>
          <w:lang w:val="en-GB"/>
        </w:rPr>
        <w:t>, (% in total inland freight tonne-km)</w:t>
      </w:r>
      <w:bookmarkEnd w:id="135"/>
      <w:r w:rsidRPr="006645DC">
        <w:rPr>
          <w:lang w:val="en-GB"/>
        </w:rPr>
        <w:t xml:space="preserve"> </w:t>
      </w:r>
    </w:p>
    <w:p w14:paraId="553D29A2" w14:textId="77777777" w:rsidR="00587CF0" w:rsidRPr="006645DC" w:rsidRDefault="00587CF0" w:rsidP="00587CF0">
      <w:pPr>
        <w:pStyle w:val="Heading4"/>
        <w:rPr>
          <w:lang w:val="en-GB"/>
        </w:rPr>
      </w:pPr>
      <w:r w:rsidRPr="006645DC">
        <w:rPr>
          <w:lang w:val="en-GB"/>
        </w:rPr>
        <w:t>source: Eurostat</w:t>
      </w:r>
    </w:p>
    <w:p w14:paraId="26731AD2" w14:textId="77777777" w:rsidR="00EA46BF" w:rsidRPr="006645DC" w:rsidRDefault="00EA46BF" w:rsidP="00EA46BF">
      <w:pPr>
        <w:rPr>
          <w:lang w:val="en-GB"/>
        </w:rPr>
      </w:pPr>
    </w:p>
    <w:p w14:paraId="28D8C481" w14:textId="77777777" w:rsidR="00587CF0" w:rsidRPr="006645DC" w:rsidRDefault="00587CF0" w:rsidP="00587CF0">
      <w:pPr>
        <w:rPr>
          <w:lang w:val="en-GB"/>
        </w:rPr>
      </w:pPr>
      <w:r w:rsidRPr="006645DC">
        <w:rPr>
          <w:lang w:val="en-GB"/>
        </w:rPr>
        <w:lastRenderedPageBreak/>
        <w:t>While railways were increasingly used for freight transport in Romania since 2007, this mode of transport decreased in Bulgaria for the same period (its share decreased almost by 50%). The share of road transport was significantly lower in Romania and remained mainly the same during the period in Bulgaria.</w:t>
      </w:r>
    </w:p>
    <w:p w14:paraId="1EF75704" w14:textId="77777777" w:rsidR="00587CF0" w:rsidRPr="006645DC" w:rsidRDefault="00587CF0" w:rsidP="001E3B84">
      <w:pPr>
        <w:pStyle w:val="Heading5"/>
        <w:rPr>
          <w:lang w:val="en-GB"/>
        </w:rPr>
      </w:pPr>
      <w:bookmarkStart w:id="136" w:name="_Toc371092789"/>
      <w:bookmarkStart w:id="137" w:name="_Toc254543769"/>
      <w:r w:rsidRPr="006645DC">
        <w:rPr>
          <w:lang w:val="en-GB"/>
        </w:rPr>
        <w:t>Road network</w:t>
      </w:r>
      <w:bookmarkEnd w:id="136"/>
      <w:bookmarkEnd w:id="137"/>
    </w:p>
    <w:p w14:paraId="11D1F93E" w14:textId="77777777" w:rsidR="00587CF0" w:rsidRPr="006645DC" w:rsidRDefault="00587CF0" w:rsidP="00EA46BF">
      <w:pPr>
        <w:rPr>
          <w:lang w:val="en-GB"/>
        </w:rPr>
      </w:pPr>
      <w:r w:rsidRPr="006645DC">
        <w:rPr>
          <w:lang w:val="en-GB"/>
        </w:rPr>
        <w:t xml:space="preserve">In 2009, public roads in the Romania-Bulgaria cross-border programme area represented 15% of the national public road network (12.612 km). On the Bulgarian part, public roads represented 30% of the national public road network (5.921 km). </w:t>
      </w:r>
    </w:p>
    <w:p w14:paraId="3F536942" w14:textId="77777777" w:rsidR="00587CF0" w:rsidRPr="006645DC" w:rsidRDefault="00587CF0" w:rsidP="00587CF0">
      <w:pPr>
        <w:rPr>
          <w:lang w:val="en-GB"/>
        </w:rPr>
      </w:pPr>
      <w:r w:rsidRPr="006645DC">
        <w:rPr>
          <w:lang w:val="en-GB"/>
        </w:rPr>
        <w:t>Between 2007 and 2009 the public road network in the cross-border region did not expand considerably as shown in the table below.</w:t>
      </w:r>
    </w:p>
    <w:p w14:paraId="7DF9E97B" w14:textId="77777777" w:rsidR="00587CF0" w:rsidRPr="006645DC" w:rsidRDefault="00587CF0" w:rsidP="00587CF0">
      <w:pPr>
        <w:rPr>
          <w:lang w:val="en-GB"/>
        </w:rPr>
      </w:pPr>
    </w:p>
    <w:tbl>
      <w:tblPr>
        <w:tblW w:w="9570" w:type="dxa"/>
        <w:jc w:val="center"/>
        <w:tblLayout w:type="fixed"/>
        <w:tblLook w:val="04A0" w:firstRow="1" w:lastRow="0" w:firstColumn="1" w:lastColumn="0" w:noHBand="0" w:noVBand="1"/>
      </w:tblPr>
      <w:tblGrid>
        <w:gridCol w:w="1276"/>
        <w:gridCol w:w="851"/>
        <w:gridCol w:w="850"/>
        <w:gridCol w:w="852"/>
        <w:gridCol w:w="954"/>
        <w:gridCol w:w="1368"/>
        <w:gridCol w:w="864"/>
        <w:gridCol w:w="852"/>
        <w:gridCol w:w="851"/>
        <w:gridCol w:w="852"/>
      </w:tblGrid>
      <w:tr w:rsidR="00587CF0" w:rsidRPr="006645DC" w14:paraId="22D34612" w14:textId="77777777" w:rsidTr="002716AE">
        <w:trPr>
          <w:trHeight w:val="289"/>
          <w:jc w:val="center"/>
        </w:trPr>
        <w:tc>
          <w:tcPr>
            <w:tcW w:w="1276" w:type="dxa"/>
            <w:tcBorders>
              <w:top w:val="single" w:sz="4" w:space="0" w:color="000000"/>
              <w:left w:val="single" w:sz="4" w:space="0" w:color="000000"/>
              <w:bottom w:val="single" w:sz="4" w:space="0" w:color="000000"/>
              <w:right w:val="nil"/>
            </w:tcBorders>
            <w:shd w:val="clear" w:color="auto" w:fill="FFFFFF"/>
            <w:vAlign w:val="bottom"/>
          </w:tcPr>
          <w:p w14:paraId="777F1216" w14:textId="77777777" w:rsidR="00587CF0" w:rsidRPr="006645DC" w:rsidRDefault="00587CF0">
            <w:pPr>
              <w:suppressAutoHyphens/>
              <w:spacing w:before="0" w:after="0" w:line="100" w:lineRule="atLeast"/>
              <w:rPr>
                <w:rFonts w:eastAsia="Arial" w:cs="Calibri"/>
                <w:kern w:val="2"/>
                <w:lang w:val="en-GB"/>
              </w:rPr>
            </w:pPr>
          </w:p>
        </w:tc>
        <w:tc>
          <w:tcPr>
            <w:tcW w:w="851" w:type="dxa"/>
            <w:tcBorders>
              <w:top w:val="single" w:sz="4" w:space="0" w:color="000000"/>
              <w:left w:val="single" w:sz="4" w:space="0" w:color="000000"/>
              <w:bottom w:val="single" w:sz="4" w:space="0" w:color="000000"/>
              <w:right w:val="nil"/>
            </w:tcBorders>
            <w:shd w:val="clear" w:color="auto" w:fill="FFFFFF"/>
            <w:vAlign w:val="bottom"/>
            <w:hideMark/>
          </w:tcPr>
          <w:p w14:paraId="60E5C050"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2007</w:t>
            </w:r>
          </w:p>
        </w:tc>
        <w:tc>
          <w:tcPr>
            <w:tcW w:w="850" w:type="dxa"/>
            <w:tcBorders>
              <w:top w:val="single" w:sz="4" w:space="0" w:color="000000"/>
              <w:left w:val="single" w:sz="4" w:space="0" w:color="000000"/>
              <w:bottom w:val="single" w:sz="4" w:space="0" w:color="000000"/>
              <w:right w:val="nil"/>
            </w:tcBorders>
            <w:shd w:val="clear" w:color="auto" w:fill="FFFFFF"/>
            <w:vAlign w:val="bottom"/>
            <w:hideMark/>
          </w:tcPr>
          <w:p w14:paraId="690FB3AC"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2008</w:t>
            </w:r>
          </w:p>
        </w:tc>
        <w:tc>
          <w:tcPr>
            <w:tcW w:w="852" w:type="dxa"/>
            <w:tcBorders>
              <w:top w:val="single" w:sz="4" w:space="0" w:color="000000"/>
              <w:left w:val="single" w:sz="4" w:space="0" w:color="000000"/>
              <w:bottom w:val="single" w:sz="4" w:space="0" w:color="000000"/>
              <w:right w:val="nil"/>
            </w:tcBorders>
            <w:shd w:val="clear" w:color="auto" w:fill="FFFFFF"/>
            <w:vAlign w:val="bottom"/>
            <w:hideMark/>
          </w:tcPr>
          <w:p w14:paraId="1A6CBBEE" w14:textId="77777777" w:rsidR="00587CF0" w:rsidRPr="006645DC" w:rsidRDefault="00587CF0">
            <w:pPr>
              <w:suppressAutoHyphens/>
              <w:spacing w:before="0" w:after="0" w:line="100" w:lineRule="atLeast"/>
              <w:jc w:val="center"/>
              <w:rPr>
                <w:rFonts w:eastAsia="Arial" w:cs="Calibri"/>
                <w:kern w:val="2"/>
                <w:lang w:val="en-GB"/>
              </w:rPr>
            </w:pPr>
            <w:r w:rsidRPr="006645DC">
              <w:rPr>
                <w:b/>
                <w:lang w:val="en-GB"/>
              </w:rPr>
              <w:t>2009</w:t>
            </w:r>
          </w:p>
        </w:tc>
        <w:tc>
          <w:tcPr>
            <w:tcW w:w="954"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8726942"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2010</w:t>
            </w:r>
          </w:p>
        </w:tc>
        <w:tc>
          <w:tcPr>
            <w:tcW w:w="1368" w:type="dxa"/>
            <w:tcBorders>
              <w:top w:val="single" w:sz="4" w:space="0" w:color="000000"/>
              <w:left w:val="single" w:sz="4" w:space="0" w:color="000000"/>
              <w:bottom w:val="single" w:sz="4" w:space="0" w:color="000000"/>
              <w:right w:val="nil"/>
            </w:tcBorders>
            <w:shd w:val="clear" w:color="auto" w:fill="FFFFFF"/>
            <w:vAlign w:val="center"/>
          </w:tcPr>
          <w:p w14:paraId="383CF3FA" w14:textId="77777777" w:rsidR="00587CF0" w:rsidRPr="006645DC" w:rsidRDefault="00587CF0">
            <w:pPr>
              <w:suppressAutoHyphens/>
              <w:spacing w:before="0" w:after="0" w:line="100" w:lineRule="atLeast"/>
              <w:jc w:val="center"/>
              <w:rPr>
                <w:rFonts w:eastAsia="Arial" w:cs="Calibri"/>
                <w:b/>
                <w:kern w:val="2"/>
                <w:lang w:val="en-GB"/>
              </w:rPr>
            </w:pPr>
          </w:p>
        </w:tc>
        <w:tc>
          <w:tcPr>
            <w:tcW w:w="864" w:type="dxa"/>
            <w:tcBorders>
              <w:top w:val="single" w:sz="4" w:space="0" w:color="000000"/>
              <w:left w:val="single" w:sz="4" w:space="0" w:color="000000"/>
              <w:bottom w:val="single" w:sz="4" w:space="0" w:color="000000"/>
              <w:right w:val="nil"/>
            </w:tcBorders>
            <w:shd w:val="clear" w:color="auto" w:fill="FFFFFF"/>
            <w:vAlign w:val="center"/>
            <w:hideMark/>
          </w:tcPr>
          <w:p w14:paraId="15687FFC"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2007</w:t>
            </w:r>
          </w:p>
        </w:tc>
        <w:tc>
          <w:tcPr>
            <w:tcW w:w="852" w:type="dxa"/>
            <w:tcBorders>
              <w:top w:val="single" w:sz="4" w:space="0" w:color="000000"/>
              <w:left w:val="single" w:sz="4" w:space="0" w:color="000000"/>
              <w:bottom w:val="single" w:sz="4" w:space="0" w:color="000000"/>
              <w:right w:val="nil"/>
            </w:tcBorders>
            <w:shd w:val="clear" w:color="auto" w:fill="FFFFFF"/>
            <w:vAlign w:val="center"/>
            <w:hideMark/>
          </w:tcPr>
          <w:p w14:paraId="6502A8EE"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2008</w:t>
            </w:r>
          </w:p>
        </w:tc>
        <w:tc>
          <w:tcPr>
            <w:tcW w:w="85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217B01E"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2009</w:t>
            </w:r>
          </w:p>
        </w:tc>
        <w:tc>
          <w:tcPr>
            <w:tcW w:w="852"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1CC39D3"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2010</w:t>
            </w:r>
          </w:p>
        </w:tc>
      </w:tr>
      <w:tr w:rsidR="00587CF0" w:rsidRPr="006645DC" w14:paraId="414D7A84" w14:textId="77777777" w:rsidTr="002716AE">
        <w:trPr>
          <w:trHeight w:val="270"/>
          <w:jc w:val="center"/>
        </w:trPr>
        <w:tc>
          <w:tcPr>
            <w:tcW w:w="1276" w:type="dxa"/>
            <w:tcBorders>
              <w:top w:val="single" w:sz="4" w:space="0" w:color="000000"/>
              <w:left w:val="single" w:sz="4" w:space="0" w:color="000000"/>
              <w:bottom w:val="single" w:sz="4" w:space="0" w:color="000000"/>
              <w:right w:val="nil"/>
            </w:tcBorders>
            <w:vAlign w:val="center"/>
            <w:hideMark/>
          </w:tcPr>
          <w:p w14:paraId="1E33E207" w14:textId="77777777" w:rsidR="00587CF0" w:rsidRPr="006645DC" w:rsidRDefault="00587CF0">
            <w:pPr>
              <w:suppressAutoHyphens/>
              <w:spacing w:before="0" w:after="0" w:line="276" w:lineRule="auto"/>
              <w:rPr>
                <w:rFonts w:eastAsia="Arial" w:cs="Calibri"/>
                <w:b/>
                <w:kern w:val="2"/>
                <w:lang w:val="en-GB"/>
              </w:rPr>
            </w:pPr>
            <w:r w:rsidRPr="006645DC">
              <w:rPr>
                <w:b/>
                <w:lang w:val="en-GB"/>
              </w:rPr>
              <w:t>Romania</w:t>
            </w:r>
          </w:p>
        </w:tc>
        <w:tc>
          <w:tcPr>
            <w:tcW w:w="851" w:type="dxa"/>
            <w:tcBorders>
              <w:top w:val="single" w:sz="4" w:space="0" w:color="000000"/>
              <w:left w:val="single" w:sz="4" w:space="0" w:color="000000"/>
              <w:bottom w:val="single" w:sz="4" w:space="0" w:color="000000"/>
              <w:right w:val="nil"/>
            </w:tcBorders>
            <w:vAlign w:val="center"/>
            <w:hideMark/>
          </w:tcPr>
          <w:p w14:paraId="4772F6F1"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80 893</w:t>
            </w:r>
          </w:p>
        </w:tc>
        <w:tc>
          <w:tcPr>
            <w:tcW w:w="850" w:type="dxa"/>
            <w:tcBorders>
              <w:top w:val="single" w:sz="4" w:space="0" w:color="000000"/>
              <w:left w:val="single" w:sz="4" w:space="0" w:color="000000"/>
              <w:bottom w:val="single" w:sz="4" w:space="0" w:color="000000"/>
              <w:right w:val="nil"/>
            </w:tcBorders>
            <w:vAlign w:val="center"/>
            <w:hideMark/>
          </w:tcPr>
          <w:p w14:paraId="20785192"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81 693</w:t>
            </w:r>
          </w:p>
        </w:tc>
        <w:tc>
          <w:tcPr>
            <w:tcW w:w="852" w:type="dxa"/>
            <w:tcBorders>
              <w:top w:val="single" w:sz="4" w:space="0" w:color="000000"/>
              <w:left w:val="single" w:sz="4" w:space="0" w:color="000000"/>
              <w:bottom w:val="single" w:sz="4" w:space="0" w:color="000000"/>
              <w:right w:val="nil"/>
            </w:tcBorders>
            <w:vAlign w:val="center"/>
            <w:hideMark/>
          </w:tcPr>
          <w:p w14:paraId="42DE1599"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81 713</w:t>
            </w:r>
          </w:p>
        </w:tc>
        <w:tc>
          <w:tcPr>
            <w:tcW w:w="954" w:type="dxa"/>
            <w:tcBorders>
              <w:top w:val="single" w:sz="4" w:space="0" w:color="000000"/>
              <w:left w:val="single" w:sz="4" w:space="0" w:color="000000"/>
              <w:bottom w:val="single" w:sz="4" w:space="0" w:color="000000"/>
              <w:right w:val="single" w:sz="4" w:space="0" w:color="000000"/>
            </w:tcBorders>
            <w:vAlign w:val="center"/>
            <w:hideMark/>
          </w:tcPr>
          <w:p w14:paraId="5CEF53F7" w14:textId="77777777" w:rsidR="00587CF0" w:rsidRPr="006645DC" w:rsidRDefault="00587CF0" w:rsidP="002716AE">
            <w:pPr>
              <w:keepNext/>
              <w:keepLines/>
              <w:suppressAutoHyphens/>
              <w:spacing w:before="0" w:after="0" w:line="276" w:lineRule="auto"/>
              <w:jc w:val="right"/>
              <w:rPr>
                <w:rFonts w:eastAsia="Arial" w:cs="Calibri"/>
                <w:kern w:val="2"/>
                <w:lang w:val="en-GB"/>
              </w:rPr>
            </w:pPr>
            <w:r w:rsidRPr="006645DC">
              <w:rPr>
                <w:lang w:val="en-GB"/>
              </w:rPr>
              <w:t>82</w:t>
            </w:r>
            <w:r w:rsidR="002716AE" w:rsidRPr="006645DC">
              <w:rPr>
                <w:lang w:val="en-GB"/>
              </w:rPr>
              <w:t xml:space="preserve"> </w:t>
            </w:r>
            <w:r w:rsidRPr="006645DC">
              <w:rPr>
                <w:lang w:val="en-GB"/>
              </w:rPr>
              <w:t>386</w:t>
            </w:r>
          </w:p>
        </w:tc>
        <w:tc>
          <w:tcPr>
            <w:tcW w:w="1368" w:type="dxa"/>
            <w:tcBorders>
              <w:top w:val="single" w:sz="4" w:space="0" w:color="000000"/>
              <w:left w:val="single" w:sz="4" w:space="0" w:color="000000"/>
              <w:bottom w:val="single" w:sz="4" w:space="0" w:color="000000"/>
              <w:right w:val="nil"/>
            </w:tcBorders>
            <w:vAlign w:val="center"/>
            <w:hideMark/>
          </w:tcPr>
          <w:p w14:paraId="64750C36" w14:textId="77777777" w:rsidR="00587CF0" w:rsidRPr="006645DC" w:rsidRDefault="00587CF0">
            <w:pPr>
              <w:keepNext/>
              <w:keepLines/>
              <w:suppressAutoHyphens/>
              <w:spacing w:before="0" w:after="0" w:line="276" w:lineRule="auto"/>
              <w:jc w:val="left"/>
              <w:rPr>
                <w:rFonts w:eastAsia="Arial" w:cs="Calibri"/>
                <w:b/>
                <w:kern w:val="2"/>
                <w:lang w:val="en-GB"/>
              </w:rPr>
            </w:pPr>
            <w:r w:rsidRPr="006645DC">
              <w:rPr>
                <w:b/>
                <w:lang w:val="en-GB"/>
              </w:rPr>
              <w:t>Bulgaria</w:t>
            </w:r>
          </w:p>
        </w:tc>
        <w:tc>
          <w:tcPr>
            <w:tcW w:w="864" w:type="dxa"/>
            <w:tcBorders>
              <w:top w:val="single" w:sz="4" w:space="0" w:color="000000"/>
              <w:left w:val="single" w:sz="4" w:space="0" w:color="000000"/>
              <w:bottom w:val="single" w:sz="4" w:space="0" w:color="000000"/>
              <w:right w:val="nil"/>
            </w:tcBorders>
            <w:vAlign w:val="center"/>
            <w:hideMark/>
          </w:tcPr>
          <w:p w14:paraId="79625984"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19 425</w:t>
            </w:r>
          </w:p>
        </w:tc>
        <w:tc>
          <w:tcPr>
            <w:tcW w:w="852" w:type="dxa"/>
            <w:tcBorders>
              <w:top w:val="single" w:sz="4" w:space="0" w:color="000000"/>
              <w:left w:val="single" w:sz="4" w:space="0" w:color="000000"/>
              <w:bottom w:val="single" w:sz="4" w:space="0" w:color="000000"/>
              <w:right w:val="nil"/>
            </w:tcBorders>
            <w:vAlign w:val="center"/>
            <w:hideMark/>
          </w:tcPr>
          <w:p w14:paraId="4D111E5B"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19 435</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24C65736"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19 435</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680C7766"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19</w:t>
            </w:r>
            <w:r w:rsidR="002716AE" w:rsidRPr="006645DC">
              <w:rPr>
                <w:lang w:val="en-GB"/>
              </w:rPr>
              <w:t xml:space="preserve"> </w:t>
            </w:r>
            <w:r w:rsidRPr="006645DC">
              <w:rPr>
                <w:lang w:val="en-GB"/>
              </w:rPr>
              <w:t>456</w:t>
            </w:r>
          </w:p>
        </w:tc>
      </w:tr>
      <w:tr w:rsidR="00587CF0" w:rsidRPr="006645DC" w14:paraId="719BF742" w14:textId="77777777" w:rsidTr="002716AE">
        <w:trPr>
          <w:trHeight w:val="255"/>
          <w:jc w:val="center"/>
        </w:trPr>
        <w:tc>
          <w:tcPr>
            <w:tcW w:w="1276" w:type="dxa"/>
            <w:tcBorders>
              <w:top w:val="single" w:sz="4" w:space="0" w:color="000000"/>
              <w:left w:val="single" w:sz="4" w:space="0" w:color="000000"/>
              <w:bottom w:val="single" w:sz="4" w:space="0" w:color="000000"/>
              <w:right w:val="nil"/>
            </w:tcBorders>
            <w:vAlign w:val="center"/>
            <w:hideMark/>
          </w:tcPr>
          <w:p w14:paraId="5461FA76" w14:textId="77777777" w:rsidR="00587CF0" w:rsidRPr="006645DC" w:rsidRDefault="00587CF0">
            <w:pPr>
              <w:suppressAutoHyphens/>
              <w:spacing w:before="0" w:after="0" w:line="276" w:lineRule="auto"/>
              <w:rPr>
                <w:rFonts w:eastAsia="Arial" w:cs="Calibri"/>
                <w:kern w:val="2"/>
                <w:lang w:val="en-GB"/>
              </w:rPr>
            </w:pPr>
            <w:r w:rsidRPr="006645DC">
              <w:rPr>
                <w:lang w:val="en-GB"/>
              </w:rPr>
              <w:t>Constanţa</w:t>
            </w:r>
          </w:p>
        </w:tc>
        <w:tc>
          <w:tcPr>
            <w:tcW w:w="851" w:type="dxa"/>
            <w:tcBorders>
              <w:top w:val="single" w:sz="4" w:space="0" w:color="000000"/>
              <w:left w:val="single" w:sz="4" w:space="0" w:color="000000"/>
              <w:bottom w:val="single" w:sz="4" w:space="0" w:color="000000"/>
              <w:right w:val="nil"/>
            </w:tcBorders>
            <w:vAlign w:val="center"/>
            <w:hideMark/>
          </w:tcPr>
          <w:p w14:paraId="4DD258E8"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2 325</w:t>
            </w:r>
          </w:p>
        </w:tc>
        <w:tc>
          <w:tcPr>
            <w:tcW w:w="850" w:type="dxa"/>
            <w:tcBorders>
              <w:top w:val="single" w:sz="4" w:space="0" w:color="000000"/>
              <w:left w:val="single" w:sz="4" w:space="0" w:color="000000"/>
              <w:bottom w:val="single" w:sz="4" w:space="0" w:color="000000"/>
              <w:right w:val="nil"/>
            </w:tcBorders>
            <w:vAlign w:val="center"/>
            <w:hideMark/>
          </w:tcPr>
          <w:p w14:paraId="19A9A688"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2 325</w:t>
            </w:r>
          </w:p>
        </w:tc>
        <w:tc>
          <w:tcPr>
            <w:tcW w:w="852" w:type="dxa"/>
            <w:tcBorders>
              <w:top w:val="single" w:sz="4" w:space="0" w:color="000000"/>
              <w:left w:val="single" w:sz="4" w:space="0" w:color="000000"/>
              <w:bottom w:val="single" w:sz="4" w:space="0" w:color="000000"/>
              <w:right w:val="nil"/>
            </w:tcBorders>
            <w:vAlign w:val="center"/>
            <w:hideMark/>
          </w:tcPr>
          <w:p w14:paraId="1C66789D"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2 325</w:t>
            </w:r>
          </w:p>
        </w:tc>
        <w:tc>
          <w:tcPr>
            <w:tcW w:w="954" w:type="dxa"/>
            <w:tcBorders>
              <w:top w:val="single" w:sz="4" w:space="0" w:color="000000"/>
              <w:left w:val="single" w:sz="4" w:space="0" w:color="000000"/>
              <w:bottom w:val="single" w:sz="4" w:space="0" w:color="000000"/>
              <w:right w:val="single" w:sz="4" w:space="0" w:color="000000"/>
            </w:tcBorders>
            <w:vAlign w:val="center"/>
            <w:hideMark/>
          </w:tcPr>
          <w:p w14:paraId="222DE445" w14:textId="77777777" w:rsidR="00587CF0" w:rsidRPr="006645DC" w:rsidRDefault="00587CF0">
            <w:pPr>
              <w:keepNext/>
              <w:keepLines/>
              <w:suppressAutoHyphens/>
              <w:spacing w:before="0" w:after="0" w:line="276" w:lineRule="auto"/>
              <w:jc w:val="right"/>
              <w:rPr>
                <w:rFonts w:eastAsia="Arial" w:cs="Calibri"/>
                <w:kern w:val="2"/>
                <w:lang w:val="en-GB"/>
              </w:rPr>
            </w:pPr>
            <w:r w:rsidRPr="006645DC">
              <w:rPr>
                <w:lang w:val="en-GB"/>
              </w:rPr>
              <w:t>2</w:t>
            </w:r>
            <w:r w:rsidR="002716AE" w:rsidRPr="006645DC">
              <w:rPr>
                <w:lang w:val="en-GB"/>
              </w:rPr>
              <w:t xml:space="preserve"> </w:t>
            </w:r>
            <w:r w:rsidRPr="006645DC">
              <w:rPr>
                <w:lang w:val="en-GB"/>
              </w:rPr>
              <w:t>327</w:t>
            </w:r>
          </w:p>
        </w:tc>
        <w:tc>
          <w:tcPr>
            <w:tcW w:w="1368" w:type="dxa"/>
            <w:tcBorders>
              <w:top w:val="single" w:sz="4" w:space="0" w:color="000000"/>
              <w:left w:val="single" w:sz="4" w:space="0" w:color="000000"/>
              <w:bottom w:val="single" w:sz="4" w:space="0" w:color="000000"/>
              <w:right w:val="nil"/>
            </w:tcBorders>
            <w:vAlign w:val="center"/>
            <w:hideMark/>
          </w:tcPr>
          <w:p w14:paraId="559AFE9C" w14:textId="77777777" w:rsidR="00587CF0" w:rsidRPr="006645DC" w:rsidRDefault="00587CF0">
            <w:pPr>
              <w:keepNext/>
              <w:keepLines/>
              <w:suppressAutoHyphens/>
              <w:spacing w:before="0" w:after="0" w:line="276" w:lineRule="auto"/>
              <w:jc w:val="left"/>
              <w:rPr>
                <w:rFonts w:eastAsia="Arial" w:cs="Calibri"/>
                <w:kern w:val="2"/>
                <w:lang w:val="en-GB"/>
              </w:rPr>
            </w:pPr>
            <w:r w:rsidRPr="006645DC">
              <w:rPr>
                <w:lang w:val="en-GB"/>
              </w:rPr>
              <w:t>Vidin</w:t>
            </w:r>
          </w:p>
        </w:tc>
        <w:tc>
          <w:tcPr>
            <w:tcW w:w="864" w:type="dxa"/>
            <w:tcBorders>
              <w:top w:val="single" w:sz="4" w:space="0" w:color="000000"/>
              <w:left w:val="single" w:sz="4" w:space="0" w:color="000000"/>
              <w:bottom w:val="single" w:sz="4" w:space="0" w:color="000000"/>
              <w:right w:val="nil"/>
            </w:tcBorders>
            <w:vAlign w:val="center"/>
            <w:hideMark/>
          </w:tcPr>
          <w:p w14:paraId="362694D1"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611</w:t>
            </w:r>
          </w:p>
        </w:tc>
        <w:tc>
          <w:tcPr>
            <w:tcW w:w="852" w:type="dxa"/>
            <w:tcBorders>
              <w:top w:val="single" w:sz="4" w:space="0" w:color="000000"/>
              <w:left w:val="single" w:sz="4" w:space="0" w:color="000000"/>
              <w:bottom w:val="single" w:sz="4" w:space="0" w:color="000000"/>
              <w:right w:val="nil"/>
            </w:tcBorders>
            <w:vAlign w:val="center"/>
            <w:hideMark/>
          </w:tcPr>
          <w:p w14:paraId="0127F038"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611</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74374319"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611</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0715FD1D"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611</w:t>
            </w:r>
          </w:p>
        </w:tc>
      </w:tr>
      <w:tr w:rsidR="00587CF0" w:rsidRPr="006645DC" w14:paraId="451666F7" w14:textId="77777777" w:rsidTr="002716AE">
        <w:trPr>
          <w:trHeight w:val="255"/>
          <w:jc w:val="center"/>
        </w:trPr>
        <w:tc>
          <w:tcPr>
            <w:tcW w:w="1276" w:type="dxa"/>
            <w:tcBorders>
              <w:top w:val="single" w:sz="4" w:space="0" w:color="000000"/>
              <w:left w:val="single" w:sz="4" w:space="0" w:color="000000"/>
              <w:bottom w:val="single" w:sz="4" w:space="0" w:color="000000"/>
              <w:right w:val="nil"/>
            </w:tcBorders>
            <w:vAlign w:val="center"/>
            <w:hideMark/>
          </w:tcPr>
          <w:p w14:paraId="076981E3" w14:textId="77777777" w:rsidR="00587CF0" w:rsidRPr="006645DC" w:rsidRDefault="00587CF0">
            <w:pPr>
              <w:suppressAutoHyphens/>
              <w:spacing w:before="0" w:after="0" w:line="276" w:lineRule="auto"/>
              <w:rPr>
                <w:rFonts w:eastAsia="Arial" w:cs="Calibri"/>
                <w:kern w:val="2"/>
                <w:lang w:val="en-GB"/>
              </w:rPr>
            </w:pPr>
            <w:r w:rsidRPr="006645DC">
              <w:rPr>
                <w:lang w:val="en-GB"/>
              </w:rPr>
              <w:t>Călăraşi</w:t>
            </w:r>
          </w:p>
        </w:tc>
        <w:tc>
          <w:tcPr>
            <w:tcW w:w="851" w:type="dxa"/>
            <w:tcBorders>
              <w:top w:val="single" w:sz="4" w:space="0" w:color="000000"/>
              <w:left w:val="single" w:sz="4" w:space="0" w:color="000000"/>
              <w:bottom w:val="single" w:sz="4" w:space="0" w:color="000000"/>
              <w:right w:val="nil"/>
            </w:tcBorders>
            <w:vAlign w:val="center"/>
            <w:hideMark/>
          </w:tcPr>
          <w:p w14:paraId="75A88BF2"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1 348</w:t>
            </w:r>
          </w:p>
        </w:tc>
        <w:tc>
          <w:tcPr>
            <w:tcW w:w="850" w:type="dxa"/>
            <w:tcBorders>
              <w:top w:val="single" w:sz="4" w:space="0" w:color="000000"/>
              <w:left w:val="single" w:sz="4" w:space="0" w:color="000000"/>
              <w:bottom w:val="single" w:sz="4" w:space="0" w:color="000000"/>
              <w:right w:val="nil"/>
            </w:tcBorders>
            <w:vAlign w:val="center"/>
            <w:hideMark/>
          </w:tcPr>
          <w:p w14:paraId="5E0DC2BD"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1 317</w:t>
            </w:r>
          </w:p>
        </w:tc>
        <w:tc>
          <w:tcPr>
            <w:tcW w:w="852" w:type="dxa"/>
            <w:tcBorders>
              <w:top w:val="single" w:sz="4" w:space="0" w:color="000000"/>
              <w:left w:val="single" w:sz="4" w:space="0" w:color="000000"/>
              <w:bottom w:val="single" w:sz="4" w:space="0" w:color="000000"/>
              <w:right w:val="nil"/>
            </w:tcBorders>
            <w:vAlign w:val="center"/>
            <w:hideMark/>
          </w:tcPr>
          <w:p w14:paraId="50F4C85E"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1 318</w:t>
            </w:r>
          </w:p>
        </w:tc>
        <w:tc>
          <w:tcPr>
            <w:tcW w:w="954" w:type="dxa"/>
            <w:tcBorders>
              <w:top w:val="single" w:sz="4" w:space="0" w:color="000000"/>
              <w:left w:val="single" w:sz="4" w:space="0" w:color="000000"/>
              <w:bottom w:val="single" w:sz="4" w:space="0" w:color="000000"/>
              <w:right w:val="single" w:sz="4" w:space="0" w:color="000000"/>
            </w:tcBorders>
            <w:vAlign w:val="center"/>
            <w:hideMark/>
          </w:tcPr>
          <w:p w14:paraId="59B793B7" w14:textId="77777777" w:rsidR="00587CF0" w:rsidRPr="006645DC" w:rsidRDefault="00587CF0">
            <w:pPr>
              <w:keepNext/>
              <w:keepLines/>
              <w:suppressAutoHyphens/>
              <w:spacing w:before="0" w:after="0" w:line="276" w:lineRule="auto"/>
              <w:jc w:val="right"/>
              <w:rPr>
                <w:rFonts w:eastAsia="Arial" w:cs="Calibri"/>
                <w:kern w:val="2"/>
                <w:lang w:val="en-GB"/>
              </w:rPr>
            </w:pPr>
            <w:r w:rsidRPr="006645DC">
              <w:rPr>
                <w:lang w:val="en-GB"/>
              </w:rPr>
              <w:t>1</w:t>
            </w:r>
            <w:r w:rsidR="002716AE" w:rsidRPr="006645DC">
              <w:rPr>
                <w:lang w:val="en-GB"/>
              </w:rPr>
              <w:t xml:space="preserve"> </w:t>
            </w:r>
            <w:r w:rsidRPr="006645DC">
              <w:rPr>
                <w:lang w:val="en-GB"/>
              </w:rPr>
              <w:t>324</w:t>
            </w:r>
          </w:p>
        </w:tc>
        <w:tc>
          <w:tcPr>
            <w:tcW w:w="1368" w:type="dxa"/>
            <w:tcBorders>
              <w:top w:val="single" w:sz="4" w:space="0" w:color="000000"/>
              <w:left w:val="single" w:sz="4" w:space="0" w:color="000000"/>
              <w:bottom w:val="single" w:sz="4" w:space="0" w:color="000000"/>
              <w:right w:val="nil"/>
            </w:tcBorders>
            <w:vAlign w:val="center"/>
            <w:hideMark/>
          </w:tcPr>
          <w:p w14:paraId="72AABDF3" w14:textId="77777777" w:rsidR="00587CF0" w:rsidRPr="006645DC" w:rsidRDefault="00587CF0">
            <w:pPr>
              <w:keepNext/>
              <w:keepLines/>
              <w:suppressAutoHyphens/>
              <w:spacing w:before="0" w:after="0" w:line="276" w:lineRule="auto"/>
              <w:jc w:val="left"/>
              <w:rPr>
                <w:rFonts w:eastAsia="Arial" w:cs="Calibri"/>
                <w:kern w:val="2"/>
                <w:lang w:val="en-GB"/>
              </w:rPr>
            </w:pPr>
            <w:r w:rsidRPr="006645DC">
              <w:rPr>
                <w:lang w:val="en-GB"/>
              </w:rPr>
              <w:t>Vratsa</w:t>
            </w:r>
          </w:p>
        </w:tc>
        <w:tc>
          <w:tcPr>
            <w:tcW w:w="864" w:type="dxa"/>
            <w:tcBorders>
              <w:top w:val="single" w:sz="4" w:space="0" w:color="000000"/>
              <w:left w:val="single" w:sz="4" w:space="0" w:color="000000"/>
              <w:bottom w:val="single" w:sz="4" w:space="0" w:color="000000"/>
              <w:right w:val="nil"/>
            </w:tcBorders>
            <w:vAlign w:val="center"/>
            <w:hideMark/>
          </w:tcPr>
          <w:p w14:paraId="1B4617C1"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634</w:t>
            </w:r>
          </w:p>
        </w:tc>
        <w:tc>
          <w:tcPr>
            <w:tcW w:w="852" w:type="dxa"/>
            <w:tcBorders>
              <w:top w:val="single" w:sz="4" w:space="0" w:color="000000"/>
              <w:left w:val="single" w:sz="4" w:space="0" w:color="000000"/>
              <w:bottom w:val="single" w:sz="4" w:space="0" w:color="000000"/>
              <w:right w:val="nil"/>
            </w:tcBorders>
            <w:vAlign w:val="center"/>
            <w:hideMark/>
          </w:tcPr>
          <w:p w14:paraId="6B09FFFB"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634</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79AE3B36"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634</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2C2290B6"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637</w:t>
            </w:r>
          </w:p>
        </w:tc>
      </w:tr>
      <w:tr w:rsidR="00587CF0" w:rsidRPr="006645DC" w14:paraId="289E62B7" w14:textId="77777777" w:rsidTr="002716AE">
        <w:trPr>
          <w:trHeight w:val="255"/>
          <w:jc w:val="center"/>
        </w:trPr>
        <w:tc>
          <w:tcPr>
            <w:tcW w:w="1276" w:type="dxa"/>
            <w:tcBorders>
              <w:top w:val="single" w:sz="4" w:space="0" w:color="000000"/>
              <w:left w:val="single" w:sz="4" w:space="0" w:color="000000"/>
              <w:bottom w:val="single" w:sz="4" w:space="0" w:color="000000"/>
              <w:right w:val="nil"/>
            </w:tcBorders>
            <w:vAlign w:val="center"/>
            <w:hideMark/>
          </w:tcPr>
          <w:p w14:paraId="0778EB33" w14:textId="77777777" w:rsidR="00587CF0" w:rsidRPr="006645DC" w:rsidRDefault="00587CF0">
            <w:pPr>
              <w:suppressAutoHyphens/>
              <w:spacing w:before="0" w:after="0" w:line="276" w:lineRule="auto"/>
              <w:rPr>
                <w:rFonts w:eastAsia="Arial" w:cs="Calibri"/>
                <w:kern w:val="2"/>
                <w:lang w:val="en-GB"/>
              </w:rPr>
            </w:pPr>
            <w:r w:rsidRPr="006645DC">
              <w:rPr>
                <w:lang w:val="en-GB"/>
              </w:rPr>
              <w:t>Giurgiu</w:t>
            </w:r>
          </w:p>
        </w:tc>
        <w:tc>
          <w:tcPr>
            <w:tcW w:w="851" w:type="dxa"/>
            <w:tcBorders>
              <w:top w:val="single" w:sz="4" w:space="0" w:color="000000"/>
              <w:left w:val="single" w:sz="4" w:space="0" w:color="000000"/>
              <w:bottom w:val="single" w:sz="4" w:space="0" w:color="000000"/>
              <w:right w:val="nil"/>
            </w:tcBorders>
            <w:vAlign w:val="center"/>
            <w:hideMark/>
          </w:tcPr>
          <w:p w14:paraId="44E3B25C"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1 139</w:t>
            </w:r>
          </w:p>
        </w:tc>
        <w:tc>
          <w:tcPr>
            <w:tcW w:w="850" w:type="dxa"/>
            <w:tcBorders>
              <w:top w:val="single" w:sz="4" w:space="0" w:color="000000"/>
              <w:left w:val="single" w:sz="4" w:space="0" w:color="000000"/>
              <w:bottom w:val="single" w:sz="4" w:space="0" w:color="000000"/>
              <w:right w:val="nil"/>
            </w:tcBorders>
            <w:vAlign w:val="center"/>
            <w:hideMark/>
          </w:tcPr>
          <w:p w14:paraId="6E3E3B0D"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1 139</w:t>
            </w:r>
          </w:p>
        </w:tc>
        <w:tc>
          <w:tcPr>
            <w:tcW w:w="852" w:type="dxa"/>
            <w:tcBorders>
              <w:top w:val="single" w:sz="4" w:space="0" w:color="000000"/>
              <w:left w:val="single" w:sz="4" w:space="0" w:color="000000"/>
              <w:bottom w:val="single" w:sz="4" w:space="0" w:color="000000"/>
              <w:right w:val="nil"/>
            </w:tcBorders>
            <w:vAlign w:val="center"/>
            <w:hideMark/>
          </w:tcPr>
          <w:p w14:paraId="646C5470"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1 143</w:t>
            </w:r>
          </w:p>
        </w:tc>
        <w:tc>
          <w:tcPr>
            <w:tcW w:w="954" w:type="dxa"/>
            <w:tcBorders>
              <w:top w:val="single" w:sz="4" w:space="0" w:color="000000"/>
              <w:left w:val="single" w:sz="4" w:space="0" w:color="000000"/>
              <w:bottom w:val="single" w:sz="4" w:space="0" w:color="000000"/>
              <w:right w:val="single" w:sz="4" w:space="0" w:color="000000"/>
            </w:tcBorders>
            <w:vAlign w:val="center"/>
            <w:hideMark/>
          </w:tcPr>
          <w:p w14:paraId="2AF02A20" w14:textId="77777777" w:rsidR="00587CF0" w:rsidRPr="006645DC" w:rsidRDefault="00587CF0">
            <w:pPr>
              <w:keepNext/>
              <w:keepLines/>
              <w:suppressAutoHyphens/>
              <w:spacing w:before="0" w:after="0" w:line="276" w:lineRule="auto"/>
              <w:jc w:val="right"/>
              <w:rPr>
                <w:rFonts w:eastAsia="Arial" w:cs="Calibri"/>
                <w:kern w:val="2"/>
                <w:lang w:val="en-GB"/>
              </w:rPr>
            </w:pPr>
            <w:r w:rsidRPr="006645DC">
              <w:rPr>
                <w:lang w:val="en-GB"/>
              </w:rPr>
              <w:t>1</w:t>
            </w:r>
            <w:r w:rsidR="002716AE" w:rsidRPr="006645DC">
              <w:rPr>
                <w:lang w:val="en-GB"/>
              </w:rPr>
              <w:t xml:space="preserve"> </w:t>
            </w:r>
            <w:r w:rsidRPr="006645DC">
              <w:rPr>
                <w:lang w:val="en-GB"/>
              </w:rPr>
              <w:t>156</w:t>
            </w:r>
          </w:p>
        </w:tc>
        <w:tc>
          <w:tcPr>
            <w:tcW w:w="1368" w:type="dxa"/>
            <w:tcBorders>
              <w:top w:val="single" w:sz="4" w:space="0" w:color="000000"/>
              <w:left w:val="single" w:sz="4" w:space="0" w:color="000000"/>
              <w:bottom w:val="single" w:sz="4" w:space="0" w:color="000000"/>
              <w:right w:val="nil"/>
            </w:tcBorders>
            <w:vAlign w:val="center"/>
            <w:hideMark/>
          </w:tcPr>
          <w:p w14:paraId="5A8CD482" w14:textId="77777777" w:rsidR="00587CF0" w:rsidRPr="006645DC" w:rsidRDefault="00587CF0">
            <w:pPr>
              <w:keepNext/>
              <w:keepLines/>
              <w:suppressAutoHyphens/>
              <w:spacing w:before="0" w:after="0" w:line="276" w:lineRule="auto"/>
              <w:jc w:val="left"/>
              <w:rPr>
                <w:rFonts w:eastAsia="Arial" w:cs="Calibri"/>
                <w:kern w:val="2"/>
                <w:lang w:val="en-GB"/>
              </w:rPr>
            </w:pPr>
            <w:r w:rsidRPr="006645DC">
              <w:rPr>
                <w:lang w:val="en-GB"/>
              </w:rPr>
              <w:t>Montana</w:t>
            </w:r>
          </w:p>
        </w:tc>
        <w:tc>
          <w:tcPr>
            <w:tcW w:w="864" w:type="dxa"/>
            <w:tcBorders>
              <w:top w:val="single" w:sz="4" w:space="0" w:color="000000"/>
              <w:left w:val="single" w:sz="4" w:space="0" w:color="000000"/>
              <w:bottom w:val="single" w:sz="4" w:space="0" w:color="000000"/>
              <w:right w:val="nil"/>
            </w:tcBorders>
            <w:vAlign w:val="center"/>
            <w:hideMark/>
          </w:tcPr>
          <w:p w14:paraId="67C1529F"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602</w:t>
            </w:r>
          </w:p>
        </w:tc>
        <w:tc>
          <w:tcPr>
            <w:tcW w:w="852" w:type="dxa"/>
            <w:tcBorders>
              <w:top w:val="single" w:sz="4" w:space="0" w:color="000000"/>
              <w:left w:val="single" w:sz="4" w:space="0" w:color="000000"/>
              <w:bottom w:val="single" w:sz="4" w:space="0" w:color="000000"/>
              <w:right w:val="nil"/>
            </w:tcBorders>
            <w:vAlign w:val="center"/>
            <w:hideMark/>
          </w:tcPr>
          <w:p w14:paraId="7E8B7DF7"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602</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486C75A0"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602</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03E94F93"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603</w:t>
            </w:r>
          </w:p>
        </w:tc>
      </w:tr>
      <w:tr w:rsidR="00587CF0" w:rsidRPr="006645DC" w14:paraId="082DDDE0" w14:textId="77777777" w:rsidTr="002716AE">
        <w:trPr>
          <w:trHeight w:val="255"/>
          <w:jc w:val="center"/>
        </w:trPr>
        <w:tc>
          <w:tcPr>
            <w:tcW w:w="1276" w:type="dxa"/>
            <w:tcBorders>
              <w:top w:val="single" w:sz="4" w:space="0" w:color="000000"/>
              <w:left w:val="single" w:sz="4" w:space="0" w:color="000000"/>
              <w:bottom w:val="single" w:sz="4" w:space="0" w:color="000000"/>
              <w:right w:val="nil"/>
            </w:tcBorders>
            <w:vAlign w:val="center"/>
            <w:hideMark/>
          </w:tcPr>
          <w:p w14:paraId="5F3DD5AE" w14:textId="77777777" w:rsidR="00587CF0" w:rsidRPr="006645DC" w:rsidRDefault="00587CF0">
            <w:pPr>
              <w:suppressAutoHyphens/>
              <w:spacing w:before="0" w:after="0" w:line="276" w:lineRule="auto"/>
              <w:rPr>
                <w:rFonts w:eastAsia="Arial" w:cs="Calibri"/>
                <w:kern w:val="2"/>
                <w:lang w:val="en-GB"/>
              </w:rPr>
            </w:pPr>
            <w:r w:rsidRPr="006645DC">
              <w:rPr>
                <w:lang w:val="en-GB"/>
              </w:rPr>
              <w:t>Teleorman</w:t>
            </w:r>
          </w:p>
        </w:tc>
        <w:tc>
          <w:tcPr>
            <w:tcW w:w="851" w:type="dxa"/>
            <w:tcBorders>
              <w:top w:val="single" w:sz="4" w:space="0" w:color="000000"/>
              <w:left w:val="single" w:sz="4" w:space="0" w:color="000000"/>
              <w:bottom w:val="single" w:sz="4" w:space="0" w:color="000000"/>
              <w:right w:val="nil"/>
            </w:tcBorders>
            <w:vAlign w:val="center"/>
            <w:hideMark/>
          </w:tcPr>
          <w:p w14:paraId="623B4DD3"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1 525</w:t>
            </w:r>
          </w:p>
        </w:tc>
        <w:tc>
          <w:tcPr>
            <w:tcW w:w="850" w:type="dxa"/>
            <w:tcBorders>
              <w:top w:val="single" w:sz="4" w:space="0" w:color="000000"/>
              <w:left w:val="single" w:sz="4" w:space="0" w:color="000000"/>
              <w:bottom w:val="single" w:sz="4" w:space="0" w:color="000000"/>
              <w:right w:val="nil"/>
            </w:tcBorders>
            <w:vAlign w:val="center"/>
            <w:hideMark/>
          </w:tcPr>
          <w:p w14:paraId="18257AC9"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1 525</w:t>
            </w:r>
          </w:p>
        </w:tc>
        <w:tc>
          <w:tcPr>
            <w:tcW w:w="852" w:type="dxa"/>
            <w:tcBorders>
              <w:top w:val="single" w:sz="4" w:space="0" w:color="000000"/>
              <w:left w:val="single" w:sz="4" w:space="0" w:color="000000"/>
              <w:bottom w:val="single" w:sz="4" w:space="0" w:color="000000"/>
              <w:right w:val="nil"/>
            </w:tcBorders>
            <w:vAlign w:val="center"/>
            <w:hideMark/>
          </w:tcPr>
          <w:p w14:paraId="70E43068"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1 525</w:t>
            </w:r>
          </w:p>
        </w:tc>
        <w:tc>
          <w:tcPr>
            <w:tcW w:w="954" w:type="dxa"/>
            <w:tcBorders>
              <w:top w:val="single" w:sz="4" w:space="0" w:color="000000"/>
              <w:left w:val="single" w:sz="4" w:space="0" w:color="000000"/>
              <w:bottom w:val="single" w:sz="4" w:space="0" w:color="000000"/>
              <w:right w:val="single" w:sz="4" w:space="0" w:color="000000"/>
            </w:tcBorders>
            <w:vAlign w:val="center"/>
            <w:hideMark/>
          </w:tcPr>
          <w:p w14:paraId="7D21F93E" w14:textId="77777777" w:rsidR="00587CF0" w:rsidRPr="006645DC" w:rsidRDefault="00587CF0">
            <w:pPr>
              <w:keepNext/>
              <w:keepLines/>
              <w:suppressAutoHyphens/>
              <w:spacing w:before="0" w:after="0" w:line="276" w:lineRule="auto"/>
              <w:jc w:val="right"/>
              <w:rPr>
                <w:rFonts w:eastAsia="Arial" w:cs="Calibri"/>
                <w:kern w:val="2"/>
                <w:lang w:val="en-GB"/>
              </w:rPr>
            </w:pPr>
            <w:r w:rsidRPr="006645DC">
              <w:rPr>
                <w:lang w:val="en-GB"/>
              </w:rPr>
              <w:t>1</w:t>
            </w:r>
            <w:r w:rsidR="002716AE" w:rsidRPr="006645DC">
              <w:rPr>
                <w:lang w:val="en-GB"/>
              </w:rPr>
              <w:t xml:space="preserve"> </w:t>
            </w:r>
            <w:r w:rsidRPr="006645DC">
              <w:rPr>
                <w:lang w:val="en-GB"/>
              </w:rPr>
              <w:t>525</w:t>
            </w:r>
          </w:p>
        </w:tc>
        <w:tc>
          <w:tcPr>
            <w:tcW w:w="1368" w:type="dxa"/>
            <w:tcBorders>
              <w:top w:val="single" w:sz="4" w:space="0" w:color="000000"/>
              <w:left w:val="single" w:sz="4" w:space="0" w:color="000000"/>
              <w:bottom w:val="single" w:sz="4" w:space="0" w:color="000000"/>
              <w:right w:val="nil"/>
            </w:tcBorders>
            <w:vAlign w:val="center"/>
            <w:hideMark/>
          </w:tcPr>
          <w:p w14:paraId="1B63BC48" w14:textId="77777777" w:rsidR="00587CF0" w:rsidRPr="006645DC" w:rsidRDefault="00587CF0">
            <w:pPr>
              <w:keepNext/>
              <w:keepLines/>
              <w:suppressAutoHyphens/>
              <w:spacing w:before="0" w:after="0" w:line="276" w:lineRule="auto"/>
              <w:jc w:val="left"/>
              <w:rPr>
                <w:rFonts w:eastAsia="Arial" w:cs="Calibri"/>
                <w:kern w:val="2"/>
                <w:lang w:val="en-GB"/>
              </w:rPr>
            </w:pPr>
            <w:r w:rsidRPr="006645DC">
              <w:rPr>
                <w:lang w:val="en-GB"/>
              </w:rPr>
              <w:t>Pleven</w:t>
            </w:r>
          </w:p>
        </w:tc>
        <w:tc>
          <w:tcPr>
            <w:tcW w:w="864" w:type="dxa"/>
            <w:tcBorders>
              <w:top w:val="single" w:sz="4" w:space="0" w:color="000000"/>
              <w:left w:val="single" w:sz="4" w:space="0" w:color="000000"/>
              <w:bottom w:val="single" w:sz="4" w:space="0" w:color="000000"/>
              <w:right w:val="nil"/>
            </w:tcBorders>
            <w:vAlign w:val="center"/>
            <w:hideMark/>
          </w:tcPr>
          <w:p w14:paraId="5C3ADA44"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791</w:t>
            </w:r>
          </w:p>
        </w:tc>
        <w:tc>
          <w:tcPr>
            <w:tcW w:w="852" w:type="dxa"/>
            <w:tcBorders>
              <w:top w:val="single" w:sz="4" w:space="0" w:color="000000"/>
              <w:left w:val="single" w:sz="4" w:space="0" w:color="000000"/>
              <w:bottom w:val="single" w:sz="4" w:space="0" w:color="000000"/>
              <w:right w:val="nil"/>
            </w:tcBorders>
            <w:vAlign w:val="center"/>
            <w:hideMark/>
          </w:tcPr>
          <w:p w14:paraId="58D440D0"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791</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61C74ACB"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791</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358D48C8"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791</w:t>
            </w:r>
          </w:p>
        </w:tc>
      </w:tr>
      <w:tr w:rsidR="00587CF0" w:rsidRPr="006645DC" w14:paraId="2A3289D1" w14:textId="77777777" w:rsidTr="002716AE">
        <w:trPr>
          <w:trHeight w:val="255"/>
          <w:jc w:val="center"/>
        </w:trPr>
        <w:tc>
          <w:tcPr>
            <w:tcW w:w="1276" w:type="dxa"/>
            <w:tcBorders>
              <w:top w:val="single" w:sz="4" w:space="0" w:color="000000"/>
              <w:left w:val="single" w:sz="4" w:space="0" w:color="000000"/>
              <w:bottom w:val="single" w:sz="4" w:space="0" w:color="000000"/>
              <w:right w:val="nil"/>
            </w:tcBorders>
            <w:vAlign w:val="center"/>
            <w:hideMark/>
          </w:tcPr>
          <w:p w14:paraId="62A59D36" w14:textId="77777777" w:rsidR="00587CF0" w:rsidRPr="006645DC" w:rsidRDefault="00587CF0">
            <w:pPr>
              <w:suppressAutoHyphens/>
              <w:spacing w:before="0" w:after="0" w:line="276" w:lineRule="auto"/>
              <w:rPr>
                <w:rFonts w:eastAsia="Arial" w:cs="Calibri"/>
                <w:kern w:val="2"/>
                <w:lang w:val="en-GB"/>
              </w:rPr>
            </w:pPr>
            <w:r w:rsidRPr="006645DC">
              <w:rPr>
                <w:lang w:val="en-GB"/>
              </w:rPr>
              <w:t>Olt</w:t>
            </w:r>
          </w:p>
        </w:tc>
        <w:tc>
          <w:tcPr>
            <w:tcW w:w="851" w:type="dxa"/>
            <w:tcBorders>
              <w:top w:val="single" w:sz="4" w:space="0" w:color="000000"/>
              <w:left w:val="single" w:sz="4" w:space="0" w:color="000000"/>
              <w:bottom w:val="single" w:sz="4" w:space="0" w:color="000000"/>
              <w:right w:val="nil"/>
            </w:tcBorders>
            <w:vAlign w:val="center"/>
            <w:hideMark/>
          </w:tcPr>
          <w:p w14:paraId="068CFB5C"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2 176</w:t>
            </w:r>
          </w:p>
        </w:tc>
        <w:tc>
          <w:tcPr>
            <w:tcW w:w="850" w:type="dxa"/>
            <w:tcBorders>
              <w:top w:val="single" w:sz="4" w:space="0" w:color="000000"/>
              <w:left w:val="single" w:sz="4" w:space="0" w:color="000000"/>
              <w:bottom w:val="single" w:sz="4" w:space="0" w:color="000000"/>
              <w:right w:val="nil"/>
            </w:tcBorders>
            <w:vAlign w:val="center"/>
            <w:hideMark/>
          </w:tcPr>
          <w:p w14:paraId="6993AA9F"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2 176</w:t>
            </w:r>
          </w:p>
        </w:tc>
        <w:tc>
          <w:tcPr>
            <w:tcW w:w="852" w:type="dxa"/>
            <w:tcBorders>
              <w:top w:val="single" w:sz="4" w:space="0" w:color="000000"/>
              <w:left w:val="single" w:sz="4" w:space="0" w:color="000000"/>
              <w:bottom w:val="single" w:sz="4" w:space="0" w:color="000000"/>
              <w:right w:val="nil"/>
            </w:tcBorders>
            <w:vAlign w:val="center"/>
            <w:hideMark/>
          </w:tcPr>
          <w:p w14:paraId="61058A6C"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2 176</w:t>
            </w:r>
          </w:p>
        </w:tc>
        <w:tc>
          <w:tcPr>
            <w:tcW w:w="954" w:type="dxa"/>
            <w:tcBorders>
              <w:top w:val="single" w:sz="4" w:space="0" w:color="000000"/>
              <w:left w:val="single" w:sz="4" w:space="0" w:color="000000"/>
              <w:bottom w:val="single" w:sz="4" w:space="0" w:color="000000"/>
              <w:right w:val="single" w:sz="4" w:space="0" w:color="000000"/>
            </w:tcBorders>
            <w:vAlign w:val="center"/>
            <w:hideMark/>
          </w:tcPr>
          <w:p w14:paraId="2C9C4A52" w14:textId="77777777" w:rsidR="00587CF0" w:rsidRPr="006645DC" w:rsidRDefault="00587CF0">
            <w:pPr>
              <w:keepNext/>
              <w:keepLines/>
              <w:suppressAutoHyphens/>
              <w:spacing w:before="0" w:after="0" w:line="276" w:lineRule="auto"/>
              <w:jc w:val="right"/>
              <w:rPr>
                <w:rFonts w:eastAsia="Arial" w:cs="Calibri"/>
                <w:kern w:val="2"/>
                <w:lang w:val="en-GB"/>
              </w:rPr>
            </w:pPr>
            <w:r w:rsidRPr="006645DC">
              <w:rPr>
                <w:lang w:val="en-GB"/>
              </w:rPr>
              <w:t>2</w:t>
            </w:r>
            <w:r w:rsidR="002716AE" w:rsidRPr="006645DC">
              <w:rPr>
                <w:lang w:val="en-GB"/>
              </w:rPr>
              <w:t xml:space="preserve"> </w:t>
            </w:r>
            <w:r w:rsidRPr="006645DC">
              <w:rPr>
                <w:lang w:val="en-GB"/>
              </w:rPr>
              <w:t>176</w:t>
            </w:r>
          </w:p>
        </w:tc>
        <w:tc>
          <w:tcPr>
            <w:tcW w:w="1368" w:type="dxa"/>
            <w:tcBorders>
              <w:top w:val="single" w:sz="4" w:space="0" w:color="000000"/>
              <w:left w:val="single" w:sz="4" w:space="0" w:color="000000"/>
              <w:bottom w:val="single" w:sz="4" w:space="0" w:color="000000"/>
              <w:right w:val="nil"/>
            </w:tcBorders>
            <w:vAlign w:val="center"/>
            <w:hideMark/>
          </w:tcPr>
          <w:p w14:paraId="02DBF3A6" w14:textId="77777777" w:rsidR="00587CF0" w:rsidRPr="006645DC" w:rsidRDefault="00587CF0">
            <w:pPr>
              <w:keepNext/>
              <w:keepLines/>
              <w:suppressAutoHyphens/>
              <w:spacing w:before="0" w:after="0" w:line="276" w:lineRule="auto"/>
              <w:jc w:val="left"/>
              <w:rPr>
                <w:rFonts w:eastAsia="Arial" w:cs="Calibri"/>
                <w:kern w:val="2"/>
                <w:lang w:val="en-GB"/>
              </w:rPr>
            </w:pPr>
            <w:r w:rsidRPr="006645DC">
              <w:rPr>
                <w:lang w:val="en-GB"/>
              </w:rPr>
              <w:t>Veliko Târnovo</w:t>
            </w:r>
          </w:p>
        </w:tc>
        <w:tc>
          <w:tcPr>
            <w:tcW w:w="864" w:type="dxa"/>
            <w:tcBorders>
              <w:top w:val="single" w:sz="4" w:space="0" w:color="000000"/>
              <w:left w:val="single" w:sz="4" w:space="0" w:color="000000"/>
              <w:bottom w:val="single" w:sz="4" w:space="0" w:color="000000"/>
              <w:right w:val="nil"/>
            </w:tcBorders>
            <w:vAlign w:val="center"/>
            <w:hideMark/>
          </w:tcPr>
          <w:p w14:paraId="4B1EE233"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937</w:t>
            </w:r>
          </w:p>
        </w:tc>
        <w:tc>
          <w:tcPr>
            <w:tcW w:w="852" w:type="dxa"/>
            <w:tcBorders>
              <w:top w:val="single" w:sz="4" w:space="0" w:color="000000"/>
              <w:left w:val="single" w:sz="4" w:space="0" w:color="000000"/>
              <w:bottom w:val="single" w:sz="4" w:space="0" w:color="000000"/>
              <w:right w:val="nil"/>
            </w:tcBorders>
            <w:vAlign w:val="center"/>
            <w:hideMark/>
          </w:tcPr>
          <w:p w14:paraId="7AD88F86"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937</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61070615"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937</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65813DF3"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937</w:t>
            </w:r>
          </w:p>
        </w:tc>
      </w:tr>
      <w:tr w:rsidR="00587CF0" w:rsidRPr="006645DC" w14:paraId="74053DC5" w14:textId="77777777" w:rsidTr="002716AE">
        <w:trPr>
          <w:trHeight w:val="255"/>
          <w:jc w:val="center"/>
        </w:trPr>
        <w:tc>
          <w:tcPr>
            <w:tcW w:w="1276" w:type="dxa"/>
            <w:tcBorders>
              <w:top w:val="single" w:sz="4" w:space="0" w:color="000000"/>
              <w:left w:val="single" w:sz="4" w:space="0" w:color="000000"/>
              <w:bottom w:val="single" w:sz="4" w:space="0" w:color="000000"/>
              <w:right w:val="nil"/>
            </w:tcBorders>
            <w:vAlign w:val="center"/>
            <w:hideMark/>
          </w:tcPr>
          <w:p w14:paraId="6FDDD809" w14:textId="77777777" w:rsidR="00587CF0" w:rsidRPr="006645DC" w:rsidRDefault="00587CF0">
            <w:pPr>
              <w:suppressAutoHyphens/>
              <w:spacing w:before="0" w:after="0" w:line="276" w:lineRule="auto"/>
              <w:rPr>
                <w:rFonts w:eastAsia="Arial" w:cs="Calibri"/>
                <w:kern w:val="2"/>
                <w:lang w:val="en-GB"/>
              </w:rPr>
            </w:pPr>
            <w:r w:rsidRPr="006645DC">
              <w:rPr>
                <w:lang w:val="en-GB"/>
              </w:rPr>
              <w:t>Dolj</w:t>
            </w:r>
          </w:p>
        </w:tc>
        <w:tc>
          <w:tcPr>
            <w:tcW w:w="851" w:type="dxa"/>
            <w:tcBorders>
              <w:top w:val="single" w:sz="4" w:space="0" w:color="000000"/>
              <w:left w:val="single" w:sz="4" w:space="0" w:color="000000"/>
              <w:bottom w:val="single" w:sz="4" w:space="0" w:color="000000"/>
              <w:right w:val="nil"/>
            </w:tcBorders>
            <w:vAlign w:val="center"/>
            <w:hideMark/>
          </w:tcPr>
          <w:p w14:paraId="2CB5CB8E"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2 211</w:t>
            </w:r>
          </w:p>
        </w:tc>
        <w:tc>
          <w:tcPr>
            <w:tcW w:w="850" w:type="dxa"/>
            <w:tcBorders>
              <w:top w:val="single" w:sz="4" w:space="0" w:color="000000"/>
              <w:left w:val="single" w:sz="4" w:space="0" w:color="000000"/>
              <w:bottom w:val="single" w:sz="4" w:space="0" w:color="000000"/>
              <w:right w:val="nil"/>
            </w:tcBorders>
            <w:vAlign w:val="center"/>
            <w:hideMark/>
          </w:tcPr>
          <w:p w14:paraId="554ECAD8"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2 242</w:t>
            </w:r>
          </w:p>
        </w:tc>
        <w:tc>
          <w:tcPr>
            <w:tcW w:w="852" w:type="dxa"/>
            <w:tcBorders>
              <w:top w:val="single" w:sz="4" w:space="0" w:color="000000"/>
              <w:left w:val="single" w:sz="4" w:space="0" w:color="000000"/>
              <w:bottom w:val="single" w:sz="4" w:space="0" w:color="000000"/>
              <w:right w:val="nil"/>
            </w:tcBorders>
            <w:vAlign w:val="center"/>
            <w:hideMark/>
          </w:tcPr>
          <w:p w14:paraId="4AC8AC84"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2 268</w:t>
            </w:r>
          </w:p>
        </w:tc>
        <w:tc>
          <w:tcPr>
            <w:tcW w:w="954" w:type="dxa"/>
            <w:tcBorders>
              <w:top w:val="single" w:sz="4" w:space="0" w:color="000000"/>
              <w:left w:val="single" w:sz="4" w:space="0" w:color="000000"/>
              <w:bottom w:val="single" w:sz="4" w:space="0" w:color="000000"/>
              <w:right w:val="single" w:sz="4" w:space="0" w:color="000000"/>
            </w:tcBorders>
            <w:vAlign w:val="center"/>
            <w:hideMark/>
          </w:tcPr>
          <w:p w14:paraId="0F8F1AF3" w14:textId="77777777" w:rsidR="00587CF0" w:rsidRPr="006645DC" w:rsidRDefault="00587CF0">
            <w:pPr>
              <w:keepNext/>
              <w:keepLines/>
              <w:suppressAutoHyphens/>
              <w:spacing w:before="0" w:after="0" w:line="276" w:lineRule="auto"/>
              <w:jc w:val="right"/>
              <w:rPr>
                <w:rFonts w:eastAsia="Arial" w:cs="Calibri"/>
                <w:kern w:val="2"/>
                <w:lang w:val="en-GB"/>
              </w:rPr>
            </w:pPr>
            <w:r w:rsidRPr="006645DC">
              <w:rPr>
                <w:lang w:val="en-GB"/>
              </w:rPr>
              <w:t>2</w:t>
            </w:r>
            <w:r w:rsidR="002716AE" w:rsidRPr="006645DC">
              <w:rPr>
                <w:lang w:val="en-GB"/>
              </w:rPr>
              <w:t xml:space="preserve"> </w:t>
            </w:r>
            <w:r w:rsidRPr="006645DC">
              <w:rPr>
                <w:lang w:val="en-GB"/>
              </w:rPr>
              <w:t>406</w:t>
            </w:r>
          </w:p>
        </w:tc>
        <w:tc>
          <w:tcPr>
            <w:tcW w:w="1368" w:type="dxa"/>
            <w:tcBorders>
              <w:top w:val="single" w:sz="4" w:space="0" w:color="000000"/>
              <w:left w:val="single" w:sz="4" w:space="0" w:color="000000"/>
              <w:bottom w:val="single" w:sz="4" w:space="0" w:color="000000"/>
              <w:right w:val="nil"/>
            </w:tcBorders>
            <w:vAlign w:val="center"/>
            <w:hideMark/>
          </w:tcPr>
          <w:p w14:paraId="00098B56" w14:textId="77777777" w:rsidR="00587CF0" w:rsidRPr="006645DC" w:rsidRDefault="00587CF0">
            <w:pPr>
              <w:keepNext/>
              <w:keepLines/>
              <w:suppressAutoHyphens/>
              <w:spacing w:before="0" w:after="0" w:line="276" w:lineRule="auto"/>
              <w:jc w:val="left"/>
              <w:rPr>
                <w:rFonts w:eastAsia="Arial" w:cs="Calibri"/>
                <w:kern w:val="2"/>
                <w:lang w:val="en-GB"/>
              </w:rPr>
            </w:pPr>
            <w:r w:rsidRPr="006645DC">
              <w:rPr>
                <w:lang w:val="en-GB"/>
              </w:rPr>
              <w:t>Dobrich</w:t>
            </w:r>
          </w:p>
        </w:tc>
        <w:tc>
          <w:tcPr>
            <w:tcW w:w="864" w:type="dxa"/>
            <w:tcBorders>
              <w:top w:val="single" w:sz="4" w:space="0" w:color="000000"/>
              <w:left w:val="single" w:sz="4" w:space="0" w:color="000000"/>
              <w:bottom w:val="single" w:sz="4" w:space="0" w:color="000000"/>
              <w:right w:val="nil"/>
            </w:tcBorders>
            <w:vAlign w:val="center"/>
            <w:hideMark/>
          </w:tcPr>
          <w:p w14:paraId="0933186B"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826</w:t>
            </w:r>
          </w:p>
        </w:tc>
        <w:tc>
          <w:tcPr>
            <w:tcW w:w="852" w:type="dxa"/>
            <w:tcBorders>
              <w:top w:val="single" w:sz="4" w:space="0" w:color="000000"/>
              <w:left w:val="single" w:sz="4" w:space="0" w:color="000000"/>
              <w:bottom w:val="single" w:sz="4" w:space="0" w:color="000000"/>
              <w:right w:val="nil"/>
            </w:tcBorders>
            <w:vAlign w:val="center"/>
            <w:hideMark/>
          </w:tcPr>
          <w:p w14:paraId="083C80DD"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826</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14286411"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826</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6C938FEC"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826</w:t>
            </w:r>
          </w:p>
        </w:tc>
      </w:tr>
      <w:tr w:rsidR="00587CF0" w:rsidRPr="006645DC" w14:paraId="320D1BAE" w14:textId="77777777" w:rsidTr="002716AE">
        <w:trPr>
          <w:trHeight w:val="255"/>
          <w:jc w:val="center"/>
        </w:trPr>
        <w:tc>
          <w:tcPr>
            <w:tcW w:w="1276" w:type="dxa"/>
            <w:tcBorders>
              <w:top w:val="single" w:sz="4" w:space="0" w:color="000000"/>
              <w:left w:val="single" w:sz="4" w:space="0" w:color="000000"/>
              <w:bottom w:val="single" w:sz="4" w:space="0" w:color="000000"/>
              <w:right w:val="nil"/>
            </w:tcBorders>
            <w:vAlign w:val="center"/>
            <w:hideMark/>
          </w:tcPr>
          <w:p w14:paraId="081FB212" w14:textId="77777777" w:rsidR="00587CF0" w:rsidRPr="006645DC" w:rsidRDefault="00587CF0">
            <w:pPr>
              <w:suppressAutoHyphens/>
              <w:spacing w:before="0" w:after="0" w:line="276" w:lineRule="auto"/>
              <w:rPr>
                <w:rFonts w:eastAsia="Arial" w:cs="Calibri"/>
                <w:kern w:val="2"/>
                <w:lang w:val="en-GB"/>
              </w:rPr>
            </w:pPr>
            <w:r w:rsidRPr="006645DC">
              <w:rPr>
                <w:lang w:val="en-GB"/>
              </w:rPr>
              <w:t>Mehedinţi</w:t>
            </w:r>
          </w:p>
        </w:tc>
        <w:tc>
          <w:tcPr>
            <w:tcW w:w="851" w:type="dxa"/>
            <w:tcBorders>
              <w:top w:val="single" w:sz="4" w:space="0" w:color="000000"/>
              <w:left w:val="single" w:sz="4" w:space="0" w:color="000000"/>
              <w:bottom w:val="single" w:sz="4" w:space="0" w:color="000000"/>
              <w:right w:val="nil"/>
            </w:tcBorders>
            <w:vAlign w:val="center"/>
            <w:hideMark/>
          </w:tcPr>
          <w:p w14:paraId="42FF079F"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1 861</w:t>
            </w:r>
          </w:p>
        </w:tc>
        <w:tc>
          <w:tcPr>
            <w:tcW w:w="850" w:type="dxa"/>
            <w:tcBorders>
              <w:top w:val="single" w:sz="4" w:space="0" w:color="000000"/>
              <w:left w:val="single" w:sz="4" w:space="0" w:color="000000"/>
              <w:bottom w:val="single" w:sz="4" w:space="0" w:color="000000"/>
              <w:right w:val="nil"/>
            </w:tcBorders>
            <w:vAlign w:val="center"/>
            <w:hideMark/>
          </w:tcPr>
          <w:p w14:paraId="4CD4499C"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1 857</w:t>
            </w:r>
          </w:p>
        </w:tc>
        <w:tc>
          <w:tcPr>
            <w:tcW w:w="852" w:type="dxa"/>
            <w:tcBorders>
              <w:top w:val="single" w:sz="4" w:space="0" w:color="000000"/>
              <w:left w:val="single" w:sz="4" w:space="0" w:color="000000"/>
              <w:bottom w:val="single" w:sz="4" w:space="0" w:color="000000"/>
              <w:right w:val="nil"/>
            </w:tcBorders>
            <w:vAlign w:val="center"/>
            <w:hideMark/>
          </w:tcPr>
          <w:p w14:paraId="0718C044"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1 857</w:t>
            </w:r>
          </w:p>
        </w:tc>
        <w:tc>
          <w:tcPr>
            <w:tcW w:w="954" w:type="dxa"/>
            <w:tcBorders>
              <w:top w:val="single" w:sz="4" w:space="0" w:color="000000"/>
              <w:left w:val="single" w:sz="4" w:space="0" w:color="000000"/>
              <w:bottom w:val="single" w:sz="4" w:space="0" w:color="000000"/>
              <w:right w:val="single" w:sz="4" w:space="0" w:color="000000"/>
            </w:tcBorders>
            <w:vAlign w:val="center"/>
            <w:hideMark/>
          </w:tcPr>
          <w:p w14:paraId="5B9494F8" w14:textId="77777777" w:rsidR="00587CF0" w:rsidRPr="006645DC" w:rsidRDefault="00587CF0">
            <w:pPr>
              <w:keepNext/>
              <w:keepLines/>
              <w:suppressAutoHyphens/>
              <w:spacing w:before="0" w:after="0" w:line="276" w:lineRule="auto"/>
              <w:jc w:val="right"/>
              <w:rPr>
                <w:rFonts w:eastAsia="Arial" w:cs="Calibri"/>
                <w:kern w:val="2"/>
                <w:lang w:val="en-GB"/>
              </w:rPr>
            </w:pPr>
            <w:r w:rsidRPr="006645DC">
              <w:rPr>
                <w:lang w:val="en-GB"/>
              </w:rPr>
              <w:t>1</w:t>
            </w:r>
            <w:r w:rsidR="002716AE" w:rsidRPr="006645DC">
              <w:rPr>
                <w:lang w:val="en-GB"/>
              </w:rPr>
              <w:t xml:space="preserve"> </w:t>
            </w:r>
            <w:r w:rsidRPr="006645DC">
              <w:rPr>
                <w:lang w:val="en-GB"/>
              </w:rPr>
              <w:t>858</w:t>
            </w:r>
          </w:p>
        </w:tc>
        <w:tc>
          <w:tcPr>
            <w:tcW w:w="1368" w:type="dxa"/>
            <w:tcBorders>
              <w:top w:val="single" w:sz="4" w:space="0" w:color="000000"/>
              <w:left w:val="single" w:sz="4" w:space="0" w:color="000000"/>
              <w:bottom w:val="single" w:sz="4" w:space="0" w:color="000000"/>
              <w:right w:val="nil"/>
            </w:tcBorders>
            <w:vAlign w:val="center"/>
            <w:hideMark/>
          </w:tcPr>
          <w:p w14:paraId="6E23C4A2" w14:textId="77777777" w:rsidR="00587CF0" w:rsidRPr="006645DC" w:rsidRDefault="00587CF0">
            <w:pPr>
              <w:keepNext/>
              <w:keepLines/>
              <w:suppressAutoHyphens/>
              <w:spacing w:before="0" w:after="0" w:line="276" w:lineRule="auto"/>
              <w:jc w:val="left"/>
              <w:rPr>
                <w:rFonts w:eastAsia="Arial" w:cs="Calibri"/>
                <w:kern w:val="2"/>
                <w:lang w:val="en-GB"/>
              </w:rPr>
            </w:pPr>
            <w:r w:rsidRPr="006645DC">
              <w:rPr>
                <w:lang w:val="en-GB"/>
              </w:rPr>
              <w:t>Ruse</w:t>
            </w:r>
          </w:p>
        </w:tc>
        <w:tc>
          <w:tcPr>
            <w:tcW w:w="864" w:type="dxa"/>
            <w:tcBorders>
              <w:top w:val="single" w:sz="4" w:space="0" w:color="000000"/>
              <w:left w:val="single" w:sz="4" w:space="0" w:color="000000"/>
              <w:bottom w:val="single" w:sz="4" w:space="0" w:color="000000"/>
              <w:right w:val="nil"/>
            </w:tcBorders>
            <w:vAlign w:val="center"/>
            <w:hideMark/>
          </w:tcPr>
          <w:p w14:paraId="6D3B732F"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512</w:t>
            </w:r>
          </w:p>
        </w:tc>
        <w:tc>
          <w:tcPr>
            <w:tcW w:w="852" w:type="dxa"/>
            <w:tcBorders>
              <w:top w:val="single" w:sz="4" w:space="0" w:color="000000"/>
              <w:left w:val="single" w:sz="4" w:space="0" w:color="000000"/>
              <w:bottom w:val="single" w:sz="4" w:space="0" w:color="000000"/>
              <w:right w:val="nil"/>
            </w:tcBorders>
            <w:vAlign w:val="center"/>
            <w:hideMark/>
          </w:tcPr>
          <w:p w14:paraId="1CBEC77D"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512</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5DF7D229"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512</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0746613D"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512</w:t>
            </w:r>
          </w:p>
        </w:tc>
      </w:tr>
      <w:tr w:rsidR="00587CF0" w:rsidRPr="006645DC" w14:paraId="3C2D1E07" w14:textId="77777777" w:rsidTr="002716AE">
        <w:trPr>
          <w:trHeight w:val="255"/>
          <w:jc w:val="center"/>
        </w:trPr>
        <w:tc>
          <w:tcPr>
            <w:tcW w:w="1276" w:type="dxa"/>
            <w:tcBorders>
              <w:top w:val="single" w:sz="4" w:space="0" w:color="000000"/>
              <w:left w:val="single" w:sz="4" w:space="0" w:color="000000"/>
              <w:bottom w:val="single" w:sz="4" w:space="0" w:color="000000"/>
              <w:right w:val="nil"/>
            </w:tcBorders>
            <w:vAlign w:val="center"/>
          </w:tcPr>
          <w:p w14:paraId="3BEBB6BB" w14:textId="77777777" w:rsidR="00587CF0" w:rsidRPr="006645DC" w:rsidRDefault="00587CF0">
            <w:pPr>
              <w:suppressAutoHyphens/>
              <w:spacing w:before="0" w:after="0" w:line="276" w:lineRule="auto"/>
              <w:rPr>
                <w:rFonts w:eastAsia="Arial" w:cs="Calibri"/>
                <w:kern w:val="2"/>
                <w:lang w:val="en-GB"/>
              </w:rPr>
            </w:pPr>
          </w:p>
        </w:tc>
        <w:tc>
          <w:tcPr>
            <w:tcW w:w="851" w:type="dxa"/>
            <w:tcBorders>
              <w:top w:val="single" w:sz="4" w:space="0" w:color="000000"/>
              <w:left w:val="single" w:sz="4" w:space="0" w:color="000000"/>
              <w:bottom w:val="single" w:sz="4" w:space="0" w:color="000000"/>
              <w:right w:val="nil"/>
            </w:tcBorders>
            <w:vAlign w:val="bottom"/>
          </w:tcPr>
          <w:p w14:paraId="5CCDF993" w14:textId="77777777" w:rsidR="00587CF0" w:rsidRPr="006645DC" w:rsidRDefault="00587CF0">
            <w:pPr>
              <w:keepNext/>
              <w:keepLines/>
              <w:suppressAutoHyphens/>
              <w:spacing w:before="0" w:after="0" w:line="100" w:lineRule="atLeast"/>
              <w:jc w:val="right"/>
              <w:rPr>
                <w:rFonts w:eastAsia="Arial" w:cs="Calibri"/>
                <w:b/>
                <w:kern w:val="2"/>
                <w:lang w:val="en-GB"/>
              </w:rPr>
            </w:pPr>
          </w:p>
        </w:tc>
        <w:tc>
          <w:tcPr>
            <w:tcW w:w="850" w:type="dxa"/>
            <w:tcBorders>
              <w:top w:val="single" w:sz="4" w:space="0" w:color="000000"/>
              <w:left w:val="single" w:sz="4" w:space="0" w:color="000000"/>
              <w:bottom w:val="single" w:sz="4" w:space="0" w:color="000000"/>
              <w:right w:val="nil"/>
            </w:tcBorders>
            <w:vAlign w:val="bottom"/>
          </w:tcPr>
          <w:p w14:paraId="64EC6DD8" w14:textId="77777777" w:rsidR="00587CF0" w:rsidRPr="006645DC" w:rsidRDefault="00587CF0">
            <w:pPr>
              <w:keepNext/>
              <w:keepLines/>
              <w:suppressAutoHyphens/>
              <w:spacing w:before="0" w:after="0" w:line="100" w:lineRule="atLeast"/>
              <w:jc w:val="right"/>
              <w:rPr>
                <w:rFonts w:eastAsia="Arial" w:cs="Calibri"/>
                <w:b/>
                <w:kern w:val="2"/>
                <w:lang w:val="en-GB"/>
              </w:rPr>
            </w:pPr>
          </w:p>
        </w:tc>
        <w:tc>
          <w:tcPr>
            <w:tcW w:w="852" w:type="dxa"/>
            <w:tcBorders>
              <w:top w:val="single" w:sz="4" w:space="0" w:color="000000"/>
              <w:left w:val="single" w:sz="4" w:space="0" w:color="000000"/>
              <w:bottom w:val="single" w:sz="4" w:space="0" w:color="000000"/>
              <w:right w:val="nil"/>
            </w:tcBorders>
            <w:vAlign w:val="bottom"/>
          </w:tcPr>
          <w:p w14:paraId="5D3ED175" w14:textId="77777777" w:rsidR="00587CF0" w:rsidRPr="006645DC" w:rsidRDefault="00587CF0">
            <w:pPr>
              <w:keepNext/>
              <w:keepLines/>
              <w:suppressAutoHyphens/>
              <w:spacing w:before="0" w:after="0" w:line="100" w:lineRule="atLeast"/>
              <w:jc w:val="right"/>
              <w:rPr>
                <w:rFonts w:eastAsia="Arial" w:cs="Calibri"/>
                <w:b/>
                <w:kern w:val="2"/>
                <w:lang w:val="en-GB"/>
              </w:rPr>
            </w:pPr>
          </w:p>
        </w:tc>
        <w:tc>
          <w:tcPr>
            <w:tcW w:w="954" w:type="dxa"/>
            <w:tcBorders>
              <w:top w:val="single" w:sz="4" w:space="0" w:color="000000"/>
              <w:left w:val="single" w:sz="4" w:space="0" w:color="000000"/>
              <w:bottom w:val="single" w:sz="4" w:space="0" w:color="000000"/>
              <w:right w:val="single" w:sz="4" w:space="0" w:color="000000"/>
            </w:tcBorders>
            <w:vAlign w:val="center"/>
          </w:tcPr>
          <w:p w14:paraId="4DF6551D" w14:textId="77777777" w:rsidR="00587CF0" w:rsidRPr="006645DC" w:rsidRDefault="00587CF0">
            <w:pPr>
              <w:keepNext/>
              <w:keepLines/>
              <w:suppressAutoHyphens/>
              <w:spacing w:before="0" w:after="0" w:line="276" w:lineRule="auto"/>
              <w:jc w:val="right"/>
              <w:rPr>
                <w:rFonts w:eastAsia="Arial" w:cs="Calibri"/>
                <w:kern w:val="2"/>
                <w:lang w:val="en-GB"/>
              </w:rPr>
            </w:pPr>
          </w:p>
        </w:tc>
        <w:tc>
          <w:tcPr>
            <w:tcW w:w="1368" w:type="dxa"/>
            <w:tcBorders>
              <w:top w:val="single" w:sz="4" w:space="0" w:color="000000"/>
              <w:left w:val="single" w:sz="4" w:space="0" w:color="000000"/>
              <w:bottom w:val="single" w:sz="4" w:space="0" w:color="000000"/>
              <w:right w:val="nil"/>
            </w:tcBorders>
            <w:vAlign w:val="center"/>
            <w:hideMark/>
          </w:tcPr>
          <w:p w14:paraId="7E2C0AAE" w14:textId="77777777" w:rsidR="00587CF0" w:rsidRPr="006645DC" w:rsidRDefault="00587CF0">
            <w:pPr>
              <w:keepNext/>
              <w:keepLines/>
              <w:suppressAutoHyphens/>
              <w:spacing w:before="0" w:after="0" w:line="276" w:lineRule="auto"/>
              <w:jc w:val="left"/>
              <w:rPr>
                <w:rFonts w:eastAsia="Arial" w:cs="Calibri"/>
                <w:kern w:val="2"/>
                <w:lang w:val="en-GB"/>
              </w:rPr>
            </w:pPr>
            <w:r w:rsidRPr="006645DC">
              <w:rPr>
                <w:lang w:val="en-GB"/>
              </w:rPr>
              <w:t>Silistra</w:t>
            </w:r>
          </w:p>
        </w:tc>
        <w:tc>
          <w:tcPr>
            <w:tcW w:w="864" w:type="dxa"/>
            <w:tcBorders>
              <w:top w:val="single" w:sz="4" w:space="0" w:color="000000"/>
              <w:left w:val="single" w:sz="4" w:space="0" w:color="000000"/>
              <w:bottom w:val="single" w:sz="4" w:space="0" w:color="000000"/>
              <w:right w:val="nil"/>
            </w:tcBorders>
            <w:vAlign w:val="center"/>
            <w:hideMark/>
          </w:tcPr>
          <w:p w14:paraId="7AA2AA8C"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506</w:t>
            </w:r>
          </w:p>
        </w:tc>
        <w:tc>
          <w:tcPr>
            <w:tcW w:w="852" w:type="dxa"/>
            <w:tcBorders>
              <w:top w:val="single" w:sz="4" w:space="0" w:color="000000"/>
              <w:left w:val="single" w:sz="4" w:space="0" w:color="000000"/>
              <w:bottom w:val="single" w:sz="4" w:space="0" w:color="000000"/>
              <w:right w:val="nil"/>
            </w:tcBorders>
            <w:vAlign w:val="center"/>
            <w:hideMark/>
          </w:tcPr>
          <w:p w14:paraId="4D75A815"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506</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35BE04C5"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506</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55C9DCEC" w14:textId="77777777" w:rsidR="00587CF0" w:rsidRPr="006645DC" w:rsidRDefault="00587CF0">
            <w:pPr>
              <w:keepNext/>
              <w:keepLines/>
              <w:suppressAutoHyphens/>
              <w:spacing w:before="0" w:after="0" w:line="100" w:lineRule="atLeast"/>
              <w:jc w:val="right"/>
              <w:rPr>
                <w:rFonts w:eastAsia="Arial" w:cs="Calibri"/>
                <w:kern w:val="2"/>
                <w:lang w:val="en-GB"/>
              </w:rPr>
            </w:pPr>
            <w:r w:rsidRPr="006645DC">
              <w:rPr>
                <w:lang w:val="en-GB"/>
              </w:rPr>
              <w:t>506</w:t>
            </w:r>
          </w:p>
        </w:tc>
      </w:tr>
    </w:tbl>
    <w:p w14:paraId="29E5D9A5" w14:textId="77777777" w:rsidR="00587CF0" w:rsidRPr="006645DC" w:rsidRDefault="00587CF0" w:rsidP="00587CF0">
      <w:pPr>
        <w:pStyle w:val="Lgende1"/>
        <w:rPr>
          <w:kern w:val="2"/>
          <w:lang w:val="en-GB"/>
        </w:rPr>
      </w:pPr>
      <w:bookmarkStart w:id="138" w:name="_Toc391150104"/>
      <w:r w:rsidRPr="006645DC">
        <w:rPr>
          <w:lang w:val="en-GB"/>
        </w:rPr>
        <w:t xml:space="preserve">Table </w:t>
      </w:r>
      <w:r w:rsidR="005979EB" w:rsidRPr="006645DC">
        <w:rPr>
          <w:lang w:val="en-GB"/>
        </w:rPr>
        <w:fldChar w:fldCharType="begin"/>
      </w:r>
      <w:r w:rsidRPr="006645DC">
        <w:rPr>
          <w:lang w:val="en-GB"/>
        </w:rPr>
        <w:instrText xml:space="preserve"> SEQ "Table" \*Arabic </w:instrText>
      </w:r>
      <w:r w:rsidR="005979EB" w:rsidRPr="006645DC">
        <w:rPr>
          <w:lang w:val="en-GB"/>
        </w:rPr>
        <w:fldChar w:fldCharType="separate"/>
      </w:r>
      <w:r w:rsidR="00523DE6">
        <w:rPr>
          <w:noProof/>
          <w:lang w:val="en-GB"/>
        </w:rPr>
        <w:t>7</w:t>
      </w:r>
      <w:r w:rsidR="005979EB" w:rsidRPr="006645DC">
        <w:rPr>
          <w:lang w:val="en-GB"/>
        </w:rPr>
        <w:fldChar w:fldCharType="end"/>
      </w:r>
      <w:r w:rsidRPr="006645DC">
        <w:rPr>
          <w:lang w:val="en-GB"/>
        </w:rPr>
        <w:t xml:space="preserve"> - Length of public roads (km)</w:t>
      </w:r>
      <w:bookmarkEnd w:id="138"/>
    </w:p>
    <w:p w14:paraId="71DB6661" w14:textId="77777777" w:rsidR="00587CF0" w:rsidRPr="006645DC" w:rsidRDefault="00587CF0" w:rsidP="00587CF0">
      <w:pPr>
        <w:pStyle w:val="Heading4"/>
        <w:rPr>
          <w:lang w:val="en-GB"/>
        </w:rPr>
      </w:pPr>
      <w:r w:rsidRPr="006645DC">
        <w:rPr>
          <w:lang w:val="en-GB"/>
        </w:rPr>
        <w:t>Data source: Romania: The National Institute of Statistics Romania; Bulgaria: The National Institute of Statistics Bulgaria</w:t>
      </w:r>
    </w:p>
    <w:p w14:paraId="08F39678" w14:textId="77777777" w:rsidR="00587CF0" w:rsidRPr="006645DC" w:rsidRDefault="00587CF0" w:rsidP="00587CF0">
      <w:pPr>
        <w:rPr>
          <w:lang w:val="en-GB"/>
        </w:rPr>
      </w:pPr>
    </w:p>
    <w:p w14:paraId="03E03D8F" w14:textId="77777777" w:rsidR="00587CF0" w:rsidRPr="006645DC" w:rsidRDefault="00587CF0" w:rsidP="00EA46BF">
      <w:pPr>
        <w:rPr>
          <w:lang w:val="en-GB"/>
        </w:rPr>
      </w:pPr>
      <w:r w:rsidRPr="006645DC">
        <w:rPr>
          <w:lang w:val="en-GB"/>
        </w:rPr>
        <w:t>The public road network is more concentrated in Romania compared to Bulgaria. On each side of the cross-border area public road network is evenly developed, the average density in 2009 for the nine Bulgarian counties (18.2) was over the national density and under the average value for the seven Romanian counties (32.2).</w:t>
      </w:r>
    </w:p>
    <w:p w14:paraId="4CA640C2" w14:textId="77777777" w:rsidR="00587CF0" w:rsidRPr="006645DC" w:rsidRDefault="00587CF0" w:rsidP="00EA46BF">
      <w:pPr>
        <w:rPr>
          <w:lang w:val="en-GB"/>
        </w:rPr>
      </w:pPr>
      <w:r w:rsidRPr="006645DC">
        <w:rPr>
          <w:lang w:val="en-GB" w:eastAsia="de-AT"/>
        </w:rPr>
        <w:t>Most of the road network has a durable road surface but it is worn out and the available protective equipment does not correspond to the contemporary requirements. In certain sections, the bad condition of the roads creates serious difficulties for the winter maintenance of the road network which often leads to isolation of settlements.</w:t>
      </w:r>
    </w:p>
    <w:p w14:paraId="210F39F4" w14:textId="77777777" w:rsidR="00587CF0" w:rsidRPr="006645DC" w:rsidRDefault="00587CF0" w:rsidP="00587CF0">
      <w:pPr>
        <w:rPr>
          <w:lang w:val="en-GB"/>
        </w:rPr>
      </w:pPr>
    </w:p>
    <w:p w14:paraId="602F198F" w14:textId="77777777" w:rsidR="00EA46BF" w:rsidRPr="006645DC" w:rsidRDefault="00EA46BF" w:rsidP="00587CF0">
      <w:pPr>
        <w:rPr>
          <w:lang w:val="en-GB"/>
        </w:rPr>
      </w:pPr>
    </w:p>
    <w:tbl>
      <w:tblPr>
        <w:tblW w:w="0" w:type="auto"/>
        <w:jc w:val="center"/>
        <w:tblLayout w:type="fixed"/>
        <w:tblLook w:val="04A0" w:firstRow="1" w:lastRow="0" w:firstColumn="1" w:lastColumn="0" w:noHBand="0" w:noVBand="1"/>
      </w:tblPr>
      <w:tblGrid>
        <w:gridCol w:w="1767"/>
        <w:gridCol w:w="1009"/>
        <w:gridCol w:w="1010"/>
        <w:gridCol w:w="1012"/>
        <w:gridCol w:w="1984"/>
        <w:gridCol w:w="938"/>
        <w:gridCol w:w="939"/>
        <w:gridCol w:w="938"/>
      </w:tblGrid>
      <w:tr w:rsidR="00587CF0" w:rsidRPr="006645DC" w14:paraId="55295A6E" w14:textId="77777777" w:rsidTr="00587CF0">
        <w:trPr>
          <w:trHeight w:val="341"/>
          <w:jc w:val="center"/>
        </w:trPr>
        <w:tc>
          <w:tcPr>
            <w:tcW w:w="1767" w:type="dxa"/>
            <w:tcBorders>
              <w:top w:val="single" w:sz="4" w:space="0" w:color="000000"/>
              <w:left w:val="single" w:sz="4" w:space="0" w:color="000000"/>
              <w:bottom w:val="single" w:sz="4" w:space="0" w:color="000000"/>
              <w:right w:val="nil"/>
            </w:tcBorders>
            <w:shd w:val="clear" w:color="auto" w:fill="FFFFFF"/>
            <w:vAlign w:val="center"/>
          </w:tcPr>
          <w:p w14:paraId="09F46D93" w14:textId="77777777" w:rsidR="00587CF0" w:rsidRPr="006645DC" w:rsidRDefault="00587CF0">
            <w:pPr>
              <w:suppressAutoHyphens/>
              <w:spacing w:before="0" w:after="0" w:line="100" w:lineRule="atLeast"/>
              <w:jc w:val="center"/>
              <w:rPr>
                <w:rFonts w:eastAsia="Arial" w:cs="Calibri"/>
                <w:b/>
                <w:kern w:val="2"/>
                <w:lang w:val="en-GB"/>
              </w:rPr>
            </w:pPr>
          </w:p>
        </w:tc>
        <w:tc>
          <w:tcPr>
            <w:tcW w:w="1009" w:type="dxa"/>
            <w:tcBorders>
              <w:top w:val="single" w:sz="4" w:space="0" w:color="000000"/>
              <w:left w:val="single" w:sz="4" w:space="0" w:color="000000"/>
              <w:bottom w:val="single" w:sz="4" w:space="0" w:color="000000"/>
              <w:right w:val="nil"/>
            </w:tcBorders>
            <w:shd w:val="clear" w:color="auto" w:fill="FFFFFF"/>
            <w:vAlign w:val="center"/>
            <w:hideMark/>
          </w:tcPr>
          <w:p w14:paraId="011C6617"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2007</w:t>
            </w:r>
          </w:p>
        </w:tc>
        <w:tc>
          <w:tcPr>
            <w:tcW w:w="1010" w:type="dxa"/>
            <w:tcBorders>
              <w:top w:val="single" w:sz="4" w:space="0" w:color="000000"/>
              <w:left w:val="single" w:sz="4" w:space="0" w:color="000000"/>
              <w:bottom w:val="single" w:sz="4" w:space="0" w:color="000000"/>
              <w:right w:val="nil"/>
            </w:tcBorders>
            <w:shd w:val="clear" w:color="auto" w:fill="FFFFFF"/>
            <w:vAlign w:val="center"/>
            <w:hideMark/>
          </w:tcPr>
          <w:p w14:paraId="398530FC"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2008</w:t>
            </w:r>
          </w:p>
        </w:tc>
        <w:tc>
          <w:tcPr>
            <w:tcW w:w="1012" w:type="dxa"/>
            <w:tcBorders>
              <w:top w:val="single" w:sz="4" w:space="0" w:color="000000"/>
              <w:left w:val="single" w:sz="4" w:space="0" w:color="000000"/>
              <w:bottom w:val="single" w:sz="4" w:space="0" w:color="000000"/>
              <w:right w:val="nil"/>
            </w:tcBorders>
            <w:shd w:val="clear" w:color="auto" w:fill="FFFFFF"/>
            <w:vAlign w:val="center"/>
            <w:hideMark/>
          </w:tcPr>
          <w:p w14:paraId="45B508F7"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2009</w:t>
            </w:r>
          </w:p>
        </w:tc>
        <w:tc>
          <w:tcPr>
            <w:tcW w:w="1984" w:type="dxa"/>
            <w:tcBorders>
              <w:top w:val="single" w:sz="4" w:space="0" w:color="000000"/>
              <w:left w:val="single" w:sz="4" w:space="0" w:color="000000"/>
              <w:bottom w:val="single" w:sz="4" w:space="0" w:color="000000"/>
              <w:right w:val="nil"/>
            </w:tcBorders>
            <w:shd w:val="clear" w:color="auto" w:fill="FFFFFF"/>
            <w:vAlign w:val="center"/>
          </w:tcPr>
          <w:p w14:paraId="4D25D3BB" w14:textId="77777777" w:rsidR="00587CF0" w:rsidRPr="006645DC" w:rsidRDefault="00587CF0">
            <w:pPr>
              <w:spacing w:before="0" w:after="0"/>
              <w:jc w:val="center"/>
              <w:rPr>
                <w:rFonts w:eastAsia="Arial" w:cs="Calibri"/>
                <w:b/>
                <w:kern w:val="2"/>
                <w:lang w:val="en-GB"/>
              </w:rPr>
            </w:pPr>
          </w:p>
          <w:p w14:paraId="3F388B45" w14:textId="77777777" w:rsidR="00587CF0" w:rsidRPr="006645DC" w:rsidRDefault="00587CF0">
            <w:pPr>
              <w:suppressAutoHyphens/>
              <w:spacing w:before="0" w:after="0" w:line="100" w:lineRule="atLeast"/>
              <w:jc w:val="center"/>
              <w:rPr>
                <w:rFonts w:eastAsia="Arial" w:cs="Calibri"/>
                <w:b/>
                <w:kern w:val="2"/>
                <w:lang w:val="en-GB"/>
              </w:rPr>
            </w:pPr>
          </w:p>
        </w:tc>
        <w:tc>
          <w:tcPr>
            <w:tcW w:w="938" w:type="dxa"/>
            <w:tcBorders>
              <w:top w:val="single" w:sz="4" w:space="0" w:color="000000"/>
              <w:left w:val="single" w:sz="4" w:space="0" w:color="000000"/>
              <w:bottom w:val="single" w:sz="4" w:space="0" w:color="000000"/>
              <w:right w:val="nil"/>
            </w:tcBorders>
            <w:shd w:val="clear" w:color="auto" w:fill="FFFFFF"/>
            <w:vAlign w:val="center"/>
            <w:hideMark/>
          </w:tcPr>
          <w:p w14:paraId="7743A3D7"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2007</w:t>
            </w:r>
          </w:p>
        </w:tc>
        <w:tc>
          <w:tcPr>
            <w:tcW w:w="939" w:type="dxa"/>
            <w:tcBorders>
              <w:top w:val="single" w:sz="4" w:space="0" w:color="000000"/>
              <w:left w:val="single" w:sz="4" w:space="0" w:color="000000"/>
              <w:bottom w:val="single" w:sz="4" w:space="0" w:color="000000"/>
              <w:right w:val="nil"/>
            </w:tcBorders>
            <w:shd w:val="clear" w:color="auto" w:fill="FFFFFF"/>
            <w:vAlign w:val="center"/>
            <w:hideMark/>
          </w:tcPr>
          <w:p w14:paraId="78F15DC5"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2008</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EA759B5"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2009</w:t>
            </w:r>
          </w:p>
        </w:tc>
      </w:tr>
      <w:tr w:rsidR="00587CF0" w:rsidRPr="006645DC" w14:paraId="1629E7C1" w14:textId="77777777" w:rsidTr="00587CF0">
        <w:trPr>
          <w:jc w:val="center"/>
        </w:trPr>
        <w:tc>
          <w:tcPr>
            <w:tcW w:w="1767" w:type="dxa"/>
            <w:tcBorders>
              <w:top w:val="single" w:sz="4" w:space="0" w:color="000000"/>
              <w:left w:val="single" w:sz="4" w:space="0" w:color="000000"/>
              <w:bottom w:val="single" w:sz="4" w:space="0" w:color="000000"/>
              <w:right w:val="nil"/>
            </w:tcBorders>
            <w:shd w:val="clear" w:color="auto" w:fill="FFFFFF"/>
            <w:hideMark/>
          </w:tcPr>
          <w:p w14:paraId="2E7F1A75" w14:textId="77777777" w:rsidR="00587CF0" w:rsidRPr="006645DC" w:rsidRDefault="00587CF0">
            <w:pPr>
              <w:suppressAutoHyphens/>
              <w:spacing w:before="0" w:after="0" w:line="276" w:lineRule="auto"/>
              <w:rPr>
                <w:rFonts w:eastAsia="Arial" w:cs="Calibri"/>
                <w:b/>
                <w:kern w:val="2"/>
                <w:lang w:val="en-GB"/>
              </w:rPr>
            </w:pPr>
            <w:r w:rsidRPr="006645DC">
              <w:rPr>
                <w:b/>
                <w:lang w:val="en-GB"/>
              </w:rPr>
              <w:t xml:space="preserve">Romania </w:t>
            </w:r>
          </w:p>
        </w:tc>
        <w:tc>
          <w:tcPr>
            <w:tcW w:w="1009" w:type="dxa"/>
            <w:tcBorders>
              <w:top w:val="single" w:sz="4" w:space="0" w:color="000000"/>
              <w:left w:val="single" w:sz="4" w:space="0" w:color="000000"/>
              <w:bottom w:val="single" w:sz="4" w:space="0" w:color="000000"/>
              <w:right w:val="nil"/>
            </w:tcBorders>
            <w:shd w:val="clear" w:color="auto" w:fill="FFFFFF"/>
            <w:vAlign w:val="bottom"/>
            <w:hideMark/>
          </w:tcPr>
          <w:p w14:paraId="5D26D4F1" w14:textId="77777777" w:rsidR="00587CF0" w:rsidRPr="006645DC" w:rsidRDefault="00587CF0" w:rsidP="002716AE">
            <w:pPr>
              <w:keepNext/>
              <w:keepLines/>
              <w:suppressAutoHyphens/>
              <w:spacing w:before="0" w:after="0" w:line="100" w:lineRule="atLeast"/>
              <w:jc w:val="right"/>
              <w:rPr>
                <w:rFonts w:eastAsia="Arial" w:cs="Calibri"/>
                <w:b/>
                <w:kern w:val="2"/>
                <w:lang w:val="en-GB"/>
              </w:rPr>
            </w:pPr>
            <w:r w:rsidRPr="006645DC">
              <w:rPr>
                <w:b/>
                <w:lang w:val="en-GB"/>
              </w:rPr>
              <w:t>33,9</w:t>
            </w:r>
          </w:p>
        </w:tc>
        <w:tc>
          <w:tcPr>
            <w:tcW w:w="1010" w:type="dxa"/>
            <w:tcBorders>
              <w:top w:val="single" w:sz="4" w:space="0" w:color="000000"/>
              <w:left w:val="single" w:sz="4" w:space="0" w:color="000000"/>
              <w:bottom w:val="single" w:sz="4" w:space="0" w:color="000000"/>
              <w:right w:val="nil"/>
            </w:tcBorders>
            <w:shd w:val="clear" w:color="auto" w:fill="FFFFFF"/>
            <w:vAlign w:val="bottom"/>
            <w:hideMark/>
          </w:tcPr>
          <w:p w14:paraId="35C4049B" w14:textId="77777777" w:rsidR="00587CF0" w:rsidRPr="006645DC" w:rsidRDefault="00587CF0" w:rsidP="002716AE">
            <w:pPr>
              <w:keepNext/>
              <w:keepLines/>
              <w:suppressAutoHyphens/>
              <w:spacing w:before="0" w:after="0" w:line="100" w:lineRule="atLeast"/>
              <w:jc w:val="right"/>
              <w:rPr>
                <w:rFonts w:eastAsia="Arial" w:cs="Calibri"/>
                <w:b/>
                <w:kern w:val="2"/>
                <w:lang w:val="en-GB"/>
              </w:rPr>
            </w:pPr>
            <w:r w:rsidRPr="006645DC">
              <w:rPr>
                <w:b/>
                <w:lang w:val="en-GB"/>
              </w:rPr>
              <w:t>34,3</w:t>
            </w:r>
          </w:p>
        </w:tc>
        <w:tc>
          <w:tcPr>
            <w:tcW w:w="1012" w:type="dxa"/>
            <w:tcBorders>
              <w:top w:val="single" w:sz="4" w:space="0" w:color="000000"/>
              <w:left w:val="single" w:sz="4" w:space="0" w:color="000000"/>
              <w:bottom w:val="single" w:sz="4" w:space="0" w:color="000000"/>
              <w:right w:val="nil"/>
            </w:tcBorders>
            <w:shd w:val="clear" w:color="auto" w:fill="FFFFFF"/>
            <w:vAlign w:val="bottom"/>
            <w:hideMark/>
          </w:tcPr>
          <w:p w14:paraId="3BF18D18" w14:textId="77777777" w:rsidR="00587CF0" w:rsidRPr="006645DC" w:rsidRDefault="00587CF0" w:rsidP="002716AE">
            <w:pPr>
              <w:keepNext/>
              <w:keepLines/>
              <w:suppressAutoHyphens/>
              <w:spacing w:before="0" w:after="0" w:line="100" w:lineRule="atLeast"/>
              <w:jc w:val="right"/>
              <w:rPr>
                <w:rFonts w:eastAsia="Arial" w:cs="Calibri"/>
                <w:b/>
                <w:kern w:val="2"/>
                <w:lang w:val="en-GB"/>
              </w:rPr>
            </w:pPr>
            <w:r w:rsidRPr="006645DC">
              <w:rPr>
                <w:b/>
                <w:lang w:val="en-GB"/>
              </w:rPr>
              <w:t>34,3</w:t>
            </w:r>
          </w:p>
        </w:tc>
        <w:tc>
          <w:tcPr>
            <w:tcW w:w="1984" w:type="dxa"/>
            <w:tcBorders>
              <w:top w:val="single" w:sz="4" w:space="0" w:color="000000"/>
              <w:left w:val="single" w:sz="4" w:space="0" w:color="000000"/>
              <w:bottom w:val="single" w:sz="4" w:space="0" w:color="000000"/>
              <w:right w:val="nil"/>
            </w:tcBorders>
            <w:shd w:val="clear" w:color="auto" w:fill="FFFFFF"/>
            <w:hideMark/>
          </w:tcPr>
          <w:p w14:paraId="3CBEA2F1" w14:textId="77777777" w:rsidR="00587CF0" w:rsidRPr="006645DC" w:rsidRDefault="00587CF0">
            <w:pPr>
              <w:keepNext/>
              <w:keepLines/>
              <w:suppressAutoHyphens/>
              <w:spacing w:before="0" w:after="0" w:line="100" w:lineRule="atLeast"/>
              <w:rPr>
                <w:rFonts w:eastAsia="Arial" w:cs="Calibri"/>
                <w:b/>
                <w:kern w:val="2"/>
                <w:lang w:val="en-GB"/>
              </w:rPr>
            </w:pPr>
            <w:r w:rsidRPr="006645DC">
              <w:rPr>
                <w:b/>
                <w:lang w:val="en-GB"/>
              </w:rPr>
              <w:t>Bulgaria</w:t>
            </w:r>
          </w:p>
        </w:tc>
        <w:tc>
          <w:tcPr>
            <w:tcW w:w="938" w:type="dxa"/>
            <w:tcBorders>
              <w:top w:val="single" w:sz="4" w:space="0" w:color="000000"/>
              <w:left w:val="single" w:sz="4" w:space="0" w:color="000000"/>
              <w:bottom w:val="single" w:sz="4" w:space="0" w:color="000000"/>
              <w:right w:val="nil"/>
            </w:tcBorders>
            <w:shd w:val="clear" w:color="auto" w:fill="FFFFFF"/>
            <w:vAlign w:val="bottom"/>
            <w:hideMark/>
          </w:tcPr>
          <w:p w14:paraId="787DCD7E" w14:textId="77777777" w:rsidR="00587CF0" w:rsidRPr="006645DC" w:rsidRDefault="00587CF0" w:rsidP="002716AE">
            <w:pPr>
              <w:keepNext/>
              <w:keepLines/>
              <w:suppressAutoHyphens/>
              <w:spacing w:before="0" w:after="0" w:line="100" w:lineRule="atLeast"/>
              <w:jc w:val="right"/>
              <w:rPr>
                <w:rFonts w:eastAsia="Arial" w:cs="Calibri"/>
                <w:b/>
                <w:kern w:val="2"/>
                <w:lang w:val="en-GB"/>
              </w:rPr>
            </w:pPr>
            <w:r w:rsidRPr="006645DC">
              <w:rPr>
                <w:b/>
                <w:lang w:val="en-GB"/>
              </w:rPr>
              <w:t>17,5</w:t>
            </w:r>
          </w:p>
        </w:tc>
        <w:tc>
          <w:tcPr>
            <w:tcW w:w="939" w:type="dxa"/>
            <w:tcBorders>
              <w:top w:val="single" w:sz="4" w:space="0" w:color="000000"/>
              <w:left w:val="single" w:sz="4" w:space="0" w:color="000000"/>
              <w:bottom w:val="single" w:sz="4" w:space="0" w:color="000000"/>
              <w:right w:val="nil"/>
            </w:tcBorders>
            <w:shd w:val="clear" w:color="auto" w:fill="FFFFFF"/>
            <w:vAlign w:val="bottom"/>
            <w:hideMark/>
          </w:tcPr>
          <w:p w14:paraId="0D4141BA" w14:textId="77777777" w:rsidR="00587CF0" w:rsidRPr="006645DC" w:rsidRDefault="00587CF0" w:rsidP="002716AE">
            <w:pPr>
              <w:keepNext/>
              <w:keepLines/>
              <w:suppressAutoHyphens/>
              <w:spacing w:before="0" w:after="0" w:line="100" w:lineRule="atLeast"/>
              <w:jc w:val="right"/>
              <w:rPr>
                <w:rFonts w:eastAsia="Arial" w:cs="Calibri"/>
                <w:b/>
                <w:kern w:val="2"/>
                <w:lang w:val="en-GB"/>
              </w:rPr>
            </w:pPr>
            <w:r w:rsidRPr="006645DC">
              <w:rPr>
                <w:b/>
                <w:lang w:val="en-GB"/>
              </w:rPr>
              <w:t>17,5</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14:paraId="1B83463A"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b/>
                <w:lang w:val="en-GB"/>
              </w:rPr>
              <w:t>17,5</w:t>
            </w:r>
          </w:p>
        </w:tc>
      </w:tr>
      <w:tr w:rsidR="00587CF0" w:rsidRPr="006645DC" w14:paraId="1A8C4D94" w14:textId="77777777" w:rsidTr="00587CF0">
        <w:trPr>
          <w:jc w:val="center"/>
        </w:trPr>
        <w:tc>
          <w:tcPr>
            <w:tcW w:w="1767" w:type="dxa"/>
            <w:tcBorders>
              <w:top w:val="single" w:sz="4" w:space="0" w:color="000000"/>
              <w:left w:val="single" w:sz="4" w:space="0" w:color="000000"/>
              <w:bottom w:val="single" w:sz="4" w:space="0" w:color="000000"/>
              <w:right w:val="nil"/>
            </w:tcBorders>
            <w:hideMark/>
          </w:tcPr>
          <w:p w14:paraId="60AC91EE"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Constanţa</w:t>
            </w:r>
          </w:p>
        </w:tc>
        <w:tc>
          <w:tcPr>
            <w:tcW w:w="1009" w:type="dxa"/>
            <w:tcBorders>
              <w:top w:val="single" w:sz="4" w:space="0" w:color="000000"/>
              <w:left w:val="single" w:sz="4" w:space="0" w:color="000000"/>
              <w:bottom w:val="single" w:sz="4" w:space="0" w:color="000000"/>
              <w:right w:val="nil"/>
            </w:tcBorders>
            <w:vAlign w:val="bottom"/>
            <w:hideMark/>
          </w:tcPr>
          <w:p w14:paraId="576747DA"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32,9</w:t>
            </w:r>
          </w:p>
        </w:tc>
        <w:tc>
          <w:tcPr>
            <w:tcW w:w="1010" w:type="dxa"/>
            <w:tcBorders>
              <w:top w:val="single" w:sz="4" w:space="0" w:color="000000"/>
              <w:left w:val="single" w:sz="4" w:space="0" w:color="000000"/>
              <w:bottom w:val="single" w:sz="4" w:space="0" w:color="000000"/>
              <w:right w:val="nil"/>
            </w:tcBorders>
            <w:vAlign w:val="bottom"/>
            <w:hideMark/>
          </w:tcPr>
          <w:p w14:paraId="303C61B8"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32,9</w:t>
            </w:r>
          </w:p>
        </w:tc>
        <w:tc>
          <w:tcPr>
            <w:tcW w:w="1012" w:type="dxa"/>
            <w:tcBorders>
              <w:top w:val="single" w:sz="4" w:space="0" w:color="000000"/>
              <w:left w:val="single" w:sz="4" w:space="0" w:color="000000"/>
              <w:bottom w:val="single" w:sz="4" w:space="0" w:color="000000"/>
              <w:right w:val="nil"/>
            </w:tcBorders>
            <w:vAlign w:val="bottom"/>
            <w:hideMark/>
          </w:tcPr>
          <w:p w14:paraId="177D9C6C"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32,9</w:t>
            </w:r>
          </w:p>
        </w:tc>
        <w:tc>
          <w:tcPr>
            <w:tcW w:w="1984" w:type="dxa"/>
            <w:tcBorders>
              <w:top w:val="single" w:sz="4" w:space="0" w:color="000000"/>
              <w:left w:val="single" w:sz="4" w:space="0" w:color="000000"/>
              <w:bottom w:val="single" w:sz="4" w:space="0" w:color="000000"/>
              <w:right w:val="nil"/>
            </w:tcBorders>
            <w:hideMark/>
          </w:tcPr>
          <w:p w14:paraId="48E6A723"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Vidin</w:t>
            </w:r>
          </w:p>
        </w:tc>
        <w:tc>
          <w:tcPr>
            <w:tcW w:w="938" w:type="dxa"/>
            <w:tcBorders>
              <w:top w:val="single" w:sz="4" w:space="0" w:color="000000"/>
              <w:left w:val="single" w:sz="4" w:space="0" w:color="000000"/>
              <w:bottom w:val="single" w:sz="4" w:space="0" w:color="000000"/>
              <w:right w:val="nil"/>
            </w:tcBorders>
            <w:vAlign w:val="center"/>
            <w:hideMark/>
          </w:tcPr>
          <w:p w14:paraId="53A6C3A1"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20,2</w:t>
            </w:r>
          </w:p>
        </w:tc>
        <w:tc>
          <w:tcPr>
            <w:tcW w:w="939" w:type="dxa"/>
            <w:tcBorders>
              <w:top w:val="single" w:sz="4" w:space="0" w:color="000000"/>
              <w:left w:val="single" w:sz="4" w:space="0" w:color="000000"/>
              <w:bottom w:val="single" w:sz="4" w:space="0" w:color="000000"/>
              <w:right w:val="nil"/>
            </w:tcBorders>
            <w:vAlign w:val="center"/>
            <w:hideMark/>
          </w:tcPr>
          <w:p w14:paraId="3FABD021"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20,2</w:t>
            </w:r>
          </w:p>
        </w:tc>
        <w:tc>
          <w:tcPr>
            <w:tcW w:w="938" w:type="dxa"/>
            <w:tcBorders>
              <w:top w:val="single" w:sz="4" w:space="0" w:color="000000"/>
              <w:left w:val="single" w:sz="4" w:space="0" w:color="000000"/>
              <w:bottom w:val="single" w:sz="4" w:space="0" w:color="000000"/>
              <w:right w:val="single" w:sz="4" w:space="0" w:color="000000"/>
            </w:tcBorders>
            <w:vAlign w:val="center"/>
            <w:hideMark/>
          </w:tcPr>
          <w:p w14:paraId="3D5C5742"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20,2</w:t>
            </w:r>
          </w:p>
        </w:tc>
      </w:tr>
      <w:tr w:rsidR="00587CF0" w:rsidRPr="006645DC" w14:paraId="6D52FB6A" w14:textId="77777777" w:rsidTr="00587CF0">
        <w:trPr>
          <w:jc w:val="center"/>
        </w:trPr>
        <w:tc>
          <w:tcPr>
            <w:tcW w:w="1767" w:type="dxa"/>
            <w:tcBorders>
              <w:top w:val="single" w:sz="4" w:space="0" w:color="000000"/>
              <w:left w:val="single" w:sz="4" w:space="0" w:color="000000"/>
              <w:bottom w:val="single" w:sz="4" w:space="0" w:color="000000"/>
              <w:right w:val="nil"/>
            </w:tcBorders>
            <w:hideMark/>
          </w:tcPr>
          <w:p w14:paraId="1388EF00"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Călăraşi</w:t>
            </w:r>
          </w:p>
        </w:tc>
        <w:tc>
          <w:tcPr>
            <w:tcW w:w="1009" w:type="dxa"/>
            <w:tcBorders>
              <w:top w:val="single" w:sz="4" w:space="0" w:color="000000"/>
              <w:left w:val="single" w:sz="4" w:space="0" w:color="000000"/>
              <w:bottom w:val="single" w:sz="4" w:space="0" w:color="000000"/>
              <w:right w:val="nil"/>
            </w:tcBorders>
            <w:vAlign w:val="bottom"/>
            <w:hideMark/>
          </w:tcPr>
          <w:p w14:paraId="07458A60"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26,5</w:t>
            </w:r>
          </w:p>
        </w:tc>
        <w:tc>
          <w:tcPr>
            <w:tcW w:w="1010" w:type="dxa"/>
            <w:tcBorders>
              <w:top w:val="single" w:sz="4" w:space="0" w:color="000000"/>
              <w:left w:val="single" w:sz="4" w:space="0" w:color="000000"/>
              <w:bottom w:val="single" w:sz="4" w:space="0" w:color="000000"/>
              <w:right w:val="nil"/>
            </w:tcBorders>
            <w:vAlign w:val="bottom"/>
            <w:hideMark/>
          </w:tcPr>
          <w:p w14:paraId="11DA4145"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25,9</w:t>
            </w:r>
          </w:p>
        </w:tc>
        <w:tc>
          <w:tcPr>
            <w:tcW w:w="1012" w:type="dxa"/>
            <w:tcBorders>
              <w:top w:val="single" w:sz="4" w:space="0" w:color="000000"/>
              <w:left w:val="single" w:sz="4" w:space="0" w:color="000000"/>
              <w:bottom w:val="single" w:sz="4" w:space="0" w:color="000000"/>
              <w:right w:val="nil"/>
            </w:tcBorders>
            <w:vAlign w:val="bottom"/>
            <w:hideMark/>
          </w:tcPr>
          <w:p w14:paraId="7D06B6F9"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25,9</w:t>
            </w:r>
          </w:p>
        </w:tc>
        <w:tc>
          <w:tcPr>
            <w:tcW w:w="1984" w:type="dxa"/>
            <w:tcBorders>
              <w:top w:val="single" w:sz="4" w:space="0" w:color="000000"/>
              <w:left w:val="single" w:sz="4" w:space="0" w:color="000000"/>
              <w:bottom w:val="single" w:sz="4" w:space="0" w:color="000000"/>
              <w:right w:val="nil"/>
            </w:tcBorders>
            <w:hideMark/>
          </w:tcPr>
          <w:p w14:paraId="05A67688"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Montana</w:t>
            </w:r>
          </w:p>
        </w:tc>
        <w:tc>
          <w:tcPr>
            <w:tcW w:w="938" w:type="dxa"/>
            <w:tcBorders>
              <w:top w:val="single" w:sz="4" w:space="0" w:color="000000"/>
              <w:left w:val="single" w:sz="4" w:space="0" w:color="000000"/>
              <w:bottom w:val="single" w:sz="4" w:space="0" w:color="000000"/>
              <w:right w:val="nil"/>
            </w:tcBorders>
            <w:vAlign w:val="center"/>
            <w:hideMark/>
          </w:tcPr>
          <w:p w14:paraId="5E1DED7C"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18,3</w:t>
            </w:r>
          </w:p>
        </w:tc>
        <w:tc>
          <w:tcPr>
            <w:tcW w:w="939" w:type="dxa"/>
            <w:tcBorders>
              <w:top w:val="single" w:sz="4" w:space="0" w:color="000000"/>
              <w:left w:val="single" w:sz="4" w:space="0" w:color="000000"/>
              <w:bottom w:val="single" w:sz="4" w:space="0" w:color="000000"/>
              <w:right w:val="nil"/>
            </w:tcBorders>
            <w:vAlign w:val="center"/>
            <w:hideMark/>
          </w:tcPr>
          <w:p w14:paraId="3D2CA316"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16,6</w:t>
            </w:r>
          </w:p>
        </w:tc>
        <w:tc>
          <w:tcPr>
            <w:tcW w:w="938" w:type="dxa"/>
            <w:tcBorders>
              <w:top w:val="single" w:sz="4" w:space="0" w:color="000000"/>
              <w:left w:val="single" w:sz="4" w:space="0" w:color="000000"/>
              <w:bottom w:val="single" w:sz="4" w:space="0" w:color="000000"/>
              <w:right w:val="single" w:sz="4" w:space="0" w:color="000000"/>
            </w:tcBorders>
            <w:vAlign w:val="center"/>
            <w:hideMark/>
          </w:tcPr>
          <w:p w14:paraId="74795230"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16,6</w:t>
            </w:r>
          </w:p>
        </w:tc>
      </w:tr>
      <w:tr w:rsidR="00587CF0" w:rsidRPr="006645DC" w14:paraId="4394DB40" w14:textId="77777777" w:rsidTr="00587CF0">
        <w:trPr>
          <w:jc w:val="center"/>
        </w:trPr>
        <w:tc>
          <w:tcPr>
            <w:tcW w:w="1767" w:type="dxa"/>
            <w:tcBorders>
              <w:top w:val="single" w:sz="4" w:space="0" w:color="000000"/>
              <w:left w:val="single" w:sz="4" w:space="0" w:color="000000"/>
              <w:bottom w:val="single" w:sz="4" w:space="0" w:color="000000"/>
              <w:right w:val="nil"/>
            </w:tcBorders>
            <w:hideMark/>
          </w:tcPr>
          <w:p w14:paraId="2383F4A4"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Giurgiu</w:t>
            </w:r>
          </w:p>
        </w:tc>
        <w:tc>
          <w:tcPr>
            <w:tcW w:w="1009" w:type="dxa"/>
            <w:tcBorders>
              <w:top w:val="single" w:sz="4" w:space="0" w:color="000000"/>
              <w:left w:val="single" w:sz="4" w:space="0" w:color="000000"/>
              <w:bottom w:val="single" w:sz="4" w:space="0" w:color="000000"/>
              <w:right w:val="nil"/>
            </w:tcBorders>
            <w:vAlign w:val="bottom"/>
            <w:hideMark/>
          </w:tcPr>
          <w:p w14:paraId="184CF70C"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32,3</w:t>
            </w:r>
          </w:p>
        </w:tc>
        <w:tc>
          <w:tcPr>
            <w:tcW w:w="1010" w:type="dxa"/>
            <w:tcBorders>
              <w:top w:val="single" w:sz="4" w:space="0" w:color="000000"/>
              <w:left w:val="single" w:sz="4" w:space="0" w:color="000000"/>
              <w:bottom w:val="single" w:sz="4" w:space="0" w:color="000000"/>
              <w:right w:val="nil"/>
            </w:tcBorders>
            <w:vAlign w:val="bottom"/>
            <w:hideMark/>
          </w:tcPr>
          <w:p w14:paraId="5BAE3510"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32,3</w:t>
            </w:r>
          </w:p>
        </w:tc>
        <w:tc>
          <w:tcPr>
            <w:tcW w:w="1012" w:type="dxa"/>
            <w:tcBorders>
              <w:top w:val="single" w:sz="4" w:space="0" w:color="000000"/>
              <w:left w:val="single" w:sz="4" w:space="0" w:color="000000"/>
              <w:bottom w:val="single" w:sz="4" w:space="0" w:color="000000"/>
              <w:right w:val="nil"/>
            </w:tcBorders>
            <w:vAlign w:val="bottom"/>
            <w:hideMark/>
          </w:tcPr>
          <w:p w14:paraId="45369F5F"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32,4</w:t>
            </w:r>
          </w:p>
        </w:tc>
        <w:tc>
          <w:tcPr>
            <w:tcW w:w="1984" w:type="dxa"/>
            <w:tcBorders>
              <w:top w:val="single" w:sz="4" w:space="0" w:color="000000"/>
              <w:left w:val="single" w:sz="4" w:space="0" w:color="000000"/>
              <w:bottom w:val="single" w:sz="4" w:space="0" w:color="000000"/>
              <w:right w:val="nil"/>
            </w:tcBorders>
            <w:hideMark/>
          </w:tcPr>
          <w:p w14:paraId="5B8CE351"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Vrat</w:t>
            </w:r>
            <w:r w:rsidR="00C560A6" w:rsidRPr="006645DC">
              <w:rPr>
                <w:lang w:val="en-GB"/>
              </w:rPr>
              <w:t>s</w:t>
            </w:r>
            <w:r w:rsidRPr="006645DC">
              <w:rPr>
                <w:lang w:val="en-GB"/>
              </w:rPr>
              <w:t>a</w:t>
            </w:r>
          </w:p>
        </w:tc>
        <w:tc>
          <w:tcPr>
            <w:tcW w:w="938" w:type="dxa"/>
            <w:tcBorders>
              <w:top w:val="single" w:sz="4" w:space="0" w:color="000000"/>
              <w:left w:val="single" w:sz="4" w:space="0" w:color="000000"/>
              <w:bottom w:val="single" w:sz="4" w:space="0" w:color="000000"/>
              <w:right w:val="nil"/>
            </w:tcBorders>
            <w:vAlign w:val="center"/>
            <w:hideMark/>
          </w:tcPr>
          <w:p w14:paraId="46F9722B"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18,4</w:t>
            </w:r>
          </w:p>
        </w:tc>
        <w:tc>
          <w:tcPr>
            <w:tcW w:w="939" w:type="dxa"/>
            <w:tcBorders>
              <w:top w:val="single" w:sz="4" w:space="0" w:color="000000"/>
              <w:left w:val="single" w:sz="4" w:space="0" w:color="000000"/>
              <w:bottom w:val="single" w:sz="4" w:space="0" w:color="000000"/>
              <w:right w:val="nil"/>
            </w:tcBorders>
            <w:vAlign w:val="center"/>
            <w:hideMark/>
          </w:tcPr>
          <w:p w14:paraId="6A9DA9FE"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17,5</w:t>
            </w:r>
          </w:p>
        </w:tc>
        <w:tc>
          <w:tcPr>
            <w:tcW w:w="938" w:type="dxa"/>
            <w:tcBorders>
              <w:top w:val="single" w:sz="4" w:space="0" w:color="000000"/>
              <w:left w:val="single" w:sz="4" w:space="0" w:color="000000"/>
              <w:bottom w:val="single" w:sz="4" w:space="0" w:color="000000"/>
              <w:right w:val="single" w:sz="4" w:space="0" w:color="000000"/>
            </w:tcBorders>
            <w:vAlign w:val="center"/>
            <w:hideMark/>
          </w:tcPr>
          <w:p w14:paraId="3D8F7554"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17,5</w:t>
            </w:r>
          </w:p>
        </w:tc>
      </w:tr>
      <w:tr w:rsidR="00587CF0" w:rsidRPr="006645DC" w14:paraId="7452E610" w14:textId="77777777" w:rsidTr="00587CF0">
        <w:trPr>
          <w:jc w:val="center"/>
        </w:trPr>
        <w:tc>
          <w:tcPr>
            <w:tcW w:w="1767" w:type="dxa"/>
            <w:tcBorders>
              <w:top w:val="single" w:sz="4" w:space="0" w:color="000000"/>
              <w:left w:val="single" w:sz="4" w:space="0" w:color="000000"/>
              <w:bottom w:val="single" w:sz="4" w:space="0" w:color="000000"/>
              <w:right w:val="nil"/>
            </w:tcBorders>
            <w:hideMark/>
          </w:tcPr>
          <w:p w14:paraId="40AC07E2"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Teleorman</w:t>
            </w:r>
          </w:p>
        </w:tc>
        <w:tc>
          <w:tcPr>
            <w:tcW w:w="1009" w:type="dxa"/>
            <w:tcBorders>
              <w:top w:val="single" w:sz="4" w:space="0" w:color="000000"/>
              <w:left w:val="single" w:sz="4" w:space="0" w:color="000000"/>
              <w:bottom w:val="single" w:sz="4" w:space="0" w:color="000000"/>
              <w:right w:val="nil"/>
            </w:tcBorders>
            <w:vAlign w:val="bottom"/>
            <w:hideMark/>
          </w:tcPr>
          <w:p w14:paraId="22B73694"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26,3</w:t>
            </w:r>
          </w:p>
        </w:tc>
        <w:tc>
          <w:tcPr>
            <w:tcW w:w="1010" w:type="dxa"/>
            <w:tcBorders>
              <w:top w:val="single" w:sz="4" w:space="0" w:color="000000"/>
              <w:left w:val="single" w:sz="4" w:space="0" w:color="000000"/>
              <w:bottom w:val="single" w:sz="4" w:space="0" w:color="000000"/>
              <w:right w:val="nil"/>
            </w:tcBorders>
            <w:vAlign w:val="bottom"/>
            <w:hideMark/>
          </w:tcPr>
          <w:p w14:paraId="69B59E8F"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26,3</w:t>
            </w:r>
          </w:p>
        </w:tc>
        <w:tc>
          <w:tcPr>
            <w:tcW w:w="1012" w:type="dxa"/>
            <w:tcBorders>
              <w:top w:val="single" w:sz="4" w:space="0" w:color="000000"/>
              <w:left w:val="single" w:sz="4" w:space="0" w:color="000000"/>
              <w:bottom w:val="single" w:sz="4" w:space="0" w:color="000000"/>
              <w:right w:val="nil"/>
            </w:tcBorders>
            <w:vAlign w:val="bottom"/>
            <w:hideMark/>
          </w:tcPr>
          <w:p w14:paraId="7790C922"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26,3</w:t>
            </w:r>
          </w:p>
        </w:tc>
        <w:tc>
          <w:tcPr>
            <w:tcW w:w="1984" w:type="dxa"/>
            <w:tcBorders>
              <w:top w:val="single" w:sz="4" w:space="0" w:color="000000"/>
              <w:left w:val="single" w:sz="4" w:space="0" w:color="000000"/>
              <w:bottom w:val="single" w:sz="4" w:space="0" w:color="000000"/>
              <w:right w:val="nil"/>
            </w:tcBorders>
            <w:hideMark/>
          </w:tcPr>
          <w:p w14:paraId="088120DB"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Pleven</w:t>
            </w:r>
          </w:p>
        </w:tc>
        <w:tc>
          <w:tcPr>
            <w:tcW w:w="938" w:type="dxa"/>
            <w:tcBorders>
              <w:top w:val="single" w:sz="4" w:space="0" w:color="000000"/>
              <w:left w:val="single" w:sz="4" w:space="0" w:color="000000"/>
              <w:bottom w:val="single" w:sz="4" w:space="0" w:color="000000"/>
              <w:right w:val="nil"/>
            </w:tcBorders>
            <w:vAlign w:val="center"/>
            <w:hideMark/>
          </w:tcPr>
          <w:p w14:paraId="5CD61CA4"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17,0</w:t>
            </w:r>
          </w:p>
        </w:tc>
        <w:tc>
          <w:tcPr>
            <w:tcW w:w="939" w:type="dxa"/>
            <w:tcBorders>
              <w:top w:val="single" w:sz="4" w:space="0" w:color="000000"/>
              <w:left w:val="single" w:sz="4" w:space="0" w:color="000000"/>
              <w:bottom w:val="single" w:sz="4" w:space="0" w:color="000000"/>
              <w:right w:val="nil"/>
            </w:tcBorders>
            <w:vAlign w:val="center"/>
            <w:hideMark/>
          </w:tcPr>
          <w:p w14:paraId="1D15AA6E"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17,0</w:t>
            </w:r>
          </w:p>
        </w:tc>
        <w:tc>
          <w:tcPr>
            <w:tcW w:w="938" w:type="dxa"/>
            <w:tcBorders>
              <w:top w:val="single" w:sz="4" w:space="0" w:color="000000"/>
              <w:left w:val="single" w:sz="4" w:space="0" w:color="000000"/>
              <w:bottom w:val="single" w:sz="4" w:space="0" w:color="000000"/>
              <w:right w:val="single" w:sz="4" w:space="0" w:color="000000"/>
            </w:tcBorders>
            <w:vAlign w:val="center"/>
            <w:hideMark/>
          </w:tcPr>
          <w:p w14:paraId="6337F22F"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17,0</w:t>
            </w:r>
          </w:p>
        </w:tc>
      </w:tr>
      <w:tr w:rsidR="00587CF0" w:rsidRPr="006645DC" w14:paraId="6653C8C2" w14:textId="77777777" w:rsidTr="00587CF0">
        <w:trPr>
          <w:jc w:val="center"/>
        </w:trPr>
        <w:tc>
          <w:tcPr>
            <w:tcW w:w="1767" w:type="dxa"/>
            <w:tcBorders>
              <w:top w:val="single" w:sz="4" w:space="0" w:color="000000"/>
              <w:left w:val="single" w:sz="4" w:space="0" w:color="000000"/>
              <w:bottom w:val="single" w:sz="4" w:space="0" w:color="000000"/>
              <w:right w:val="nil"/>
            </w:tcBorders>
            <w:hideMark/>
          </w:tcPr>
          <w:p w14:paraId="2B50F0B8"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Olt</w:t>
            </w:r>
          </w:p>
        </w:tc>
        <w:tc>
          <w:tcPr>
            <w:tcW w:w="1009" w:type="dxa"/>
            <w:tcBorders>
              <w:top w:val="single" w:sz="4" w:space="0" w:color="000000"/>
              <w:left w:val="single" w:sz="4" w:space="0" w:color="000000"/>
              <w:bottom w:val="single" w:sz="4" w:space="0" w:color="000000"/>
              <w:right w:val="nil"/>
            </w:tcBorders>
            <w:vAlign w:val="bottom"/>
            <w:hideMark/>
          </w:tcPr>
          <w:p w14:paraId="5B2F94E4"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39,6</w:t>
            </w:r>
          </w:p>
        </w:tc>
        <w:tc>
          <w:tcPr>
            <w:tcW w:w="1010" w:type="dxa"/>
            <w:tcBorders>
              <w:top w:val="single" w:sz="4" w:space="0" w:color="000000"/>
              <w:left w:val="single" w:sz="4" w:space="0" w:color="000000"/>
              <w:bottom w:val="single" w:sz="4" w:space="0" w:color="000000"/>
              <w:right w:val="nil"/>
            </w:tcBorders>
            <w:vAlign w:val="bottom"/>
            <w:hideMark/>
          </w:tcPr>
          <w:p w14:paraId="4B6FC4B2"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39,6</w:t>
            </w:r>
          </w:p>
        </w:tc>
        <w:tc>
          <w:tcPr>
            <w:tcW w:w="1012" w:type="dxa"/>
            <w:tcBorders>
              <w:top w:val="single" w:sz="4" w:space="0" w:color="000000"/>
              <w:left w:val="single" w:sz="4" w:space="0" w:color="000000"/>
              <w:bottom w:val="single" w:sz="4" w:space="0" w:color="000000"/>
              <w:right w:val="nil"/>
            </w:tcBorders>
            <w:vAlign w:val="bottom"/>
            <w:hideMark/>
          </w:tcPr>
          <w:p w14:paraId="19D9C0A6"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39,6</w:t>
            </w:r>
          </w:p>
        </w:tc>
        <w:tc>
          <w:tcPr>
            <w:tcW w:w="1984" w:type="dxa"/>
            <w:tcBorders>
              <w:top w:val="single" w:sz="4" w:space="0" w:color="000000"/>
              <w:left w:val="single" w:sz="4" w:space="0" w:color="000000"/>
              <w:bottom w:val="single" w:sz="4" w:space="0" w:color="000000"/>
              <w:right w:val="nil"/>
            </w:tcBorders>
            <w:hideMark/>
          </w:tcPr>
          <w:p w14:paraId="51C06DEE"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Veliko Târnovo</w:t>
            </w:r>
          </w:p>
        </w:tc>
        <w:tc>
          <w:tcPr>
            <w:tcW w:w="938" w:type="dxa"/>
            <w:tcBorders>
              <w:top w:val="single" w:sz="4" w:space="0" w:color="000000"/>
              <w:left w:val="single" w:sz="4" w:space="0" w:color="000000"/>
              <w:bottom w:val="single" w:sz="4" w:space="0" w:color="000000"/>
              <w:right w:val="nil"/>
            </w:tcBorders>
            <w:vAlign w:val="center"/>
            <w:hideMark/>
          </w:tcPr>
          <w:p w14:paraId="5E462431"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20,1</w:t>
            </w:r>
          </w:p>
        </w:tc>
        <w:tc>
          <w:tcPr>
            <w:tcW w:w="939" w:type="dxa"/>
            <w:tcBorders>
              <w:top w:val="single" w:sz="4" w:space="0" w:color="000000"/>
              <w:left w:val="single" w:sz="4" w:space="0" w:color="000000"/>
              <w:bottom w:val="single" w:sz="4" w:space="0" w:color="000000"/>
              <w:right w:val="nil"/>
            </w:tcBorders>
            <w:vAlign w:val="center"/>
            <w:hideMark/>
          </w:tcPr>
          <w:p w14:paraId="43E758BF"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20,1</w:t>
            </w:r>
          </w:p>
        </w:tc>
        <w:tc>
          <w:tcPr>
            <w:tcW w:w="938" w:type="dxa"/>
            <w:tcBorders>
              <w:top w:val="single" w:sz="4" w:space="0" w:color="000000"/>
              <w:left w:val="single" w:sz="4" w:space="0" w:color="000000"/>
              <w:bottom w:val="single" w:sz="4" w:space="0" w:color="000000"/>
              <w:right w:val="single" w:sz="4" w:space="0" w:color="000000"/>
            </w:tcBorders>
            <w:vAlign w:val="center"/>
            <w:hideMark/>
          </w:tcPr>
          <w:p w14:paraId="1D447546"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20,1</w:t>
            </w:r>
          </w:p>
        </w:tc>
      </w:tr>
      <w:tr w:rsidR="00587CF0" w:rsidRPr="006645DC" w14:paraId="4A748FF5" w14:textId="77777777" w:rsidTr="00587CF0">
        <w:trPr>
          <w:jc w:val="center"/>
        </w:trPr>
        <w:tc>
          <w:tcPr>
            <w:tcW w:w="1767" w:type="dxa"/>
            <w:tcBorders>
              <w:top w:val="single" w:sz="4" w:space="0" w:color="000000"/>
              <w:left w:val="single" w:sz="4" w:space="0" w:color="000000"/>
              <w:bottom w:val="single" w:sz="4" w:space="0" w:color="000000"/>
              <w:right w:val="nil"/>
            </w:tcBorders>
            <w:hideMark/>
          </w:tcPr>
          <w:p w14:paraId="37499B82"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Dolj</w:t>
            </w:r>
          </w:p>
        </w:tc>
        <w:tc>
          <w:tcPr>
            <w:tcW w:w="1009" w:type="dxa"/>
            <w:tcBorders>
              <w:top w:val="single" w:sz="4" w:space="0" w:color="000000"/>
              <w:left w:val="single" w:sz="4" w:space="0" w:color="000000"/>
              <w:bottom w:val="single" w:sz="4" w:space="0" w:color="000000"/>
              <w:right w:val="nil"/>
            </w:tcBorders>
            <w:vAlign w:val="bottom"/>
            <w:hideMark/>
          </w:tcPr>
          <w:p w14:paraId="1DDFACAF"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29,8</w:t>
            </w:r>
          </w:p>
        </w:tc>
        <w:tc>
          <w:tcPr>
            <w:tcW w:w="1010" w:type="dxa"/>
            <w:tcBorders>
              <w:top w:val="single" w:sz="4" w:space="0" w:color="000000"/>
              <w:left w:val="single" w:sz="4" w:space="0" w:color="000000"/>
              <w:bottom w:val="single" w:sz="4" w:space="0" w:color="000000"/>
              <w:right w:val="nil"/>
            </w:tcBorders>
            <w:vAlign w:val="bottom"/>
            <w:hideMark/>
          </w:tcPr>
          <w:p w14:paraId="28F082FA"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30,2</w:t>
            </w:r>
          </w:p>
        </w:tc>
        <w:tc>
          <w:tcPr>
            <w:tcW w:w="1012" w:type="dxa"/>
            <w:tcBorders>
              <w:top w:val="single" w:sz="4" w:space="0" w:color="000000"/>
              <w:left w:val="single" w:sz="4" w:space="0" w:color="000000"/>
              <w:bottom w:val="single" w:sz="4" w:space="0" w:color="000000"/>
              <w:right w:val="nil"/>
            </w:tcBorders>
            <w:vAlign w:val="bottom"/>
            <w:hideMark/>
          </w:tcPr>
          <w:p w14:paraId="2DDD7CA6"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30,6</w:t>
            </w:r>
          </w:p>
        </w:tc>
        <w:tc>
          <w:tcPr>
            <w:tcW w:w="1984" w:type="dxa"/>
            <w:tcBorders>
              <w:top w:val="single" w:sz="4" w:space="0" w:color="000000"/>
              <w:left w:val="single" w:sz="4" w:space="0" w:color="000000"/>
              <w:bottom w:val="single" w:sz="4" w:space="0" w:color="000000"/>
              <w:right w:val="nil"/>
            </w:tcBorders>
            <w:hideMark/>
          </w:tcPr>
          <w:p w14:paraId="2503BF41"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Ruse</w:t>
            </w:r>
          </w:p>
        </w:tc>
        <w:tc>
          <w:tcPr>
            <w:tcW w:w="938" w:type="dxa"/>
            <w:tcBorders>
              <w:top w:val="single" w:sz="4" w:space="0" w:color="000000"/>
              <w:left w:val="single" w:sz="4" w:space="0" w:color="000000"/>
              <w:bottom w:val="single" w:sz="4" w:space="0" w:color="000000"/>
              <w:right w:val="nil"/>
            </w:tcBorders>
            <w:vAlign w:val="center"/>
            <w:hideMark/>
          </w:tcPr>
          <w:p w14:paraId="1BCCD704"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18,2</w:t>
            </w:r>
          </w:p>
        </w:tc>
        <w:tc>
          <w:tcPr>
            <w:tcW w:w="939" w:type="dxa"/>
            <w:tcBorders>
              <w:top w:val="single" w:sz="4" w:space="0" w:color="000000"/>
              <w:left w:val="single" w:sz="4" w:space="0" w:color="000000"/>
              <w:bottom w:val="single" w:sz="4" w:space="0" w:color="000000"/>
              <w:right w:val="nil"/>
            </w:tcBorders>
            <w:vAlign w:val="center"/>
            <w:hideMark/>
          </w:tcPr>
          <w:p w14:paraId="1C6162FC"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18,2</w:t>
            </w:r>
          </w:p>
        </w:tc>
        <w:tc>
          <w:tcPr>
            <w:tcW w:w="938" w:type="dxa"/>
            <w:tcBorders>
              <w:top w:val="single" w:sz="4" w:space="0" w:color="000000"/>
              <w:left w:val="single" w:sz="4" w:space="0" w:color="000000"/>
              <w:bottom w:val="single" w:sz="4" w:space="0" w:color="000000"/>
              <w:right w:val="single" w:sz="4" w:space="0" w:color="000000"/>
            </w:tcBorders>
            <w:vAlign w:val="center"/>
            <w:hideMark/>
          </w:tcPr>
          <w:p w14:paraId="5F1F2FAB"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18,2</w:t>
            </w:r>
          </w:p>
        </w:tc>
      </w:tr>
      <w:tr w:rsidR="00587CF0" w:rsidRPr="006645DC" w14:paraId="474D353C" w14:textId="77777777" w:rsidTr="00587CF0">
        <w:trPr>
          <w:jc w:val="center"/>
        </w:trPr>
        <w:tc>
          <w:tcPr>
            <w:tcW w:w="1767" w:type="dxa"/>
            <w:tcBorders>
              <w:top w:val="single" w:sz="4" w:space="0" w:color="000000"/>
              <w:left w:val="single" w:sz="4" w:space="0" w:color="000000"/>
              <w:bottom w:val="single" w:sz="4" w:space="0" w:color="000000"/>
              <w:right w:val="nil"/>
            </w:tcBorders>
            <w:hideMark/>
          </w:tcPr>
          <w:p w14:paraId="74C385DD"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Mehedinţi</w:t>
            </w:r>
          </w:p>
        </w:tc>
        <w:tc>
          <w:tcPr>
            <w:tcW w:w="1009" w:type="dxa"/>
            <w:tcBorders>
              <w:top w:val="single" w:sz="4" w:space="0" w:color="000000"/>
              <w:left w:val="single" w:sz="4" w:space="0" w:color="000000"/>
              <w:bottom w:val="single" w:sz="4" w:space="0" w:color="000000"/>
              <w:right w:val="nil"/>
            </w:tcBorders>
            <w:vAlign w:val="bottom"/>
            <w:hideMark/>
          </w:tcPr>
          <w:p w14:paraId="0BF363A7"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37,7</w:t>
            </w:r>
          </w:p>
        </w:tc>
        <w:tc>
          <w:tcPr>
            <w:tcW w:w="1010" w:type="dxa"/>
            <w:tcBorders>
              <w:top w:val="single" w:sz="4" w:space="0" w:color="000000"/>
              <w:left w:val="single" w:sz="4" w:space="0" w:color="000000"/>
              <w:bottom w:val="single" w:sz="4" w:space="0" w:color="000000"/>
              <w:right w:val="nil"/>
            </w:tcBorders>
            <w:vAlign w:val="bottom"/>
            <w:hideMark/>
          </w:tcPr>
          <w:p w14:paraId="1342B498"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37,6</w:t>
            </w:r>
          </w:p>
        </w:tc>
        <w:tc>
          <w:tcPr>
            <w:tcW w:w="1012" w:type="dxa"/>
            <w:tcBorders>
              <w:top w:val="single" w:sz="4" w:space="0" w:color="000000"/>
              <w:left w:val="single" w:sz="4" w:space="0" w:color="000000"/>
              <w:bottom w:val="single" w:sz="4" w:space="0" w:color="000000"/>
              <w:right w:val="nil"/>
            </w:tcBorders>
            <w:vAlign w:val="bottom"/>
            <w:hideMark/>
          </w:tcPr>
          <w:p w14:paraId="0116E42B"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37,6</w:t>
            </w:r>
          </w:p>
        </w:tc>
        <w:tc>
          <w:tcPr>
            <w:tcW w:w="1984" w:type="dxa"/>
            <w:tcBorders>
              <w:top w:val="single" w:sz="4" w:space="0" w:color="000000"/>
              <w:left w:val="single" w:sz="4" w:space="0" w:color="000000"/>
              <w:bottom w:val="single" w:sz="4" w:space="0" w:color="000000"/>
              <w:right w:val="nil"/>
            </w:tcBorders>
            <w:hideMark/>
          </w:tcPr>
          <w:p w14:paraId="663BFAE5"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Dobrich</w:t>
            </w:r>
          </w:p>
        </w:tc>
        <w:tc>
          <w:tcPr>
            <w:tcW w:w="938" w:type="dxa"/>
            <w:tcBorders>
              <w:top w:val="single" w:sz="4" w:space="0" w:color="000000"/>
              <w:left w:val="single" w:sz="4" w:space="0" w:color="000000"/>
              <w:bottom w:val="single" w:sz="4" w:space="0" w:color="000000"/>
              <w:right w:val="nil"/>
            </w:tcBorders>
            <w:vAlign w:val="center"/>
            <w:hideMark/>
          </w:tcPr>
          <w:p w14:paraId="261502A7"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17,5</w:t>
            </w:r>
          </w:p>
        </w:tc>
        <w:tc>
          <w:tcPr>
            <w:tcW w:w="939" w:type="dxa"/>
            <w:tcBorders>
              <w:top w:val="single" w:sz="4" w:space="0" w:color="000000"/>
              <w:left w:val="single" w:sz="4" w:space="0" w:color="000000"/>
              <w:bottom w:val="single" w:sz="4" w:space="0" w:color="000000"/>
              <w:right w:val="nil"/>
            </w:tcBorders>
            <w:vAlign w:val="center"/>
            <w:hideMark/>
          </w:tcPr>
          <w:p w14:paraId="0F138F59"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17,5</w:t>
            </w:r>
          </w:p>
        </w:tc>
        <w:tc>
          <w:tcPr>
            <w:tcW w:w="938" w:type="dxa"/>
            <w:tcBorders>
              <w:top w:val="single" w:sz="4" w:space="0" w:color="000000"/>
              <w:left w:val="single" w:sz="4" w:space="0" w:color="000000"/>
              <w:bottom w:val="single" w:sz="4" w:space="0" w:color="000000"/>
              <w:right w:val="single" w:sz="4" w:space="0" w:color="000000"/>
            </w:tcBorders>
            <w:vAlign w:val="center"/>
            <w:hideMark/>
          </w:tcPr>
          <w:p w14:paraId="7C6EF22A" w14:textId="77777777" w:rsidR="00587CF0" w:rsidRPr="006645DC" w:rsidRDefault="00587CF0" w:rsidP="002716AE">
            <w:pPr>
              <w:keepNext/>
              <w:keepLines/>
              <w:suppressAutoHyphens/>
              <w:spacing w:before="0" w:after="0" w:line="100" w:lineRule="atLeast"/>
              <w:jc w:val="right"/>
              <w:rPr>
                <w:rFonts w:eastAsia="Arial" w:cs="Calibri"/>
                <w:b/>
                <w:kern w:val="2"/>
                <w:lang w:val="en-GB"/>
              </w:rPr>
            </w:pPr>
            <w:r w:rsidRPr="006645DC">
              <w:rPr>
                <w:lang w:val="en-GB"/>
              </w:rPr>
              <w:t>17,5</w:t>
            </w:r>
          </w:p>
        </w:tc>
      </w:tr>
      <w:tr w:rsidR="00587CF0" w:rsidRPr="006645DC" w14:paraId="0BB79A2E" w14:textId="77777777" w:rsidTr="00587CF0">
        <w:trPr>
          <w:jc w:val="center"/>
        </w:trPr>
        <w:tc>
          <w:tcPr>
            <w:tcW w:w="1767" w:type="dxa"/>
            <w:tcBorders>
              <w:top w:val="single" w:sz="4" w:space="0" w:color="000000"/>
              <w:left w:val="single" w:sz="4" w:space="0" w:color="000000"/>
              <w:bottom w:val="single" w:sz="4" w:space="0" w:color="000000"/>
              <w:right w:val="nil"/>
            </w:tcBorders>
          </w:tcPr>
          <w:p w14:paraId="780021ED" w14:textId="77777777" w:rsidR="00587CF0" w:rsidRPr="006645DC" w:rsidRDefault="00587CF0">
            <w:pPr>
              <w:suppressAutoHyphens/>
              <w:spacing w:before="0" w:after="0" w:line="100" w:lineRule="atLeast"/>
              <w:ind w:left="296"/>
              <w:rPr>
                <w:rFonts w:eastAsia="Arial" w:cs="Calibri"/>
                <w:b/>
                <w:kern w:val="2"/>
                <w:lang w:val="en-GB"/>
              </w:rPr>
            </w:pPr>
          </w:p>
        </w:tc>
        <w:tc>
          <w:tcPr>
            <w:tcW w:w="1009" w:type="dxa"/>
            <w:tcBorders>
              <w:top w:val="single" w:sz="4" w:space="0" w:color="000000"/>
              <w:left w:val="single" w:sz="4" w:space="0" w:color="000000"/>
              <w:bottom w:val="single" w:sz="4" w:space="0" w:color="000000"/>
              <w:right w:val="nil"/>
            </w:tcBorders>
          </w:tcPr>
          <w:p w14:paraId="382266DA" w14:textId="77777777" w:rsidR="00587CF0" w:rsidRPr="006645DC" w:rsidRDefault="00587CF0">
            <w:pPr>
              <w:suppressAutoHyphens/>
              <w:spacing w:before="0" w:after="0" w:line="100" w:lineRule="atLeast"/>
              <w:jc w:val="center"/>
              <w:rPr>
                <w:rFonts w:eastAsia="Arial" w:cs="Calibri"/>
                <w:b/>
                <w:kern w:val="2"/>
                <w:lang w:val="en-GB"/>
              </w:rPr>
            </w:pPr>
          </w:p>
        </w:tc>
        <w:tc>
          <w:tcPr>
            <w:tcW w:w="1010" w:type="dxa"/>
            <w:tcBorders>
              <w:top w:val="single" w:sz="4" w:space="0" w:color="000000"/>
              <w:left w:val="single" w:sz="4" w:space="0" w:color="000000"/>
              <w:bottom w:val="single" w:sz="4" w:space="0" w:color="000000"/>
              <w:right w:val="nil"/>
            </w:tcBorders>
          </w:tcPr>
          <w:p w14:paraId="1AD08673" w14:textId="77777777" w:rsidR="00587CF0" w:rsidRPr="006645DC" w:rsidRDefault="00587CF0">
            <w:pPr>
              <w:suppressAutoHyphens/>
              <w:spacing w:before="0" w:after="0" w:line="100" w:lineRule="atLeast"/>
              <w:jc w:val="center"/>
              <w:rPr>
                <w:rFonts w:eastAsia="Arial" w:cs="Calibri"/>
                <w:b/>
                <w:kern w:val="2"/>
                <w:lang w:val="en-GB"/>
              </w:rPr>
            </w:pPr>
          </w:p>
        </w:tc>
        <w:tc>
          <w:tcPr>
            <w:tcW w:w="1012" w:type="dxa"/>
            <w:tcBorders>
              <w:top w:val="single" w:sz="4" w:space="0" w:color="000000"/>
              <w:left w:val="single" w:sz="4" w:space="0" w:color="000000"/>
              <w:bottom w:val="single" w:sz="4" w:space="0" w:color="000000"/>
              <w:right w:val="nil"/>
            </w:tcBorders>
          </w:tcPr>
          <w:p w14:paraId="4CC2A7AB" w14:textId="77777777" w:rsidR="00587CF0" w:rsidRPr="006645DC" w:rsidRDefault="00587CF0">
            <w:pPr>
              <w:suppressAutoHyphens/>
              <w:spacing w:before="0" w:after="0" w:line="100" w:lineRule="atLeast"/>
              <w:jc w:val="center"/>
              <w:rPr>
                <w:rFonts w:eastAsia="Arial" w:cs="Calibri"/>
                <w:b/>
                <w:kern w:val="2"/>
                <w:lang w:val="en-GB"/>
              </w:rPr>
            </w:pPr>
          </w:p>
        </w:tc>
        <w:tc>
          <w:tcPr>
            <w:tcW w:w="1984" w:type="dxa"/>
            <w:tcBorders>
              <w:top w:val="single" w:sz="4" w:space="0" w:color="000000"/>
              <w:left w:val="single" w:sz="4" w:space="0" w:color="000000"/>
              <w:bottom w:val="single" w:sz="4" w:space="0" w:color="000000"/>
              <w:right w:val="nil"/>
            </w:tcBorders>
            <w:hideMark/>
          </w:tcPr>
          <w:p w14:paraId="62A7264F" w14:textId="77777777" w:rsidR="00587CF0" w:rsidRPr="006645DC" w:rsidRDefault="00587CF0">
            <w:pPr>
              <w:keepNext/>
              <w:keepLines/>
              <w:suppressAutoHyphens/>
              <w:spacing w:before="0" w:after="0" w:line="100" w:lineRule="atLeast"/>
              <w:ind w:left="317"/>
              <w:rPr>
                <w:rFonts w:eastAsia="Arial" w:cs="Calibri"/>
                <w:kern w:val="2"/>
                <w:lang w:val="en-GB"/>
              </w:rPr>
            </w:pPr>
            <w:r w:rsidRPr="006645DC">
              <w:rPr>
                <w:lang w:val="en-GB"/>
              </w:rPr>
              <w:t>Silistra</w:t>
            </w:r>
          </w:p>
        </w:tc>
        <w:tc>
          <w:tcPr>
            <w:tcW w:w="938" w:type="dxa"/>
            <w:tcBorders>
              <w:top w:val="single" w:sz="4" w:space="0" w:color="000000"/>
              <w:left w:val="single" w:sz="4" w:space="0" w:color="000000"/>
              <w:bottom w:val="single" w:sz="4" w:space="0" w:color="000000"/>
              <w:right w:val="nil"/>
            </w:tcBorders>
            <w:vAlign w:val="center"/>
            <w:hideMark/>
          </w:tcPr>
          <w:p w14:paraId="417580B6"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17,8</w:t>
            </w:r>
          </w:p>
        </w:tc>
        <w:tc>
          <w:tcPr>
            <w:tcW w:w="939" w:type="dxa"/>
            <w:tcBorders>
              <w:top w:val="single" w:sz="4" w:space="0" w:color="000000"/>
              <w:left w:val="single" w:sz="4" w:space="0" w:color="000000"/>
              <w:bottom w:val="single" w:sz="4" w:space="0" w:color="000000"/>
              <w:right w:val="nil"/>
            </w:tcBorders>
            <w:vAlign w:val="center"/>
            <w:hideMark/>
          </w:tcPr>
          <w:p w14:paraId="53D7A20E"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17,8</w:t>
            </w:r>
          </w:p>
        </w:tc>
        <w:tc>
          <w:tcPr>
            <w:tcW w:w="938" w:type="dxa"/>
            <w:tcBorders>
              <w:top w:val="single" w:sz="4" w:space="0" w:color="000000"/>
              <w:left w:val="single" w:sz="4" w:space="0" w:color="000000"/>
              <w:bottom w:val="single" w:sz="4" w:space="0" w:color="000000"/>
              <w:right w:val="single" w:sz="4" w:space="0" w:color="000000"/>
            </w:tcBorders>
            <w:vAlign w:val="center"/>
            <w:hideMark/>
          </w:tcPr>
          <w:p w14:paraId="1270C80F" w14:textId="77777777" w:rsidR="00587CF0" w:rsidRPr="006645DC" w:rsidRDefault="00587CF0" w:rsidP="002716AE">
            <w:pPr>
              <w:keepNext/>
              <w:keepLines/>
              <w:suppressAutoHyphens/>
              <w:spacing w:before="0" w:after="0" w:line="100" w:lineRule="atLeast"/>
              <w:jc w:val="right"/>
              <w:rPr>
                <w:rFonts w:eastAsia="Arial" w:cs="Calibri"/>
                <w:kern w:val="2"/>
                <w:lang w:val="en-GB"/>
              </w:rPr>
            </w:pPr>
            <w:r w:rsidRPr="006645DC">
              <w:rPr>
                <w:lang w:val="en-GB"/>
              </w:rPr>
              <w:t>17,8</w:t>
            </w:r>
          </w:p>
        </w:tc>
      </w:tr>
    </w:tbl>
    <w:p w14:paraId="1DA28911" w14:textId="77777777" w:rsidR="00587CF0" w:rsidRPr="006645DC" w:rsidRDefault="00587CF0" w:rsidP="00587CF0">
      <w:pPr>
        <w:pStyle w:val="Lgende1"/>
        <w:rPr>
          <w:kern w:val="2"/>
          <w:lang w:val="en-GB"/>
        </w:rPr>
      </w:pPr>
      <w:bookmarkStart w:id="139" w:name="_Toc391150105"/>
      <w:r w:rsidRPr="006645DC">
        <w:rPr>
          <w:lang w:val="en-GB"/>
        </w:rPr>
        <w:t xml:space="preserve">Table </w:t>
      </w:r>
      <w:r w:rsidR="005979EB" w:rsidRPr="006645DC">
        <w:rPr>
          <w:lang w:val="en-GB"/>
        </w:rPr>
        <w:fldChar w:fldCharType="begin"/>
      </w:r>
      <w:r w:rsidRPr="006645DC">
        <w:rPr>
          <w:lang w:val="en-GB"/>
        </w:rPr>
        <w:instrText xml:space="preserve"> SEQ "Table" \*Arabic </w:instrText>
      </w:r>
      <w:r w:rsidR="005979EB" w:rsidRPr="006645DC">
        <w:rPr>
          <w:lang w:val="en-GB"/>
        </w:rPr>
        <w:fldChar w:fldCharType="separate"/>
      </w:r>
      <w:r w:rsidR="00523DE6">
        <w:rPr>
          <w:noProof/>
          <w:lang w:val="en-GB"/>
        </w:rPr>
        <w:t>8</w:t>
      </w:r>
      <w:r w:rsidR="005979EB" w:rsidRPr="006645DC">
        <w:rPr>
          <w:lang w:val="en-GB"/>
        </w:rPr>
        <w:fldChar w:fldCharType="end"/>
      </w:r>
      <w:r w:rsidRPr="006645DC">
        <w:rPr>
          <w:lang w:val="en-GB"/>
        </w:rPr>
        <w:t xml:space="preserve"> - Density of public road network at the end of the year for 100 km</w:t>
      </w:r>
      <w:r w:rsidRPr="006645DC">
        <w:rPr>
          <w:vertAlign w:val="superscript"/>
          <w:lang w:val="en-GB"/>
        </w:rPr>
        <w:t>2</w:t>
      </w:r>
      <w:r w:rsidRPr="006645DC">
        <w:rPr>
          <w:lang w:val="en-GB"/>
        </w:rPr>
        <w:t xml:space="preserve"> (simple length of transport lines) (km per 100 km</w:t>
      </w:r>
      <w:r w:rsidRPr="006645DC">
        <w:rPr>
          <w:vertAlign w:val="superscript"/>
          <w:lang w:val="en-GB"/>
        </w:rPr>
        <w:t>2</w:t>
      </w:r>
      <w:r w:rsidRPr="006645DC">
        <w:rPr>
          <w:lang w:val="en-GB"/>
        </w:rPr>
        <w:t>)</w:t>
      </w:r>
      <w:bookmarkEnd w:id="139"/>
    </w:p>
    <w:p w14:paraId="7F71070C" w14:textId="77777777" w:rsidR="00587CF0" w:rsidRPr="006645DC" w:rsidRDefault="00587CF0" w:rsidP="00587CF0">
      <w:pPr>
        <w:pStyle w:val="Heading4"/>
        <w:rPr>
          <w:sz w:val="24"/>
          <w:szCs w:val="24"/>
          <w:lang w:val="en-GB"/>
        </w:rPr>
      </w:pPr>
      <w:r w:rsidRPr="006645DC">
        <w:rPr>
          <w:lang w:val="en-GB"/>
        </w:rPr>
        <w:t>Data source: Romania - The National Institute of Statistics Romania; Bulgaria - The National Institute of Statistics Bulgaria</w:t>
      </w:r>
    </w:p>
    <w:p w14:paraId="2E284834" w14:textId="77777777" w:rsidR="00587CF0" w:rsidRPr="006645DC" w:rsidRDefault="00587CF0" w:rsidP="00587CF0">
      <w:pPr>
        <w:pStyle w:val="BodyText3"/>
        <w:spacing w:after="0"/>
        <w:rPr>
          <w:sz w:val="24"/>
          <w:szCs w:val="24"/>
          <w:lang w:val="en-GB"/>
        </w:rPr>
      </w:pPr>
    </w:p>
    <w:p w14:paraId="5A66BBA5" w14:textId="77777777" w:rsidR="00587CF0" w:rsidRPr="006645DC" w:rsidRDefault="00587CF0" w:rsidP="00587CF0">
      <w:pPr>
        <w:pStyle w:val="BodyText3"/>
        <w:spacing w:after="0"/>
        <w:rPr>
          <w:sz w:val="24"/>
          <w:szCs w:val="24"/>
          <w:lang w:val="en-GB" w:eastAsia="fr-FR"/>
        </w:rPr>
      </w:pPr>
    </w:p>
    <w:p w14:paraId="32399118" w14:textId="77777777" w:rsidR="00587CF0" w:rsidRPr="006645DC" w:rsidRDefault="00AA4C82" w:rsidP="00587CF0">
      <w:pPr>
        <w:pStyle w:val="BodyText3"/>
        <w:spacing w:after="0"/>
        <w:jc w:val="center"/>
        <w:rPr>
          <w:lang w:val="en-GB"/>
        </w:rPr>
      </w:pPr>
      <w:r w:rsidRPr="006645DC">
        <w:rPr>
          <w:noProof/>
          <w:lang w:val="bg-BG" w:eastAsia="bg-BG"/>
        </w:rPr>
        <w:drawing>
          <wp:inline distT="0" distB="0" distL="0" distR="0" wp14:anchorId="48629A48" wp14:editId="09C59866">
            <wp:extent cx="5753100" cy="2514600"/>
            <wp:effectExtent l="19050" t="0" r="0" b="0"/>
            <wp:docPr id="408" name="Imag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66"/>
                    <a:srcRect/>
                    <a:stretch>
                      <a:fillRect/>
                    </a:stretch>
                  </pic:blipFill>
                  <pic:spPr bwMode="auto">
                    <a:xfrm>
                      <a:off x="0" y="0"/>
                      <a:ext cx="5753100" cy="2514600"/>
                    </a:xfrm>
                    <a:prstGeom prst="rect">
                      <a:avLst/>
                    </a:prstGeom>
                    <a:solidFill>
                      <a:srgbClr val="FFFFFF"/>
                    </a:solidFill>
                    <a:ln w="9525">
                      <a:noFill/>
                      <a:miter lim="800000"/>
                      <a:headEnd/>
                      <a:tailEnd/>
                    </a:ln>
                  </pic:spPr>
                </pic:pic>
              </a:graphicData>
            </a:graphic>
          </wp:inline>
        </w:drawing>
      </w:r>
    </w:p>
    <w:p w14:paraId="65800BA0" w14:textId="77777777" w:rsidR="00587CF0" w:rsidRPr="006645DC" w:rsidRDefault="00587CF0" w:rsidP="00587CF0">
      <w:pPr>
        <w:pStyle w:val="Lgende1"/>
        <w:rPr>
          <w:lang w:val="en-GB"/>
        </w:rPr>
      </w:pPr>
      <w:bookmarkStart w:id="140" w:name="_Toc391150010"/>
      <w:r w:rsidRPr="006645DC">
        <w:rPr>
          <w:lang w:val="en-GB"/>
        </w:rPr>
        <w:t xml:space="preserve">Map </w:t>
      </w:r>
      <w:r w:rsidR="005979EB" w:rsidRPr="006645DC">
        <w:rPr>
          <w:lang w:val="en-GB"/>
        </w:rPr>
        <w:fldChar w:fldCharType="begin"/>
      </w:r>
      <w:r w:rsidRPr="006645DC">
        <w:rPr>
          <w:lang w:val="en-GB"/>
        </w:rPr>
        <w:instrText xml:space="preserve"> SEQ "Map" \*Arabic </w:instrText>
      </w:r>
      <w:r w:rsidR="005979EB" w:rsidRPr="006645DC">
        <w:rPr>
          <w:lang w:val="en-GB"/>
        </w:rPr>
        <w:fldChar w:fldCharType="separate"/>
      </w:r>
      <w:r w:rsidR="00523DE6">
        <w:rPr>
          <w:noProof/>
          <w:lang w:val="en-GB"/>
        </w:rPr>
        <w:t>6</w:t>
      </w:r>
      <w:r w:rsidR="005979EB" w:rsidRPr="006645DC">
        <w:rPr>
          <w:lang w:val="en-GB"/>
        </w:rPr>
        <w:fldChar w:fldCharType="end"/>
      </w:r>
      <w:r w:rsidRPr="006645DC">
        <w:rPr>
          <w:lang w:val="en-GB"/>
        </w:rPr>
        <w:t xml:space="preserve"> - Density of public roads per 100 sq km (2009)</w:t>
      </w:r>
      <w:bookmarkEnd w:id="140"/>
    </w:p>
    <w:p w14:paraId="6040E03C" w14:textId="51132762" w:rsidR="00587CF0" w:rsidRDefault="00587CF0" w:rsidP="00C367E2">
      <w:pPr>
        <w:pStyle w:val="Heading4"/>
        <w:rPr>
          <w:lang w:val="en-GB"/>
        </w:rPr>
      </w:pPr>
      <w:r w:rsidRPr="006645DC">
        <w:rPr>
          <w:lang w:val="en-GB"/>
        </w:rPr>
        <w:t>Source: EVOLUTION (2012)</w:t>
      </w:r>
    </w:p>
    <w:p w14:paraId="66DABD6E" w14:textId="77777777" w:rsidR="00C367E2" w:rsidRPr="00C367E2" w:rsidRDefault="00C367E2" w:rsidP="00C367E2">
      <w:pPr>
        <w:rPr>
          <w:lang w:val="en-GB"/>
        </w:rPr>
      </w:pPr>
    </w:p>
    <w:p w14:paraId="33E73B89" w14:textId="665BC448" w:rsidR="00587CF0" w:rsidRPr="006645DC" w:rsidRDefault="00587CF0" w:rsidP="00EA46BF">
      <w:pPr>
        <w:rPr>
          <w:sz w:val="24"/>
          <w:szCs w:val="24"/>
          <w:lang w:val="en-GB"/>
        </w:rPr>
      </w:pPr>
      <w:r w:rsidRPr="006645DC">
        <w:rPr>
          <w:lang w:val="en-GB"/>
        </w:rPr>
        <w:t>By the end of 2009, the density of the public road network showed the highest values in the county of Olt (39,6 km/100 km</w:t>
      </w:r>
      <w:r w:rsidRPr="006645DC">
        <w:rPr>
          <w:vertAlign w:val="superscript"/>
          <w:lang w:val="en-GB"/>
        </w:rPr>
        <w:t>2</w:t>
      </w:r>
      <w:r w:rsidRPr="006645DC">
        <w:rPr>
          <w:lang w:val="en-GB"/>
        </w:rPr>
        <w:t>), Vidin (20,2 km/100 km</w:t>
      </w:r>
      <w:r w:rsidRPr="006645DC">
        <w:rPr>
          <w:vertAlign w:val="superscript"/>
          <w:lang w:val="en-GB"/>
        </w:rPr>
        <w:t>2</w:t>
      </w:r>
      <w:r w:rsidRPr="006645DC">
        <w:rPr>
          <w:lang w:val="en-GB"/>
        </w:rPr>
        <w:t>), and Veliko Turnovo (20,1 km/100 km</w:t>
      </w:r>
      <w:r w:rsidRPr="006645DC">
        <w:rPr>
          <w:vertAlign w:val="superscript"/>
          <w:lang w:val="en-GB"/>
        </w:rPr>
        <w:t>2</w:t>
      </w:r>
      <w:r w:rsidRPr="006645DC">
        <w:rPr>
          <w:lang w:val="en-GB"/>
        </w:rPr>
        <w:t>) and the lowest values in the districts of Călăraşi (25,9 km/100 km</w:t>
      </w:r>
      <w:r w:rsidRPr="006645DC">
        <w:rPr>
          <w:vertAlign w:val="superscript"/>
          <w:lang w:val="en-GB"/>
        </w:rPr>
        <w:t>2</w:t>
      </w:r>
      <w:r w:rsidRPr="006645DC">
        <w:rPr>
          <w:lang w:val="en-GB"/>
        </w:rPr>
        <w:t>) and Montana (16,6 km/100 km</w:t>
      </w:r>
      <w:r w:rsidRPr="006645DC">
        <w:rPr>
          <w:vertAlign w:val="superscript"/>
          <w:lang w:val="en-GB"/>
        </w:rPr>
        <w:t>2</w:t>
      </w:r>
      <w:r w:rsidRPr="006645DC">
        <w:rPr>
          <w:lang w:val="en-GB"/>
        </w:rPr>
        <w:t xml:space="preserve">), respectively. At the same time, the highest percentage of paved roads was in Constanţa </w:t>
      </w:r>
      <w:r w:rsidR="00C367E2" w:rsidRPr="006645DC">
        <w:rPr>
          <w:lang w:val="en-GB"/>
        </w:rPr>
        <w:t>County</w:t>
      </w:r>
      <w:r w:rsidR="00C367E2">
        <w:rPr>
          <w:lang w:val="en-GB"/>
        </w:rPr>
        <w:t xml:space="preserve"> and in Veliko Turnovo D</w:t>
      </w:r>
      <w:r w:rsidRPr="006645DC">
        <w:rPr>
          <w:lang w:val="en-GB"/>
        </w:rPr>
        <w:t>istrict in Bulgaria.</w:t>
      </w:r>
    </w:p>
    <w:p w14:paraId="48E3B329" w14:textId="77777777" w:rsidR="00587CF0" w:rsidRPr="006645DC" w:rsidRDefault="00587CF0" w:rsidP="00587CF0">
      <w:pPr>
        <w:rPr>
          <w:sz w:val="24"/>
          <w:szCs w:val="24"/>
          <w:lang w:val="en-GB"/>
        </w:rPr>
      </w:pPr>
    </w:p>
    <w:tbl>
      <w:tblPr>
        <w:tblW w:w="0" w:type="auto"/>
        <w:jc w:val="center"/>
        <w:tblLayout w:type="fixed"/>
        <w:tblCellMar>
          <w:left w:w="70" w:type="dxa"/>
          <w:right w:w="70" w:type="dxa"/>
        </w:tblCellMar>
        <w:tblLook w:val="04A0" w:firstRow="1" w:lastRow="0" w:firstColumn="1" w:lastColumn="0" w:noHBand="0" w:noVBand="1"/>
      </w:tblPr>
      <w:tblGrid>
        <w:gridCol w:w="2005"/>
        <w:gridCol w:w="1031"/>
        <w:gridCol w:w="1504"/>
        <w:gridCol w:w="1192"/>
      </w:tblGrid>
      <w:tr w:rsidR="00587CF0" w:rsidRPr="006645DC" w14:paraId="6E070EF5" w14:textId="77777777" w:rsidTr="00587CF0">
        <w:trPr>
          <w:trHeight w:val="300"/>
          <w:jc w:val="center"/>
        </w:trPr>
        <w:tc>
          <w:tcPr>
            <w:tcW w:w="5732" w:type="dxa"/>
            <w:gridSpan w:val="4"/>
            <w:tcBorders>
              <w:top w:val="single" w:sz="4" w:space="0" w:color="000000"/>
              <w:left w:val="single" w:sz="4" w:space="0" w:color="000000"/>
              <w:bottom w:val="single" w:sz="4" w:space="0" w:color="000000"/>
              <w:right w:val="single" w:sz="4" w:space="0" w:color="000000"/>
            </w:tcBorders>
            <w:shd w:val="clear" w:color="auto" w:fill="76923C"/>
            <w:vAlign w:val="bottom"/>
            <w:hideMark/>
          </w:tcPr>
          <w:p w14:paraId="625D152B" w14:textId="77777777" w:rsidR="00587CF0" w:rsidRPr="006645DC" w:rsidRDefault="00587CF0">
            <w:pPr>
              <w:spacing w:before="0" w:after="0"/>
              <w:jc w:val="center"/>
              <w:rPr>
                <w:rFonts w:eastAsia="Times New Roman" w:cs="Calibri"/>
                <w:b/>
                <w:color w:val="FFFFFF"/>
                <w:kern w:val="2"/>
                <w:lang w:val="en-GB" w:eastAsia="hu-HU"/>
              </w:rPr>
            </w:pPr>
            <w:r w:rsidRPr="006645DC">
              <w:rPr>
                <w:rFonts w:eastAsia="Times New Roman"/>
                <w:b/>
                <w:color w:val="FFFFFF"/>
                <w:lang w:val="en-GB" w:eastAsia="hu-HU"/>
              </w:rPr>
              <w:lastRenderedPageBreak/>
              <w:t xml:space="preserve"> Rate of paved roads in the </w:t>
            </w:r>
          </w:p>
          <w:p w14:paraId="2801F454" w14:textId="77777777" w:rsidR="00587CF0" w:rsidRPr="006645DC" w:rsidRDefault="00587CF0">
            <w:pPr>
              <w:suppressAutoHyphens/>
              <w:spacing w:before="0" w:after="0" w:line="100" w:lineRule="atLeast"/>
              <w:jc w:val="center"/>
              <w:rPr>
                <w:rFonts w:eastAsia="Times New Roman" w:cs="Calibri"/>
                <w:b/>
                <w:color w:val="FFFFFF"/>
                <w:kern w:val="2"/>
                <w:lang w:val="en-GB" w:eastAsia="hu-HU"/>
              </w:rPr>
            </w:pPr>
            <w:r w:rsidRPr="006645DC">
              <w:rPr>
                <w:rFonts w:eastAsia="Times New Roman"/>
                <w:b/>
                <w:color w:val="FFFFFF"/>
                <w:lang w:val="en-GB" w:eastAsia="hu-HU"/>
              </w:rPr>
              <w:t>cross-border area in 2009</w:t>
            </w:r>
          </w:p>
        </w:tc>
      </w:tr>
      <w:tr w:rsidR="00587CF0" w:rsidRPr="006645DC" w14:paraId="21C7EA86" w14:textId="77777777" w:rsidTr="00587CF0">
        <w:trPr>
          <w:trHeight w:val="300"/>
          <w:jc w:val="center"/>
        </w:trPr>
        <w:tc>
          <w:tcPr>
            <w:tcW w:w="3036" w:type="dxa"/>
            <w:gridSpan w:val="2"/>
            <w:tcBorders>
              <w:top w:val="single" w:sz="4" w:space="0" w:color="000000"/>
              <w:left w:val="single" w:sz="4" w:space="0" w:color="000000"/>
              <w:bottom w:val="single" w:sz="4" w:space="0" w:color="000000"/>
              <w:right w:val="single" w:sz="4" w:space="0" w:color="000000"/>
            </w:tcBorders>
            <w:shd w:val="clear" w:color="auto" w:fill="76923C"/>
            <w:vAlign w:val="bottom"/>
            <w:hideMark/>
          </w:tcPr>
          <w:p w14:paraId="1FD5C20B" w14:textId="77777777" w:rsidR="00587CF0" w:rsidRPr="006645DC" w:rsidRDefault="00587CF0">
            <w:pPr>
              <w:suppressAutoHyphens/>
              <w:spacing w:before="0" w:after="0" w:line="100" w:lineRule="atLeast"/>
              <w:jc w:val="center"/>
              <w:rPr>
                <w:rFonts w:eastAsia="Times New Roman" w:cs="Calibri"/>
                <w:b/>
                <w:color w:val="FFFFFF"/>
                <w:kern w:val="2"/>
                <w:lang w:val="en-GB" w:eastAsia="hu-HU"/>
              </w:rPr>
            </w:pPr>
            <w:r w:rsidRPr="006645DC">
              <w:rPr>
                <w:rFonts w:eastAsia="Times New Roman"/>
                <w:b/>
                <w:color w:val="FFFFFF"/>
                <w:lang w:val="en-GB" w:eastAsia="hu-HU"/>
              </w:rPr>
              <w:t>Bulgaria </w:t>
            </w:r>
          </w:p>
        </w:tc>
        <w:tc>
          <w:tcPr>
            <w:tcW w:w="2696" w:type="dxa"/>
            <w:gridSpan w:val="2"/>
            <w:tcBorders>
              <w:top w:val="single" w:sz="4" w:space="0" w:color="000000"/>
              <w:left w:val="nil"/>
              <w:bottom w:val="single" w:sz="4" w:space="0" w:color="000000"/>
              <w:right w:val="single" w:sz="4" w:space="0" w:color="000000"/>
            </w:tcBorders>
            <w:shd w:val="clear" w:color="auto" w:fill="76923C"/>
            <w:vAlign w:val="bottom"/>
            <w:hideMark/>
          </w:tcPr>
          <w:p w14:paraId="6681EF58" w14:textId="77777777" w:rsidR="00587CF0" w:rsidRPr="006645DC" w:rsidRDefault="00587CF0">
            <w:pPr>
              <w:keepNext/>
              <w:keepLines/>
              <w:suppressAutoHyphens/>
              <w:spacing w:before="0" w:after="0" w:line="100" w:lineRule="atLeast"/>
              <w:ind w:left="757" w:hanging="360"/>
              <w:jc w:val="center"/>
              <w:rPr>
                <w:rFonts w:eastAsia="Times New Roman" w:cs="Calibri"/>
                <w:color w:val="000000"/>
                <w:kern w:val="2"/>
                <w:lang w:val="en-GB" w:eastAsia="hu-HU"/>
              </w:rPr>
            </w:pPr>
            <w:r w:rsidRPr="006645DC">
              <w:rPr>
                <w:rFonts w:eastAsia="Times New Roman"/>
                <w:b/>
                <w:color w:val="FFFFFF"/>
                <w:lang w:val="en-GB" w:eastAsia="hu-HU"/>
              </w:rPr>
              <w:t>Romania </w:t>
            </w:r>
          </w:p>
        </w:tc>
      </w:tr>
      <w:tr w:rsidR="00587CF0" w:rsidRPr="006645DC" w14:paraId="4E573885" w14:textId="77777777" w:rsidTr="00587CF0">
        <w:trPr>
          <w:trHeight w:val="300"/>
          <w:jc w:val="center"/>
        </w:trPr>
        <w:tc>
          <w:tcPr>
            <w:tcW w:w="2005" w:type="dxa"/>
            <w:tcBorders>
              <w:top w:val="nil"/>
              <w:left w:val="single" w:sz="4" w:space="0" w:color="000000"/>
              <w:bottom w:val="single" w:sz="4" w:space="0" w:color="000000"/>
              <w:right w:val="single" w:sz="4" w:space="0" w:color="000000"/>
            </w:tcBorders>
            <w:shd w:val="clear" w:color="auto" w:fill="FFFFFF"/>
            <w:vAlign w:val="bottom"/>
            <w:hideMark/>
          </w:tcPr>
          <w:p w14:paraId="0D7CCB35" w14:textId="77777777" w:rsidR="00587CF0" w:rsidRPr="006645DC" w:rsidRDefault="00587CF0">
            <w:pPr>
              <w:suppressAutoHyphens/>
              <w:spacing w:before="0" w:after="0" w:line="100" w:lineRule="atLeast"/>
              <w:jc w:val="left"/>
              <w:rPr>
                <w:rFonts w:eastAsia="Times New Roman" w:cs="Calibri"/>
                <w:color w:val="000000"/>
                <w:kern w:val="2"/>
                <w:lang w:val="en-GB" w:eastAsia="hu-HU"/>
              </w:rPr>
            </w:pPr>
            <w:r w:rsidRPr="006645DC">
              <w:rPr>
                <w:rFonts w:eastAsia="Times New Roman"/>
                <w:color w:val="000000"/>
                <w:lang w:val="en-GB" w:eastAsia="hu-HU"/>
              </w:rPr>
              <w:t>Veliko Tarnovo</w:t>
            </w:r>
          </w:p>
        </w:tc>
        <w:tc>
          <w:tcPr>
            <w:tcW w:w="1031" w:type="dxa"/>
            <w:tcBorders>
              <w:top w:val="nil"/>
              <w:left w:val="nil"/>
              <w:bottom w:val="single" w:sz="4" w:space="0" w:color="000000"/>
              <w:right w:val="single" w:sz="4" w:space="0" w:color="000000"/>
            </w:tcBorders>
            <w:shd w:val="clear" w:color="auto" w:fill="FFFFFF"/>
            <w:vAlign w:val="bottom"/>
            <w:hideMark/>
          </w:tcPr>
          <w:p w14:paraId="078C7065"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17%</w:t>
            </w:r>
          </w:p>
        </w:tc>
        <w:tc>
          <w:tcPr>
            <w:tcW w:w="1504" w:type="dxa"/>
            <w:tcBorders>
              <w:top w:val="nil"/>
              <w:left w:val="nil"/>
              <w:bottom w:val="single" w:sz="4" w:space="0" w:color="000000"/>
              <w:right w:val="single" w:sz="4" w:space="0" w:color="000000"/>
            </w:tcBorders>
            <w:shd w:val="clear" w:color="auto" w:fill="FFFFFF"/>
            <w:vAlign w:val="bottom"/>
            <w:hideMark/>
          </w:tcPr>
          <w:p w14:paraId="31C098C0" w14:textId="77777777" w:rsidR="00587CF0" w:rsidRPr="006645DC" w:rsidRDefault="00587CF0">
            <w:pPr>
              <w:keepNext/>
              <w:keepLines/>
              <w:suppressAutoHyphens/>
              <w:spacing w:before="0" w:after="0" w:line="100" w:lineRule="atLeast"/>
              <w:ind w:left="757" w:hanging="360"/>
              <w:jc w:val="left"/>
              <w:rPr>
                <w:rFonts w:eastAsia="Times New Roman" w:cs="Calibri"/>
                <w:color w:val="000000"/>
                <w:kern w:val="2"/>
                <w:lang w:val="en-GB" w:eastAsia="hu-HU"/>
              </w:rPr>
            </w:pPr>
            <w:r w:rsidRPr="006645DC">
              <w:rPr>
                <w:rFonts w:eastAsia="Times New Roman"/>
                <w:color w:val="000000"/>
                <w:lang w:val="en-GB" w:eastAsia="hu-HU"/>
              </w:rPr>
              <w:t>Dolj</w:t>
            </w:r>
          </w:p>
        </w:tc>
        <w:tc>
          <w:tcPr>
            <w:tcW w:w="1192" w:type="dxa"/>
            <w:tcBorders>
              <w:top w:val="nil"/>
              <w:left w:val="nil"/>
              <w:bottom w:val="single" w:sz="4" w:space="0" w:color="000000"/>
              <w:right w:val="single" w:sz="4" w:space="0" w:color="000000"/>
            </w:tcBorders>
            <w:shd w:val="clear" w:color="auto" w:fill="FFFFFF"/>
            <w:vAlign w:val="bottom"/>
            <w:hideMark/>
          </w:tcPr>
          <w:p w14:paraId="44B0D138" w14:textId="77777777" w:rsidR="00587CF0" w:rsidRPr="006645DC" w:rsidRDefault="00587CF0">
            <w:pPr>
              <w:suppressAutoHyphens/>
              <w:spacing w:before="0" w:after="0" w:line="100" w:lineRule="atLeast"/>
              <w:jc w:val="right"/>
              <w:rPr>
                <w:rFonts w:eastAsia="Times New Roman" w:cs="Calibri"/>
                <w:color w:val="000000"/>
                <w:kern w:val="2"/>
                <w:lang w:val="en-GB" w:eastAsia="hu-HU"/>
              </w:rPr>
            </w:pPr>
            <w:r w:rsidRPr="006645DC">
              <w:rPr>
                <w:rFonts w:eastAsia="Times New Roman"/>
                <w:color w:val="000000"/>
                <w:lang w:val="en-GB" w:eastAsia="hu-HU"/>
              </w:rPr>
              <w:t>18%</w:t>
            </w:r>
          </w:p>
        </w:tc>
      </w:tr>
      <w:tr w:rsidR="00587CF0" w:rsidRPr="006645DC" w14:paraId="0B44432D" w14:textId="77777777" w:rsidTr="00587CF0">
        <w:trPr>
          <w:trHeight w:val="300"/>
          <w:jc w:val="center"/>
        </w:trPr>
        <w:tc>
          <w:tcPr>
            <w:tcW w:w="2005" w:type="dxa"/>
            <w:tcBorders>
              <w:top w:val="nil"/>
              <w:left w:val="single" w:sz="4" w:space="0" w:color="000000"/>
              <w:bottom w:val="single" w:sz="4" w:space="0" w:color="000000"/>
              <w:right w:val="single" w:sz="4" w:space="0" w:color="000000"/>
            </w:tcBorders>
            <w:shd w:val="clear" w:color="auto" w:fill="FFFFFF"/>
            <w:vAlign w:val="bottom"/>
            <w:hideMark/>
          </w:tcPr>
          <w:p w14:paraId="032024BB" w14:textId="77777777" w:rsidR="00587CF0" w:rsidRPr="006645DC" w:rsidRDefault="00587CF0">
            <w:pPr>
              <w:suppressAutoHyphens/>
              <w:spacing w:before="0" w:after="0" w:line="100" w:lineRule="atLeast"/>
              <w:jc w:val="left"/>
              <w:rPr>
                <w:rFonts w:eastAsia="Times New Roman" w:cs="Calibri"/>
                <w:color w:val="000000"/>
                <w:kern w:val="2"/>
                <w:lang w:val="en-GB" w:eastAsia="hu-HU"/>
              </w:rPr>
            </w:pPr>
            <w:r w:rsidRPr="006645DC">
              <w:rPr>
                <w:rFonts w:eastAsia="Times New Roman"/>
                <w:color w:val="000000"/>
                <w:lang w:val="en-GB" w:eastAsia="hu-HU"/>
              </w:rPr>
              <w:t>Dobrich</w:t>
            </w:r>
          </w:p>
        </w:tc>
        <w:tc>
          <w:tcPr>
            <w:tcW w:w="1031" w:type="dxa"/>
            <w:tcBorders>
              <w:top w:val="nil"/>
              <w:left w:val="nil"/>
              <w:bottom w:val="single" w:sz="4" w:space="0" w:color="000000"/>
              <w:right w:val="single" w:sz="4" w:space="0" w:color="000000"/>
            </w:tcBorders>
            <w:shd w:val="clear" w:color="auto" w:fill="FFFFFF"/>
            <w:vAlign w:val="bottom"/>
            <w:hideMark/>
          </w:tcPr>
          <w:p w14:paraId="032DC851"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15%</w:t>
            </w:r>
          </w:p>
        </w:tc>
        <w:tc>
          <w:tcPr>
            <w:tcW w:w="1504" w:type="dxa"/>
            <w:tcBorders>
              <w:top w:val="nil"/>
              <w:left w:val="nil"/>
              <w:bottom w:val="single" w:sz="4" w:space="0" w:color="000000"/>
              <w:right w:val="single" w:sz="4" w:space="0" w:color="000000"/>
            </w:tcBorders>
            <w:shd w:val="clear" w:color="auto" w:fill="FFFFFF"/>
            <w:vAlign w:val="bottom"/>
            <w:hideMark/>
          </w:tcPr>
          <w:p w14:paraId="0E6A8F9E" w14:textId="77777777" w:rsidR="00587CF0" w:rsidRPr="006645DC" w:rsidRDefault="00587CF0">
            <w:pPr>
              <w:keepNext/>
              <w:keepLines/>
              <w:suppressAutoHyphens/>
              <w:spacing w:before="0" w:after="0" w:line="100" w:lineRule="atLeast"/>
              <w:ind w:left="757" w:hanging="360"/>
              <w:jc w:val="left"/>
              <w:rPr>
                <w:rFonts w:eastAsia="Times New Roman" w:cs="Calibri"/>
                <w:color w:val="000000"/>
                <w:kern w:val="2"/>
                <w:lang w:val="en-GB" w:eastAsia="hu-HU"/>
              </w:rPr>
            </w:pPr>
            <w:r w:rsidRPr="006645DC">
              <w:rPr>
                <w:rFonts w:eastAsia="Times New Roman"/>
                <w:color w:val="000000"/>
                <w:lang w:val="en-GB" w:eastAsia="hu-HU"/>
              </w:rPr>
              <w:t>Olt</w:t>
            </w:r>
          </w:p>
        </w:tc>
        <w:tc>
          <w:tcPr>
            <w:tcW w:w="1192" w:type="dxa"/>
            <w:tcBorders>
              <w:top w:val="nil"/>
              <w:left w:val="nil"/>
              <w:bottom w:val="single" w:sz="4" w:space="0" w:color="000000"/>
              <w:right w:val="single" w:sz="4" w:space="0" w:color="000000"/>
            </w:tcBorders>
            <w:shd w:val="clear" w:color="auto" w:fill="FFFFFF"/>
            <w:vAlign w:val="bottom"/>
            <w:hideMark/>
          </w:tcPr>
          <w:p w14:paraId="29144FC0"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17%</w:t>
            </w:r>
          </w:p>
        </w:tc>
      </w:tr>
      <w:tr w:rsidR="00587CF0" w:rsidRPr="006645DC" w14:paraId="400CD2F5" w14:textId="77777777" w:rsidTr="00587CF0">
        <w:trPr>
          <w:trHeight w:val="300"/>
          <w:jc w:val="center"/>
        </w:trPr>
        <w:tc>
          <w:tcPr>
            <w:tcW w:w="2005" w:type="dxa"/>
            <w:tcBorders>
              <w:top w:val="nil"/>
              <w:left w:val="single" w:sz="4" w:space="0" w:color="000000"/>
              <w:bottom w:val="single" w:sz="4" w:space="0" w:color="000000"/>
              <w:right w:val="single" w:sz="4" w:space="0" w:color="000000"/>
            </w:tcBorders>
            <w:shd w:val="clear" w:color="auto" w:fill="FFFFFF"/>
            <w:vAlign w:val="bottom"/>
            <w:hideMark/>
          </w:tcPr>
          <w:p w14:paraId="54D1CF1E" w14:textId="77777777" w:rsidR="00587CF0" w:rsidRPr="006645DC" w:rsidRDefault="00587CF0">
            <w:pPr>
              <w:keepNext/>
              <w:keepLines/>
              <w:suppressAutoHyphens/>
              <w:spacing w:before="0" w:after="0" w:line="100" w:lineRule="atLeast"/>
              <w:jc w:val="left"/>
              <w:rPr>
                <w:rFonts w:eastAsia="Times New Roman" w:cs="Calibri"/>
                <w:color w:val="000000"/>
                <w:kern w:val="2"/>
                <w:lang w:val="en-GB" w:eastAsia="hu-HU"/>
              </w:rPr>
            </w:pPr>
            <w:r w:rsidRPr="006645DC">
              <w:rPr>
                <w:rFonts w:eastAsia="Times New Roman"/>
                <w:color w:val="000000"/>
                <w:lang w:val="en-GB" w:eastAsia="hu-HU"/>
              </w:rPr>
              <w:t>Pleven</w:t>
            </w:r>
          </w:p>
        </w:tc>
        <w:tc>
          <w:tcPr>
            <w:tcW w:w="1031" w:type="dxa"/>
            <w:tcBorders>
              <w:top w:val="nil"/>
              <w:left w:val="nil"/>
              <w:bottom w:val="single" w:sz="4" w:space="0" w:color="000000"/>
              <w:right w:val="single" w:sz="4" w:space="0" w:color="000000"/>
            </w:tcBorders>
            <w:shd w:val="clear" w:color="auto" w:fill="FFFFFF"/>
            <w:vAlign w:val="bottom"/>
            <w:hideMark/>
          </w:tcPr>
          <w:p w14:paraId="10038D77"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14%</w:t>
            </w:r>
          </w:p>
        </w:tc>
        <w:tc>
          <w:tcPr>
            <w:tcW w:w="1504" w:type="dxa"/>
            <w:tcBorders>
              <w:top w:val="nil"/>
              <w:left w:val="nil"/>
              <w:bottom w:val="single" w:sz="4" w:space="0" w:color="000000"/>
              <w:right w:val="single" w:sz="4" w:space="0" w:color="000000"/>
            </w:tcBorders>
            <w:shd w:val="clear" w:color="auto" w:fill="FFFFFF"/>
            <w:vAlign w:val="bottom"/>
            <w:hideMark/>
          </w:tcPr>
          <w:p w14:paraId="7356C05B" w14:textId="77777777" w:rsidR="00587CF0" w:rsidRPr="006645DC" w:rsidRDefault="00587CF0">
            <w:pPr>
              <w:keepNext/>
              <w:keepLines/>
              <w:suppressAutoHyphens/>
              <w:spacing w:before="0" w:after="0" w:line="100" w:lineRule="atLeast"/>
              <w:ind w:left="757" w:hanging="360"/>
              <w:jc w:val="left"/>
              <w:rPr>
                <w:rFonts w:eastAsia="Times New Roman" w:cs="Calibri"/>
                <w:color w:val="000000"/>
                <w:kern w:val="2"/>
                <w:lang w:val="en-GB" w:eastAsia="hu-HU"/>
              </w:rPr>
            </w:pPr>
            <w:r w:rsidRPr="006645DC">
              <w:rPr>
                <w:rFonts w:eastAsia="Times New Roman"/>
                <w:color w:val="000000"/>
                <w:lang w:val="en-GB" w:eastAsia="hu-HU"/>
              </w:rPr>
              <w:t>Constanta</w:t>
            </w:r>
          </w:p>
        </w:tc>
        <w:tc>
          <w:tcPr>
            <w:tcW w:w="1192" w:type="dxa"/>
            <w:tcBorders>
              <w:top w:val="nil"/>
              <w:left w:val="nil"/>
              <w:bottom w:val="single" w:sz="4" w:space="0" w:color="000000"/>
              <w:right w:val="single" w:sz="4" w:space="0" w:color="000000"/>
            </w:tcBorders>
            <w:shd w:val="clear" w:color="auto" w:fill="FFFFFF"/>
            <w:vAlign w:val="bottom"/>
            <w:hideMark/>
          </w:tcPr>
          <w:p w14:paraId="621E50C0"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19%</w:t>
            </w:r>
          </w:p>
        </w:tc>
      </w:tr>
      <w:tr w:rsidR="00587CF0" w:rsidRPr="006645DC" w14:paraId="263AC3A4" w14:textId="77777777" w:rsidTr="00587CF0">
        <w:trPr>
          <w:trHeight w:val="300"/>
          <w:jc w:val="center"/>
        </w:trPr>
        <w:tc>
          <w:tcPr>
            <w:tcW w:w="2005" w:type="dxa"/>
            <w:tcBorders>
              <w:top w:val="nil"/>
              <w:left w:val="single" w:sz="4" w:space="0" w:color="000000"/>
              <w:bottom w:val="single" w:sz="4" w:space="0" w:color="000000"/>
              <w:right w:val="single" w:sz="4" w:space="0" w:color="000000"/>
            </w:tcBorders>
            <w:shd w:val="clear" w:color="auto" w:fill="FFFFFF"/>
            <w:vAlign w:val="bottom"/>
            <w:hideMark/>
          </w:tcPr>
          <w:p w14:paraId="4705C87C" w14:textId="77777777" w:rsidR="00587CF0" w:rsidRPr="006645DC" w:rsidRDefault="00587CF0">
            <w:pPr>
              <w:keepNext/>
              <w:keepLines/>
              <w:suppressAutoHyphens/>
              <w:spacing w:before="0" w:after="0" w:line="100" w:lineRule="atLeast"/>
              <w:jc w:val="left"/>
              <w:rPr>
                <w:rFonts w:eastAsia="Times New Roman" w:cs="Calibri"/>
                <w:color w:val="000000"/>
                <w:kern w:val="2"/>
                <w:lang w:val="en-GB" w:eastAsia="hu-HU"/>
              </w:rPr>
            </w:pPr>
            <w:r w:rsidRPr="006645DC">
              <w:rPr>
                <w:rFonts w:eastAsia="Times New Roman"/>
                <w:color w:val="000000"/>
                <w:lang w:val="en-GB" w:eastAsia="hu-HU"/>
              </w:rPr>
              <w:t>Vratsa</w:t>
            </w:r>
          </w:p>
        </w:tc>
        <w:tc>
          <w:tcPr>
            <w:tcW w:w="1031" w:type="dxa"/>
            <w:tcBorders>
              <w:top w:val="nil"/>
              <w:left w:val="nil"/>
              <w:bottom w:val="single" w:sz="4" w:space="0" w:color="000000"/>
              <w:right w:val="single" w:sz="4" w:space="0" w:color="000000"/>
            </w:tcBorders>
            <w:shd w:val="clear" w:color="auto" w:fill="FFFFFF"/>
            <w:vAlign w:val="bottom"/>
            <w:hideMark/>
          </w:tcPr>
          <w:p w14:paraId="43E921D3"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12%</w:t>
            </w:r>
          </w:p>
        </w:tc>
        <w:tc>
          <w:tcPr>
            <w:tcW w:w="1504" w:type="dxa"/>
            <w:tcBorders>
              <w:top w:val="nil"/>
              <w:left w:val="nil"/>
              <w:bottom w:val="single" w:sz="4" w:space="0" w:color="000000"/>
              <w:right w:val="single" w:sz="4" w:space="0" w:color="000000"/>
            </w:tcBorders>
            <w:shd w:val="clear" w:color="auto" w:fill="FFFFFF"/>
            <w:vAlign w:val="bottom"/>
            <w:hideMark/>
          </w:tcPr>
          <w:p w14:paraId="61C38141" w14:textId="77777777" w:rsidR="00587CF0" w:rsidRPr="006645DC" w:rsidRDefault="00587CF0">
            <w:pPr>
              <w:keepNext/>
              <w:keepLines/>
              <w:suppressAutoHyphens/>
              <w:spacing w:before="0" w:after="0" w:line="100" w:lineRule="atLeast"/>
              <w:ind w:left="757" w:hanging="360"/>
              <w:jc w:val="left"/>
              <w:rPr>
                <w:rFonts w:eastAsia="Times New Roman" w:cs="Calibri"/>
                <w:color w:val="000000"/>
                <w:kern w:val="2"/>
                <w:lang w:val="en-GB" w:eastAsia="hu-HU"/>
              </w:rPr>
            </w:pPr>
            <w:r w:rsidRPr="006645DC">
              <w:rPr>
                <w:rFonts w:eastAsia="Times New Roman"/>
                <w:color w:val="000000"/>
                <w:lang w:val="en-GB" w:eastAsia="hu-HU"/>
              </w:rPr>
              <w:t xml:space="preserve">Mehedinti </w:t>
            </w:r>
          </w:p>
        </w:tc>
        <w:tc>
          <w:tcPr>
            <w:tcW w:w="1192" w:type="dxa"/>
            <w:tcBorders>
              <w:top w:val="nil"/>
              <w:left w:val="nil"/>
              <w:bottom w:val="single" w:sz="4" w:space="0" w:color="000000"/>
              <w:right w:val="single" w:sz="4" w:space="0" w:color="000000"/>
            </w:tcBorders>
            <w:shd w:val="clear" w:color="auto" w:fill="FFFFFF"/>
            <w:vAlign w:val="bottom"/>
            <w:hideMark/>
          </w:tcPr>
          <w:p w14:paraId="24428025"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15%</w:t>
            </w:r>
          </w:p>
        </w:tc>
      </w:tr>
      <w:tr w:rsidR="00587CF0" w:rsidRPr="006645DC" w14:paraId="25D7BFAC" w14:textId="77777777" w:rsidTr="00587CF0">
        <w:trPr>
          <w:trHeight w:val="300"/>
          <w:jc w:val="center"/>
        </w:trPr>
        <w:tc>
          <w:tcPr>
            <w:tcW w:w="2005" w:type="dxa"/>
            <w:tcBorders>
              <w:top w:val="nil"/>
              <w:left w:val="single" w:sz="4" w:space="0" w:color="000000"/>
              <w:bottom w:val="single" w:sz="4" w:space="0" w:color="000000"/>
              <w:right w:val="single" w:sz="4" w:space="0" w:color="000000"/>
            </w:tcBorders>
            <w:shd w:val="clear" w:color="auto" w:fill="FFFFFF"/>
            <w:vAlign w:val="bottom"/>
            <w:hideMark/>
          </w:tcPr>
          <w:p w14:paraId="377026E5" w14:textId="77777777" w:rsidR="00587CF0" w:rsidRPr="006645DC" w:rsidRDefault="00587CF0">
            <w:pPr>
              <w:keepNext/>
              <w:keepLines/>
              <w:suppressAutoHyphens/>
              <w:spacing w:before="0" w:after="0" w:line="100" w:lineRule="atLeast"/>
              <w:jc w:val="left"/>
              <w:rPr>
                <w:rFonts w:eastAsia="Times New Roman" w:cs="Calibri"/>
                <w:color w:val="000000"/>
                <w:kern w:val="2"/>
                <w:lang w:val="en-GB" w:eastAsia="hu-HU"/>
              </w:rPr>
            </w:pPr>
            <w:r w:rsidRPr="006645DC">
              <w:rPr>
                <w:rFonts w:eastAsia="Times New Roman"/>
                <w:color w:val="000000"/>
                <w:lang w:val="en-GB" w:eastAsia="hu-HU"/>
              </w:rPr>
              <w:t>Vidin</w:t>
            </w:r>
          </w:p>
        </w:tc>
        <w:tc>
          <w:tcPr>
            <w:tcW w:w="1031" w:type="dxa"/>
            <w:tcBorders>
              <w:top w:val="nil"/>
              <w:left w:val="nil"/>
              <w:bottom w:val="single" w:sz="4" w:space="0" w:color="000000"/>
              <w:right w:val="single" w:sz="4" w:space="0" w:color="000000"/>
            </w:tcBorders>
            <w:shd w:val="clear" w:color="auto" w:fill="FFFFFF"/>
            <w:vAlign w:val="bottom"/>
            <w:hideMark/>
          </w:tcPr>
          <w:p w14:paraId="6491017F"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11%</w:t>
            </w:r>
          </w:p>
        </w:tc>
        <w:tc>
          <w:tcPr>
            <w:tcW w:w="1504" w:type="dxa"/>
            <w:tcBorders>
              <w:top w:val="nil"/>
              <w:left w:val="nil"/>
              <w:bottom w:val="single" w:sz="4" w:space="0" w:color="000000"/>
              <w:right w:val="single" w:sz="4" w:space="0" w:color="000000"/>
            </w:tcBorders>
            <w:shd w:val="clear" w:color="auto" w:fill="FFFFFF"/>
            <w:vAlign w:val="bottom"/>
            <w:hideMark/>
          </w:tcPr>
          <w:p w14:paraId="29F34AF7" w14:textId="77777777" w:rsidR="00587CF0" w:rsidRPr="006645DC" w:rsidRDefault="00587CF0">
            <w:pPr>
              <w:keepNext/>
              <w:keepLines/>
              <w:suppressAutoHyphens/>
              <w:spacing w:before="0" w:after="0" w:line="100" w:lineRule="atLeast"/>
              <w:ind w:left="757" w:hanging="360"/>
              <w:jc w:val="left"/>
              <w:rPr>
                <w:rFonts w:eastAsia="Times New Roman" w:cs="Calibri"/>
                <w:color w:val="000000"/>
                <w:kern w:val="2"/>
                <w:lang w:val="en-GB" w:eastAsia="hu-HU"/>
              </w:rPr>
            </w:pPr>
            <w:r w:rsidRPr="006645DC">
              <w:rPr>
                <w:rFonts w:eastAsia="Times New Roman"/>
                <w:color w:val="000000"/>
                <w:lang w:val="en-GB" w:eastAsia="hu-HU"/>
              </w:rPr>
              <w:t>Teleorman</w:t>
            </w:r>
          </w:p>
        </w:tc>
        <w:tc>
          <w:tcPr>
            <w:tcW w:w="1192" w:type="dxa"/>
            <w:tcBorders>
              <w:top w:val="nil"/>
              <w:left w:val="nil"/>
              <w:bottom w:val="single" w:sz="4" w:space="0" w:color="000000"/>
              <w:right w:val="single" w:sz="4" w:space="0" w:color="000000"/>
            </w:tcBorders>
            <w:shd w:val="clear" w:color="auto" w:fill="FFFFFF"/>
            <w:vAlign w:val="bottom"/>
            <w:hideMark/>
          </w:tcPr>
          <w:p w14:paraId="758FB9CC"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12%</w:t>
            </w:r>
          </w:p>
        </w:tc>
      </w:tr>
      <w:tr w:rsidR="00587CF0" w:rsidRPr="006645DC" w14:paraId="52C068FA" w14:textId="77777777" w:rsidTr="00587CF0">
        <w:trPr>
          <w:trHeight w:val="300"/>
          <w:jc w:val="center"/>
        </w:trPr>
        <w:tc>
          <w:tcPr>
            <w:tcW w:w="2005" w:type="dxa"/>
            <w:tcBorders>
              <w:top w:val="nil"/>
              <w:left w:val="single" w:sz="4" w:space="0" w:color="000000"/>
              <w:bottom w:val="single" w:sz="4" w:space="0" w:color="000000"/>
              <w:right w:val="single" w:sz="4" w:space="0" w:color="000000"/>
            </w:tcBorders>
            <w:shd w:val="clear" w:color="auto" w:fill="FFFFFF"/>
            <w:vAlign w:val="bottom"/>
            <w:hideMark/>
          </w:tcPr>
          <w:p w14:paraId="60E0E700" w14:textId="77777777" w:rsidR="00587CF0" w:rsidRPr="006645DC" w:rsidRDefault="00587CF0">
            <w:pPr>
              <w:keepNext/>
              <w:keepLines/>
              <w:suppressAutoHyphens/>
              <w:spacing w:before="0" w:after="0" w:line="100" w:lineRule="atLeast"/>
              <w:jc w:val="left"/>
              <w:rPr>
                <w:rFonts w:eastAsia="Times New Roman" w:cs="Calibri"/>
                <w:color w:val="000000"/>
                <w:kern w:val="2"/>
                <w:lang w:val="en-GB" w:eastAsia="hu-HU"/>
              </w:rPr>
            </w:pPr>
            <w:r w:rsidRPr="006645DC">
              <w:rPr>
                <w:rFonts w:eastAsia="Times New Roman"/>
                <w:color w:val="000000"/>
                <w:lang w:val="en-GB" w:eastAsia="hu-HU"/>
              </w:rPr>
              <w:t>Silistra</w:t>
            </w:r>
          </w:p>
        </w:tc>
        <w:tc>
          <w:tcPr>
            <w:tcW w:w="1031" w:type="dxa"/>
            <w:tcBorders>
              <w:top w:val="nil"/>
              <w:left w:val="nil"/>
              <w:bottom w:val="single" w:sz="4" w:space="0" w:color="000000"/>
              <w:right w:val="single" w:sz="4" w:space="0" w:color="000000"/>
            </w:tcBorders>
            <w:shd w:val="clear" w:color="auto" w:fill="FFFFFF"/>
            <w:vAlign w:val="bottom"/>
            <w:hideMark/>
          </w:tcPr>
          <w:p w14:paraId="2F0AC9B6"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11%</w:t>
            </w:r>
          </w:p>
        </w:tc>
        <w:tc>
          <w:tcPr>
            <w:tcW w:w="1504" w:type="dxa"/>
            <w:tcBorders>
              <w:top w:val="nil"/>
              <w:left w:val="nil"/>
              <w:bottom w:val="single" w:sz="4" w:space="0" w:color="000000"/>
              <w:right w:val="single" w:sz="4" w:space="0" w:color="000000"/>
            </w:tcBorders>
            <w:shd w:val="clear" w:color="auto" w:fill="FFFFFF"/>
            <w:vAlign w:val="bottom"/>
            <w:hideMark/>
          </w:tcPr>
          <w:p w14:paraId="4BE9155F" w14:textId="77777777" w:rsidR="00587CF0" w:rsidRPr="006645DC" w:rsidRDefault="00587CF0">
            <w:pPr>
              <w:keepNext/>
              <w:keepLines/>
              <w:suppressAutoHyphens/>
              <w:spacing w:before="0" w:after="0" w:line="100" w:lineRule="atLeast"/>
              <w:ind w:left="757" w:hanging="360"/>
              <w:jc w:val="left"/>
              <w:rPr>
                <w:rFonts w:eastAsia="Times New Roman" w:cs="Calibri"/>
                <w:color w:val="000000"/>
                <w:kern w:val="2"/>
                <w:lang w:val="en-GB" w:eastAsia="hu-HU"/>
              </w:rPr>
            </w:pPr>
            <w:r w:rsidRPr="006645DC">
              <w:rPr>
                <w:rFonts w:eastAsia="Times New Roman"/>
                <w:color w:val="000000"/>
                <w:lang w:val="en-GB" w:eastAsia="hu-HU"/>
              </w:rPr>
              <w:t>Călăraşi</w:t>
            </w:r>
          </w:p>
        </w:tc>
        <w:tc>
          <w:tcPr>
            <w:tcW w:w="1192" w:type="dxa"/>
            <w:tcBorders>
              <w:top w:val="nil"/>
              <w:left w:val="nil"/>
              <w:bottom w:val="single" w:sz="4" w:space="0" w:color="000000"/>
              <w:right w:val="single" w:sz="4" w:space="0" w:color="000000"/>
            </w:tcBorders>
            <w:shd w:val="clear" w:color="auto" w:fill="FFFFFF"/>
            <w:vAlign w:val="bottom"/>
            <w:hideMark/>
          </w:tcPr>
          <w:p w14:paraId="47E5B793"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10%</w:t>
            </w:r>
          </w:p>
        </w:tc>
      </w:tr>
      <w:tr w:rsidR="00587CF0" w:rsidRPr="006645DC" w14:paraId="413B5080" w14:textId="77777777" w:rsidTr="00587CF0">
        <w:trPr>
          <w:trHeight w:val="300"/>
          <w:jc w:val="center"/>
        </w:trPr>
        <w:tc>
          <w:tcPr>
            <w:tcW w:w="2005" w:type="dxa"/>
            <w:tcBorders>
              <w:top w:val="nil"/>
              <w:left w:val="single" w:sz="4" w:space="0" w:color="000000"/>
              <w:bottom w:val="single" w:sz="4" w:space="0" w:color="000000"/>
              <w:right w:val="single" w:sz="4" w:space="0" w:color="000000"/>
            </w:tcBorders>
            <w:shd w:val="clear" w:color="auto" w:fill="FFFFFF"/>
            <w:vAlign w:val="bottom"/>
            <w:hideMark/>
          </w:tcPr>
          <w:p w14:paraId="3A883236" w14:textId="77777777" w:rsidR="00587CF0" w:rsidRPr="006645DC" w:rsidRDefault="00587CF0">
            <w:pPr>
              <w:keepNext/>
              <w:keepLines/>
              <w:suppressAutoHyphens/>
              <w:spacing w:before="0" w:after="0" w:line="100" w:lineRule="atLeast"/>
              <w:jc w:val="left"/>
              <w:rPr>
                <w:rFonts w:eastAsia="Times New Roman" w:cs="Calibri"/>
                <w:color w:val="000000"/>
                <w:kern w:val="2"/>
                <w:lang w:val="en-GB" w:eastAsia="hu-HU"/>
              </w:rPr>
            </w:pPr>
            <w:r w:rsidRPr="006645DC">
              <w:rPr>
                <w:rFonts w:eastAsia="Times New Roman"/>
                <w:color w:val="000000"/>
                <w:lang w:val="en-GB" w:eastAsia="hu-HU"/>
              </w:rPr>
              <w:t>Montana</w:t>
            </w:r>
          </w:p>
        </w:tc>
        <w:tc>
          <w:tcPr>
            <w:tcW w:w="1031" w:type="dxa"/>
            <w:tcBorders>
              <w:top w:val="nil"/>
              <w:left w:val="nil"/>
              <w:bottom w:val="single" w:sz="4" w:space="0" w:color="000000"/>
              <w:right w:val="single" w:sz="4" w:space="0" w:color="000000"/>
            </w:tcBorders>
            <w:shd w:val="clear" w:color="auto" w:fill="FFFFFF"/>
            <w:vAlign w:val="bottom"/>
            <w:hideMark/>
          </w:tcPr>
          <w:p w14:paraId="15FB10F8"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11%</w:t>
            </w:r>
          </w:p>
        </w:tc>
        <w:tc>
          <w:tcPr>
            <w:tcW w:w="1504" w:type="dxa"/>
            <w:tcBorders>
              <w:top w:val="nil"/>
              <w:left w:val="nil"/>
              <w:bottom w:val="single" w:sz="4" w:space="0" w:color="000000"/>
              <w:right w:val="single" w:sz="4" w:space="0" w:color="000000"/>
            </w:tcBorders>
            <w:shd w:val="clear" w:color="auto" w:fill="FFFFFF"/>
            <w:vAlign w:val="bottom"/>
            <w:hideMark/>
          </w:tcPr>
          <w:p w14:paraId="5BC6BB48" w14:textId="77777777" w:rsidR="00587CF0" w:rsidRPr="006645DC" w:rsidRDefault="00587CF0">
            <w:pPr>
              <w:keepNext/>
              <w:keepLines/>
              <w:suppressAutoHyphens/>
              <w:spacing w:before="0" w:after="0" w:line="100" w:lineRule="atLeast"/>
              <w:ind w:left="757" w:hanging="360"/>
              <w:jc w:val="left"/>
              <w:rPr>
                <w:rFonts w:eastAsia="Times New Roman" w:cs="Calibri"/>
                <w:color w:val="000000"/>
                <w:kern w:val="2"/>
                <w:lang w:val="en-GB" w:eastAsia="hu-HU"/>
              </w:rPr>
            </w:pPr>
            <w:r w:rsidRPr="006645DC">
              <w:rPr>
                <w:rFonts w:eastAsia="Times New Roman"/>
                <w:color w:val="000000"/>
                <w:lang w:val="en-GB" w:eastAsia="hu-HU"/>
              </w:rPr>
              <w:t>Giorgiu</w:t>
            </w:r>
          </w:p>
        </w:tc>
        <w:tc>
          <w:tcPr>
            <w:tcW w:w="1192" w:type="dxa"/>
            <w:tcBorders>
              <w:top w:val="nil"/>
              <w:left w:val="nil"/>
              <w:bottom w:val="single" w:sz="4" w:space="0" w:color="000000"/>
              <w:right w:val="single" w:sz="4" w:space="0" w:color="000000"/>
            </w:tcBorders>
            <w:shd w:val="clear" w:color="auto" w:fill="FFFFFF"/>
            <w:vAlign w:val="bottom"/>
            <w:hideMark/>
          </w:tcPr>
          <w:p w14:paraId="720B940B"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9%</w:t>
            </w:r>
          </w:p>
        </w:tc>
      </w:tr>
      <w:tr w:rsidR="00587CF0" w:rsidRPr="006645DC" w14:paraId="04011550" w14:textId="77777777" w:rsidTr="00587CF0">
        <w:trPr>
          <w:trHeight w:val="300"/>
          <w:jc w:val="center"/>
        </w:trPr>
        <w:tc>
          <w:tcPr>
            <w:tcW w:w="2005"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14:paraId="1B8C048F" w14:textId="77777777" w:rsidR="00587CF0" w:rsidRPr="006645DC" w:rsidRDefault="00587CF0">
            <w:pPr>
              <w:keepNext/>
              <w:keepLines/>
              <w:suppressAutoHyphens/>
              <w:spacing w:before="0" w:after="0" w:line="100" w:lineRule="atLeast"/>
              <w:jc w:val="left"/>
              <w:rPr>
                <w:rFonts w:eastAsia="Times New Roman" w:cs="Calibri"/>
                <w:color w:val="000000"/>
                <w:kern w:val="2"/>
                <w:lang w:val="en-GB" w:eastAsia="hu-HU"/>
              </w:rPr>
            </w:pPr>
            <w:r w:rsidRPr="006645DC">
              <w:rPr>
                <w:rFonts w:eastAsia="Times New Roman"/>
                <w:color w:val="000000"/>
                <w:lang w:val="en-GB" w:eastAsia="hu-HU"/>
              </w:rPr>
              <w:t>Ruse</w:t>
            </w:r>
          </w:p>
        </w:tc>
        <w:tc>
          <w:tcPr>
            <w:tcW w:w="1031" w:type="dxa"/>
            <w:tcBorders>
              <w:top w:val="single" w:sz="4" w:space="0" w:color="000000"/>
              <w:left w:val="nil"/>
              <w:bottom w:val="single" w:sz="4" w:space="0" w:color="000000"/>
              <w:right w:val="single" w:sz="4" w:space="0" w:color="000000"/>
            </w:tcBorders>
            <w:shd w:val="clear" w:color="auto" w:fill="FFFFFF"/>
            <w:vAlign w:val="bottom"/>
            <w:hideMark/>
          </w:tcPr>
          <w:p w14:paraId="6597B56B" w14:textId="77777777" w:rsidR="00587CF0" w:rsidRPr="006645DC" w:rsidRDefault="00587CF0">
            <w:pPr>
              <w:keepNext/>
              <w:keepLines/>
              <w:suppressAutoHyphens/>
              <w:spacing w:before="0" w:after="0" w:line="100" w:lineRule="atLeast"/>
              <w:ind w:left="757" w:hanging="360"/>
              <w:jc w:val="right"/>
              <w:rPr>
                <w:rFonts w:eastAsia="Times New Roman" w:cs="Calibri"/>
                <w:color w:val="000000"/>
                <w:kern w:val="2"/>
                <w:lang w:val="en-GB" w:eastAsia="hu-HU"/>
              </w:rPr>
            </w:pPr>
            <w:r w:rsidRPr="006645DC">
              <w:rPr>
                <w:rFonts w:eastAsia="Times New Roman"/>
                <w:color w:val="000000"/>
                <w:lang w:val="en-GB" w:eastAsia="hu-HU"/>
              </w:rPr>
              <w:t>9%</w:t>
            </w:r>
          </w:p>
        </w:tc>
        <w:tc>
          <w:tcPr>
            <w:tcW w:w="1504" w:type="dxa"/>
            <w:tcBorders>
              <w:top w:val="single" w:sz="4" w:space="0" w:color="000000"/>
              <w:left w:val="nil"/>
              <w:bottom w:val="single" w:sz="4" w:space="0" w:color="000000"/>
              <w:right w:val="single" w:sz="4" w:space="0" w:color="000000"/>
            </w:tcBorders>
            <w:shd w:val="clear" w:color="auto" w:fill="FFFFFF"/>
            <w:vAlign w:val="bottom"/>
          </w:tcPr>
          <w:p w14:paraId="0817B10D" w14:textId="77777777" w:rsidR="00587CF0" w:rsidRPr="006645DC" w:rsidRDefault="00587CF0">
            <w:pPr>
              <w:suppressAutoHyphens/>
              <w:spacing w:before="0" w:after="0" w:line="100" w:lineRule="atLeast"/>
              <w:jc w:val="left"/>
              <w:rPr>
                <w:rFonts w:eastAsia="Times New Roman" w:cs="Calibri"/>
                <w:color w:val="000000"/>
                <w:kern w:val="2"/>
                <w:lang w:val="en-GB" w:eastAsia="hu-HU"/>
              </w:rPr>
            </w:pPr>
          </w:p>
        </w:tc>
        <w:tc>
          <w:tcPr>
            <w:tcW w:w="1192" w:type="dxa"/>
            <w:tcBorders>
              <w:top w:val="single" w:sz="4" w:space="0" w:color="000000"/>
              <w:left w:val="nil"/>
              <w:bottom w:val="single" w:sz="4" w:space="0" w:color="000000"/>
              <w:right w:val="single" w:sz="4" w:space="0" w:color="000000"/>
            </w:tcBorders>
            <w:shd w:val="clear" w:color="auto" w:fill="FFFFFF"/>
            <w:vAlign w:val="bottom"/>
          </w:tcPr>
          <w:p w14:paraId="0FEFF7C6" w14:textId="77777777" w:rsidR="00587CF0" w:rsidRPr="006645DC" w:rsidRDefault="00587CF0">
            <w:pPr>
              <w:suppressAutoHyphens/>
              <w:spacing w:before="0" w:after="0" w:line="100" w:lineRule="atLeast"/>
              <w:jc w:val="left"/>
              <w:rPr>
                <w:rFonts w:eastAsia="Times New Roman" w:cs="Calibri"/>
                <w:color w:val="000000"/>
                <w:kern w:val="2"/>
                <w:lang w:val="en-GB" w:eastAsia="hu-HU"/>
              </w:rPr>
            </w:pPr>
          </w:p>
        </w:tc>
      </w:tr>
      <w:tr w:rsidR="00587CF0" w:rsidRPr="006645DC" w14:paraId="014C01A7" w14:textId="77777777" w:rsidTr="00587CF0">
        <w:trPr>
          <w:trHeight w:val="300"/>
          <w:jc w:val="center"/>
        </w:trPr>
        <w:tc>
          <w:tcPr>
            <w:tcW w:w="2005" w:type="dxa"/>
            <w:tcBorders>
              <w:top w:val="single" w:sz="4" w:space="0" w:color="000000"/>
              <w:left w:val="single" w:sz="4" w:space="0" w:color="000000"/>
              <w:bottom w:val="single" w:sz="4" w:space="0" w:color="000000"/>
              <w:right w:val="single" w:sz="4" w:space="0" w:color="000000"/>
            </w:tcBorders>
            <w:shd w:val="clear" w:color="auto" w:fill="FFFFFF"/>
            <w:vAlign w:val="bottom"/>
            <w:hideMark/>
          </w:tcPr>
          <w:p w14:paraId="389B623F" w14:textId="77777777" w:rsidR="00587CF0" w:rsidRPr="006645DC" w:rsidRDefault="00587CF0">
            <w:pPr>
              <w:keepNext/>
              <w:keepLines/>
              <w:suppressAutoHyphens/>
              <w:spacing w:before="0" w:after="0" w:line="100" w:lineRule="atLeast"/>
              <w:jc w:val="left"/>
              <w:rPr>
                <w:rFonts w:eastAsia="Times New Roman" w:cs="Calibri"/>
                <w:b/>
                <w:color w:val="000000"/>
                <w:kern w:val="2"/>
                <w:lang w:val="en-GB" w:eastAsia="hu-HU"/>
              </w:rPr>
            </w:pPr>
            <w:r w:rsidRPr="006645DC">
              <w:rPr>
                <w:rFonts w:eastAsia="Times New Roman"/>
                <w:b/>
                <w:color w:val="000000"/>
                <w:lang w:val="en-GB" w:eastAsia="hu-HU"/>
              </w:rPr>
              <w:t>Total</w:t>
            </w:r>
          </w:p>
        </w:tc>
        <w:tc>
          <w:tcPr>
            <w:tcW w:w="1031" w:type="dxa"/>
            <w:tcBorders>
              <w:top w:val="single" w:sz="4" w:space="0" w:color="000000"/>
              <w:left w:val="nil"/>
              <w:bottom w:val="single" w:sz="4" w:space="0" w:color="000000"/>
              <w:right w:val="single" w:sz="4" w:space="0" w:color="000000"/>
            </w:tcBorders>
            <w:shd w:val="clear" w:color="auto" w:fill="FFFFFF"/>
            <w:vAlign w:val="bottom"/>
            <w:hideMark/>
          </w:tcPr>
          <w:p w14:paraId="3C14EFF7" w14:textId="77777777" w:rsidR="00587CF0" w:rsidRPr="006645DC" w:rsidRDefault="00587CF0">
            <w:pPr>
              <w:keepNext/>
              <w:keepLines/>
              <w:suppressAutoHyphens/>
              <w:spacing w:before="0" w:after="0" w:line="100" w:lineRule="atLeast"/>
              <w:jc w:val="right"/>
              <w:rPr>
                <w:rFonts w:eastAsia="Times New Roman" w:cs="Calibri"/>
                <w:b/>
                <w:color w:val="000000"/>
                <w:kern w:val="2"/>
                <w:lang w:val="en-GB" w:eastAsia="hu-HU"/>
              </w:rPr>
            </w:pPr>
            <w:r w:rsidRPr="006645DC">
              <w:rPr>
                <w:rFonts w:eastAsia="Times New Roman"/>
                <w:b/>
                <w:color w:val="000000"/>
                <w:lang w:val="en-GB" w:eastAsia="hu-HU"/>
              </w:rPr>
              <w:t>100%</w:t>
            </w:r>
          </w:p>
        </w:tc>
        <w:tc>
          <w:tcPr>
            <w:tcW w:w="1504" w:type="dxa"/>
            <w:tcBorders>
              <w:top w:val="single" w:sz="4" w:space="0" w:color="000000"/>
              <w:left w:val="nil"/>
              <w:bottom w:val="single" w:sz="4" w:space="0" w:color="000000"/>
              <w:right w:val="single" w:sz="4" w:space="0" w:color="000000"/>
            </w:tcBorders>
            <w:shd w:val="clear" w:color="auto" w:fill="FFFFFF"/>
            <w:vAlign w:val="bottom"/>
          </w:tcPr>
          <w:p w14:paraId="0A46B1D9" w14:textId="77777777" w:rsidR="00587CF0" w:rsidRPr="006645DC" w:rsidRDefault="00587CF0">
            <w:pPr>
              <w:suppressAutoHyphens/>
              <w:spacing w:before="0" w:after="0" w:line="100" w:lineRule="atLeast"/>
              <w:jc w:val="left"/>
              <w:rPr>
                <w:rFonts w:eastAsia="Times New Roman" w:cs="Calibri"/>
                <w:b/>
                <w:color w:val="000000"/>
                <w:kern w:val="2"/>
                <w:lang w:val="en-GB" w:eastAsia="hu-HU"/>
              </w:rPr>
            </w:pPr>
          </w:p>
        </w:tc>
        <w:tc>
          <w:tcPr>
            <w:tcW w:w="1192" w:type="dxa"/>
            <w:tcBorders>
              <w:top w:val="single" w:sz="4" w:space="0" w:color="000000"/>
              <w:left w:val="nil"/>
              <w:bottom w:val="single" w:sz="4" w:space="0" w:color="000000"/>
              <w:right w:val="single" w:sz="4" w:space="0" w:color="000000"/>
            </w:tcBorders>
            <w:shd w:val="clear" w:color="auto" w:fill="FFFFFF"/>
            <w:vAlign w:val="bottom"/>
            <w:hideMark/>
          </w:tcPr>
          <w:p w14:paraId="55218083" w14:textId="77777777" w:rsidR="00587CF0" w:rsidRPr="006645DC" w:rsidRDefault="00587CF0">
            <w:pPr>
              <w:keepNext/>
              <w:keepLines/>
              <w:suppressAutoHyphens/>
              <w:spacing w:before="0" w:after="0" w:line="100" w:lineRule="atLeast"/>
              <w:ind w:left="757" w:hanging="360"/>
              <w:jc w:val="left"/>
              <w:rPr>
                <w:rFonts w:eastAsia="Arial" w:cs="Calibri"/>
                <w:kern w:val="2"/>
                <w:lang w:val="en-GB"/>
              </w:rPr>
            </w:pPr>
            <w:r w:rsidRPr="006645DC">
              <w:rPr>
                <w:rFonts w:eastAsia="Times New Roman"/>
                <w:b/>
                <w:color w:val="000000"/>
                <w:lang w:val="en-GB" w:eastAsia="hu-HU"/>
              </w:rPr>
              <w:t>100%</w:t>
            </w:r>
          </w:p>
        </w:tc>
      </w:tr>
    </w:tbl>
    <w:p w14:paraId="5BE811E6" w14:textId="77777777" w:rsidR="00587CF0" w:rsidRPr="006645DC" w:rsidRDefault="00587CF0" w:rsidP="00587CF0">
      <w:pPr>
        <w:pStyle w:val="Lgende1"/>
        <w:rPr>
          <w:kern w:val="2"/>
          <w:lang w:val="en-GB"/>
        </w:rPr>
      </w:pPr>
      <w:bookmarkStart w:id="141" w:name="_Toc391150106"/>
      <w:r w:rsidRPr="006645DC">
        <w:rPr>
          <w:lang w:val="en-GB"/>
        </w:rPr>
        <w:t xml:space="preserve">Table </w:t>
      </w:r>
      <w:r w:rsidR="005979EB" w:rsidRPr="006645DC">
        <w:rPr>
          <w:lang w:val="en-GB"/>
        </w:rPr>
        <w:fldChar w:fldCharType="begin"/>
      </w:r>
      <w:r w:rsidRPr="006645DC">
        <w:rPr>
          <w:lang w:val="en-GB"/>
        </w:rPr>
        <w:instrText xml:space="preserve"> SEQ "Table" \*Arabic </w:instrText>
      </w:r>
      <w:r w:rsidR="005979EB" w:rsidRPr="006645DC">
        <w:rPr>
          <w:lang w:val="en-GB"/>
        </w:rPr>
        <w:fldChar w:fldCharType="separate"/>
      </w:r>
      <w:r w:rsidR="00523DE6">
        <w:rPr>
          <w:noProof/>
          <w:lang w:val="en-GB"/>
        </w:rPr>
        <w:t>9</w:t>
      </w:r>
      <w:r w:rsidR="005979EB" w:rsidRPr="006645DC">
        <w:rPr>
          <w:lang w:val="en-GB"/>
        </w:rPr>
        <w:fldChar w:fldCharType="end"/>
      </w:r>
      <w:r w:rsidRPr="006645DC">
        <w:rPr>
          <w:lang w:val="en-GB"/>
        </w:rPr>
        <w:t xml:space="preserve"> - Rate of paved roads in the cross-border area in 2009</w:t>
      </w:r>
      <w:bookmarkEnd w:id="141"/>
    </w:p>
    <w:p w14:paraId="7103812A" w14:textId="77777777" w:rsidR="00587CF0" w:rsidRPr="006645DC" w:rsidRDefault="00587CF0" w:rsidP="00587CF0">
      <w:pPr>
        <w:pStyle w:val="Heading4"/>
        <w:rPr>
          <w:sz w:val="24"/>
          <w:szCs w:val="24"/>
          <w:lang w:val="en-GB"/>
        </w:rPr>
      </w:pPr>
      <w:r w:rsidRPr="006645DC">
        <w:rPr>
          <w:lang w:val="en-GB"/>
        </w:rPr>
        <w:t>Source: The National Institute of Statistics Romania; The National Institute of Statistics Bulgaria</w:t>
      </w:r>
    </w:p>
    <w:p w14:paraId="2E7F210B" w14:textId="77777777" w:rsidR="00587CF0" w:rsidRPr="006645DC" w:rsidRDefault="00587CF0" w:rsidP="00587CF0">
      <w:pPr>
        <w:rPr>
          <w:sz w:val="24"/>
          <w:szCs w:val="24"/>
          <w:lang w:val="en-GB"/>
        </w:rPr>
      </w:pPr>
    </w:p>
    <w:p w14:paraId="5E237557" w14:textId="77777777" w:rsidR="00587CF0" w:rsidRPr="006645DC" w:rsidRDefault="00587CF0" w:rsidP="00EA46BF">
      <w:pPr>
        <w:rPr>
          <w:lang w:val="en-GB"/>
        </w:rPr>
      </w:pPr>
      <w:r w:rsidRPr="006645DC">
        <w:rPr>
          <w:lang w:val="en-GB"/>
        </w:rPr>
        <w:t>The total length of the roads in the cross-border area is 16,511 km, including district and communal roads. The total density of public roads is 22.95 km/100km</w:t>
      </w:r>
      <w:r w:rsidRPr="006645DC">
        <w:rPr>
          <w:vertAlign w:val="superscript"/>
          <w:lang w:val="en-GB"/>
        </w:rPr>
        <w:t>2</w:t>
      </w:r>
      <w:r w:rsidRPr="006645DC">
        <w:rPr>
          <w:lang w:val="en-GB"/>
        </w:rPr>
        <w:t>, which is very low, compared to the EU average of 110km/100 km</w:t>
      </w:r>
      <w:r w:rsidRPr="006645DC">
        <w:rPr>
          <w:vertAlign w:val="superscript"/>
          <w:lang w:val="en-GB"/>
        </w:rPr>
        <w:t>2</w:t>
      </w:r>
      <w:r w:rsidRPr="006645DC">
        <w:rPr>
          <w:lang w:val="en-GB"/>
        </w:rPr>
        <w:t>. The density of roads along the Danube is to a great extent under the national average.</w:t>
      </w:r>
    </w:p>
    <w:p w14:paraId="11597C5A" w14:textId="77777777" w:rsidR="00587CF0" w:rsidRPr="006645DC" w:rsidRDefault="00587CF0" w:rsidP="00EA46BF">
      <w:pPr>
        <w:rPr>
          <w:lang w:val="en-GB"/>
        </w:rPr>
      </w:pPr>
      <w:r w:rsidRPr="006645DC">
        <w:rPr>
          <w:lang w:val="en-GB"/>
        </w:rPr>
        <w:t>The cross-border region only contains one motorway between Bucharest and Constanţa (220 km). The construction of the Bucharest-Constanţa motorway has led to an increase in the traffic flow towards the Black Sea on the Romanian side of the border.</w:t>
      </w:r>
    </w:p>
    <w:p w14:paraId="310431D5" w14:textId="77777777" w:rsidR="00587CF0" w:rsidRPr="006645DC" w:rsidRDefault="00587CF0" w:rsidP="00EA46BF">
      <w:pPr>
        <w:rPr>
          <w:lang w:val="en-GB"/>
        </w:rPr>
      </w:pPr>
      <w:r w:rsidRPr="006645DC">
        <w:rPr>
          <w:lang w:val="en-GB"/>
        </w:rPr>
        <w:t>Secondary and tertiary road networks are under-developed and poorly maintained throughout the area, and have a high risk of accidents. Moreover, some roads are exposed to flooding, especially on the Romanian side of the Danube. Lots of roads have insufficient capacity, leading to traffic jams and, as a consequence, to increased travelling times, vehicle operating costs, accidents and damage to the environment.</w:t>
      </w:r>
    </w:p>
    <w:p w14:paraId="08F88782" w14:textId="77777777" w:rsidR="00587CF0" w:rsidRPr="006645DC" w:rsidRDefault="00587CF0" w:rsidP="00EA46BF">
      <w:pPr>
        <w:rPr>
          <w:lang w:val="en-GB"/>
        </w:rPr>
      </w:pPr>
      <w:r w:rsidRPr="006645DC">
        <w:rPr>
          <w:lang w:val="en-GB"/>
        </w:rPr>
        <w:t>Priority Project 7 (Motorway Axis Igoumenitsa/Patra-Athina-Sofia-Budapest) started in 2007 to improve the road network of Southeast Europe. In the framework of the project several studies and reports were elaborated identifying the prioritisation of interventions and the ideal allocation of resources.</w:t>
      </w:r>
    </w:p>
    <w:p w14:paraId="41733282" w14:textId="77777777" w:rsidR="00587CF0" w:rsidRPr="006645DC" w:rsidRDefault="00AA4C82" w:rsidP="00587CF0">
      <w:pPr>
        <w:jc w:val="center"/>
        <w:rPr>
          <w:lang w:val="en-GB"/>
        </w:rPr>
      </w:pPr>
      <w:r w:rsidRPr="006645DC">
        <w:rPr>
          <w:noProof/>
          <w:lang w:val="bg-BG" w:eastAsia="bg-BG"/>
        </w:rPr>
        <w:lastRenderedPageBreak/>
        <w:drawing>
          <wp:inline distT="0" distB="0" distL="0" distR="0" wp14:anchorId="7C74252B" wp14:editId="0EC2D198">
            <wp:extent cx="3981450" cy="5114925"/>
            <wp:effectExtent l="19050" t="0" r="0" b="0"/>
            <wp:docPr id="409" name="Imag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67"/>
                    <a:srcRect/>
                    <a:stretch>
                      <a:fillRect/>
                    </a:stretch>
                  </pic:blipFill>
                  <pic:spPr bwMode="auto">
                    <a:xfrm>
                      <a:off x="0" y="0"/>
                      <a:ext cx="3981450" cy="5114925"/>
                    </a:xfrm>
                    <a:prstGeom prst="rect">
                      <a:avLst/>
                    </a:prstGeom>
                    <a:solidFill>
                      <a:srgbClr val="FFFFFF"/>
                    </a:solidFill>
                    <a:ln w="9525">
                      <a:noFill/>
                      <a:miter lim="800000"/>
                      <a:headEnd/>
                      <a:tailEnd/>
                    </a:ln>
                  </pic:spPr>
                </pic:pic>
              </a:graphicData>
            </a:graphic>
          </wp:inline>
        </w:drawing>
      </w:r>
    </w:p>
    <w:p w14:paraId="7B658C79" w14:textId="77777777" w:rsidR="00587CF0" w:rsidRPr="006645DC" w:rsidRDefault="00587CF0" w:rsidP="00587CF0">
      <w:pPr>
        <w:pStyle w:val="Lgende1"/>
        <w:rPr>
          <w:lang w:val="en-GB"/>
        </w:rPr>
      </w:pPr>
      <w:bookmarkStart w:id="142" w:name="_Toc391150011"/>
      <w:r w:rsidRPr="006645DC">
        <w:rPr>
          <w:lang w:val="en-GB"/>
        </w:rPr>
        <w:t xml:space="preserve">Map </w:t>
      </w:r>
      <w:r w:rsidR="005979EB" w:rsidRPr="006645DC">
        <w:rPr>
          <w:lang w:val="en-GB"/>
        </w:rPr>
        <w:fldChar w:fldCharType="begin"/>
      </w:r>
      <w:r w:rsidRPr="006645DC">
        <w:rPr>
          <w:lang w:val="en-GB"/>
        </w:rPr>
        <w:instrText xml:space="preserve"> SEQ "Map" \*Arabic </w:instrText>
      </w:r>
      <w:r w:rsidR="005979EB" w:rsidRPr="006645DC">
        <w:rPr>
          <w:lang w:val="en-GB"/>
        </w:rPr>
        <w:fldChar w:fldCharType="separate"/>
      </w:r>
      <w:r w:rsidR="00523DE6">
        <w:rPr>
          <w:noProof/>
          <w:lang w:val="en-GB"/>
        </w:rPr>
        <w:t>7</w:t>
      </w:r>
      <w:r w:rsidR="005979EB" w:rsidRPr="006645DC">
        <w:rPr>
          <w:lang w:val="en-GB"/>
        </w:rPr>
        <w:fldChar w:fldCharType="end"/>
      </w:r>
      <w:r w:rsidRPr="006645DC">
        <w:rPr>
          <w:lang w:val="en-GB"/>
        </w:rPr>
        <w:t xml:space="preserve"> - The trans-European road, port and airport transport network in Romania and Bulgaria</w:t>
      </w:r>
      <w:bookmarkEnd w:id="142"/>
      <w:r w:rsidRPr="006645DC">
        <w:rPr>
          <w:lang w:val="en-GB"/>
        </w:rPr>
        <w:t xml:space="preserve"> </w:t>
      </w:r>
    </w:p>
    <w:p w14:paraId="01CB09B4" w14:textId="77777777" w:rsidR="00587CF0" w:rsidRPr="006645DC" w:rsidRDefault="00587CF0" w:rsidP="00587CF0">
      <w:pPr>
        <w:pStyle w:val="Heading4"/>
        <w:rPr>
          <w:sz w:val="24"/>
          <w:szCs w:val="24"/>
          <w:lang w:val="en-GB"/>
        </w:rPr>
      </w:pPr>
      <w:r w:rsidRPr="006645DC">
        <w:rPr>
          <w:lang w:val="en-GB"/>
        </w:rPr>
        <w:t>Source: European Commission, 2011</w:t>
      </w:r>
    </w:p>
    <w:p w14:paraId="653FE8B9" w14:textId="77777777" w:rsidR="00587CF0" w:rsidRPr="006645DC" w:rsidRDefault="00587CF0" w:rsidP="00587CF0">
      <w:pPr>
        <w:jc w:val="center"/>
        <w:rPr>
          <w:i/>
          <w:sz w:val="24"/>
          <w:szCs w:val="24"/>
          <w:lang w:val="en-GB"/>
        </w:rPr>
      </w:pPr>
    </w:p>
    <w:p w14:paraId="5FCFF319" w14:textId="77777777" w:rsidR="00587CF0" w:rsidRPr="006645DC" w:rsidRDefault="00587CF0" w:rsidP="00587CF0">
      <w:pPr>
        <w:tabs>
          <w:tab w:val="left" w:pos="3795"/>
        </w:tabs>
        <w:rPr>
          <w:lang w:val="en-GB"/>
        </w:rPr>
      </w:pPr>
    </w:p>
    <w:p w14:paraId="47ADFA85" w14:textId="77777777" w:rsidR="00587CF0" w:rsidRPr="006645DC" w:rsidRDefault="00AA4C82" w:rsidP="00587CF0">
      <w:pPr>
        <w:pStyle w:val="BodyText"/>
        <w:jc w:val="center"/>
        <w:rPr>
          <w:lang w:val="en-GB"/>
        </w:rPr>
      </w:pPr>
      <w:r w:rsidRPr="006645DC">
        <w:rPr>
          <w:noProof/>
          <w:snapToGrid/>
          <w:lang w:val="bg-BG" w:eastAsia="bg-BG"/>
        </w:rPr>
        <w:lastRenderedPageBreak/>
        <w:drawing>
          <wp:inline distT="0" distB="0" distL="0" distR="0" wp14:anchorId="62EF6824" wp14:editId="157B2890">
            <wp:extent cx="5753100" cy="5991225"/>
            <wp:effectExtent l="19050" t="0" r="0" b="0"/>
            <wp:docPr id="410" name="Imag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68"/>
                    <a:srcRect/>
                    <a:stretch>
                      <a:fillRect/>
                    </a:stretch>
                  </pic:blipFill>
                  <pic:spPr bwMode="auto">
                    <a:xfrm>
                      <a:off x="0" y="0"/>
                      <a:ext cx="5753100" cy="5991225"/>
                    </a:xfrm>
                    <a:prstGeom prst="rect">
                      <a:avLst/>
                    </a:prstGeom>
                    <a:solidFill>
                      <a:srgbClr val="FFFFFF"/>
                    </a:solidFill>
                    <a:ln w="9525">
                      <a:noFill/>
                      <a:miter lim="800000"/>
                      <a:headEnd/>
                      <a:tailEnd/>
                    </a:ln>
                  </pic:spPr>
                </pic:pic>
              </a:graphicData>
            </a:graphic>
          </wp:inline>
        </w:drawing>
      </w:r>
    </w:p>
    <w:p w14:paraId="7870A47E" w14:textId="77777777" w:rsidR="00587CF0" w:rsidRPr="006645DC" w:rsidRDefault="00587CF0" w:rsidP="00587CF0">
      <w:pPr>
        <w:pStyle w:val="Lgende1"/>
        <w:rPr>
          <w:lang w:val="en-GB"/>
        </w:rPr>
      </w:pPr>
      <w:bookmarkStart w:id="143" w:name="_Toc391150012"/>
      <w:r w:rsidRPr="006645DC">
        <w:rPr>
          <w:lang w:val="en-GB"/>
        </w:rPr>
        <w:t xml:space="preserve">Map </w:t>
      </w:r>
      <w:r w:rsidR="005979EB" w:rsidRPr="006645DC">
        <w:rPr>
          <w:lang w:val="en-GB"/>
        </w:rPr>
        <w:fldChar w:fldCharType="begin"/>
      </w:r>
      <w:r w:rsidRPr="006645DC">
        <w:rPr>
          <w:lang w:val="en-GB"/>
        </w:rPr>
        <w:instrText xml:space="preserve"> SEQ "Map" \*Arabic </w:instrText>
      </w:r>
      <w:r w:rsidR="005979EB" w:rsidRPr="006645DC">
        <w:rPr>
          <w:lang w:val="en-GB"/>
        </w:rPr>
        <w:fldChar w:fldCharType="separate"/>
      </w:r>
      <w:r w:rsidR="00523DE6">
        <w:rPr>
          <w:noProof/>
          <w:lang w:val="en-GB"/>
        </w:rPr>
        <w:t>8</w:t>
      </w:r>
      <w:r w:rsidR="005979EB" w:rsidRPr="006645DC">
        <w:rPr>
          <w:lang w:val="en-GB"/>
        </w:rPr>
        <w:fldChar w:fldCharType="end"/>
      </w:r>
      <w:r w:rsidRPr="006645DC">
        <w:rPr>
          <w:lang w:val="en-GB"/>
        </w:rPr>
        <w:t xml:space="preserve"> - International connectivity of towns with more than 50 000 inhabitants (2011)</w:t>
      </w:r>
      <w:bookmarkEnd w:id="143"/>
    </w:p>
    <w:p w14:paraId="1463705C" w14:textId="77777777" w:rsidR="00587CF0" w:rsidRPr="006645DC" w:rsidRDefault="00587CF0" w:rsidP="00587CF0">
      <w:pPr>
        <w:pStyle w:val="Heading4"/>
        <w:rPr>
          <w:sz w:val="22"/>
          <w:lang w:val="en-GB"/>
        </w:rPr>
      </w:pPr>
      <w:r w:rsidRPr="006645DC">
        <w:rPr>
          <w:lang w:val="en-GB"/>
        </w:rPr>
        <w:t>Source: TRACC, 2012. The map legend shows travel times between the towns.</w:t>
      </w:r>
    </w:p>
    <w:p w14:paraId="45DA3331" w14:textId="77777777" w:rsidR="00587CF0" w:rsidRPr="006645DC" w:rsidRDefault="00587CF0" w:rsidP="00587CF0">
      <w:pPr>
        <w:pStyle w:val="BodyText"/>
        <w:rPr>
          <w:rFonts w:ascii="Calibri" w:hAnsi="Calibri"/>
          <w:sz w:val="22"/>
          <w:lang w:val="en-GB"/>
        </w:rPr>
      </w:pPr>
    </w:p>
    <w:p w14:paraId="5EEABA5D" w14:textId="77777777" w:rsidR="00587CF0" w:rsidRPr="006645DC" w:rsidRDefault="00587CF0" w:rsidP="00587CF0">
      <w:pPr>
        <w:spacing w:before="0" w:after="0"/>
        <w:jc w:val="left"/>
        <w:rPr>
          <w:lang w:val="en-GB"/>
        </w:rPr>
        <w:sectPr w:rsidR="00587CF0" w:rsidRPr="006645DC">
          <w:pgSz w:w="12240" w:h="15840"/>
          <w:pgMar w:top="1440" w:right="1440" w:bottom="1440" w:left="1440" w:header="708" w:footer="708" w:gutter="0"/>
          <w:cols w:space="720"/>
        </w:sectPr>
      </w:pPr>
    </w:p>
    <w:p w14:paraId="6DFC5A46" w14:textId="77777777" w:rsidR="00587CF0" w:rsidRPr="006645DC" w:rsidRDefault="00587CF0" w:rsidP="001E3B84">
      <w:pPr>
        <w:pStyle w:val="Heading5"/>
        <w:rPr>
          <w:lang w:val="en-GB"/>
        </w:rPr>
      </w:pPr>
      <w:bookmarkStart w:id="144" w:name="_Toc371092790"/>
      <w:bookmarkStart w:id="145" w:name="_Toc254543770"/>
      <w:r w:rsidRPr="006645DC">
        <w:rPr>
          <w:lang w:val="en-GB"/>
        </w:rPr>
        <w:lastRenderedPageBreak/>
        <w:t>Railway</w:t>
      </w:r>
      <w:bookmarkEnd w:id="144"/>
      <w:bookmarkEnd w:id="145"/>
    </w:p>
    <w:p w14:paraId="05201D21" w14:textId="77777777" w:rsidR="00587CF0" w:rsidRPr="006645DC" w:rsidRDefault="00587CF0" w:rsidP="00EA46BF">
      <w:pPr>
        <w:rPr>
          <w:lang w:val="en-GB"/>
        </w:rPr>
      </w:pPr>
      <w:r w:rsidRPr="006645DC">
        <w:rPr>
          <w:lang w:val="en-GB"/>
        </w:rPr>
        <w:t>The density of operating railways is approximately 46.1 km per 1000 km</w:t>
      </w:r>
      <w:r w:rsidRPr="006645DC">
        <w:rPr>
          <w:vertAlign w:val="superscript"/>
          <w:lang w:val="en-GB"/>
        </w:rPr>
        <w:t>2</w:t>
      </w:r>
      <w:r w:rsidRPr="006645DC">
        <w:rPr>
          <w:lang w:val="en-GB"/>
        </w:rPr>
        <w:t xml:space="preserve"> in Romania and of 38.9 km per 1000 km</w:t>
      </w:r>
      <w:r w:rsidRPr="006645DC">
        <w:rPr>
          <w:vertAlign w:val="superscript"/>
          <w:lang w:val="en-GB"/>
        </w:rPr>
        <w:t>2</w:t>
      </w:r>
      <w:r w:rsidRPr="006645DC">
        <w:rPr>
          <w:lang w:val="en-GB"/>
        </w:rPr>
        <w:t xml:space="preserve"> in Bulgaria, being under the average of EU countries (65 km/ 1000 km</w:t>
      </w:r>
      <w:r w:rsidRPr="006645DC">
        <w:rPr>
          <w:vertAlign w:val="superscript"/>
          <w:lang w:val="en-GB"/>
        </w:rPr>
        <w:t>2</w:t>
      </w:r>
      <w:r w:rsidRPr="006645DC">
        <w:rPr>
          <w:lang w:val="en-GB"/>
        </w:rPr>
        <w:t>). The main railroad connection between Romania and Bulgaria crosses the Danube via the Giurgiu-Ruse Bridge but is currently closed and a second railway between Negru-Voda and Kardam records a low traffic (only freight trains and Regio trains).</w:t>
      </w:r>
    </w:p>
    <w:p w14:paraId="3C0A2B78" w14:textId="77777777" w:rsidR="00587CF0" w:rsidRPr="006645DC" w:rsidRDefault="00587CF0" w:rsidP="00EA46BF">
      <w:pPr>
        <w:rPr>
          <w:lang w:val="en-GB"/>
        </w:rPr>
      </w:pPr>
      <w:r w:rsidRPr="006645DC">
        <w:rPr>
          <w:lang w:val="en-GB"/>
        </w:rPr>
        <w:t xml:space="preserve">The 280 km railway section Sofia-Vidin is electrified, but two thirds of it is built with simple tracks, and the allowed speed is below 100 km/h. A feasibility study on the improvement of this section, with ISPA financial aid, is currently undergoing. Upgrading works for the Calafat-Craiova railway (108 km) are also necessary. </w:t>
      </w:r>
    </w:p>
    <w:p w14:paraId="6D326213" w14:textId="77777777" w:rsidR="00587CF0" w:rsidRPr="006645DC" w:rsidRDefault="00AA4C82" w:rsidP="00587CF0">
      <w:pPr>
        <w:pStyle w:val="BodyText"/>
        <w:jc w:val="center"/>
        <w:rPr>
          <w:lang w:val="en-GB"/>
        </w:rPr>
      </w:pPr>
      <w:r w:rsidRPr="006645DC">
        <w:rPr>
          <w:noProof/>
          <w:snapToGrid/>
          <w:lang w:val="bg-BG" w:eastAsia="bg-BG"/>
        </w:rPr>
        <w:drawing>
          <wp:inline distT="0" distB="0" distL="0" distR="0" wp14:anchorId="30CFDCFA" wp14:editId="315D334B">
            <wp:extent cx="5943600" cy="3609975"/>
            <wp:effectExtent l="19050" t="0" r="0" b="0"/>
            <wp:docPr id="411" name="Imag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69"/>
                    <a:srcRect/>
                    <a:stretch>
                      <a:fillRect/>
                    </a:stretch>
                  </pic:blipFill>
                  <pic:spPr bwMode="auto">
                    <a:xfrm>
                      <a:off x="0" y="0"/>
                      <a:ext cx="5943600" cy="3609975"/>
                    </a:xfrm>
                    <a:prstGeom prst="rect">
                      <a:avLst/>
                    </a:prstGeom>
                    <a:solidFill>
                      <a:srgbClr val="FFFFFF"/>
                    </a:solidFill>
                    <a:ln w="9525">
                      <a:noFill/>
                      <a:miter lim="800000"/>
                      <a:headEnd/>
                      <a:tailEnd/>
                    </a:ln>
                  </pic:spPr>
                </pic:pic>
              </a:graphicData>
            </a:graphic>
          </wp:inline>
        </w:drawing>
      </w:r>
    </w:p>
    <w:p w14:paraId="40E957AE" w14:textId="77777777" w:rsidR="00587CF0" w:rsidRPr="006645DC" w:rsidRDefault="00587CF0" w:rsidP="00587CF0">
      <w:pPr>
        <w:pStyle w:val="Lgende1"/>
        <w:rPr>
          <w:lang w:val="en-GB"/>
        </w:rPr>
      </w:pPr>
      <w:bookmarkStart w:id="146" w:name="_Toc391150013"/>
      <w:r w:rsidRPr="006645DC">
        <w:rPr>
          <w:lang w:val="en-GB"/>
        </w:rPr>
        <w:t xml:space="preserve">Map </w:t>
      </w:r>
      <w:r w:rsidR="005979EB" w:rsidRPr="006645DC">
        <w:rPr>
          <w:lang w:val="en-GB"/>
        </w:rPr>
        <w:fldChar w:fldCharType="begin"/>
      </w:r>
      <w:r w:rsidRPr="006645DC">
        <w:rPr>
          <w:lang w:val="en-GB"/>
        </w:rPr>
        <w:instrText xml:space="preserve"> SEQ "Map" \*Arabic </w:instrText>
      </w:r>
      <w:r w:rsidR="005979EB" w:rsidRPr="006645DC">
        <w:rPr>
          <w:lang w:val="en-GB"/>
        </w:rPr>
        <w:fldChar w:fldCharType="separate"/>
      </w:r>
      <w:r w:rsidR="00523DE6">
        <w:rPr>
          <w:noProof/>
          <w:lang w:val="en-GB"/>
        </w:rPr>
        <w:t>9</w:t>
      </w:r>
      <w:r w:rsidR="005979EB" w:rsidRPr="006645DC">
        <w:rPr>
          <w:lang w:val="en-GB"/>
        </w:rPr>
        <w:fldChar w:fldCharType="end"/>
      </w:r>
      <w:r w:rsidRPr="006645DC">
        <w:rPr>
          <w:lang w:val="en-GB"/>
        </w:rPr>
        <w:t xml:space="preserve"> - The road and railroad network, ports and waterways by multimodal nodes</w:t>
      </w:r>
      <w:bookmarkEnd w:id="146"/>
      <w:r w:rsidRPr="006645DC">
        <w:rPr>
          <w:lang w:val="en-GB"/>
        </w:rPr>
        <w:t xml:space="preserve"> </w:t>
      </w:r>
    </w:p>
    <w:p w14:paraId="52D593E3" w14:textId="77777777" w:rsidR="00587CF0" w:rsidRPr="006645DC" w:rsidRDefault="00587CF0" w:rsidP="00587CF0">
      <w:pPr>
        <w:pStyle w:val="Heading4"/>
        <w:rPr>
          <w:b/>
          <w:u w:val="single"/>
          <w:lang w:val="en-GB"/>
        </w:rPr>
      </w:pPr>
      <w:r w:rsidRPr="006645DC">
        <w:rPr>
          <w:lang w:val="en-GB"/>
        </w:rPr>
        <w:t>Source: Détente Consultants</w:t>
      </w:r>
    </w:p>
    <w:p w14:paraId="669757F5" w14:textId="77777777" w:rsidR="00587CF0" w:rsidRPr="006645DC" w:rsidRDefault="00587CF0" w:rsidP="00587CF0">
      <w:pPr>
        <w:pStyle w:val="BodyText"/>
        <w:rPr>
          <w:rFonts w:ascii="Calibri" w:hAnsi="Calibri"/>
          <w:b/>
          <w:u w:val="single"/>
          <w:lang w:val="en-GB"/>
        </w:rPr>
      </w:pPr>
    </w:p>
    <w:p w14:paraId="571652CE" w14:textId="77777777" w:rsidR="00587CF0" w:rsidRPr="006645DC" w:rsidRDefault="00587CF0" w:rsidP="00587CF0">
      <w:pPr>
        <w:rPr>
          <w:lang w:val="en-GB"/>
        </w:rPr>
      </w:pPr>
      <w:r w:rsidRPr="006645DC">
        <w:rPr>
          <w:lang w:val="en-GB"/>
        </w:rPr>
        <w:t xml:space="preserve">The length of the railway network in Bulgaria for the cross-border region shows no changes in the period 2010-2012. It constitutes 25.8% of the Bulgarian railway network. ERDF funds are used to upgrade the existing railway network, and increasing speed limits. </w:t>
      </w:r>
    </w:p>
    <w:p w14:paraId="0E738BE5" w14:textId="77777777" w:rsidR="00587CF0" w:rsidRPr="006645DC" w:rsidRDefault="00587CF0" w:rsidP="00587CF0">
      <w:pPr>
        <w:rPr>
          <w:lang w:val="en-GB"/>
        </w:rPr>
      </w:pPr>
    </w:p>
    <w:tbl>
      <w:tblPr>
        <w:tblW w:w="10374" w:type="dxa"/>
        <w:jc w:val="center"/>
        <w:tblLayout w:type="fixed"/>
        <w:tblLook w:val="04A0" w:firstRow="1" w:lastRow="0" w:firstColumn="1" w:lastColumn="0" w:noHBand="0" w:noVBand="1"/>
      </w:tblPr>
      <w:tblGrid>
        <w:gridCol w:w="1118"/>
        <w:gridCol w:w="1043"/>
        <w:gridCol w:w="959"/>
        <w:gridCol w:w="1143"/>
        <w:gridCol w:w="959"/>
        <w:gridCol w:w="960"/>
        <w:gridCol w:w="1142"/>
        <w:gridCol w:w="960"/>
        <w:gridCol w:w="948"/>
        <w:gridCol w:w="1142"/>
      </w:tblGrid>
      <w:tr w:rsidR="00587CF0" w:rsidRPr="006645DC" w14:paraId="1D6D98F5" w14:textId="77777777" w:rsidTr="00EC1CAA">
        <w:trPr>
          <w:cantSplit/>
          <w:trHeight w:val="300"/>
          <w:jc w:val="center"/>
        </w:trPr>
        <w:tc>
          <w:tcPr>
            <w:tcW w:w="1118" w:type="dxa"/>
            <w:vMerge w:val="restart"/>
            <w:tcBorders>
              <w:top w:val="single" w:sz="8" w:space="0" w:color="000000"/>
              <w:left w:val="single" w:sz="8" w:space="0" w:color="000000"/>
              <w:bottom w:val="single" w:sz="4" w:space="0" w:color="000000"/>
              <w:right w:val="single" w:sz="8" w:space="0" w:color="000000"/>
            </w:tcBorders>
            <w:shd w:val="clear" w:color="auto" w:fill="FFFFFF"/>
            <w:vAlign w:val="center"/>
            <w:hideMark/>
          </w:tcPr>
          <w:p w14:paraId="01CA889E" w14:textId="77777777" w:rsidR="00587CF0" w:rsidRPr="006645DC" w:rsidRDefault="00587CF0">
            <w:pPr>
              <w:suppressAutoHyphens/>
              <w:spacing w:before="0" w:after="0" w:line="100" w:lineRule="atLeast"/>
              <w:jc w:val="center"/>
              <w:rPr>
                <w:rFonts w:eastAsia="Arial" w:cs="Calibri"/>
                <w:b/>
                <w:bCs/>
                <w:kern w:val="2"/>
                <w:lang w:val="en-GB"/>
              </w:rPr>
            </w:pPr>
            <w:r w:rsidRPr="006645DC">
              <w:rPr>
                <w:b/>
                <w:bCs/>
                <w:lang w:val="en-GB"/>
              </w:rPr>
              <w:lastRenderedPageBreak/>
              <w:t>Districts</w:t>
            </w:r>
          </w:p>
        </w:tc>
        <w:tc>
          <w:tcPr>
            <w:tcW w:w="3145" w:type="dxa"/>
            <w:gridSpan w:val="3"/>
            <w:tcBorders>
              <w:top w:val="single" w:sz="8" w:space="0" w:color="000000"/>
              <w:left w:val="nil"/>
              <w:bottom w:val="single" w:sz="8" w:space="0" w:color="000000"/>
              <w:right w:val="single" w:sz="8" w:space="0" w:color="000000"/>
            </w:tcBorders>
            <w:shd w:val="clear" w:color="auto" w:fill="FFFFFF"/>
            <w:vAlign w:val="center"/>
            <w:hideMark/>
          </w:tcPr>
          <w:p w14:paraId="51E7C042" w14:textId="77777777" w:rsidR="00587CF0" w:rsidRPr="006645DC" w:rsidRDefault="00587CF0">
            <w:pPr>
              <w:suppressAutoHyphens/>
              <w:spacing w:before="0" w:after="0" w:line="100" w:lineRule="atLeast"/>
              <w:jc w:val="center"/>
              <w:rPr>
                <w:rFonts w:eastAsia="Arial" w:cs="Calibri"/>
                <w:b/>
                <w:bCs/>
                <w:kern w:val="2"/>
                <w:lang w:val="en-GB"/>
              </w:rPr>
            </w:pPr>
            <w:r w:rsidRPr="006645DC">
              <w:rPr>
                <w:b/>
                <w:bCs/>
                <w:lang w:val="en-GB"/>
              </w:rPr>
              <w:t>2010</w:t>
            </w:r>
          </w:p>
        </w:tc>
        <w:tc>
          <w:tcPr>
            <w:tcW w:w="3061" w:type="dxa"/>
            <w:gridSpan w:val="3"/>
            <w:tcBorders>
              <w:top w:val="single" w:sz="8" w:space="0" w:color="000000"/>
              <w:left w:val="nil"/>
              <w:bottom w:val="single" w:sz="8" w:space="0" w:color="000000"/>
              <w:right w:val="single" w:sz="8" w:space="0" w:color="000000"/>
            </w:tcBorders>
            <w:shd w:val="clear" w:color="auto" w:fill="FFFFFF"/>
            <w:vAlign w:val="center"/>
            <w:hideMark/>
          </w:tcPr>
          <w:p w14:paraId="42C779EC" w14:textId="77777777" w:rsidR="00587CF0" w:rsidRPr="006645DC" w:rsidRDefault="00587CF0">
            <w:pPr>
              <w:suppressAutoHyphens/>
              <w:spacing w:before="0" w:after="0" w:line="100" w:lineRule="atLeast"/>
              <w:jc w:val="center"/>
              <w:rPr>
                <w:rFonts w:eastAsia="Arial" w:cs="Calibri"/>
                <w:b/>
                <w:bCs/>
                <w:kern w:val="2"/>
                <w:lang w:val="en-GB"/>
              </w:rPr>
            </w:pPr>
            <w:r w:rsidRPr="006645DC">
              <w:rPr>
                <w:b/>
                <w:bCs/>
                <w:lang w:val="en-GB"/>
              </w:rPr>
              <w:t>2011</w:t>
            </w:r>
          </w:p>
        </w:tc>
        <w:tc>
          <w:tcPr>
            <w:tcW w:w="3050" w:type="dxa"/>
            <w:gridSpan w:val="3"/>
            <w:tcBorders>
              <w:top w:val="single" w:sz="8" w:space="0" w:color="000000"/>
              <w:left w:val="nil"/>
              <w:bottom w:val="single" w:sz="8" w:space="0" w:color="000000"/>
              <w:right w:val="single" w:sz="8" w:space="0" w:color="000000"/>
            </w:tcBorders>
            <w:shd w:val="clear" w:color="auto" w:fill="FFFFFF"/>
            <w:vAlign w:val="center"/>
            <w:hideMark/>
          </w:tcPr>
          <w:p w14:paraId="799D2A53" w14:textId="77777777" w:rsidR="00587CF0" w:rsidRPr="006645DC" w:rsidRDefault="00587CF0">
            <w:pPr>
              <w:suppressAutoHyphens/>
              <w:spacing w:before="0" w:after="0" w:line="100" w:lineRule="atLeast"/>
              <w:jc w:val="center"/>
              <w:rPr>
                <w:rFonts w:eastAsia="Arial" w:cs="Calibri"/>
                <w:b/>
                <w:bCs/>
                <w:kern w:val="2"/>
                <w:lang w:val="en-GB"/>
              </w:rPr>
            </w:pPr>
            <w:r w:rsidRPr="006645DC">
              <w:rPr>
                <w:b/>
                <w:bCs/>
                <w:lang w:val="en-GB"/>
              </w:rPr>
              <w:t>2012</w:t>
            </w:r>
          </w:p>
        </w:tc>
      </w:tr>
      <w:tr w:rsidR="00587CF0" w:rsidRPr="006645DC" w14:paraId="42236A31" w14:textId="77777777" w:rsidTr="00EC1CAA">
        <w:trPr>
          <w:cantSplit/>
          <w:trHeight w:val="300"/>
          <w:jc w:val="center"/>
        </w:trPr>
        <w:tc>
          <w:tcPr>
            <w:tcW w:w="1118" w:type="dxa"/>
            <w:vMerge/>
            <w:tcBorders>
              <w:top w:val="single" w:sz="8" w:space="0" w:color="000000"/>
              <w:left w:val="single" w:sz="8" w:space="0" w:color="000000"/>
              <w:bottom w:val="single" w:sz="4" w:space="0" w:color="000000"/>
              <w:right w:val="single" w:sz="8" w:space="0" w:color="000000"/>
            </w:tcBorders>
            <w:vAlign w:val="center"/>
            <w:hideMark/>
          </w:tcPr>
          <w:p w14:paraId="1091AA93" w14:textId="77777777" w:rsidR="00587CF0" w:rsidRPr="006645DC" w:rsidRDefault="00587CF0">
            <w:pPr>
              <w:spacing w:before="0" w:after="0"/>
              <w:jc w:val="left"/>
              <w:rPr>
                <w:rFonts w:eastAsia="Arial" w:cs="Calibri"/>
                <w:b/>
                <w:bCs/>
                <w:kern w:val="2"/>
                <w:lang w:val="en-GB"/>
              </w:rPr>
            </w:pPr>
          </w:p>
        </w:tc>
        <w:tc>
          <w:tcPr>
            <w:tcW w:w="1043" w:type="dxa"/>
            <w:vMerge w:val="restart"/>
            <w:tcBorders>
              <w:top w:val="nil"/>
              <w:left w:val="single" w:sz="8" w:space="0" w:color="000000"/>
              <w:bottom w:val="single" w:sz="4" w:space="0" w:color="000000"/>
              <w:right w:val="single" w:sz="8" w:space="0" w:color="000000"/>
            </w:tcBorders>
            <w:shd w:val="clear" w:color="auto" w:fill="FFFFFF"/>
            <w:vAlign w:val="center"/>
            <w:hideMark/>
          </w:tcPr>
          <w:p w14:paraId="3F498C63" w14:textId="77777777" w:rsidR="00587CF0" w:rsidRPr="006645DC" w:rsidRDefault="00587CF0">
            <w:pPr>
              <w:keepNext/>
              <w:keepLines/>
              <w:suppressAutoHyphens/>
              <w:spacing w:before="0" w:after="0" w:line="100" w:lineRule="atLeast"/>
              <w:rPr>
                <w:rFonts w:eastAsia="Arial" w:cs="Calibri"/>
                <w:b/>
                <w:bCs/>
                <w:kern w:val="2"/>
                <w:lang w:val="en-GB"/>
              </w:rPr>
            </w:pPr>
            <w:r w:rsidRPr="006645DC">
              <w:rPr>
                <w:b/>
                <w:bCs/>
                <w:lang w:val="en-GB"/>
              </w:rPr>
              <w:t>Total length of running tracks</w:t>
            </w:r>
          </w:p>
        </w:tc>
        <w:tc>
          <w:tcPr>
            <w:tcW w:w="2102" w:type="dxa"/>
            <w:gridSpan w:val="2"/>
            <w:tcBorders>
              <w:top w:val="single" w:sz="8" w:space="0" w:color="000000"/>
              <w:left w:val="nil"/>
              <w:bottom w:val="single" w:sz="8" w:space="0" w:color="000000"/>
              <w:right w:val="single" w:sz="8" w:space="0" w:color="000000"/>
            </w:tcBorders>
            <w:shd w:val="clear" w:color="auto" w:fill="FFFFFF"/>
            <w:vAlign w:val="center"/>
            <w:hideMark/>
          </w:tcPr>
          <w:p w14:paraId="039B9AA5" w14:textId="77777777" w:rsidR="00587CF0" w:rsidRPr="006645DC" w:rsidRDefault="00587CF0">
            <w:pPr>
              <w:keepNext/>
              <w:keepLines/>
              <w:suppressAutoHyphens/>
              <w:spacing w:before="0" w:after="0" w:line="100" w:lineRule="atLeast"/>
              <w:ind w:left="757" w:hanging="360"/>
              <w:jc w:val="center"/>
              <w:rPr>
                <w:rFonts w:eastAsia="Arial" w:cs="Calibri"/>
                <w:b/>
                <w:bCs/>
                <w:kern w:val="2"/>
                <w:lang w:val="en-GB"/>
              </w:rPr>
            </w:pPr>
            <w:r w:rsidRPr="006645DC">
              <w:rPr>
                <w:b/>
                <w:bCs/>
                <w:lang w:val="en-GB"/>
              </w:rPr>
              <w:t>of which</w:t>
            </w:r>
          </w:p>
        </w:tc>
        <w:tc>
          <w:tcPr>
            <w:tcW w:w="959" w:type="dxa"/>
            <w:vMerge w:val="restart"/>
            <w:tcBorders>
              <w:top w:val="nil"/>
              <w:left w:val="single" w:sz="8" w:space="0" w:color="000000"/>
              <w:bottom w:val="single" w:sz="4" w:space="0" w:color="000000"/>
              <w:right w:val="single" w:sz="8" w:space="0" w:color="000000"/>
            </w:tcBorders>
            <w:shd w:val="clear" w:color="auto" w:fill="FFFFFF"/>
            <w:vAlign w:val="center"/>
            <w:hideMark/>
          </w:tcPr>
          <w:p w14:paraId="038855E8" w14:textId="77777777" w:rsidR="00587CF0" w:rsidRPr="006645DC" w:rsidRDefault="00587CF0">
            <w:pPr>
              <w:keepNext/>
              <w:keepLines/>
              <w:suppressAutoHyphens/>
              <w:spacing w:before="0" w:after="0" w:line="100" w:lineRule="atLeast"/>
              <w:rPr>
                <w:rFonts w:eastAsia="Arial" w:cs="Calibri"/>
                <w:b/>
                <w:bCs/>
                <w:kern w:val="2"/>
                <w:lang w:val="en-GB"/>
              </w:rPr>
            </w:pPr>
            <w:r w:rsidRPr="006645DC">
              <w:rPr>
                <w:b/>
                <w:bCs/>
                <w:lang w:val="en-GB"/>
              </w:rPr>
              <w:t>Total length of running tracks</w:t>
            </w:r>
          </w:p>
        </w:tc>
        <w:tc>
          <w:tcPr>
            <w:tcW w:w="2102" w:type="dxa"/>
            <w:gridSpan w:val="2"/>
            <w:tcBorders>
              <w:top w:val="single" w:sz="8" w:space="0" w:color="000000"/>
              <w:left w:val="nil"/>
              <w:bottom w:val="single" w:sz="8" w:space="0" w:color="000000"/>
              <w:right w:val="single" w:sz="8" w:space="0" w:color="000000"/>
            </w:tcBorders>
            <w:shd w:val="clear" w:color="auto" w:fill="FFFFFF"/>
            <w:vAlign w:val="center"/>
            <w:hideMark/>
          </w:tcPr>
          <w:p w14:paraId="20544DF8" w14:textId="77777777" w:rsidR="00587CF0" w:rsidRPr="006645DC" w:rsidRDefault="00587CF0">
            <w:pPr>
              <w:keepNext/>
              <w:keepLines/>
              <w:suppressAutoHyphens/>
              <w:spacing w:before="0" w:after="0" w:line="100" w:lineRule="atLeast"/>
              <w:ind w:left="757" w:hanging="360"/>
              <w:jc w:val="center"/>
              <w:rPr>
                <w:rFonts w:eastAsia="Arial" w:cs="Calibri"/>
                <w:b/>
                <w:bCs/>
                <w:kern w:val="2"/>
                <w:lang w:val="en-GB"/>
              </w:rPr>
            </w:pPr>
            <w:r w:rsidRPr="006645DC">
              <w:rPr>
                <w:b/>
                <w:bCs/>
                <w:lang w:val="en-GB"/>
              </w:rPr>
              <w:t>of which</w:t>
            </w:r>
          </w:p>
        </w:tc>
        <w:tc>
          <w:tcPr>
            <w:tcW w:w="960" w:type="dxa"/>
            <w:vMerge w:val="restart"/>
            <w:tcBorders>
              <w:top w:val="nil"/>
              <w:left w:val="single" w:sz="8" w:space="0" w:color="000000"/>
              <w:bottom w:val="single" w:sz="4" w:space="0" w:color="000000"/>
              <w:right w:val="single" w:sz="8" w:space="0" w:color="000000"/>
            </w:tcBorders>
            <w:shd w:val="clear" w:color="auto" w:fill="FFFFFF"/>
            <w:vAlign w:val="center"/>
            <w:hideMark/>
          </w:tcPr>
          <w:p w14:paraId="5D3FEEC5" w14:textId="77777777" w:rsidR="00587CF0" w:rsidRPr="006645DC" w:rsidRDefault="00587CF0">
            <w:pPr>
              <w:suppressAutoHyphens/>
              <w:spacing w:before="0" w:after="0" w:line="100" w:lineRule="atLeast"/>
              <w:jc w:val="center"/>
              <w:rPr>
                <w:rFonts w:eastAsia="Arial" w:cs="Calibri"/>
                <w:b/>
                <w:bCs/>
                <w:kern w:val="2"/>
                <w:lang w:val="en-GB"/>
              </w:rPr>
            </w:pPr>
            <w:r w:rsidRPr="006645DC">
              <w:rPr>
                <w:b/>
                <w:bCs/>
                <w:lang w:val="en-GB"/>
              </w:rPr>
              <w:t>Total length of running tracks</w:t>
            </w:r>
          </w:p>
        </w:tc>
        <w:tc>
          <w:tcPr>
            <w:tcW w:w="2090" w:type="dxa"/>
            <w:gridSpan w:val="2"/>
            <w:tcBorders>
              <w:top w:val="single" w:sz="8" w:space="0" w:color="000000"/>
              <w:left w:val="nil"/>
              <w:bottom w:val="single" w:sz="8" w:space="0" w:color="000000"/>
              <w:right w:val="single" w:sz="8" w:space="0" w:color="000000"/>
            </w:tcBorders>
            <w:shd w:val="clear" w:color="auto" w:fill="FFFFFF"/>
            <w:vAlign w:val="center"/>
            <w:hideMark/>
          </w:tcPr>
          <w:p w14:paraId="78B7E6EF" w14:textId="77777777" w:rsidR="00587CF0" w:rsidRPr="006645DC" w:rsidRDefault="00587CF0">
            <w:pPr>
              <w:suppressAutoHyphens/>
              <w:spacing w:before="0" w:after="0" w:line="100" w:lineRule="atLeast"/>
              <w:jc w:val="center"/>
              <w:rPr>
                <w:rFonts w:eastAsia="Arial" w:cs="Calibri"/>
                <w:b/>
                <w:bCs/>
                <w:kern w:val="2"/>
                <w:lang w:val="en-GB"/>
              </w:rPr>
            </w:pPr>
            <w:r w:rsidRPr="006645DC">
              <w:rPr>
                <w:b/>
                <w:bCs/>
                <w:lang w:val="en-GB"/>
              </w:rPr>
              <w:t>of which</w:t>
            </w:r>
          </w:p>
        </w:tc>
      </w:tr>
      <w:tr w:rsidR="00587CF0" w:rsidRPr="006645DC" w14:paraId="65D488D6" w14:textId="77777777" w:rsidTr="00EC1CAA">
        <w:trPr>
          <w:cantSplit/>
          <w:trHeight w:val="675"/>
          <w:jc w:val="center"/>
        </w:trPr>
        <w:tc>
          <w:tcPr>
            <w:tcW w:w="1118" w:type="dxa"/>
            <w:vMerge/>
            <w:tcBorders>
              <w:top w:val="single" w:sz="8" w:space="0" w:color="000000"/>
              <w:left w:val="single" w:sz="8" w:space="0" w:color="000000"/>
              <w:bottom w:val="single" w:sz="4" w:space="0" w:color="000000"/>
              <w:right w:val="single" w:sz="8" w:space="0" w:color="000000"/>
            </w:tcBorders>
            <w:vAlign w:val="center"/>
            <w:hideMark/>
          </w:tcPr>
          <w:p w14:paraId="63ADADF2" w14:textId="77777777" w:rsidR="00587CF0" w:rsidRPr="006645DC" w:rsidRDefault="00587CF0">
            <w:pPr>
              <w:spacing w:before="0" w:after="0"/>
              <w:jc w:val="left"/>
              <w:rPr>
                <w:rFonts w:eastAsia="Arial" w:cs="Calibri"/>
                <w:b/>
                <w:bCs/>
                <w:kern w:val="2"/>
                <w:lang w:val="en-GB"/>
              </w:rPr>
            </w:pPr>
          </w:p>
        </w:tc>
        <w:tc>
          <w:tcPr>
            <w:tcW w:w="1043" w:type="dxa"/>
            <w:vMerge/>
            <w:tcBorders>
              <w:top w:val="nil"/>
              <w:left w:val="single" w:sz="8" w:space="0" w:color="000000"/>
              <w:bottom w:val="single" w:sz="4" w:space="0" w:color="000000"/>
              <w:right w:val="single" w:sz="8" w:space="0" w:color="000000"/>
            </w:tcBorders>
            <w:vAlign w:val="center"/>
            <w:hideMark/>
          </w:tcPr>
          <w:p w14:paraId="18F6F615" w14:textId="77777777" w:rsidR="00587CF0" w:rsidRPr="006645DC" w:rsidRDefault="00587CF0">
            <w:pPr>
              <w:spacing w:before="0" w:after="0"/>
              <w:jc w:val="left"/>
              <w:rPr>
                <w:rFonts w:eastAsia="Arial" w:cs="Calibri"/>
                <w:b/>
                <w:bCs/>
                <w:kern w:val="2"/>
                <w:lang w:val="en-GB"/>
              </w:rPr>
            </w:pPr>
          </w:p>
        </w:tc>
        <w:tc>
          <w:tcPr>
            <w:tcW w:w="959" w:type="dxa"/>
            <w:tcBorders>
              <w:top w:val="nil"/>
              <w:left w:val="nil"/>
              <w:bottom w:val="single" w:sz="4" w:space="0" w:color="000000"/>
              <w:right w:val="single" w:sz="8" w:space="0" w:color="000000"/>
            </w:tcBorders>
            <w:shd w:val="clear" w:color="auto" w:fill="FFFFFF"/>
            <w:vAlign w:val="center"/>
            <w:hideMark/>
          </w:tcPr>
          <w:p w14:paraId="554B3CF3" w14:textId="77777777" w:rsidR="00587CF0" w:rsidRPr="006645DC" w:rsidRDefault="00587CF0">
            <w:pPr>
              <w:keepNext/>
              <w:keepLines/>
              <w:suppressAutoHyphens/>
              <w:spacing w:before="0" w:after="0" w:line="100" w:lineRule="atLeast"/>
              <w:rPr>
                <w:rFonts w:eastAsia="Arial" w:cs="Calibri"/>
                <w:b/>
                <w:bCs/>
                <w:kern w:val="2"/>
                <w:lang w:val="en-GB"/>
              </w:rPr>
            </w:pPr>
            <w:r w:rsidRPr="006645DC">
              <w:rPr>
                <w:b/>
                <w:bCs/>
                <w:lang w:val="en-GB"/>
              </w:rPr>
              <w:t>Double railway lines</w:t>
            </w:r>
          </w:p>
        </w:tc>
        <w:tc>
          <w:tcPr>
            <w:tcW w:w="1143" w:type="dxa"/>
            <w:tcBorders>
              <w:top w:val="nil"/>
              <w:left w:val="nil"/>
              <w:bottom w:val="single" w:sz="4" w:space="0" w:color="000000"/>
              <w:right w:val="single" w:sz="8" w:space="0" w:color="000000"/>
            </w:tcBorders>
            <w:shd w:val="clear" w:color="auto" w:fill="FFFFFF"/>
            <w:vAlign w:val="center"/>
            <w:hideMark/>
          </w:tcPr>
          <w:p w14:paraId="426E0E65" w14:textId="77777777" w:rsidR="00587CF0" w:rsidRPr="006645DC" w:rsidRDefault="00587CF0">
            <w:pPr>
              <w:keepNext/>
              <w:keepLines/>
              <w:suppressAutoHyphens/>
              <w:spacing w:before="0" w:after="0" w:line="100" w:lineRule="atLeast"/>
              <w:rPr>
                <w:rFonts w:eastAsia="Arial" w:cs="Calibri"/>
                <w:b/>
                <w:bCs/>
                <w:kern w:val="2"/>
                <w:lang w:val="en-GB"/>
              </w:rPr>
            </w:pPr>
            <w:r w:rsidRPr="006645DC">
              <w:rPr>
                <w:b/>
                <w:bCs/>
                <w:lang w:val="en-GB"/>
              </w:rPr>
              <w:t>Electrified railway lines</w:t>
            </w:r>
          </w:p>
        </w:tc>
        <w:tc>
          <w:tcPr>
            <w:tcW w:w="959" w:type="dxa"/>
            <w:vMerge/>
            <w:tcBorders>
              <w:top w:val="nil"/>
              <w:left w:val="single" w:sz="8" w:space="0" w:color="000000"/>
              <w:bottom w:val="single" w:sz="4" w:space="0" w:color="000000"/>
              <w:right w:val="single" w:sz="8" w:space="0" w:color="000000"/>
            </w:tcBorders>
            <w:vAlign w:val="center"/>
            <w:hideMark/>
          </w:tcPr>
          <w:p w14:paraId="132B038C" w14:textId="77777777" w:rsidR="00587CF0" w:rsidRPr="006645DC" w:rsidRDefault="00587CF0">
            <w:pPr>
              <w:spacing w:before="0" w:after="0"/>
              <w:jc w:val="left"/>
              <w:rPr>
                <w:rFonts w:eastAsia="Arial" w:cs="Calibri"/>
                <w:b/>
                <w:bCs/>
                <w:kern w:val="2"/>
                <w:lang w:val="en-GB"/>
              </w:rPr>
            </w:pPr>
          </w:p>
        </w:tc>
        <w:tc>
          <w:tcPr>
            <w:tcW w:w="960" w:type="dxa"/>
            <w:tcBorders>
              <w:top w:val="nil"/>
              <w:left w:val="nil"/>
              <w:bottom w:val="single" w:sz="4" w:space="0" w:color="000000"/>
              <w:right w:val="single" w:sz="8" w:space="0" w:color="000000"/>
            </w:tcBorders>
            <w:shd w:val="clear" w:color="auto" w:fill="FFFFFF"/>
            <w:vAlign w:val="center"/>
            <w:hideMark/>
          </w:tcPr>
          <w:p w14:paraId="7433D6F1" w14:textId="77777777" w:rsidR="00587CF0" w:rsidRPr="006645DC" w:rsidRDefault="00587CF0">
            <w:pPr>
              <w:keepNext/>
              <w:keepLines/>
              <w:suppressAutoHyphens/>
              <w:spacing w:before="0" w:after="0" w:line="100" w:lineRule="atLeast"/>
              <w:rPr>
                <w:rFonts w:eastAsia="Arial" w:cs="Calibri"/>
                <w:b/>
                <w:bCs/>
                <w:kern w:val="2"/>
                <w:lang w:val="en-GB"/>
              </w:rPr>
            </w:pPr>
            <w:r w:rsidRPr="006645DC">
              <w:rPr>
                <w:b/>
                <w:bCs/>
                <w:lang w:val="en-GB"/>
              </w:rPr>
              <w:t>Double railway lines</w:t>
            </w:r>
          </w:p>
        </w:tc>
        <w:tc>
          <w:tcPr>
            <w:tcW w:w="1142" w:type="dxa"/>
            <w:tcBorders>
              <w:top w:val="nil"/>
              <w:left w:val="nil"/>
              <w:bottom w:val="single" w:sz="4" w:space="0" w:color="000000"/>
              <w:right w:val="single" w:sz="8" w:space="0" w:color="000000"/>
            </w:tcBorders>
            <w:shd w:val="clear" w:color="auto" w:fill="FFFFFF"/>
            <w:vAlign w:val="center"/>
            <w:hideMark/>
          </w:tcPr>
          <w:p w14:paraId="03C9C787" w14:textId="77777777" w:rsidR="00587CF0" w:rsidRPr="006645DC" w:rsidRDefault="00587CF0">
            <w:pPr>
              <w:keepNext/>
              <w:keepLines/>
              <w:suppressAutoHyphens/>
              <w:spacing w:before="0" w:after="0" w:line="100" w:lineRule="atLeast"/>
              <w:rPr>
                <w:rFonts w:eastAsia="Arial" w:cs="Calibri"/>
                <w:b/>
                <w:bCs/>
                <w:kern w:val="2"/>
                <w:lang w:val="en-GB"/>
              </w:rPr>
            </w:pPr>
            <w:r w:rsidRPr="006645DC">
              <w:rPr>
                <w:b/>
                <w:bCs/>
                <w:lang w:val="en-GB"/>
              </w:rPr>
              <w:t>Electrified railway lines</w:t>
            </w:r>
          </w:p>
        </w:tc>
        <w:tc>
          <w:tcPr>
            <w:tcW w:w="960" w:type="dxa"/>
            <w:vMerge/>
            <w:tcBorders>
              <w:top w:val="nil"/>
              <w:left w:val="single" w:sz="8" w:space="0" w:color="000000"/>
              <w:bottom w:val="single" w:sz="4" w:space="0" w:color="000000"/>
              <w:right w:val="single" w:sz="8" w:space="0" w:color="000000"/>
            </w:tcBorders>
            <w:vAlign w:val="center"/>
            <w:hideMark/>
          </w:tcPr>
          <w:p w14:paraId="6EF82FC7" w14:textId="77777777" w:rsidR="00587CF0" w:rsidRPr="006645DC" w:rsidRDefault="00587CF0">
            <w:pPr>
              <w:spacing w:before="0" w:after="0"/>
              <w:jc w:val="left"/>
              <w:rPr>
                <w:rFonts w:eastAsia="Arial" w:cs="Calibri"/>
                <w:b/>
                <w:bCs/>
                <w:kern w:val="2"/>
                <w:lang w:val="en-GB"/>
              </w:rPr>
            </w:pPr>
          </w:p>
        </w:tc>
        <w:tc>
          <w:tcPr>
            <w:tcW w:w="948" w:type="dxa"/>
            <w:tcBorders>
              <w:top w:val="nil"/>
              <w:left w:val="nil"/>
              <w:bottom w:val="single" w:sz="4" w:space="0" w:color="000000"/>
              <w:right w:val="single" w:sz="8" w:space="0" w:color="000000"/>
            </w:tcBorders>
            <w:shd w:val="clear" w:color="auto" w:fill="FFFFFF"/>
            <w:vAlign w:val="center"/>
            <w:hideMark/>
          </w:tcPr>
          <w:p w14:paraId="424DC5CD" w14:textId="77777777" w:rsidR="00587CF0" w:rsidRPr="006645DC" w:rsidRDefault="00587CF0">
            <w:pPr>
              <w:suppressAutoHyphens/>
              <w:spacing w:before="0" w:after="0" w:line="100" w:lineRule="atLeast"/>
              <w:jc w:val="center"/>
              <w:rPr>
                <w:rFonts w:eastAsia="Arial" w:cs="Calibri"/>
                <w:b/>
                <w:bCs/>
                <w:kern w:val="2"/>
                <w:lang w:val="en-GB"/>
              </w:rPr>
            </w:pPr>
            <w:r w:rsidRPr="006645DC">
              <w:rPr>
                <w:b/>
                <w:bCs/>
                <w:lang w:val="en-GB"/>
              </w:rPr>
              <w:t>Double railway lines</w:t>
            </w:r>
          </w:p>
        </w:tc>
        <w:tc>
          <w:tcPr>
            <w:tcW w:w="1142" w:type="dxa"/>
            <w:tcBorders>
              <w:top w:val="nil"/>
              <w:left w:val="nil"/>
              <w:bottom w:val="single" w:sz="4" w:space="0" w:color="000000"/>
              <w:right w:val="single" w:sz="8" w:space="0" w:color="000000"/>
            </w:tcBorders>
            <w:shd w:val="clear" w:color="auto" w:fill="FFFFFF"/>
            <w:vAlign w:val="center"/>
            <w:hideMark/>
          </w:tcPr>
          <w:p w14:paraId="3CAA2184" w14:textId="77777777" w:rsidR="00587CF0" w:rsidRPr="006645DC" w:rsidRDefault="00587CF0">
            <w:pPr>
              <w:suppressAutoHyphens/>
              <w:spacing w:before="0" w:after="0" w:line="100" w:lineRule="atLeast"/>
              <w:jc w:val="center"/>
              <w:rPr>
                <w:rFonts w:eastAsia="Arial" w:cs="Calibri"/>
                <w:kern w:val="2"/>
                <w:lang w:val="en-GB"/>
              </w:rPr>
            </w:pPr>
            <w:r w:rsidRPr="006645DC">
              <w:rPr>
                <w:b/>
                <w:bCs/>
                <w:lang w:val="en-GB"/>
              </w:rPr>
              <w:t>Electrified railway lines</w:t>
            </w:r>
          </w:p>
        </w:tc>
      </w:tr>
      <w:tr w:rsidR="00587CF0" w:rsidRPr="006645DC" w14:paraId="127D0878" w14:textId="77777777" w:rsidTr="00EC1CAA">
        <w:trPr>
          <w:trHeight w:val="345"/>
          <w:jc w:val="center"/>
        </w:trPr>
        <w:tc>
          <w:tcPr>
            <w:tcW w:w="1118" w:type="dxa"/>
            <w:tcBorders>
              <w:top w:val="single" w:sz="4" w:space="0" w:color="000000"/>
              <w:left w:val="single" w:sz="8" w:space="0" w:color="000000"/>
              <w:bottom w:val="single" w:sz="4" w:space="0" w:color="000000"/>
              <w:right w:val="single" w:sz="4" w:space="0" w:color="000000"/>
            </w:tcBorders>
            <w:shd w:val="clear" w:color="auto" w:fill="FFFFFF"/>
            <w:vAlign w:val="center"/>
            <w:hideMark/>
          </w:tcPr>
          <w:p w14:paraId="25926950" w14:textId="77777777" w:rsidR="00587CF0" w:rsidRPr="006645DC" w:rsidRDefault="00587CF0">
            <w:pPr>
              <w:suppressAutoHyphens/>
              <w:spacing w:before="0" w:after="0" w:line="100" w:lineRule="atLeast"/>
              <w:jc w:val="left"/>
              <w:rPr>
                <w:rFonts w:eastAsia="Arial" w:cs="Calibri"/>
                <w:kern w:val="2"/>
                <w:lang w:val="en-GB"/>
              </w:rPr>
            </w:pPr>
            <w:r w:rsidRPr="006645DC">
              <w:rPr>
                <w:lang w:val="en-GB"/>
              </w:rPr>
              <w:t>Vidin</w:t>
            </w:r>
          </w:p>
        </w:tc>
        <w:tc>
          <w:tcPr>
            <w:tcW w:w="1043" w:type="dxa"/>
            <w:tcBorders>
              <w:top w:val="single" w:sz="4" w:space="0" w:color="000000"/>
              <w:left w:val="nil"/>
              <w:bottom w:val="single" w:sz="4" w:space="0" w:color="000000"/>
              <w:right w:val="single" w:sz="4" w:space="0" w:color="000000"/>
            </w:tcBorders>
            <w:shd w:val="clear" w:color="auto" w:fill="FFFFFF"/>
            <w:vAlign w:val="center"/>
            <w:hideMark/>
          </w:tcPr>
          <w:p w14:paraId="7CDEE74B"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101</w:t>
            </w:r>
          </w:p>
        </w:tc>
        <w:tc>
          <w:tcPr>
            <w:tcW w:w="959" w:type="dxa"/>
            <w:tcBorders>
              <w:top w:val="single" w:sz="4" w:space="0" w:color="000000"/>
              <w:left w:val="nil"/>
              <w:bottom w:val="single" w:sz="4" w:space="0" w:color="000000"/>
              <w:right w:val="single" w:sz="4" w:space="0" w:color="000000"/>
            </w:tcBorders>
            <w:shd w:val="clear" w:color="auto" w:fill="FFFFFF"/>
            <w:vAlign w:val="center"/>
            <w:hideMark/>
          </w:tcPr>
          <w:p w14:paraId="0E5C2228"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3" w:type="dxa"/>
            <w:tcBorders>
              <w:top w:val="single" w:sz="4" w:space="0" w:color="000000"/>
              <w:left w:val="nil"/>
              <w:bottom w:val="single" w:sz="4" w:space="0" w:color="000000"/>
              <w:right w:val="single" w:sz="4" w:space="0" w:color="000000"/>
            </w:tcBorders>
            <w:shd w:val="clear" w:color="auto" w:fill="FFFFFF"/>
            <w:vAlign w:val="center"/>
            <w:hideMark/>
          </w:tcPr>
          <w:p w14:paraId="7F972062"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80</w:t>
            </w:r>
          </w:p>
        </w:tc>
        <w:tc>
          <w:tcPr>
            <w:tcW w:w="959" w:type="dxa"/>
            <w:tcBorders>
              <w:top w:val="single" w:sz="4" w:space="0" w:color="000000"/>
              <w:left w:val="nil"/>
              <w:bottom w:val="single" w:sz="4" w:space="0" w:color="000000"/>
              <w:right w:val="single" w:sz="4" w:space="0" w:color="000000"/>
            </w:tcBorders>
            <w:shd w:val="clear" w:color="auto" w:fill="FFFFFF"/>
            <w:vAlign w:val="center"/>
            <w:hideMark/>
          </w:tcPr>
          <w:p w14:paraId="63C25738"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101</w:t>
            </w:r>
          </w:p>
        </w:tc>
        <w:tc>
          <w:tcPr>
            <w:tcW w:w="960" w:type="dxa"/>
            <w:tcBorders>
              <w:top w:val="single" w:sz="4" w:space="0" w:color="000000"/>
              <w:left w:val="nil"/>
              <w:bottom w:val="single" w:sz="4" w:space="0" w:color="000000"/>
              <w:right w:val="single" w:sz="4" w:space="0" w:color="000000"/>
            </w:tcBorders>
            <w:shd w:val="clear" w:color="auto" w:fill="FFFFFF"/>
            <w:vAlign w:val="center"/>
            <w:hideMark/>
          </w:tcPr>
          <w:p w14:paraId="3198F6DB"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2" w:type="dxa"/>
            <w:tcBorders>
              <w:top w:val="single" w:sz="4" w:space="0" w:color="000000"/>
              <w:left w:val="nil"/>
              <w:bottom w:val="single" w:sz="4" w:space="0" w:color="000000"/>
              <w:right w:val="single" w:sz="4" w:space="0" w:color="000000"/>
            </w:tcBorders>
            <w:shd w:val="clear" w:color="auto" w:fill="FFFFFF"/>
            <w:vAlign w:val="center"/>
            <w:hideMark/>
          </w:tcPr>
          <w:p w14:paraId="5442FE88"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80</w:t>
            </w:r>
          </w:p>
        </w:tc>
        <w:tc>
          <w:tcPr>
            <w:tcW w:w="960" w:type="dxa"/>
            <w:tcBorders>
              <w:top w:val="single" w:sz="4" w:space="0" w:color="000000"/>
              <w:left w:val="nil"/>
              <w:bottom w:val="single" w:sz="4" w:space="0" w:color="000000"/>
              <w:right w:val="single" w:sz="4" w:space="0" w:color="000000"/>
            </w:tcBorders>
            <w:shd w:val="clear" w:color="auto" w:fill="FFFFFF"/>
            <w:vAlign w:val="center"/>
            <w:hideMark/>
          </w:tcPr>
          <w:p w14:paraId="292B927B"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101</w:t>
            </w:r>
          </w:p>
        </w:tc>
        <w:tc>
          <w:tcPr>
            <w:tcW w:w="948" w:type="dxa"/>
            <w:tcBorders>
              <w:top w:val="single" w:sz="4" w:space="0" w:color="000000"/>
              <w:left w:val="nil"/>
              <w:bottom w:val="single" w:sz="4" w:space="0" w:color="000000"/>
              <w:right w:val="single" w:sz="4" w:space="0" w:color="000000"/>
            </w:tcBorders>
            <w:shd w:val="clear" w:color="auto" w:fill="FFFFFF"/>
            <w:vAlign w:val="center"/>
            <w:hideMark/>
          </w:tcPr>
          <w:p w14:paraId="079F41D1"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2" w:type="dxa"/>
            <w:tcBorders>
              <w:top w:val="single" w:sz="4" w:space="0" w:color="000000"/>
              <w:left w:val="nil"/>
              <w:bottom w:val="single" w:sz="4" w:space="0" w:color="000000"/>
              <w:right w:val="single" w:sz="8" w:space="0" w:color="000000"/>
            </w:tcBorders>
            <w:shd w:val="clear" w:color="auto" w:fill="FFFFFF"/>
            <w:vAlign w:val="center"/>
            <w:hideMark/>
          </w:tcPr>
          <w:p w14:paraId="03ACAD32"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80</w:t>
            </w:r>
          </w:p>
        </w:tc>
      </w:tr>
      <w:tr w:rsidR="00587CF0" w:rsidRPr="006645DC" w14:paraId="5F0701E6" w14:textId="77777777" w:rsidTr="00EC1CAA">
        <w:trPr>
          <w:trHeight w:val="345"/>
          <w:jc w:val="center"/>
        </w:trPr>
        <w:tc>
          <w:tcPr>
            <w:tcW w:w="1118" w:type="dxa"/>
            <w:tcBorders>
              <w:top w:val="nil"/>
              <w:left w:val="single" w:sz="8" w:space="0" w:color="000000"/>
              <w:bottom w:val="single" w:sz="4" w:space="0" w:color="000000"/>
              <w:right w:val="single" w:sz="4" w:space="0" w:color="000000"/>
            </w:tcBorders>
            <w:shd w:val="clear" w:color="auto" w:fill="FFFFFF"/>
            <w:vAlign w:val="center"/>
            <w:hideMark/>
          </w:tcPr>
          <w:p w14:paraId="61BAAB00" w14:textId="77777777" w:rsidR="00587CF0" w:rsidRPr="006645DC" w:rsidRDefault="00587CF0">
            <w:pPr>
              <w:suppressAutoHyphens/>
              <w:spacing w:before="0" w:after="0" w:line="100" w:lineRule="atLeast"/>
              <w:jc w:val="left"/>
              <w:rPr>
                <w:rFonts w:eastAsia="Arial" w:cs="Calibri"/>
                <w:kern w:val="2"/>
                <w:lang w:val="en-GB"/>
              </w:rPr>
            </w:pPr>
            <w:r w:rsidRPr="006645DC">
              <w:rPr>
                <w:lang w:val="en-GB"/>
              </w:rPr>
              <w:t>Vratsa</w:t>
            </w:r>
          </w:p>
        </w:tc>
        <w:tc>
          <w:tcPr>
            <w:tcW w:w="1043" w:type="dxa"/>
            <w:tcBorders>
              <w:top w:val="nil"/>
              <w:left w:val="nil"/>
              <w:bottom w:val="single" w:sz="4" w:space="0" w:color="000000"/>
              <w:right w:val="single" w:sz="4" w:space="0" w:color="000000"/>
            </w:tcBorders>
            <w:shd w:val="clear" w:color="auto" w:fill="FFFFFF"/>
            <w:vAlign w:val="center"/>
            <w:hideMark/>
          </w:tcPr>
          <w:p w14:paraId="513EFCCF"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112</w:t>
            </w:r>
          </w:p>
        </w:tc>
        <w:tc>
          <w:tcPr>
            <w:tcW w:w="959" w:type="dxa"/>
            <w:tcBorders>
              <w:top w:val="nil"/>
              <w:left w:val="nil"/>
              <w:bottom w:val="single" w:sz="4" w:space="0" w:color="000000"/>
              <w:right w:val="single" w:sz="4" w:space="0" w:color="000000"/>
            </w:tcBorders>
            <w:shd w:val="clear" w:color="auto" w:fill="FFFFFF"/>
            <w:vAlign w:val="center"/>
            <w:hideMark/>
          </w:tcPr>
          <w:p w14:paraId="78757AEB"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66</w:t>
            </w:r>
          </w:p>
        </w:tc>
        <w:tc>
          <w:tcPr>
            <w:tcW w:w="1143" w:type="dxa"/>
            <w:tcBorders>
              <w:top w:val="nil"/>
              <w:left w:val="nil"/>
              <w:bottom w:val="single" w:sz="4" w:space="0" w:color="000000"/>
              <w:right w:val="single" w:sz="4" w:space="0" w:color="000000"/>
            </w:tcBorders>
            <w:shd w:val="clear" w:color="auto" w:fill="FFFFFF"/>
            <w:vAlign w:val="center"/>
            <w:hideMark/>
          </w:tcPr>
          <w:p w14:paraId="4DF994E3"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112</w:t>
            </w:r>
          </w:p>
        </w:tc>
        <w:tc>
          <w:tcPr>
            <w:tcW w:w="959" w:type="dxa"/>
            <w:tcBorders>
              <w:top w:val="nil"/>
              <w:left w:val="nil"/>
              <w:bottom w:val="single" w:sz="4" w:space="0" w:color="000000"/>
              <w:right w:val="single" w:sz="4" w:space="0" w:color="000000"/>
            </w:tcBorders>
            <w:shd w:val="clear" w:color="auto" w:fill="FFFFFF"/>
            <w:vAlign w:val="center"/>
            <w:hideMark/>
          </w:tcPr>
          <w:p w14:paraId="7AD1AAB1"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112</w:t>
            </w:r>
          </w:p>
        </w:tc>
        <w:tc>
          <w:tcPr>
            <w:tcW w:w="960" w:type="dxa"/>
            <w:tcBorders>
              <w:top w:val="nil"/>
              <w:left w:val="nil"/>
              <w:bottom w:val="single" w:sz="4" w:space="0" w:color="000000"/>
              <w:right w:val="single" w:sz="4" w:space="0" w:color="000000"/>
            </w:tcBorders>
            <w:shd w:val="clear" w:color="auto" w:fill="FFFFFF"/>
            <w:vAlign w:val="center"/>
            <w:hideMark/>
          </w:tcPr>
          <w:p w14:paraId="588E4D8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66</w:t>
            </w:r>
          </w:p>
        </w:tc>
        <w:tc>
          <w:tcPr>
            <w:tcW w:w="1142" w:type="dxa"/>
            <w:tcBorders>
              <w:top w:val="nil"/>
              <w:left w:val="nil"/>
              <w:bottom w:val="single" w:sz="4" w:space="0" w:color="000000"/>
              <w:right w:val="single" w:sz="4" w:space="0" w:color="000000"/>
            </w:tcBorders>
            <w:shd w:val="clear" w:color="auto" w:fill="FFFFFF"/>
            <w:vAlign w:val="center"/>
            <w:hideMark/>
          </w:tcPr>
          <w:p w14:paraId="6640E605"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112</w:t>
            </w:r>
          </w:p>
        </w:tc>
        <w:tc>
          <w:tcPr>
            <w:tcW w:w="960" w:type="dxa"/>
            <w:tcBorders>
              <w:top w:val="nil"/>
              <w:left w:val="nil"/>
              <w:bottom w:val="single" w:sz="4" w:space="0" w:color="000000"/>
              <w:right w:val="single" w:sz="4" w:space="0" w:color="000000"/>
            </w:tcBorders>
            <w:shd w:val="clear" w:color="auto" w:fill="FFFFFF"/>
            <w:vAlign w:val="center"/>
            <w:hideMark/>
          </w:tcPr>
          <w:p w14:paraId="62C52D93"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112</w:t>
            </w:r>
          </w:p>
        </w:tc>
        <w:tc>
          <w:tcPr>
            <w:tcW w:w="948" w:type="dxa"/>
            <w:tcBorders>
              <w:top w:val="nil"/>
              <w:left w:val="nil"/>
              <w:bottom w:val="single" w:sz="4" w:space="0" w:color="000000"/>
              <w:right w:val="single" w:sz="4" w:space="0" w:color="000000"/>
            </w:tcBorders>
            <w:shd w:val="clear" w:color="auto" w:fill="FFFFFF"/>
            <w:vAlign w:val="center"/>
            <w:hideMark/>
          </w:tcPr>
          <w:p w14:paraId="41723F7D"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66</w:t>
            </w:r>
          </w:p>
        </w:tc>
        <w:tc>
          <w:tcPr>
            <w:tcW w:w="1142" w:type="dxa"/>
            <w:tcBorders>
              <w:top w:val="nil"/>
              <w:left w:val="nil"/>
              <w:bottom w:val="single" w:sz="4" w:space="0" w:color="000000"/>
              <w:right w:val="single" w:sz="8" w:space="0" w:color="000000"/>
            </w:tcBorders>
            <w:shd w:val="clear" w:color="auto" w:fill="FFFFFF"/>
            <w:vAlign w:val="center"/>
            <w:hideMark/>
          </w:tcPr>
          <w:p w14:paraId="56FA6524"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112</w:t>
            </w:r>
          </w:p>
        </w:tc>
      </w:tr>
      <w:tr w:rsidR="00587CF0" w:rsidRPr="006645DC" w14:paraId="4E7E3D9D" w14:textId="77777777" w:rsidTr="00EC1CAA">
        <w:trPr>
          <w:trHeight w:val="345"/>
          <w:jc w:val="center"/>
        </w:trPr>
        <w:tc>
          <w:tcPr>
            <w:tcW w:w="1118" w:type="dxa"/>
            <w:tcBorders>
              <w:top w:val="nil"/>
              <w:left w:val="single" w:sz="8" w:space="0" w:color="000000"/>
              <w:bottom w:val="single" w:sz="4" w:space="0" w:color="000000"/>
              <w:right w:val="single" w:sz="4" w:space="0" w:color="000000"/>
            </w:tcBorders>
            <w:shd w:val="clear" w:color="auto" w:fill="FFFFFF"/>
            <w:vAlign w:val="center"/>
            <w:hideMark/>
          </w:tcPr>
          <w:p w14:paraId="2AE0BD02" w14:textId="77777777" w:rsidR="00587CF0" w:rsidRPr="006645DC" w:rsidRDefault="00587CF0">
            <w:pPr>
              <w:suppressAutoHyphens/>
              <w:spacing w:before="0" w:after="0" w:line="100" w:lineRule="atLeast"/>
              <w:jc w:val="left"/>
              <w:rPr>
                <w:rFonts w:eastAsia="Arial" w:cs="Calibri"/>
                <w:kern w:val="2"/>
                <w:lang w:val="en-GB"/>
              </w:rPr>
            </w:pPr>
            <w:r w:rsidRPr="006645DC">
              <w:rPr>
                <w:lang w:val="en-GB"/>
              </w:rPr>
              <w:t>Montana</w:t>
            </w:r>
          </w:p>
        </w:tc>
        <w:tc>
          <w:tcPr>
            <w:tcW w:w="1043" w:type="dxa"/>
            <w:tcBorders>
              <w:top w:val="nil"/>
              <w:left w:val="nil"/>
              <w:bottom w:val="single" w:sz="4" w:space="0" w:color="000000"/>
              <w:right w:val="single" w:sz="4" w:space="0" w:color="000000"/>
            </w:tcBorders>
            <w:shd w:val="clear" w:color="auto" w:fill="FFFFFF"/>
            <w:vAlign w:val="center"/>
            <w:hideMark/>
          </w:tcPr>
          <w:p w14:paraId="0ABFB12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115</w:t>
            </w:r>
          </w:p>
        </w:tc>
        <w:tc>
          <w:tcPr>
            <w:tcW w:w="959" w:type="dxa"/>
            <w:tcBorders>
              <w:top w:val="nil"/>
              <w:left w:val="nil"/>
              <w:bottom w:val="single" w:sz="4" w:space="0" w:color="000000"/>
              <w:right w:val="single" w:sz="4" w:space="0" w:color="000000"/>
            </w:tcBorders>
            <w:shd w:val="clear" w:color="auto" w:fill="FFFFFF"/>
            <w:vAlign w:val="center"/>
            <w:hideMark/>
          </w:tcPr>
          <w:p w14:paraId="76FBB3DA"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3" w:type="dxa"/>
            <w:tcBorders>
              <w:top w:val="nil"/>
              <w:left w:val="nil"/>
              <w:bottom w:val="single" w:sz="4" w:space="0" w:color="000000"/>
              <w:right w:val="single" w:sz="4" w:space="0" w:color="000000"/>
            </w:tcBorders>
            <w:shd w:val="clear" w:color="auto" w:fill="FFFFFF"/>
            <w:vAlign w:val="center"/>
            <w:hideMark/>
          </w:tcPr>
          <w:p w14:paraId="312FA31D"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115</w:t>
            </w:r>
          </w:p>
        </w:tc>
        <w:tc>
          <w:tcPr>
            <w:tcW w:w="959" w:type="dxa"/>
            <w:tcBorders>
              <w:top w:val="nil"/>
              <w:left w:val="nil"/>
              <w:bottom w:val="single" w:sz="4" w:space="0" w:color="000000"/>
              <w:right w:val="single" w:sz="4" w:space="0" w:color="000000"/>
            </w:tcBorders>
            <w:shd w:val="clear" w:color="auto" w:fill="FFFFFF"/>
            <w:vAlign w:val="center"/>
            <w:hideMark/>
          </w:tcPr>
          <w:p w14:paraId="0B915F30"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115</w:t>
            </w:r>
          </w:p>
        </w:tc>
        <w:tc>
          <w:tcPr>
            <w:tcW w:w="960" w:type="dxa"/>
            <w:tcBorders>
              <w:top w:val="nil"/>
              <w:left w:val="nil"/>
              <w:bottom w:val="single" w:sz="4" w:space="0" w:color="000000"/>
              <w:right w:val="single" w:sz="4" w:space="0" w:color="000000"/>
            </w:tcBorders>
            <w:shd w:val="clear" w:color="auto" w:fill="FFFFFF"/>
            <w:vAlign w:val="center"/>
            <w:hideMark/>
          </w:tcPr>
          <w:p w14:paraId="62FD6B22"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2" w:type="dxa"/>
            <w:tcBorders>
              <w:top w:val="nil"/>
              <w:left w:val="nil"/>
              <w:bottom w:val="single" w:sz="4" w:space="0" w:color="000000"/>
              <w:right w:val="single" w:sz="4" w:space="0" w:color="000000"/>
            </w:tcBorders>
            <w:shd w:val="clear" w:color="auto" w:fill="FFFFFF"/>
            <w:vAlign w:val="center"/>
            <w:hideMark/>
          </w:tcPr>
          <w:p w14:paraId="2F03E81F"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115</w:t>
            </w:r>
          </w:p>
        </w:tc>
        <w:tc>
          <w:tcPr>
            <w:tcW w:w="960" w:type="dxa"/>
            <w:tcBorders>
              <w:top w:val="nil"/>
              <w:left w:val="nil"/>
              <w:bottom w:val="single" w:sz="4" w:space="0" w:color="000000"/>
              <w:right w:val="single" w:sz="4" w:space="0" w:color="000000"/>
            </w:tcBorders>
            <w:shd w:val="clear" w:color="auto" w:fill="FFFFFF"/>
            <w:vAlign w:val="center"/>
            <w:hideMark/>
          </w:tcPr>
          <w:p w14:paraId="43ECAEE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115</w:t>
            </w:r>
          </w:p>
        </w:tc>
        <w:tc>
          <w:tcPr>
            <w:tcW w:w="948" w:type="dxa"/>
            <w:tcBorders>
              <w:top w:val="nil"/>
              <w:left w:val="nil"/>
              <w:bottom w:val="single" w:sz="4" w:space="0" w:color="000000"/>
              <w:right w:val="single" w:sz="4" w:space="0" w:color="000000"/>
            </w:tcBorders>
            <w:shd w:val="clear" w:color="auto" w:fill="FFFFFF"/>
            <w:vAlign w:val="center"/>
            <w:hideMark/>
          </w:tcPr>
          <w:p w14:paraId="69FE8BE3"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2" w:type="dxa"/>
            <w:tcBorders>
              <w:top w:val="nil"/>
              <w:left w:val="nil"/>
              <w:bottom w:val="single" w:sz="4" w:space="0" w:color="000000"/>
              <w:right w:val="single" w:sz="8" w:space="0" w:color="000000"/>
            </w:tcBorders>
            <w:shd w:val="clear" w:color="auto" w:fill="FFFFFF"/>
            <w:vAlign w:val="center"/>
            <w:hideMark/>
          </w:tcPr>
          <w:p w14:paraId="6549779A"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115</w:t>
            </w:r>
          </w:p>
        </w:tc>
      </w:tr>
      <w:tr w:rsidR="00587CF0" w:rsidRPr="006645DC" w14:paraId="73BD208C" w14:textId="77777777" w:rsidTr="00EC1CAA">
        <w:trPr>
          <w:trHeight w:val="345"/>
          <w:jc w:val="center"/>
        </w:trPr>
        <w:tc>
          <w:tcPr>
            <w:tcW w:w="1118" w:type="dxa"/>
            <w:tcBorders>
              <w:top w:val="nil"/>
              <w:left w:val="single" w:sz="8" w:space="0" w:color="000000"/>
              <w:bottom w:val="single" w:sz="4" w:space="0" w:color="000000"/>
              <w:right w:val="single" w:sz="4" w:space="0" w:color="000000"/>
            </w:tcBorders>
            <w:shd w:val="clear" w:color="auto" w:fill="FFFFFF"/>
            <w:vAlign w:val="center"/>
            <w:hideMark/>
          </w:tcPr>
          <w:p w14:paraId="5C0E94BD" w14:textId="77777777" w:rsidR="00587CF0" w:rsidRPr="006645DC" w:rsidRDefault="00587CF0">
            <w:pPr>
              <w:suppressAutoHyphens/>
              <w:spacing w:before="0" w:after="0" w:line="100" w:lineRule="atLeast"/>
              <w:jc w:val="left"/>
              <w:rPr>
                <w:rFonts w:eastAsia="Arial" w:cs="Calibri"/>
                <w:kern w:val="2"/>
                <w:lang w:val="en-GB"/>
              </w:rPr>
            </w:pPr>
            <w:r w:rsidRPr="006645DC">
              <w:rPr>
                <w:lang w:val="en-GB"/>
              </w:rPr>
              <w:t>Pleven</w:t>
            </w:r>
          </w:p>
        </w:tc>
        <w:tc>
          <w:tcPr>
            <w:tcW w:w="1043" w:type="dxa"/>
            <w:tcBorders>
              <w:top w:val="nil"/>
              <w:left w:val="nil"/>
              <w:bottom w:val="single" w:sz="4" w:space="0" w:color="000000"/>
              <w:right w:val="single" w:sz="4" w:space="0" w:color="000000"/>
            </w:tcBorders>
            <w:shd w:val="clear" w:color="auto" w:fill="FFFFFF"/>
            <w:vAlign w:val="center"/>
            <w:hideMark/>
          </w:tcPr>
          <w:p w14:paraId="366CF54C"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205</w:t>
            </w:r>
          </w:p>
        </w:tc>
        <w:tc>
          <w:tcPr>
            <w:tcW w:w="959" w:type="dxa"/>
            <w:tcBorders>
              <w:top w:val="nil"/>
              <w:left w:val="nil"/>
              <w:bottom w:val="single" w:sz="4" w:space="0" w:color="000000"/>
              <w:right w:val="single" w:sz="4" w:space="0" w:color="000000"/>
            </w:tcBorders>
            <w:shd w:val="clear" w:color="auto" w:fill="FFFFFF"/>
            <w:vAlign w:val="center"/>
            <w:hideMark/>
          </w:tcPr>
          <w:p w14:paraId="0D0B27E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113</w:t>
            </w:r>
          </w:p>
        </w:tc>
        <w:tc>
          <w:tcPr>
            <w:tcW w:w="1143" w:type="dxa"/>
            <w:tcBorders>
              <w:top w:val="nil"/>
              <w:left w:val="nil"/>
              <w:bottom w:val="single" w:sz="4" w:space="0" w:color="000000"/>
              <w:right w:val="single" w:sz="4" w:space="0" w:color="000000"/>
            </w:tcBorders>
            <w:shd w:val="clear" w:color="auto" w:fill="FFFFFF"/>
            <w:vAlign w:val="center"/>
            <w:hideMark/>
          </w:tcPr>
          <w:p w14:paraId="00065A61"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113</w:t>
            </w:r>
          </w:p>
        </w:tc>
        <w:tc>
          <w:tcPr>
            <w:tcW w:w="959" w:type="dxa"/>
            <w:tcBorders>
              <w:top w:val="nil"/>
              <w:left w:val="nil"/>
              <w:bottom w:val="single" w:sz="4" w:space="0" w:color="000000"/>
              <w:right w:val="single" w:sz="4" w:space="0" w:color="000000"/>
            </w:tcBorders>
            <w:shd w:val="clear" w:color="auto" w:fill="FFFFFF"/>
            <w:vAlign w:val="center"/>
            <w:hideMark/>
          </w:tcPr>
          <w:p w14:paraId="0EC5FB15"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206</w:t>
            </w:r>
          </w:p>
        </w:tc>
        <w:tc>
          <w:tcPr>
            <w:tcW w:w="960" w:type="dxa"/>
            <w:tcBorders>
              <w:top w:val="nil"/>
              <w:left w:val="nil"/>
              <w:bottom w:val="single" w:sz="4" w:space="0" w:color="000000"/>
              <w:right w:val="single" w:sz="4" w:space="0" w:color="000000"/>
            </w:tcBorders>
            <w:shd w:val="clear" w:color="auto" w:fill="FFFFFF"/>
            <w:vAlign w:val="center"/>
            <w:hideMark/>
          </w:tcPr>
          <w:p w14:paraId="5C3DFED0"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116</w:t>
            </w:r>
          </w:p>
        </w:tc>
        <w:tc>
          <w:tcPr>
            <w:tcW w:w="1142" w:type="dxa"/>
            <w:tcBorders>
              <w:top w:val="nil"/>
              <w:left w:val="nil"/>
              <w:bottom w:val="single" w:sz="4" w:space="0" w:color="000000"/>
              <w:right w:val="single" w:sz="4" w:space="0" w:color="000000"/>
            </w:tcBorders>
            <w:shd w:val="clear" w:color="auto" w:fill="FFFFFF"/>
            <w:vAlign w:val="center"/>
            <w:hideMark/>
          </w:tcPr>
          <w:p w14:paraId="5165632C"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116</w:t>
            </w:r>
          </w:p>
        </w:tc>
        <w:tc>
          <w:tcPr>
            <w:tcW w:w="960" w:type="dxa"/>
            <w:tcBorders>
              <w:top w:val="nil"/>
              <w:left w:val="nil"/>
              <w:bottom w:val="single" w:sz="4" w:space="0" w:color="000000"/>
              <w:right w:val="single" w:sz="4" w:space="0" w:color="000000"/>
            </w:tcBorders>
            <w:shd w:val="clear" w:color="auto" w:fill="FFFFFF"/>
            <w:vAlign w:val="center"/>
            <w:hideMark/>
          </w:tcPr>
          <w:p w14:paraId="399A6F0B"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206</w:t>
            </w:r>
          </w:p>
        </w:tc>
        <w:tc>
          <w:tcPr>
            <w:tcW w:w="948" w:type="dxa"/>
            <w:tcBorders>
              <w:top w:val="nil"/>
              <w:left w:val="nil"/>
              <w:bottom w:val="single" w:sz="4" w:space="0" w:color="000000"/>
              <w:right w:val="single" w:sz="4" w:space="0" w:color="000000"/>
            </w:tcBorders>
            <w:shd w:val="clear" w:color="auto" w:fill="FFFFFF"/>
            <w:vAlign w:val="center"/>
            <w:hideMark/>
          </w:tcPr>
          <w:p w14:paraId="74A2CD9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116</w:t>
            </w:r>
          </w:p>
        </w:tc>
        <w:tc>
          <w:tcPr>
            <w:tcW w:w="1142" w:type="dxa"/>
            <w:tcBorders>
              <w:top w:val="nil"/>
              <w:left w:val="nil"/>
              <w:bottom w:val="single" w:sz="4" w:space="0" w:color="000000"/>
              <w:right w:val="single" w:sz="8" w:space="0" w:color="000000"/>
            </w:tcBorders>
            <w:shd w:val="clear" w:color="auto" w:fill="FFFFFF"/>
            <w:vAlign w:val="center"/>
            <w:hideMark/>
          </w:tcPr>
          <w:p w14:paraId="24B5F678"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116</w:t>
            </w:r>
          </w:p>
        </w:tc>
      </w:tr>
      <w:tr w:rsidR="00587CF0" w:rsidRPr="006645DC" w14:paraId="1FA617E6" w14:textId="77777777" w:rsidTr="00EC1CAA">
        <w:trPr>
          <w:trHeight w:val="345"/>
          <w:jc w:val="center"/>
        </w:trPr>
        <w:tc>
          <w:tcPr>
            <w:tcW w:w="1118" w:type="dxa"/>
            <w:tcBorders>
              <w:top w:val="nil"/>
              <w:left w:val="single" w:sz="8" w:space="0" w:color="000000"/>
              <w:bottom w:val="single" w:sz="4" w:space="0" w:color="000000"/>
              <w:right w:val="single" w:sz="4" w:space="0" w:color="000000"/>
            </w:tcBorders>
            <w:shd w:val="clear" w:color="auto" w:fill="FFFFFF"/>
            <w:vAlign w:val="center"/>
            <w:hideMark/>
          </w:tcPr>
          <w:p w14:paraId="39969B96" w14:textId="77777777" w:rsidR="00587CF0" w:rsidRPr="006645DC" w:rsidRDefault="00587CF0">
            <w:pPr>
              <w:spacing w:before="0" w:after="0"/>
              <w:jc w:val="left"/>
              <w:rPr>
                <w:rFonts w:eastAsia="Arial" w:cs="Calibri"/>
                <w:kern w:val="2"/>
                <w:lang w:val="en-GB"/>
              </w:rPr>
            </w:pPr>
            <w:r w:rsidRPr="006645DC">
              <w:rPr>
                <w:lang w:val="en-GB"/>
              </w:rPr>
              <w:t>Veliko</w:t>
            </w:r>
          </w:p>
          <w:p w14:paraId="61DBA5BA" w14:textId="77777777" w:rsidR="00587CF0" w:rsidRPr="006645DC" w:rsidRDefault="00587CF0">
            <w:pPr>
              <w:suppressAutoHyphens/>
              <w:spacing w:before="0" w:after="0" w:line="100" w:lineRule="atLeast"/>
              <w:jc w:val="left"/>
              <w:rPr>
                <w:rFonts w:eastAsia="Arial" w:cs="Calibri"/>
                <w:kern w:val="2"/>
                <w:lang w:val="en-GB"/>
              </w:rPr>
            </w:pPr>
            <w:r w:rsidRPr="006645DC">
              <w:rPr>
                <w:lang w:val="en-GB"/>
              </w:rPr>
              <w:t>Tarnovo</w:t>
            </w:r>
          </w:p>
        </w:tc>
        <w:tc>
          <w:tcPr>
            <w:tcW w:w="1043" w:type="dxa"/>
            <w:tcBorders>
              <w:top w:val="nil"/>
              <w:left w:val="nil"/>
              <w:bottom w:val="single" w:sz="4" w:space="0" w:color="000000"/>
              <w:right w:val="single" w:sz="4" w:space="0" w:color="000000"/>
            </w:tcBorders>
            <w:shd w:val="clear" w:color="auto" w:fill="FFFFFF"/>
            <w:vAlign w:val="center"/>
            <w:hideMark/>
          </w:tcPr>
          <w:p w14:paraId="4271C16A"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236</w:t>
            </w:r>
          </w:p>
        </w:tc>
        <w:tc>
          <w:tcPr>
            <w:tcW w:w="959" w:type="dxa"/>
            <w:tcBorders>
              <w:top w:val="nil"/>
              <w:left w:val="nil"/>
              <w:bottom w:val="single" w:sz="4" w:space="0" w:color="000000"/>
              <w:right w:val="single" w:sz="4" w:space="0" w:color="000000"/>
            </w:tcBorders>
            <w:shd w:val="clear" w:color="auto" w:fill="FFFFFF"/>
            <w:vAlign w:val="center"/>
            <w:hideMark/>
          </w:tcPr>
          <w:p w14:paraId="2115C81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82</w:t>
            </w:r>
          </w:p>
        </w:tc>
        <w:tc>
          <w:tcPr>
            <w:tcW w:w="1143" w:type="dxa"/>
            <w:tcBorders>
              <w:top w:val="nil"/>
              <w:left w:val="nil"/>
              <w:bottom w:val="single" w:sz="4" w:space="0" w:color="000000"/>
              <w:right w:val="single" w:sz="4" w:space="0" w:color="000000"/>
            </w:tcBorders>
            <w:shd w:val="clear" w:color="auto" w:fill="FFFFFF"/>
            <w:vAlign w:val="center"/>
            <w:hideMark/>
          </w:tcPr>
          <w:p w14:paraId="5BAADABF"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159</w:t>
            </w:r>
          </w:p>
        </w:tc>
        <w:tc>
          <w:tcPr>
            <w:tcW w:w="959" w:type="dxa"/>
            <w:tcBorders>
              <w:top w:val="nil"/>
              <w:left w:val="nil"/>
              <w:bottom w:val="single" w:sz="4" w:space="0" w:color="000000"/>
              <w:right w:val="single" w:sz="4" w:space="0" w:color="000000"/>
            </w:tcBorders>
            <w:shd w:val="clear" w:color="auto" w:fill="FFFFFF"/>
            <w:vAlign w:val="center"/>
            <w:hideMark/>
          </w:tcPr>
          <w:p w14:paraId="4496C5E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236</w:t>
            </w:r>
          </w:p>
        </w:tc>
        <w:tc>
          <w:tcPr>
            <w:tcW w:w="960" w:type="dxa"/>
            <w:tcBorders>
              <w:top w:val="nil"/>
              <w:left w:val="nil"/>
              <w:bottom w:val="single" w:sz="4" w:space="0" w:color="000000"/>
              <w:right w:val="single" w:sz="4" w:space="0" w:color="000000"/>
            </w:tcBorders>
            <w:shd w:val="clear" w:color="auto" w:fill="FFFFFF"/>
            <w:vAlign w:val="center"/>
            <w:hideMark/>
          </w:tcPr>
          <w:p w14:paraId="6732F3B3"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82</w:t>
            </w:r>
          </w:p>
        </w:tc>
        <w:tc>
          <w:tcPr>
            <w:tcW w:w="1142" w:type="dxa"/>
            <w:tcBorders>
              <w:top w:val="nil"/>
              <w:left w:val="nil"/>
              <w:bottom w:val="single" w:sz="4" w:space="0" w:color="000000"/>
              <w:right w:val="single" w:sz="4" w:space="0" w:color="000000"/>
            </w:tcBorders>
            <w:shd w:val="clear" w:color="auto" w:fill="FFFFFF"/>
            <w:vAlign w:val="center"/>
            <w:hideMark/>
          </w:tcPr>
          <w:p w14:paraId="28BC107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159</w:t>
            </w:r>
          </w:p>
        </w:tc>
        <w:tc>
          <w:tcPr>
            <w:tcW w:w="960" w:type="dxa"/>
            <w:tcBorders>
              <w:top w:val="nil"/>
              <w:left w:val="nil"/>
              <w:bottom w:val="single" w:sz="4" w:space="0" w:color="000000"/>
              <w:right w:val="single" w:sz="4" w:space="0" w:color="000000"/>
            </w:tcBorders>
            <w:shd w:val="clear" w:color="auto" w:fill="FFFFFF"/>
            <w:vAlign w:val="center"/>
            <w:hideMark/>
          </w:tcPr>
          <w:p w14:paraId="51D16BEB"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236</w:t>
            </w:r>
          </w:p>
        </w:tc>
        <w:tc>
          <w:tcPr>
            <w:tcW w:w="948" w:type="dxa"/>
            <w:tcBorders>
              <w:top w:val="nil"/>
              <w:left w:val="nil"/>
              <w:bottom w:val="single" w:sz="4" w:space="0" w:color="000000"/>
              <w:right w:val="single" w:sz="4" w:space="0" w:color="000000"/>
            </w:tcBorders>
            <w:shd w:val="clear" w:color="auto" w:fill="FFFFFF"/>
            <w:vAlign w:val="center"/>
            <w:hideMark/>
          </w:tcPr>
          <w:p w14:paraId="6A25EE69"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82</w:t>
            </w:r>
          </w:p>
        </w:tc>
        <w:tc>
          <w:tcPr>
            <w:tcW w:w="1142" w:type="dxa"/>
            <w:tcBorders>
              <w:top w:val="nil"/>
              <w:left w:val="nil"/>
              <w:bottom w:val="single" w:sz="4" w:space="0" w:color="000000"/>
              <w:right w:val="single" w:sz="8" w:space="0" w:color="000000"/>
            </w:tcBorders>
            <w:shd w:val="clear" w:color="auto" w:fill="FFFFFF"/>
            <w:vAlign w:val="center"/>
            <w:hideMark/>
          </w:tcPr>
          <w:p w14:paraId="4C381C64"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159</w:t>
            </w:r>
          </w:p>
        </w:tc>
      </w:tr>
      <w:tr w:rsidR="00587CF0" w:rsidRPr="006645DC" w14:paraId="655729E2" w14:textId="77777777" w:rsidTr="00EC1CAA">
        <w:trPr>
          <w:trHeight w:val="345"/>
          <w:jc w:val="center"/>
        </w:trPr>
        <w:tc>
          <w:tcPr>
            <w:tcW w:w="1118" w:type="dxa"/>
            <w:tcBorders>
              <w:top w:val="nil"/>
              <w:left w:val="single" w:sz="8" w:space="0" w:color="000000"/>
              <w:bottom w:val="single" w:sz="4" w:space="0" w:color="000000"/>
              <w:right w:val="single" w:sz="4" w:space="0" w:color="000000"/>
            </w:tcBorders>
            <w:shd w:val="clear" w:color="auto" w:fill="FFFFFF"/>
            <w:vAlign w:val="center"/>
            <w:hideMark/>
          </w:tcPr>
          <w:p w14:paraId="41EF97CA" w14:textId="77777777" w:rsidR="00587CF0" w:rsidRPr="006645DC" w:rsidRDefault="00587CF0">
            <w:pPr>
              <w:suppressAutoHyphens/>
              <w:spacing w:before="0" w:after="0" w:line="100" w:lineRule="atLeast"/>
              <w:jc w:val="left"/>
              <w:rPr>
                <w:rFonts w:eastAsia="Arial" w:cs="Calibri"/>
                <w:kern w:val="2"/>
                <w:lang w:val="en-GB"/>
              </w:rPr>
            </w:pPr>
            <w:r w:rsidRPr="006645DC">
              <w:rPr>
                <w:lang w:val="en-GB"/>
              </w:rPr>
              <w:t>Ruse</w:t>
            </w:r>
          </w:p>
        </w:tc>
        <w:tc>
          <w:tcPr>
            <w:tcW w:w="1043" w:type="dxa"/>
            <w:tcBorders>
              <w:top w:val="nil"/>
              <w:left w:val="nil"/>
              <w:bottom w:val="single" w:sz="4" w:space="0" w:color="000000"/>
              <w:right w:val="single" w:sz="4" w:space="0" w:color="000000"/>
            </w:tcBorders>
            <w:shd w:val="clear" w:color="auto" w:fill="FFFFFF"/>
            <w:vAlign w:val="center"/>
            <w:hideMark/>
          </w:tcPr>
          <w:p w14:paraId="1F9EF3E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159</w:t>
            </w:r>
          </w:p>
        </w:tc>
        <w:tc>
          <w:tcPr>
            <w:tcW w:w="959" w:type="dxa"/>
            <w:tcBorders>
              <w:top w:val="nil"/>
              <w:left w:val="nil"/>
              <w:bottom w:val="single" w:sz="4" w:space="0" w:color="000000"/>
              <w:right w:val="single" w:sz="4" w:space="0" w:color="000000"/>
            </w:tcBorders>
            <w:shd w:val="clear" w:color="auto" w:fill="FFFFFF"/>
            <w:vAlign w:val="center"/>
            <w:hideMark/>
          </w:tcPr>
          <w:p w14:paraId="3000B93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3" w:type="dxa"/>
            <w:tcBorders>
              <w:top w:val="nil"/>
              <w:left w:val="nil"/>
              <w:bottom w:val="single" w:sz="4" w:space="0" w:color="000000"/>
              <w:right w:val="single" w:sz="4" w:space="0" w:color="000000"/>
            </w:tcBorders>
            <w:shd w:val="clear" w:color="auto" w:fill="FFFFFF"/>
            <w:vAlign w:val="center"/>
            <w:hideMark/>
          </w:tcPr>
          <w:p w14:paraId="26CF59D0"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155</w:t>
            </w:r>
          </w:p>
        </w:tc>
        <w:tc>
          <w:tcPr>
            <w:tcW w:w="959" w:type="dxa"/>
            <w:tcBorders>
              <w:top w:val="nil"/>
              <w:left w:val="nil"/>
              <w:bottom w:val="single" w:sz="4" w:space="0" w:color="000000"/>
              <w:right w:val="single" w:sz="4" w:space="0" w:color="000000"/>
            </w:tcBorders>
            <w:shd w:val="clear" w:color="auto" w:fill="FFFFFF"/>
            <w:vAlign w:val="center"/>
            <w:hideMark/>
          </w:tcPr>
          <w:p w14:paraId="7BB555AD"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155</w:t>
            </w:r>
          </w:p>
        </w:tc>
        <w:tc>
          <w:tcPr>
            <w:tcW w:w="960" w:type="dxa"/>
            <w:tcBorders>
              <w:top w:val="nil"/>
              <w:left w:val="nil"/>
              <w:bottom w:val="single" w:sz="4" w:space="0" w:color="000000"/>
              <w:right w:val="single" w:sz="4" w:space="0" w:color="000000"/>
            </w:tcBorders>
            <w:shd w:val="clear" w:color="auto" w:fill="FFFFFF"/>
            <w:vAlign w:val="center"/>
            <w:hideMark/>
          </w:tcPr>
          <w:p w14:paraId="76A4DB3C"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2" w:type="dxa"/>
            <w:tcBorders>
              <w:top w:val="nil"/>
              <w:left w:val="nil"/>
              <w:bottom w:val="single" w:sz="4" w:space="0" w:color="000000"/>
              <w:right w:val="single" w:sz="4" w:space="0" w:color="000000"/>
            </w:tcBorders>
            <w:shd w:val="clear" w:color="auto" w:fill="FFFFFF"/>
            <w:vAlign w:val="center"/>
            <w:hideMark/>
          </w:tcPr>
          <w:p w14:paraId="2D7B83B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155</w:t>
            </w:r>
          </w:p>
        </w:tc>
        <w:tc>
          <w:tcPr>
            <w:tcW w:w="960" w:type="dxa"/>
            <w:tcBorders>
              <w:top w:val="nil"/>
              <w:left w:val="nil"/>
              <w:bottom w:val="single" w:sz="4" w:space="0" w:color="000000"/>
              <w:right w:val="single" w:sz="4" w:space="0" w:color="000000"/>
            </w:tcBorders>
            <w:shd w:val="clear" w:color="auto" w:fill="FFFFFF"/>
            <w:vAlign w:val="center"/>
            <w:hideMark/>
          </w:tcPr>
          <w:p w14:paraId="76789AC8"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155</w:t>
            </w:r>
          </w:p>
        </w:tc>
        <w:tc>
          <w:tcPr>
            <w:tcW w:w="948" w:type="dxa"/>
            <w:tcBorders>
              <w:top w:val="nil"/>
              <w:left w:val="nil"/>
              <w:bottom w:val="single" w:sz="4" w:space="0" w:color="000000"/>
              <w:right w:val="single" w:sz="4" w:space="0" w:color="000000"/>
            </w:tcBorders>
            <w:shd w:val="clear" w:color="auto" w:fill="FFFFFF"/>
            <w:vAlign w:val="center"/>
            <w:hideMark/>
          </w:tcPr>
          <w:p w14:paraId="0BD6D74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2" w:type="dxa"/>
            <w:tcBorders>
              <w:top w:val="nil"/>
              <w:left w:val="nil"/>
              <w:bottom w:val="single" w:sz="4" w:space="0" w:color="000000"/>
              <w:right w:val="single" w:sz="8" w:space="0" w:color="000000"/>
            </w:tcBorders>
            <w:shd w:val="clear" w:color="auto" w:fill="FFFFFF"/>
            <w:vAlign w:val="center"/>
            <w:hideMark/>
          </w:tcPr>
          <w:p w14:paraId="4C0E8D7F"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155</w:t>
            </w:r>
          </w:p>
        </w:tc>
      </w:tr>
      <w:tr w:rsidR="00587CF0" w:rsidRPr="006645DC" w14:paraId="71C8B46E" w14:textId="77777777" w:rsidTr="00EC1CAA">
        <w:trPr>
          <w:trHeight w:val="345"/>
          <w:jc w:val="center"/>
        </w:trPr>
        <w:tc>
          <w:tcPr>
            <w:tcW w:w="1118" w:type="dxa"/>
            <w:tcBorders>
              <w:top w:val="nil"/>
              <w:left w:val="single" w:sz="8" w:space="0" w:color="000000"/>
              <w:bottom w:val="single" w:sz="4" w:space="0" w:color="000000"/>
              <w:right w:val="single" w:sz="4" w:space="0" w:color="000000"/>
            </w:tcBorders>
            <w:shd w:val="clear" w:color="auto" w:fill="FFFFFF"/>
            <w:vAlign w:val="center"/>
            <w:hideMark/>
          </w:tcPr>
          <w:p w14:paraId="5BEEC0C1" w14:textId="77777777" w:rsidR="00587CF0" w:rsidRPr="006645DC" w:rsidRDefault="00587CF0">
            <w:pPr>
              <w:suppressAutoHyphens/>
              <w:spacing w:before="0" w:after="0" w:line="100" w:lineRule="atLeast"/>
              <w:jc w:val="left"/>
              <w:rPr>
                <w:rFonts w:eastAsia="Arial" w:cs="Calibri"/>
                <w:kern w:val="2"/>
                <w:lang w:val="en-GB"/>
              </w:rPr>
            </w:pPr>
            <w:r w:rsidRPr="006645DC">
              <w:rPr>
                <w:lang w:val="en-GB"/>
              </w:rPr>
              <w:t>Silistra</w:t>
            </w:r>
          </w:p>
        </w:tc>
        <w:tc>
          <w:tcPr>
            <w:tcW w:w="1043" w:type="dxa"/>
            <w:tcBorders>
              <w:top w:val="nil"/>
              <w:left w:val="nil"/>
              <w:bottom w:val="single" w:sz="4" w:space="0" w:color="000000"/>
              <w:right w:val="single" w:sz="4" w:space="0" w:color="000000"/>
            </w:tcBorders>
            <w:shd w:val="clear" w:color="auto" w:fill="FFFFFF"/>
            <w:vAlign w:val="center"/>
            <w:hideMark/>
          </w:tcPr>
          <w:p w14:paraId="71659D67"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70</w:t>
            </w:r>
          </w:p>
        </w:tc>
        <w:tc>
          <w:tcPr>
            <w:tcW w:w="959" w:type="dxa"/>
            <w:tcBorders>
              <w:top w:val="nil"/>
              <w:left w:val="nil"/>
              <w:bottom w:val="single" w:sz="4" w:space="0" w:color="000000"/>
              <w:right w:val="single" w:sz="4" w:space="0" w:color="000000"/>
            </w:tcBorders>
            <w:shd w:val="clear" w:color="auto" w:fill="FFFFFF"/>
            <w:vAlign w:val="center"/>
            <w:hideMark/>
          </w:tcPr>
          <w:p w14:paraId="62546AD5"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3" w:type="dxa"/>
            <w:tcBorders>
              <w:top w:val="nil"/>
              <w:left w:val="nil"/>
              <w:bottom w:val="single" w:sz="4" w:space="0" w:color="000000"/>
              <w:right w:val="single" w:sz="4" w:space="0" w:color="000000"/>
            </w:tcBorders>
            <w:shd w:val="clear" w:color="auto" w:fill="FFFFFF"/>
            <w:vAlign w:val="center"/>
            <w:hideMark/>
          </w:tcPr>
          <w:p w14:paraId="5B93554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959" w:type="dxa"/>
            <w:tcBorders>
              <w:top w:val="nil"/>
              <w:left w:val="nil"/>
              <w:bottom w:val="single" w:sz="4" w:space="0" w:color="000000"/>
              <w:right w:val="single" w:sz="4" w:space="0" w:color="000000"/>
            </w:tcBorders>
            <w:shd w:val="clear" w:color="auto" w:fill="FFFFFF"/>
            <w:vAlign w:val="center"/>
            <w:hideMark/>
          </w:tcPr>
          <w:p w14:paraId="3E3C68B4"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70</w:t>
            </w:r>
          </w:p>
        </w:tc>
        <w:tc>
          <w:tcPr>
            <w:tcW w:w="960" w:type="dxa"/>
            <w:tcBorders>
              <w:top w:val="nil"/>
              <w:left w:val="nil"/>
              <w:bottom w:val="single" w:sz="4" w:space="0" w:color="000000"/>
              <w:right w:val="single" w:sz="4" w:space="0" w:color="000000"/>
            </w:tcBorders>
            <w:shd w:val="clear" w:color="auto" w:fill="FFFFFF"/>
            <w:vAlign w:val="center"/>
            <w:hideMark/>
          </w:tcPr>
          <w:p w14:paraId="2E89934A"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2" w:type="dxa"/>
            <w:tcBorders>
              <w:top w:val="nil"/>
              <w:left w:val="nil"/>
              <w:bottom w:val="single" w:sz="4" w:space="0" w:color="000000"/>
              <w:right w:val="single" w:sz="4" w:space="0" w:color="000000"/>
            </w:tcBorders>
            <w:shd w:val="clear" w:color="auto" w:fill="FFFFFF"/>
            <w:vAlign w:val="center"/>
            <w:hideMark/>
          </w:tcPr>
          <w:p w14:paraId="6EE445D0"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960" w:type="dxa"/>
            <w:tcBorders>
              <w:top w:val="nil"/>
              <w:left w:val="nil"/>
              <w:bottom w:val="single" w:sz="4" w:space="0" w:color="000000"/>
              <w:right w:val="single" w:sz="4" w:space="0" w:color="000000"/>
            </w:tcBorders>
            <w:shd w:val="clear" w:color="auto" w:fill="FFFFFF"/>
            <w:vAlign w:val="center"/>
            <w:hideMark/>
          </w:tcPr>
          <w:p w14:paraId="465724CA"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70</w:t>
            </w:r>
          </w:p>
        </w:tc>
        <w:tc>
          <w:tcPr>
            <w:tcW w:w="948" w:type="dxa"/>
            <w:tcBorders>
              <w:top w:val="nil"/>
              <w:left w:val="nil"/>
              <w:bottom w:val="single" w:sz="4" w:space="0" w:color="000000"/>
              <w:right w:val="single" w:sz="4" w:space="0" w:color="000000"/>
            </w:tcBorders>
            <w:shd w:val="clear" w:color="auto" w:fill="FFFFFF"/>
            <w:vAlign w:val="center"/>
            <w:hideMark/>
          </w:tcPr>
          <w:p w14:paraId="182B2656"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2" w:type="dxa"/>
            <w:tcBorders>
              <w:top w:val="nil"/>
              <w:left w:val="nil"/>
              <w:bottom w:val="single" w:sz="4" w:space="0" w:color="000000"/>
              <w:right w:val="single" w:sz="8" w:space="0" w:color="000000"/>
            </w:tcBorders>
            <w:shd w:val="clear" w:color="auto" w:fill="FFFFFF"/>
            <w:vAlign w:val="center"/>
            <w:hideMark/>
          </w:tcPr>
          <w:p w14:paraId="4A6A799F"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r>
      <w:tr w:rsidR="00587CF0" w:rsidRPr="006645DC" w14:paraId="166062B1" w14:textId="77777777" w:rsidTr="00EC1CAA">
        <w:trPr>
          <w:trHeight w:val="345"/>
          <w:jc w:val="center"/>
        </w:trPr>
        <w:tc>
          <w:tcPr>
            <w:tcW w:w="1118" w:type="dxa"/>
            <w:tcBorders>
              <w:top w:val="nil"/>
              <w:left w:val="single" w:sz="8" w:space="0" w:color="000000"/>
              <w:bottom w:val="single" w:sz="8" w:space="0" w:color="000000"/>
              <w:right w:val="single" w:sz="4" w:space="0" w:color="000000"/>
            </w:tcBorders>
            <w:shd w:val="clear" w:color="auto" w:fill="FFFFFF"/>
            <w:vAlign w:val="center"/>
            <w:hideMark/>
          </w:tcPr>
          <w:p w14:paraId="3BBEE0D7" w14:textId="77777777" w:rsidR="00587CF0" w:rsidRPr="006645DC" w:rsidRDefault="00587CF0">
            <w:pPr>
              <w:suppressAutoHyphens/>
              <w:spacing w:before="0" w:after="0" w:line="100" w:lineRule="atLeast"/>
              <w:jc w:val="left"/>
              <w:rPr>
                <w:rFonts w:eastAsia="Arial" w:cs="Calibri"/>
                <w:kern w:val="2"/>
                <w:lang w:val="en-GB"/>
              </w:rPr>
            </w:pPr>
            <w:r w:rsidRPr="006645DC">
              <w:rPr>
                <w:lang w:val="en-GB"/>
              </w:rPr>
              <w:t>Dobrich</w:t>
            </w:r>
          </w:p>
        </w:tc>
        <w:tc>
          <w:tcPr>
            <w:tcW w:w="1043" w:type="dxa"/>
            <w:tcBorders>
              <w:top w:val="nil"/>
              <w:left w:val="nil"/>
              <w:bottom w:val="single" w:sz="8" w:space="0" w:color="000000"/>
              <w:right w:val="single" w:sz="4" w:space="0" w:color="000000"/>
            </w:tcBorders>
            <w:shd w:val="clear" w:color="auto" w:fill="FFFFFF"/>
            <w:vAlign w:val="center"/>
            <w:hideMark/>
          </w:tcPr>
          <w:p w14:paraId="24C45BC5"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60</w:t>
            </w:r>
          </w:p>
        </w:tc>
        <w:tc>
          <w:tcPr>
            <w:tcW w:w="959" w:type="dxa"/>
            <w:tcBorders>
              <w:top w:val="nil"/>
              <w:left w:val="nil"/>
              <w:bottom w:val="single" w:sz="8" w:space="0" w:color="000000"/>
              <w:right w:val="single" w:sz="4" w:space="0" w:color="000000"/>
            </w:tcBorders>
            <w:shd w:val="clear" w:color="auto" w:fill="FFFFFF"/>
            <w:vAlign w:val="center"/>
            <w:hideMark/>
          </w:tcPr>
          <w:p w14:paraId="1C0148D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3" w:type="dxa"/>
            <w:tcBorders>
              <w:top w:val="nil"/>
              <w:left w:val="nil"/>
              <w:bottom w:val="single" w:sz="8" w:space="0" w:color="000000"/>
              <w:right w:val="single" w:sz="4" w:space="0" w:color="000000"/>
            </w:tcBorders>
            <w:shd w:val="clear" w:color="auto" w:fill="FFFFFF"/>
            <w:vAlign w:val="center"/>
            <w:hideMark/>
          </w:tcPr>
          <w:p w14:paraId="78553E3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959" w:type="dxa"/>
            <w:tcBorders>
              <w:top w:val="nil"/>
              <w:left w:val="nil"/>
              <w:bottom w:val="single" w:sz="8" w:space="0" w:color="000000"/>
              <w:right w:val="single" w:sz="4" w:space="0" w:color="000000"/>
            </w:tcBorders>
            <w:shd w:val="clear" w:color="auto" w:fill="FFFFFF"/>
            <w:vAlign w:val="center"/>
            <w:hideMark/>
          </w:tcPr>
          <w:p w14:paraId="7941C94E"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60</w:t>
            </w:r>
          </w:p>
        </w:tc>
        <w:tc>
          <w:tcPr>
            <w:tcW w:w="960" w:type="dxa"/>
            <w:tcBorders>
              <w:top w:val="nil"/>
              <w:left w:val="nil"/>
              <w:bottom w:val="single" w:sz="8" w:space="0" w:color="000000"/>
              <w:right w:val="single" w:sz="4" w:space="0" w:color="000000"/>
            </w:tcBorders>
            <w:shd w:val="clear" w:color="auto" w:fill="FFFFFF"/>
            <w:vAlign w:val="center"/>
            <w:hideMark/>
          </w:tcPr>
          <w:p w14:paraId="6BD4AE0B"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2" w:type="dxa"/>
            <w:tcBorders>
              <w:top w:val="nil"/>
              <w:left w:val="nil"/>
              <w:bottom w:val="single" w:sz="8" w:space="0" w:color="000000"/>
              <w:right w:val="single" w:sz="4" w:space="0" w:color="000000"/>
            </w:tcBorders>
            <w:shd w:val="clear" w:color="auto" w:fill="FFFFFF"/>
            <w:vAlign w:val="center"/>
            <w:hideMark/>
          </w:tcPr>
          <w:p w14:paraId="5925CDD0"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960" w:type="dxa"/>
            <w:tcBorders>
              <w:top w:val="nil"/>
              <w:left w:val="nil"/>
              <w:bottom w:val="single" w:sz="8" w:space="0" w:color="000000"/>
              <w:right w:val="single" w:sz="4" w:space="0" w:color="000000"/>
            </w:tcBorders>
            <w:shd w:val="clear" w:color="auto" w:fill="FFFFFF"/>
            <w:vAlign w:val="center"/>
            <w:hideMark/>
          </w:tcPr>
          <w:p w14:paraId="1A557B1B"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60</w:t>
            </w:r>
          </w:p>
        </w:tc>
        <w:tc>
          <w:tcPr>
            <w:tcW w:w="948" w:type="dxa"/>
            <w:tcBorders>
              <w:top w:val="nil"/>
              <w:left w:val="nil"/>
              <w:bottom w:val="single" w:sz="8" w:space="0" w:color="000000"/>
              <w:right w:val="single" w:sz="4" w:space="0" w:color="000000"/>
            </w:tcBorders>
            <w:shd w:val="clear" w:color="auto" w:fill="FFFFFF"/>
            <w:vAlign w:val="center"/>
            <w:hideMark/>
          </w:tcPr>
          <w:p w14:paraId="5C608CC7"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c>
          <w:tcPr>
            <w:tcW w:w="1142" w:type="dxa"/>
            <w:tcBorders>
              <w:top w:val="nil"/>
              <w:left w:val="nil"/>
              <w:bottom w:val="single" w:sz="8" w:space="0" w:color="000000"/>
              <w:right w:val="single" w:sz="8" w:space="0" w:color="000000"/>
            </w:tcBorders>
            <w:shd w:val="clear" w:color="auto" w:fill="FFFFFF"/>
            <w:vAlign w:val="center"/>
            <w:hideMark/>
          </w:tcPr>
          <w:p w14:paraId="7F05A38D"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lang w:val="en-GB"/>
              </w:rPr>
              <w:t>-</w:t>
            </w:r>
          </w:p>
        </w:tc>
      </w:tr>
    </w:tbl>
    <w:p w14:paraId="0AB6ED8E" w14:textId="77777777" w:rsidR="00587CF0" w:rsidRPr="006645DC" w:rsidRDefault="00587CF0" w:rsidP="00587CF0">
      <w:pPr>
        <w:pStyle w:val="Lgende1"/>
        <w:rPr>
          <w:kern w:val="2"/>
          <w:lang w:val="en-GB"/>
        </w:rPr>
      </w:pPr>
      <w:bookmarkStart w:id="147" w:name="_Toc391150107"/>
      <w:r w:rsidRPr="006645DC">
        <w:rPr>
          <w:lang w:val="en-GB"/>
        </w:rPr>
        <w:t xml:space="preserve">Table </w:t>
      </w:r>
      <w:r w:rsidR="005979EB" w:rsidRPr="006645DC">
        <w:rPr>
          <w:lang w:val="en-GB"/>
        </w:rPr>
        <w:fldChar w:fldCharType="begin"/>
      </w:r>
      <w:r w:rsidRPr="006645DC">
        <w:rPr>
          <w:lang w:val="en-GB"/>
        </w:rPr>
        <w:instrText xml:space="preserve"> SEQ "Table" \*Arabic </w:instrText>
      </w:r>
      <w:r w:rsidR="005979EB" w:rsidRPr="006645DC">
        <w:rPr>
          <w:lang w:val="en-GB"/>
        </w:rPr>
        <w:fldChar w:fldCharType="separate"/>
      </w:r>
      <w:r w:rsidR="00523DE6">
        <w:rPr>
          <w:noProof/>
          <w:lang w:val="en-GB"/>
        </w:rPr>
        <w:t>10</w:t>
      </w:r>
      <w:r w:rsidR="005979EB" w:rsidRPr="006645DC">
        <w:rPr>
          <w:lang w:val="en-GB"/>
        </w:rPr>
        <w:fldChar w:fldCharType="end"/>
      </w:r>
      <w:r w:rsidRPr="006645DC">
        <w:rPr>
          <w:lang w:val="en-GB"/>
        </w:rPr>
        <w:t xml:space="preserve"> - Length of railway network in the Bulgarian cross-border region by district</w:t>
      </w:r>
      <w:bookmarkEnd w:id="147"/>
    </w:p>
    <w:p w14:paraId="26C41E7B" w14:textId="77777777" w:rsidR="00587CF0" w:rsidRPr="006645DC" w:rsidRDefault="00587CF0" w:rsidP="00587CF0">
      <w:pPr>
        <w:pStyle w:val="Heading4"/>
        <w:rPr>
          <w:b/>
          <w:u w:val="single"/>
          <w:lang w:val="en-GB"/>
        </w:rPr>
      </w:pPr>
      <w:r w:rsidRPr="006645DC">
        <w:rPr>
          <w:lang w:val="en-GB"/>
        </w:rPr>
        <w:t>Source: NSI Bulgaria</w:t>
      </w:r>
    </w:p>
    <w:p w14:paraId="4CD20982" w14:textId="77777777" w:rsidR="00587CF0" w:rsidRPr="006645DC" w:rsidRDefault="00587CF0" w:rsidP="00587CF0">
      <w:pPr>
        <w:pStyle w:val="BodyText"/>
        <w:rPr>
          <w:rFonts w:ascii="Calibri" w:hAnsi="Calibri"/>
          <w:b/>
          <w:u w:val="single"/>
          <w:lang w:val="en-GB"/>
        </w:rPr>
      </w:pPr>
    </w:p>
    <w:p w14:paraId="30C39C3D" w14:textId="77777777" w:rsidR="00587CF0" w:rsidRPr="006645DC" w:rsidRDefault="00587CF0" w:rsidP="00587CF0">
      <w:pPr>
        <w:rPr>
          <w:lang w:val="en-GB"/>
        </w:rPr>
      </w:pPr>
      <w:r w:rsidRPr="006645DC">
        <w:rPr>
          <w:lang w:val="en-GB"/>
        </w:rPr>
        <w:t>Ten-T Projects involving the cross-border region railway network include:</w:t>
      </w:r>
    </w:p>
    <w:p w14:paraId="5B4DAC19" w14:textId="77777777" w:rsidR="00587CF0" w:rsidRPr="006645DC" w:rsidRDefault="00587CF0" w:rsidP="00C951D5">
      <w:pPr>
        <w:pStyle w:val="BodyText"/>
        <w:numPr>
          <w:ilvl w:val="0"/>
          <w:numId w:val="78"/>
        </w:numPr>
        <w:spacing w:line="100" w:lineRule="atLeast"/>
        <w:rPr>
          <w:rFonts w:ascii="Calibri" w:hAnsi="Calibri"/>
          <w:sz w:val="22"/>
          <w:szCs w:val="22"/>
          <w:lang w:val="en-GB"/>
        </w:rPr>
      </w:pPr>
      <w:r w:rsidRPr="006645DC">
        <w:rPr>
          <w:rFonts w:ascii="Calibri" w:hAnsi="Calibri"/>
          <w:sz w:val="22"/>
          <w:szCs w:val="22"/>
          <w:lang w:val="en-GB"/>
        </w:rPr>
        <w:t>Priority Project 22 (Railway axis Athens-Sofia-Budapest-Wien-Praha-Nurnberg/Dresden) linking the Eastern Member States of the enlarged EU through a major railway axis. Its completion will improve connectivity between all national networks on the basis of common standards. The action concerns the section Athens-Thessaloniki-Promachon-Kulata-Sofia-</w:t>
      </w:r>
      <w:r w:rsidRPr="006645DC">
        <w:rPr>
          <w:rFonts w:ascii="Calibri" w:hAnsi="Calibri"/>
          <w:b/>
          <w:sz w:val="22"/>
          <w:szCs w:val="22"/>
          <w:lang w:val="en-GB"/>
        </w:rPr>
        <w:t>Vidin-Calafat-Craiova</w:t>
      </w:r>
      <w:r w:rsidRPr="006645DC">
        <w:rPr>
          <w:rFonts w:ascii="Calibri" w:hAnsi="Calibri"/>
          <w:sz w:val="22"/>
          <w:szCs w:val="22"/>
          <w:lang w:val="en-GB"/>
        </w:rPr>
        <w:t>-Timisoara-Curtici-Lokoshaza-Budapest-Gyor-Hegyeshalom. Part of the action involves an assessment study for the entire length of the section to establish common standards. This is followed by detailed technical studies in all four participating Member States under the Phase B.</w:t>
      </w:r>
    </w:p>
    <w:p w14:paraId="4DD0100D" w14:textId="44109223" w:rsidR="00587CF0" w:rsidRPr="006645DC" w:rsidRDefault="00587CF0" w:rsidP="00C951D5">
      <w:pPr>
        <w:pStyle w:val="BodyText"/>
        <w:numPr>
          <w:ilvl w:val="0"/>
          <w:numId w:val="78"/>
        </w:numPr>
        <w:spacing w:line="100" w:lineRule="atLeast"/>
        <w:rPr>
          <w:rFonts w:ascii="Calibri" w:hAnsi="Calibri"/>
          <w:sz w:val="22"/>
          <w:szCs w:val="22"/>
          <w:lang w:val="en-GB"/>
        </w:rPr>
      </w:pPr>
      <w:r w:rsidRPr="006645DC">
        <w:rPr>
          <w:rFonts w:ascii="Calibri" w:hAnsi="Calibri"/>
          <w:sz w:val="22"/>
          <w:szCs w:val="22"/>
          <w:lang w:val="en-GB"/>
        </w:rPr>
        <w:t xml:space="preserve">Technical assistance for construction of intermodal terminal in Central-North Planning Development Region in Bulgaria – Ruse, aiming to improve intermodality in the </w:t>
      </w:r>
      <w:r w:rsidR="00C367E2" w:rsidRPr="006645DC">
        <w:rPr>
          <w:rFonts w:ascii="Calibri" w:hAnsi="Calibri"/>
          <w:sz w:val="22"/>
          <w:szCs w:val="22"/>
          <w:lang w:val="en-GB"/>
        </w:rPr>
        <w:t>south-eastern</w:t>
      </w:r>
      <w:r w:rsidRPr="006645DC">
        <w:rPr>
          <w:rFonts w:ascii="Calibri" w:hAnsi="Calibri"/>
          <w:sz w:val="22"/>
          <w:szCs w:val="22"/>
          <w:lang w:val="en-GB"/>
        </w:rPr>
        <w:t xml:space="preserve"> region of the EU. It is planned to create the conditions for the optimal combination and integration of various means of transport and a higher quality of freight transport services. The scope of the contract includes feasibility studies, development of preliminary design, preparation of land acquisition procedures and cost-benefit analysis, etc. </w:t>
      </w:r>
    </w:p>
    <w:p w14:paraId="42049BD0" w14:textId="77777777" w:rsidR="00587CF0" w:rsidRPr="006645DC" w:rsidRDefault="00587CF0" w:rsidP="00587CF0">
      <w:pPr>
        <w:pStyle w:val="BodyText"/>
        <w:ind w:left="720"/>
        <w:rPr>
          <w:rFonts w:ascii="Calibri" w:hAnsi="Calibri"/>
          <w:sz w:val="22"/>
          <w:szCs w:val="22"/>
          <w:lang w:val="en-GB"/>
        </w:rPr>
      </w:pPr>
    </w:p>
    <w:p w14:paraId="45DA5347" w14:textId="77777777" w:rsidR="00587CF0" w:rsidRPr="006645DC" w:rsidRDefault="00587CF0" w:rsidP="001E3B84">
      <w:pPr>
        <w:pStyle w:val="Heading5"/>
        <w:rPr>
          <w:lang w:val="en-GB"/>
        </w:rPr>
      </w:pPr>
      <w:bookmarkStart w:id="148" w:name="_Toc371092791"/>
      <w:bookmarkStart w:id="149" w:name="_Toc254543771"/>
      <w:r w:rsidRPr="006645DC">
        <w:rPr>
          <w:lang w:val="en-GB"/>
        </w:rPr>
        <w:t>Air transport</w:t>
      </w:r>
      <w:bookmarkEnd w:id="148"/>
      <w:bookmarkEnd w:id="149"/>
    </w:p>
    <w:p w14:paraId="63B9A707" w14:textId="77777777" w:rsidR="00587CF0" w:rsidRPr="006645DC" w:rsidRDefault="00587CF0" w:rsidP="00587CF0">
      <w:pPr>
        <w:rPr>
          <w:lang w:val="en-GB"/>
        </w:rPr>
      </w:pPr>
      <w:r w:rsidRPr="006645DC">
        <w:rPr>
          <w:lang w:val="en-GB"/>
        </w:rPr>
        <w:t>The region is serviced by 3 international airports in Romania: Constanţa (most of the flights are scheduled for the summer season, e.g. Paris, Strasbourg, Luxembourg, Bergamo, Pisa) Craiova (e.g. London, Cologne/Bonn, Bergamo), and Bucharest-Otopeni which is located very close to the cross-</w:t>
      </w:r>
      <w:r w:rsidRPr="006645DC">
        <w:rPr>
          <w:lang w:val="en-GB"/>
        </w:rPr>
        <w:lastRenderedPageBreak/>
        <w:t>border area. The nearest airports in Bulgaria are those of Sofia and Varna, however a part of the population of the Bulgarian side of the cross-border region uses regularly the airport Bucharest-Otopeni.</w:t>
      </w:r>
    </w:p>
    <w:p w14:paraId="6449A862" w14:textId="77777777" w:rsidR="00587CF0" w:rsidRPr="006645DC" w:rsidRDefault="00AA4C82" w:rsidP="00587CF0">
      <w:pPr>
        <w:jc w:val="center"/>
        <w:rPr>
          <w:lang w:val="en-GB"/>
        </w:rPr>
      </w:pPr>
      <w:r w:rsidRPr="006645DC">
        <w:rPr>
          <w:noProof/>
          <w:lang w:val="bg-BG" w:eastAsia="bg-BG"/>
        </w:rPr>
        <w:drawing>
          <wp:inline distT="0" distB="0" distL="0" distR="0" wp14:anchorId="5F85A13B" wp14:editId="24873E3C">
            <wp:extent cx="4876800" cy="4572000"/>
            <wp:effectExtent l="19050" t="0" r="0" b="0"/>
            <wp:docPr id="412" name="Imag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70"/>
                    <a:srcRect/>
                    <a:stretch>
                      <a:fillRect/>
                    </a:stretch>
                  </pic:blipFill>
                  <pic:spPr bwMode="auto">
                    <a:xfrm>
                      <a:off x="0" y="0"/>
                      <a:ext cx="4876800" cy="4572000"/>
                    </a:xfrm>
                    <a:prstGeom prst="rect">
                      <a:avLst/>
                    </a:prstGeom>
                    <a:solidFill>
                      <a:srgbClr val="FFFFFF"/>
                    </a:solidFill>
                    <a:ln w="9525">
                      <a:noFill/>
                      <a:miter lim="800000"/>
                      <a:headEnd/>
                      <a:tailEnd/>
                    </a:ln>
                  </pic:spPr>
                </pic:pic>
              </a:graphicData>
            </a:graphic>
          </wp:inline>
        </w:drawing>
      </w:r>
    </w:p>
    <w:p w14:paraId="78CDA691" w14:textId="77777777" w:rsidR="00587CF0" w:rsidRPr="006645DC" w:rsidRDefault="00587CF0" w:rsidP="00587CF0">
      <w:pPr>
        <w:pStyle w:val="Lgende1"/>
        <w:rPr>
          <w:lang w:val="en-GB"/>
        </w:rPr>
      </w:pPr>
      <w:bookmarkStart w:id="150" w:name="_Toc391150014"/>
      <w:r w:rsidRPr="006645DC">
        <w:rPr>
          <w:lang w:val="en-GB"/>
        </w:rPr>
        <w:t xml:space="preserve">Map </w:t>
      </w:r>
      <w:r w:rsidR="005979EB" w:rsidRPr="006645DC">
        <w:rPr>
          <w:lang w:val="en-GB"/>
        </w:rPr>
        <w:fldChar w:fldCharType="begin"/>
      </w:r>
      <w:r w:rsidRPr="006645DC">
        <w:rPr>
          <w:lang w:val="en-GB"/>
        </w:rPr>
        <w:instrText xml:space="preserve"> SEQ "Map" \*Arabic </w:instrText>
      </w:r>
      <w:r w:rsidR="005979EB" w:rsidRPr="006645DC">
        <w:rPr>
          <w:lang w:val="en-GB"/>
        </w:rPr>
        <w:fldChar w:fldCharType="separate"/>
      </w:r>
      <w:r w:rsidR="00523DE6">
        <w:rPr>
          <w:noProof/>
          <w:lang w:val="en-GB"/>
        </w:rPr>
        <w:t>10</w:t>
      </w:r>
      <w:r w:rsidR="005979EB" w:rsidRPr="006645DC">
        <w:rPr>
          <w:lang w:val="en-GB"/>
        </w:rPr>
        <w:fldChar w:fldCharType="end"/>
      </w:r>
      <w:r w:rsidRPr="006645DC">
        <w:rPr>
          <w:lang w:val="en-GB"/>
        </w:rPr>
        <w:t xml:space="preserve"> - Air Traffic – Romanian and Bulgarian airport territorial integration in a European context (Tigris)</w:t>
      </w:r>
      <w:bookmarkEnd w:id="150"/>
    </w:p>
    <w:p w14:paraId="047C0942" w14:textId="77777777" w:rsidR="00587CF0" w:rsidRPr="006645DC" w:rsidRDefault="00587CF0" w:rsidP="00587CF0">
      <w:pPr>
        <w:pStyle w:val="Heading4"/>
        <w:rPr>
          <w:lang w:val="en-GB"/>
        </w:rPr>
      </w:pPr>
      <w:r w:rsidRPr="006645DC">
        <w:rPr>
          <w:lang w:val="en-GB" w:eastAsia="ro-RO"/>
        </w:rPr>
        <w:t>Source: Spatial Project</w:t>
      </w:r>
    </w:p>
    <w:p w14:paraId="257BD0C4" w14:textId="77777777" w:rsidR="00587CF0" w:rsidRPr="006645DC" w:rsidRDefault="00587CF0" w:rsidP="00587CF0">
      <w:pPr>
        <w:rPr>
          <w:lang w:val="en-GB"/>
        </w:rPr>
      </w:pPr>
    </w:p>
    <w:p w14:paraId="1A04B3FD" w14:textId="77777777" w:rsidR="00587CF0" w:rsidRPr="006645DC" w:rsidRDefault="00587CF0" w:rsidP="00EA46BF">
      <w:pPr>
        <w:pStyle w:val="Heading2"/>
        <w:rPr>
          <w:lang w:val="en-GB"/>
        </w:rPr>
      </w:pPr>
      <w:bookmarkStart w:id="151" w:name="_Toc371092792"/>
      <w:bookmarkStart w:id="152" w:name="_Toc371284494"/>
      <w:bookmarkStart w:id="153" w:name="_Toc376198454"/>
      <w:bookmarkStart w:id="154" w:name="_Toc254543772"/>
      <w:bookmarkStart w:id="155" w:name="_Toc391150169"/>
      <w:r w:rsidRPr="006645DC">
        <w:rPr>
          <w:lang w:val="en-GB"/>
        </w:rPr>
        <w:t xml:space="preserve">Border crossing infrastructure </w:t>
      </w:r>
      <w:r w:rsidR="00AA4C82" w:rsidRPr="006645DC">
        <w:rPr>
          <w:noProof/>
          <w:lang w:val="bg-BG" w:eastAsia="bg-BG"/>
        </w:rPr>
        <w:drawing>
          <wp:inline distT="0" distB="0" distL="0" distR="0" wp14:anchorId="736B498D" wp14:editId="75F1AA8B">
            <wp:extent cx="19050" cy="19050"/>
            <wp:effectExtent l="19050" t="0" r="0" b="0"/>
            <wp:docPr id="413" name="Imag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2"/>
                    <a:srcRect/>
                    <a:stretch>
                      <a:fillRect/>
                    </a:stretch>
                  </pic:blipFill>
                  <pic:spPr bwMode="auto">
                    <a:xfrm>
                      <a:off x="0" y="0"/>
                      <a:ext cx="19050" cy="19050"/>
                    </a:xfrm>
                    <a:prstGeom prst="rect">
                      <a:avLst/>
                    </a:prstGeom>
                    <a:solidFill>
                      <a:srgbClr val="FFFFFF"/>
                    </a:solidFill>
                    <a:ln w="9525">
                      <a:noFill/>
                      <a:miter lim="800000"/>
                      <a:headEnd/>
                      <a:tailEnd/>
                    </a:ln>
                  </pic:spPr>
                </pic:pic>
              </a:graphicData>
            </a:graphic>
          </wp:inline>
        </w:drawing>
      </w:r>
      <w:bookmarkEnd w:id="151"/>
      <w:bookmarkEnd w:id="152"/>
      <w:bookmarkEnd w:id="153"/>
      <w:bookmarkEnd w:id="154"/>
      <w:bookmarkEnd w:id="155"/>
    </w:p>
    <w:p w14:paraId="4179C102" w14:textId="77777777" w:rsidR="00587CF0" w:rsidRPr="006645DC" w:rsidRDefault="00587CF0" w:rsidP="00EA46BF">
      <w:pPr>
        <w:rPr>
          <w:lang w:val="en-GB"/>
        </w:rPr>
      </w:pPr>
      <w:r w:rsidRPr="006645DC">
        <w:rPr>
          <w:lang w:val="en-GB"/>
        </w:rPr>
        <w:t xml:space="preserve">The table below shows the different border crossing modalities along the Romanian-Bulgarian border. At the moment there are two existing bridges for road transport across the Danube between Romania and Bulgaria (Calafat-Vidin, Giurgiu- Ruse). </w:t>
      </w:r>
    </w:p>
    <w:p w14:paraId="76EE4A3B" w14:textId="77777777" w:rsidR="00587CF0" w:rsidRPr="006645DC" w:rsidRDefault="00587CF0" w:rsidP="00587CF0">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559"/>
        <w:gridCol w:w="2954"/>
      </w:tblGrid>
      <w:tr w:rsidR="006C684A" w:rsidRPr="006645DC" w14:paraId="24DA18CF" w14:textId="77777777" w:rsidTr="006C684A">
        <w:trPr>
          <w:jc w:val="center"/>
        </w:trPr>
        <w:tc>
          <w:tcPr>
            <w:tcW w:w="1526" w:type="dxa"/>
            <w:shd w:val="clear" w:color="auto" w:fill="76923C"/>
            <w:vAlign w:val="center"/>
            <w:hideMark/>
          </w:tcPr>
          <w:p w14:paraId="2EA2B7D7" w14:textId="77777777" w:rsidR="006C684A" w:rsidRPr="006645DC" w:rsidRDefault="006C684A">
            <w:pPr>
              <w:suppressAutoHyphens/>
              <w:spacing w:before="0" w:after="0" w:line="276" w:lineRule="auto"/>
              <w:jc w:val="center"/>
              <w:rPr>
                <w:rFonts w:eastAsia="Arial" w:cs="Calibri"/>
                <w:b/>
                <w:color w:val="FFFFFF"/>
                <w:kern w:val="2"/>
                <w:lang w:val="en-GB"/>
              </w:rPr>
            </w:pPr>
            <w:r w:rsidRPr="006645DC">
              <w:rPr>
                <w:b/>
                <w:color w:val="FFFFFF"/>
                <w:lang w:val="en-GB"/>
              </w:rPr>
              <w:lastRenderedPageBreak/>
              <w:t>Romania border point</w:t>
            </w:r>
          </w:p>
        </w:tc>
        <w:tc>
          <w:tcPr>
            <w:tcW w:w="1559" w:type="dxa"/>
            <w:shd w:val="clear" w:color="auto" w:fill="76923C"/>
            <w:vAlign w:val="center"/>
            <w:hideMark/>
          </w:tcPr>
          <w:p w14:paraId="33737711" w14:textId="77777777" w:rsidR="006C684A" w:rsidRPr="006645DC" w:rsidRDefault="006C684A">
            <w:pPr>
              <w:suppressAutoHyphens/>
              <w:spacing w:before="0" w:after="0" w:line="276" w:lineRule="auto"/>
              <w:jc w:val="center"/>
              <w:rPr>
                <w:rFonts w:eastAsia="Arial" w:cs="Calibri"/>
                <w:b/>
                <w:color w:val="FFFFFF"/>
                <w:kern w:val="2"/>
                <w:lang w:val="en-GB"/>
              </w:rPr>
            </w:pPr>
            <w:r w:rsidRPr="006645DC">
              <w:rPr>
                <w:b/>
                <w:color w:val="FFFFFF"/>
                <w:lang w:val="en-GB"/>
              </w:rPr>
              <w:t>Bulgaria border point</w:t>
            </w:r>
          </w:p>
        </w:tc>
        <w:tc>
          <w:tcPr>
            <w:tcW w:w="2954" w:type="dxa"/>
            <w:shd w:val="clear" w:color="auto" w:fill="76923C"/>
            <w:vAlign w:val="center"/>
            <w:hideMark/>
          </w:tcPr>
          <w:p w14:paraId="6FAB9759" w14:textId="77777777" w:rsidR="006C684A" w:rsidRPr="006645DC" w:rsidRDefault="006C684A">
            <w:pPr>
              <w:suppressAutoHyphens/>
              <w:spacing w:before="0" w:after="0" w:line="276" w:lineRule="auto"/>
              <w:jc w:val="center"/>
              <w:rPr>
                <w:rFonts w:eastAsia="Arial" w:cs="Calibri"/>
                <w:b/>
                <w:color w:val="FFFFFF"/>
                <w:kern w:val="2"/>
                <w:lang w:val="en-GB"/>
              </w:rPr>
            </w:pPr>
            <w:r w:rsidRPr="006645DC">
              <w:rPr>
                <w:b/>
                <w:color w:val="FFFFFF"/>
                <w:lang w:val="en-GB"/>
              </w:rPr>
              <w:t>Border crossing way</w:t>
            </w:r>
          </w:p>
        </w:tc>
      </w:tr>
      <w:tr w:rsidR="006C684A" w:rsidRPr="006645DC" w14:paraId="153A7E4E" w14:textId="77777777" w:rsidTr="006C684A">
        <w:trPr>
          <w:jc w:val="center"/>
        </w:trPr>
        <w:tc>
          <w:tcPr>
            <w:tcW w:w="1526" w:type="dxa"/>
            <w:vAlign w:val="center"/>
            <w:hideMark/>
          </w:tcPr>
          <w:p w14:paraId="5DF69131" w14:textId="77777777" w:rsidR="006C684A" w:rsidRPr="006645DC" w:rsidRDefault="006C684A">
            <w:pPr>
              <w:suppressAutoHyphens/>
              <w:spacing w:before="0" w:after="0" w:line="276" w:lineRule="auto"/>
              <w:rPr>
                <w:rFonts w:eastAsia="Arial" w:cs="Calibri"/>
                <w:kern w:val="2"/>
                <w:lang w:val="en-GB"/>
              </w:rPr>
            </w:pPr>
            <w:r w:rsidRPr="006645DC">
              <w:rPr>
                <w:lang w:val="en-GB"/>
              </w:rPr>
              <w:t>Calafat</w:t>
            </w:r>
          </w:p>
        </w:tc>
        <w:tc>
          <w:tcPr>
            <w:tcW w:w="1559" w:type="dxa"/>
            <w:vAlign w:val="center"/>
            <w:hideMark/>
          </w:tcPr>
          <w:p w14:paraId="572CF664"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Vidin</w:t>
            </w:r>
          </w:p>
        </w:tc>
        <w:tc>
          <w:tcPr>
            <w:tcW w:w="2954" w:type="dxa"/>
            <w:vAlign w:val="center"/>
            <w:hideMark/>
          </w:tcPr>
          <w:p w14:paraId="72F54240" w14:textId="77777777" w:rsidR="006C684A" w:rsidRPr="006645DC" w:rsidRDefault="006C684A">
            <w:pPr>
              <w:keepNext/>
              <w:keepLines/>
              <w:spacing w:before="0" w:after="0" w:line="276" w:lineRule="auto"/>
              <w:jc w:val="center"/>
              <w:rPr>
                <w:rFonts w:eastAsia="Arial" w:cs="Calibri"/>
                <w:kern w:val="2"/>
                <w:lang w:val="en-GB"/>
              </w:rPr>
            </w:pPr>
            <w:r w:rsidRPr="006645DC">
              <w:rPr>
                <w:lang w:val="en-GB"/>
              </w:rPr>
              <w:t>Water transport</w:t>
            </w:r>
          </w:p>
          <w:p w14:paraId="45FB8EFB" w14:textId="77777777" w:rsidR="006C684A" w:rsidRPr="006645DC" w:rsidRDefault="006C684A">
            <w:pPr>
              <w:spacing w:before="0" w:after="0" w:line="276" w:lineRule="auto"/>
              <w:jc w:val="center"/>
              <w:rPr>
                <w:lang w:val="en-GB"/>
              </w:rPr>
            </w:pPr>
            <w:r w:rsidRPr="006645DC">
              <w:rPr>
                <w:lang w:val="en-GB"/>
              </w:rPr>
              <w:t>Road transport (bridge)</w:t>
            </w:r>
          </w:p>
          <w:p w14:paraId="5EA9053B" w14:textId="77777777" w:rsidR="006C684A" w:rsidRPr="006645DC" w:rsidRDefault="006C684A">
            <w:pPr>
              <w:suppressAutoHyphens/>
              <w:spacing w:before="0" w:after="0" w:line="276" w:lineRule="auto"/>
              <w:jc w:val="center"/>
              <w:rPr>
                <w:rFonts w:eastAsia="Arial" w:cs="Calibri"/>
                <w:kern w:val="2"/>
                <w:lang w:val="en-GB"/>
              </w:rPr>
            </w:pPr>
            <w:r w:rsidRPr="006645DC">
              <w:rPr>
                <w:lang w:val="en-GB"/>
              </w:rPr>
              <w:t>Rail transport</w:t>
            </w:r>
          </w:p>
        </w:tc>
      </w:tr>
      <w:tr w:rsidR="006C684A" w:rsidRPr="006645DC" w14:paraId="52A8262D" w14:textId="77777777" w:rsidTr="006C684A">
        <w:trPr>
          <w:jc w:val="center"/>
        </w:trPr>
        <w:tc>
          <w:tcPr>
            <w:tcW w:w="1526" w:type="dxa"/>
            <w:vAlign w:val="center"/>
            <w:hideMark/>
          </w:tcPr>
          <w:p w14:paraId="000C2FF6"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 xml:space="preserve">Bechet </w:t>
            </w:r>
          </w:p>
        </w:tc>
        <w:tc>
          <w:tcPr>
            <w:tcW w:w="1559" w:type="dxa"/>
            <w:vAlign w:val="center"/>
            <w:hideMark/>
          </w:tcPr>
          <w:p w14:paraId="6E9897A1"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Oryahovo</w:t>
            </w:r>
          </w:p>
        </w:tc>
        <w:tc>
          <w:tcPr>
            <w:tcW w:w="2954" w:type="dxa"/>
            <w:vAlign w:val="center"/>
            <w:hideMark/>
          </w:tcPr>
          <w:p w14:paraId="6EFDDC38" w14:textId="77777777" w:rsidR="006C684A" w:rsidRPr="006645DC" w:rsidRDefault="006C684A">
            <w:pPr>
              <w:keepNext/>
              <w:keepLines/>
              <w:spacing w:before="0" w:after="0" w:line="276" w:lineRule="auto"/>
              <w:jc w:val="center"/>
              <w:rPr>
                <w:rFonts w:eastAsia="Arial" w:cs="Calibri"/>
                <w:kern w:val="2"/>
                <w:lang w:val="en-GB"/>
              </w:rPr>
            </w:pPr>
            <w:r w:rsidRPr="006645DC">
              <w:rPr>
                <w:lang w:val="en-GB"/>
              </w:rPr>
              <w:t>Water transport</w:t>
            </w:r>
          </w:p>
          <w:p w14:paraId="1BF64B01" w14:textId="77777777" w:rsidR="006C684A" w:rsidRPr="006645DC" w:rsidRDefault="006C684A">
            <w:pPr>
              <w:suppressAutoHyphens/>
              <w:spacing w:before="0" w:after="0" w:line="276" w:lineRule="auto"/>
              <w:jc w:val="center"/>
              <w:rPr>
                <w:rFonts w:eastAsia="Arial" w:cs="Calibri"/>
                <w:kern w:val="2"/>
                <w:lang w:val="en-GB"/>
              </w:rPr>
            </w:pPr>
            <w:r w:rsidRPr="006645DC">
              <w:rPr>
                <w:lang w:val="en-GB"/>
              </w:rPr>
              <w:t>Road transport (ferry)</w:t>
            </w:r>
          </w:p>
        </w:tc>
      </w:tr>
      <w:tr w:rsidR="006C684A" w:rsidRPr="006645DC" w14:paraId="07C4D6E9" w14:textId="77777777" w:rsidTr="006C684A">
        <w:trPr>
          <w:jc w:val="center"/>
        </w:trPr>
        <w:tc>
          <w:tcPr>
            <w:tcW w:w="1526" w:type="dxa"/>
            <w:vAlign w:val="center"/>
            <w:hideMark/>
          </w:tcPr>
          <w:p w14:paraId="17CD6AC3"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Corabia</w:t>
            </w:r>
          </w:p>
        </w:tc>
        <w:tc>
          <w:tcPr>
            <w:tcW w:w="1559" w:type="dxa"/>
            <w:vAlign w:val="center"/>
            <w:hideMark/>
          </w:tcPr>
          <w:p w14:paraId="3E856939"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Magura</w:t>
            </w:r>
          </w:p>
        </w:tc>
        <w:tc>
          <w:tcPr>
            <w:tcW w:w="2954" w:type="dxa"/>
            <w:vAlign w:val="center"/>
            <w:hideMark/>
          </w:tcPr>
          <w:p w14:paraId="1F2273E5" w14:textId="77777777" w:rsidR="006C684A" w:rsidRPr="006645DC" w:rsidRDefault="006C684A">
            <w:pPr>
              <w:keepNext/>
              <w:keepLines/>
              <w:suppressAutoHyphens/>
              <w:spacing w:before="0" w:after="0" w:line="276" w:lineRule="auto"/>
              <w:ind w:left="757" w:hanging="360"/>
              <w:jc w:val="center"/>
              <w:rPr>
                <w:rFonts w:eastAsia="Arial" w:cs="Calibri"/>
                <w:kern w:val="2"/>
                <w:lang w:val="en-GB"/>
              </w:rPr>
            </w:pPr>
            <w:r w:rsidRPr="006645DC">
              <w:rPr>
                <w:lang w:val="en-GB"/>
              </w:rPr>
              <w:t>Water transport</w:t>
            </w:r>
          </w:p>
        </w:tc>
      </w:tr>
      <w:tr w:rsidR="006C684A" w:rsidRPr="006645DC" w14:paraId="5B0E93A7" w14:textId="77777777" w:rsidTr="006C684A">
        <w:trPr>
          <w:jc w:val="center"/>
        </w:trPr>
        <w:tc>
          <w:tcPr>
            <w:tcW w:w="1526" w:type="dxa"/>
            <w:vAlign w:val="center"/>
            <w:hideMark/>
          </w:tcPr>
          <w:p w14:paraId="25755D65"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Somovit</w:t>
            </w:r>
          </w:p>
        </w:tc>
        <w:tc>
          <w:tcPr>
            <w:tcW w:w="1559" w:type="dxa"/>
            <w:vAlign w:val="center"/>
            <w:hideMark/>
          </w:tcPr>
          <w:p w14:paraId="228CC0BD"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Nicopol</w:t>
            </w:r>
          </w:p>
        </w:tc>
        <w:tc>
          <w:tcPr>
            <w:tcW w:w="2954" w:type="dxa"/>
            <w:vAlign w:val="center"/>
            <w:hideMark/>
          </w:tcPr>
          <w:p w14:paraId="0CCACC5C" w14:textId="77777777" w:rsidR="006C684A" w:rsidRPr="006645DC" w:rsidRDefault="006C684A">
            <w:pPr>
              <w:keepNext/>
              <w:keepLines/>
              <w:suppressAutoHyphens/>
              <w:spacing w:before="0" w:after="0" w:line="276" w:lineRule="auto"/>
              <w:ind w:left="757" w:hanging="360"/>
              <w:jc w:val="center"/>
              <w:rPr>
                <w:rFonts w:eastAsia="Arial" w:cs="Calibri"/>
                <w:kern w:val="2"/>
                <w:lang w:val="en-GB"/>
              </w:rPr>
            </w:pPr>
            <w:r w:rsidRPr="006645DC">
              <w:rPr>
                <w:lang w:val="en-GB"/>
              </w:rPr>
              <w:t>Water transport</w:t>
            </w:r>
          </w:p>
        </w:tc>
      </w:tr>
      <w:tr w:rsidR="006C684A" w:rsidRPr="006645DC" w14:paraId="2688C8A5" w14:textId="77777777" w:rsidTr="006C684A">
        <w:trPr>
          <w:jc w:val="center"/>
        </w:trPr>
        <w:tc>
          <w:tcPr>
            <w:tcW w:w="1526" w:type="dxa"/>
            <w:vAlign w:val="center"/>
            <w:hideMark/>
          </w:tcPr>
          <w:p w14:paraId="59434A47" w14:textId="77777777" w:rsidR="006C684A" w:rsidRPr="006645DC" w:rsidRDefault="006C684A">
            <w:pPr>
              <w:keepNext/>
              <w:keepLines/>
              <w:suppressAutoHyphens/>
              <w:spacing w:before="0" w:after="0" w:line="276" w:lineRule="auto"/>
              <w:ind w:hanging="31"/>
              <w:rPr>
                <w:rFonts w:eastAsia="Arial" w:cs="Calibri"/>
                <w:kern w:val="2"/>
                <w:lang w:val="en-GB"/>
              </w:rPr>
            </w:pPr>
            <w:r w:rsidRPr="006645DC">
              <w:rPr>
                <w:lang w:val="en-GB"/>
              </w:rPr>
              <w:t>Zimnicea</w:t>
            </w:r>
          </w:p>
        </w:tc>
        <w:tc>
          <w:tcPr>
            <w:tcW w:w="1559" w:type="dxa"/>
            <w:vAlign w:val="center"/>
            <w:hideMark/>
          </w:tcPr>
          <w:p w14:paraId="0585731E"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Svishtov</w:t>
            </w:r>
          </w:p>
        </w:tc>
        <w:tc>
          <w:tcPr>
            <w:tcW w:w="2954" w:type="dxa"/>
            <w:vAlign w:val="center"/>
            <w:hideMark/>
          </w:tcPr>
          <w:p w14:paraId="6B9DF9E5" w14:textId="77777777" w:rsidR="006C684A" w:rsidRPr="006645DC" w:rsidRDefault="006C684A">
            <w:pPr>
              <w:keepNext/>
              <w:keepLines/>
              <w:suppressAutoHyphens/>
              <w:spacing w:before="0" w:after="0" w:line="276" w:lineRule="auto"/>
              <w:ind w:left="757" w:hanging="360"/>
              <w:jc w:val="center"/>
              <w:rPr>
                <w:rFonts w:eastAsia="Arial" w:cs="Calibri"/>
                <w:kern w:val="2"/>
                <w:lang w:val="en-GB"/>
              </w:rPr>
            </w:pPr>
            <w:r w:rsidRPr="006645DC">
              <w:rPr>
                <w:lang w:val="en-GB"/>
              </w:rPr>
              <w:t>Water transport (ferry)</w:t>
            </w:r>
          </w:p>
        </w:tc>
      </w:tr>
      <w:tr w:rsidR="006C684A" w:rsidRPr="006645DC" w14:paraId="7BF35AF0" w14:textId="77777777" w:rsidTr="006C684A">
        <w:trPr>
          <w:jc w:val="center"/>
        </w:trPr>
        <w:tc>
          <w:tcPr>
            <w:tcW w:w="1526" w:type="dxa"/>
            <w:vAlign w:val="center"/>
            <w:hideMark/>
          </w:tcPr>
          <w:p w14:paraId="68861E8E"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Giurgiu</w:t>
            </w:r>
          </w:p>
        </w:tc>
        <w:tc>
          <w:tcPr>
            <w:tcW w:w="1559" w:type="dxa"/>
            <w:vAlign w:val="center"/>
            <w:hideMark/>
          </w:tcPr>
          <w:p w14:paraId="7C4F2BC3"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Ruse</w:t>
            </w:r>
          </w:p>
        </w:tc>
        <w:tc>
          <w:tcPr>
            <w:tcW w:w="2954" w:type="dxa"/>
            <w:vAlign w:val="center"/>
            <w:hideMark/>
          </w:tcPr>
          <w:p w14:paraId="044ED38D" w14:textId="77777777" w:rsidR="006C684A" w:rsidRPr="006645DC" w:rsidRDefault="006C684A">
            <w:pPr>
              <w:keepNext/>
              <w:keepLines/>
              <w:spacing w:before="0" w:after="0" w:line="276" w:lineRule="auto"/>
              <w:jc w:val="center"/>
              <w:rPr>
                <w:rFonts w:eastAsia="Arial" w:cs="Calibri"/>
                <w:kern w:val="2"/>
                <w:lang w:val="en-GB"/>
              </w:rPr>
            </w:pPr>
            <w:r w:rsidRPr="006645DC">
              <w:rPr>
                <w:lang w:val="en-GB"/>
              </w:rPr>
              <w:t>Road and rail transport (bridge)</w:t>
            </w:r>
          </w:p>
          <w:p w14:paraId="5F167780" w14:textId="77777777" w:rsidR="006C684A" w:rsidRPr="006645DC" w:rsidRDefault="006C684A">
            <w:pPr>
              <w:suppressAutoHyphens/>
              <w:spacing w:before="0" w:after="0" w:line="276" w:lineRule="auto"/>
              <w:jc w:val="center"/>
              <w:rPr>
                <w:rFonts w:eastAsia="Arial" w:cs="Calibri"/>
                <w:kern w:val="2"/>
                <w:lang w:val="en-GB"/>
              </w:rPr>
            </w:pPr>
            <w:r w:rsidRPr="006645DC">
              <w:rPr>
                <w:lang w:val="en-GB"/>
              </w:rPr>
              <w:t>Port and ferry</w:t>
            </w:r>
          </w:p>
        </w:tc>
      </w:tr>
      <w:tr w:rsidR="006C684A" w:rsidRPr="006645DC" w14:paraId="0695B4DA" w14:textId="77777777" w:rsidTr="006C684A">
        <w:trPr>
          <w:jc w:val="center"/>
        </w:trPr>
        <w:tc>
          <w:tcPr>
            <w:tcW w:w="1526" w:type="dxa"/>
            <w:vAlign w:val="center"/>
            <w:hideMark/>
          </w:tcPr>
          <w:p w14:paraId="41F4A98A" w14:textId="77777777" w:rsidR="006C684A" w:rsidRPr="006645DC" w:rsidRDefault="006C684A">
            <w:pPr>
              <w:keepNext/>
              <w:keepLines/>
              <w:suppressAutoHyphens/>
              <w:spacing w:before="0" w:after="0" w:line="276" w:lineRule="auto"/>
              <w:ind w:hanging="31"/>
              <w:rPr>
                <w:rFonts w:eastAsia="Arial" w:cs="Calibri"/>
                <w:kern w:val="2"/>
                <w:lang w:val="en-GB"/>
              </w:rPr>
            </w:pPr>
            <w:r w:rsidRPr="006645DC">
              <w:rPr>
                <w:lang w:val="en-GB"/>
              </w:rPr>
              <w:t>Olteniţa</w:t>
            </w:r>
          </w:p>
        </w:tc>
        <w:tc>
          <w:tcPr>
            <w:tcW w:w="1559" w:type="dxa"/>
            <w:vAlign w:val="center"/>
            <w:hideMark/>
          </w:tcPr>
          <w:p w14:paraId="6218F2D1"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Tutrakan</w:t>
            </w:r>
          </w:p>
        </w:tc>
        <w:tc>
          <w:tcPr>
            <w:tcW w:w="2954" w:type="dxa"/>
            <w:vAlign w:val="center"/>
            <w:hideMark/>
          </w:tcPr>
          <w:p w14:paraId="7228140A" w14:textId="77777777" w:rsidR="006C684A" w:rsidRPr="006645DC" w:rsidRDefault="006C684A">
            <w:pPr>
              <w:keepNext/>
              <w:keepLines/>
              <w:suppressAutoHyphens/>
              <w:spacing w:before="0" w:after="0" w:line="276" w:lineRule="auto"/>
              <w:jc w:val="center"/>
              <w:rPr>
                <w:rFonts w:eastAsia="Arial" w:cs="Calibri"/>
                <w:kern w:val="2"/>
                <w:lang w:val="en-GB"/>
              </w:rPr>
            </w:pPr>
            <w:r w:rsidRPr="006645DC">
              <w:rPr>
                <w:lang w:val="en-GB"/>
              </w:rPr>
              <w:t>Water transport (ferry)</w:t>
            </w:r>
          </w:p>
        </w:tc>
      </w:tr>
      <w:tr w:rsidR="006C684A" w:rsidRPr="006645DC" w14:paraId="0DC858D1" w14:textId="77777777" w:rsidTr="006C684A">
        <w:trPr>
          <w:jc w:val="center"/>
        </w:trPr>
        <w:tc>
          <w:tcPr>
            <w:tcW w:w="1526" w:type="dxa"/>
            <w:vAlign w:val="center"/>
            <w:hideMark/>
          </w:tcPr>
          <w:p w14:paraId="3847D45B" w14:textId="77777777" w:rsidR="006C684A" w:rsidRPr="006645DC" w:rsidRDefault="006C684A">
            <w:pPr>
              <w:keepNext/>
              <w:keepLines/>
              <w:suppressAutoHyphens/>
              <w:spacing w:before="0" w:after="0" w:line="276" w:lineRule="auto"/>
              <w:ind w:hanging="31"/>
              <w:rPr>
                <w:rFonts w:eastAsia="Arial" w:cs="Calibri"/>
                <w:kern w:val="2"/>
                <w:lang w:val="en-GB"/>
              </w:rPr>
            </w:pPr>
            <w:r w:rsidRPr="006645DC">
              <w:rPr>
                <w:lang w:val="en-GB"/>
              </w:rPr>
              <w:t>Călăraşi</w:t>
            </w:r>
            <w:r w:rsidRPr="006645DC">
              <w:rPr>
                <w:lang w:val="en-GB"/>
              </w:rPr>
              <w:br/>
            </w:r>
          </w:p>
        </w:tc>
        <w:tc>
          <w:tcPr>
            <w:tcW w:w="1559" w:type="dxa"/>
            <w:vAlign w:val="center"/>
            <w:hideMark/>
          </w:tcPr>
          <w:p w14:paraId="36AA73A3"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Silistra</w:t>
            </w:r>
          </w:p>
        </w:tc>
        <w:tc>
          <w:tcPr>
            <w:tcW w:w="2954" w:type="dxa"/>
            <w:vAlign w:val="center"/>
            <w:hideMark/>
          </w:tcPr>
          <w:p w14:paraId="4423001E" w14:textId="77777777" w:rsidR="006C684A" w:rsidRPr="006645DC" w:rsidRDefault="006C684A">
            <w:pPr>
              <w:keepNext/>
              <w:keepLines/>
              <w:suppressAutoHyphens/>
              <w:spacing w:before="0" w:after="0" w:line="276" w:lineRule="auto"/>
              <w:jc w:val="center"/>
              <w:rPr>
                <w:rFonts w:eastAsia="Arial" w:cs="Calibri"/>
                <w:kern w:val="2"/>
                <w:lang w:val="en-GB"/>
              </w:rPr>
            </w:pPr>
            <w:r w:rsidRPr="006645DC">
              <w:rPr>
                <w:lang w:val="en-GB"/>
              </w:rPr>
              <w:t>Water transport (ferry)</w:t>
            </w:r>
          </w:p>
        </w:tc>
      </w:tr>
      <w:tr w:rsidR="006C684A" w:rsidRPr="006645DC" w14:paraId="3159A35E" w14:textId="77777777" w:rsidTr="006C684A">
        <w:trPr>
          <w:jc w:val="center"/>
        </w:trPr>
        <w:tc>
          <w:tcPr>
            <w:tcW w:w="1526" w:type="dxa"/>
            <w:vAlign w:val="center"/>
            <w:hideMark/>
          </w:tcPr>
          <w:p w14:paraId="5A03FC34"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Ostrov</w:t>
            </w:r>
          </w:p>
        </w:tc>
        <w:tc>
          <w:tcPr>
            <w:tcW w:w="1559" w:type="dxa"/>
            <w:vAlign w:val="center"/>
            <w:hideMark/>
          </w:tcPr>
          <w:p w14:paraId="65EF2C28"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Silistra</w:t>
            </w:r>
          </w:p>
        </w:tc>
        <w:tc>
          <w:tcPr>
            <w:tcW w:w="2954" w:type="dxa"/>
            <w:vAlign w:val="center"/>
            <w:hideMark/>
          </w:tcPr>
          <w:p w14:paraId="237DEF7F" w14:textId="77777777" w:rsidR="006C684A" w:rsidRPr="006645DC" w:rsidRDefault="006C684A">
            <w:pPr>
              <w:keepNext/>
              <w:keepLines/>
              <w:suppressAutoHyphens/>
              <w:spacing w:before="0" w:after="0" w:line="276" w:lineRule="auto"/>
              <w:jc w:val="center"/>
              <w:rPr>
                <w:rFonts w:eastAsia="Arial" w:cs="Calibri"/>
                <w:kern w:val="2"/>
                <w:lang w:val="en-GB"/>
              </w:rPr>
            </w:pPr>
            <w:r w:rsidRPr="006645DC">
              <w:rPr>
                <w:lang w:val="en-GB"/>
              </w:rPr>
              <w:t>Road transport (road)</w:t>
            </w:r>
          </w:p>
        </w:tc>
      </w:tr>
      <w:tr w:rsidR="006C684A" w:rsidRPr="006645DC" w14:paraId="78FBF128" w14:textId="77777777" w:rsidTr="006C684A">
        <w:trPr>
          <w:jc w:val="center"/>
        </w:trPr>
        <w:tc>
          <w:tcPr>
            <w:tcW w:w="1526" w:type="dxa"/>
            <w:vAlign w:val="center"/>
            <w:hideMark/>
          </w:tcPr>
          <w:p w14:paraId="56DD2AE2" w14:textId="77777777" w:rsidR="006C684A" w:rsidRPr="006645DC" w:rsidRDefault="006C684A">
            <w:pPr>
              <w:keepNext/>
              <w:keepLines/>
              <w:suppressAutoHyphens/>
              <w:spacing w:before="0" w:after="0" w:line="276" w:lineRule="auto"/>
              <w:ind w:hanging="31"/>
              <w:rPr>
                <w:rFonts w:eastAsia="Arial" w:cs="Calibri"/>
                <w:kern w:val="2"/>
                <w:lang w:val="en-GB"/>
              </w:rPr>
            </w:pPr>
            <w:r w:rsidRPr="006645DC">
              <w:rPr>
                <w:lang w:val="en-GB"/>
              </w:rPr>
              <w:t>Negru Voda</w:t>
            </w:r>
          </w:p>
        </w:tc>
        <w:tc>
          <w:tcPr>
            <w:tcW w:w="1559" w:type="dxa"/>
            <w:vAlign w:val="center"/>
            <w:hideMark/>
          </w:tcPr>
          <w:p w14:paraId="7DC302DB"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Kardam</w:t>
            </w:r>
          </w:p>
        </w:tc>
        <w:tc>
          <w:tcPr>
            <w:tcW w:w="2954" w:type="dxa"/>
            <w:vAlign w:val="center"/>
            <w:hideMark/>
          </w:tcPr>
          <w:p w14:paraId="3D5174D5" w14:textId="77777777" w:rsidR="006C684A" w:rsidRPr="006645DC" w:rsidRDefault="006C684A">
            <w:pPr>
              <w:keepNext/>
              <w:keepLines/>
              <w:suppressAutoHyphens/>
              <w:spacing w:before="0" w:after="0" w:line="276" w:lineRule="auto"/>
              <w:jc w:val="center"/>
              <w:rPr>
                <w:rFonts w:eastAsia="Arial" w:cs="Calibri"/>
                <w:kern w:val="2"/>
                <w:lang w:val="en-GB"/>
              </w:rPr>
            </w:pPr>
            <w:r w:rsidRPr="006645DC">
              <w:rPr>
                <w:lang w:val="en-GB"/>
              </w:rPr>
              <w:t>Road transport (road) and rail transport</w:t>
            </w:r>
          </w:p>
        </w:tc>
      </w:tr>
      <w:tr w:rsidR="006C684A" w:rsidRPr="006645DC" w14:paraId="026F4A68" w14:textId="77777777" w:rsidTr="006C684A">
        <w:trPr>
          <w:jc w:val="center"/>
        </w:trPr>
        <w:tc>
          <w:tcPr>
            <w:tcW w:w="1526" w:type="dxa"/>
            <w:vAlign w:val="center"/>
            <w:hideMark/>
          </w:tcPr>
          <w:p w14:paraId="745F8D4E" w14:textId="77777777" w:rsidR="006C684A" w:rsidRPr="006645DC" w:rsidRDefault="006C684A">
            <w:pPr>
              <w:keepNext/>
              <w:keepLines/>
              <w:suppressAutoHyphens/>
              <w:spacing w:before="0" w:after="0" w:line="276" w:lineRule="auto"/>
              <w:ind w:hanging="31"/>
              <w:rPr>
                <w:rFonts w:eastAsia="Arial" w:cs="Calibri"/>
                <w:kern w:val="2"/>
                <w:lang w:val="en-GB"/>
              </w:rPr>
            </w:pPr>
            <w:r w:rsidRPr="006645DC">
              <w:rPr>
                <w:lang w:val="en-GB"/>
              </w:rPr>
              <w:t>Vama Veche</w:t>
            </w:r>
          </w:p>
        </w:tc>
        <w:tc>
          <w:tcPr>
            <w:tcW w:w="1559" w:type="dxa"/>
            <w:vAlign w:val="center"/>
            <w:hideMark/>
          </w:tcPr>
          <w:p w14:paraId="10BCDA42" w14:textId="77777777" w:rsidR="006C684A" w:rsidRPr="006645DC" w:rsidRDefault="006C684A">
            <w:pPr>
              <w:keepNext/>
              <w:keepLines/>
              <w:suppressAutoHyphens/>
              <w:spacing w:before="0" w:after="0" w:line="276" w:lineRule="auto"/>
              <w:rPr>
                <w:rFonts w:eastAsia="Arial" w:cs="Calibri"/>
                <w:kern w:val="2"/>
                <w:lang w:val="en-GB"/>
              </w:rPr>
            </w:pPr>
            <w:r w:rsidRPr="006645DC">
              <w:rPr>
                <w:lang w:val="en-GB"/>
              </w:rPr>
              <w:t>Durankulak</w:t>
            </w:r>
          </w:p>
        </w:tc>
        <w:tc>
          <w:tcPr>
            <w:tcW w:w="2954" w:type="dxa"/>
            <w:vAlign w:val="center"/>
            <w:hideMark/>
          </w:tcPr>
          <w:p w14:paraId="380DBF43" w14:textId="77777777" w:rsidR="006C684A" w:rsidRPr="006645DC" w:rsidRDefault="006C684A">
            <w:pPr>
              <w:keepNext/>
              <w:keepLines/>
              <w:suppressAutoHyphens/>
              <w:spacing w:before="0" w:after="0" w:line="276" w:lineRule="auto"/>
              <w:jc w:val="center"/>
              <w:rPr>
                <w:rFonts w:eastAsia="Arial" w:cs="Calibri"/>
                <w:kern w:val="2"/>
                <w:lang w:val="en-GB"/>
              </w:rPr>
            </w:pPr>
            <w:r w:rsidRPr="006645DC">
              <w:rPr>
                <w:lang w:val="en-GB"/>
              </w:rPr>
              <w:t>Road transport (road)</w:t>
            </w:r>
          </w:p>
        </w:tc>
      </w:tr>
      <w:tr w:rsidR="006C684A" w:rsidRPr="006645DC" w14:paraId="5007648F" w14:textId="77777777" w:rsidTr="006C684A">
        <w:trPr>
          <w:jc w:val="center"/>
        </w:trPr>
        <w:tc>
          <w:tcPr>
            <w:tcW w:w="1526" w:type="dxa"/>
            <w:vAlign w:val="center"/>
          </w:tcPr>
          <w:p w14:paraId="02861BD3" w14:textId="77777777" w:rsidR="006C684A" w:rsidRPr="006645DC" w:rsidRDefault="006C684A">
            <w:pPr>
              <w:keepNext/>
              <w:keepLines/>
              <w:suppressAutoHyphens/>
              <w:spacing w:before="0" w:after="0" w:line="276" w:lineRule="auto"/>
              <w:ind w:hanging="31"/>
              <w:rPr>
                <w:lang w:val="en-GB"/>
              </w:rPr>
            </w:pPr>
            <w:r w:rsidRPr="006645DC">
              <w:rPr>
                <w:lang w:val="en-GB"/>
              </w:rPr>
              <w:t>Turnu Magurele</w:t>
            </w:r>
          </w:p>
        </w:tc>
        <w:tc>
          <w:tcPr>
            <w:tcW w:w="1559" w:type="dxa"/>
            <w:vAlign w:val="center"/>
          </w:tcPr>
          <w:p w14:paraId="6DE62F4A" w14:textId="77777777" w:rsidR="006C684A" w:rsidRPr="006645DC" w:rsidRDefault="006C684A">
            <w:pPr>
              <w:keepNext/>
              <w:keepLines/>
              <w:suppressAutoHyphens/>
              <w:spacing w:before="0" w:after="0" w:line="276" w:lineRule="auto"/>
              <w:rPr>
                <w:lang w:val="en-GB"/>
              </w:rPr>
            </w:pPr>
            <w:r w:rsidRPr="006645DC">
              <w:rPr>
                <w:lang w:val="en-GB"/>
              </w:rPr>
              <w:t>Nikopol</w:t>
            </w:r>
          </w:p>
        </w:tc>
        <w:tc>
          <w:tcPr>
            <w:tcW w:w="2954" w:type="dxa"/>
            <w:vAlign w:val="center"/>
          </w:tcPr>
          <w:p w14:paraId="32B11F38" w14:textId="77777777" w:rsidR="006C684A" w:rsidRPr="006645DC" w:rsidRDefault="006C684A">
            <w:pPr>
              <w:keepNext/>
              <w:keepLines/>
              <w:suppressAutoHyphens/>
              <w:spacing w:before="0" w:after="0" w:line="276" w:lineRule="auto"/>
              <w:jc w:val="center"/>
              <w:rPr>
                <w:lang w:val="en-GB"/>
              </w:rPr>
            </w:pPr>
            <w:r w:rsidRPr="006645DC">
              <w:rPr>
                <w:lang w:val="en-GB"/>
              </w:rPr>
              <w:t>Water transport (ferry)</w:t>
            </w:r>
          </w:p>
        </w:tc>
      </w:tr>
    </w:tbl>
    <w:p w14:paraId="46A9AB26" w14:textId="77777777" w:rsidR="00587CF0" w:rsidRPr="006645DC" w:rsidRDefault="00587CF0" w:rsidP="00587CF0">
      <w:pPr>
        <w:pStyle w:val="Lgende1"/>
        <w:rPr>
          <w:kern w:val="2"/>
          <w:lang w:val="en-GB"/>
        </w:rPr>
      </w:pPr>
      <w:bookmarkStart w:id="156" w:name="_Toc391150108"/>
      <w:r w:rsidRPr="006645DC">
        <w:rPr>
          <w:lang w:val="en-GB"/>
        </w:rPr>
        <w:t xml:space="preserve">Table </w:t>
      </w:r>
      <w:r w:rsidR="005979EB" w:rsidRPr="006645DC">
        <w:rPr>
          <w:lang w:val="en-GB"/>
        </w:rPr>
        <w:fldChar w:fldCharType="begin"/>
      </w:r>
      <w:r w:rsidRPr="006645DC">
        <w:rPr>
          <w:lang w:val="en-GB"/>
        </w:rPr>
        <w:instrText xml:space="preserve"> SEQ "Table" \*Arabic </w:instrText>
      </w:r>
      <w:r w:rsidR="005979EB" w:rsidRPr="006645DC">
        <w:rPr>
          <w:lang w:val="en-GB"/>
        </w:rPr>
        <w:fldChar w:fldCharType="separate"/>
      </w:r>
      <w:r w:rsidR="00523DE6">
        <w:rPr>
          <w:noProof/>
          <w:lang w:val="en-GB"/>
        </w:rPr>
        <w:t>11</w:t>
      </w:r>
      <w:r w:rsidR="005979EB" w:rsidRPr="006645DC">
        <w:rPr>
          <w:lang w:val="en-GB"/>
        </w:rPr>
        <w:fldChar w:fldCharType="end"/>
      </w:r>
      <w:r w:rsidRPr="006645DC">
        <w:rPr>
          <w:lang w:val="en-GB"/>
        </w:rPr>
        <w:t xml:space="preserve"> - Border crossing points between Romania and Bulgaria</w:t>
      </w:r>
      <w:bookmarkEnd w:id="156"/>
    </w:p>
    <w:p w14:paraId="051CCC11" w14:textId="4AC3210E" w:rsidR="00345804" w:rsidRPr="00C367E2" w:rsidRDefault="00587CF0" w:rsidP="00C367E2">
      <w:pPr>
        <w:pStyle w:val="Heading4"/>
        <w:rPr>
          <w:lang w:val="en-GB"/>
        </w:rPr>
      </w:pPr>
      <w:r w:rsidRPr="006645DC">
        <w:rPr>
          <w:lang w:val="en-GB" w:eastAsia="ro-RO"/>
        </w:rPr>
        <w:t>Source: Spatial Project</w:t>
      </w:r>
    </w:p>
    <w:p w14:paraId="3AD7F5D8" w14:textId="77777777" w:rsidR="00C367E2" w:rsidRDefault="00C367E2" w:rsidP="00345804">
      <w:pPr>
        <w:spacing w:line="276" w:lineRule="auto"/>
        <w:rPr>
          <w:shd w:val="clear" w:color="auto" w:fill="FFFFFF"/>
          <w:lang w:val="en-GB"/>
        </w:rPr>
      </w:pPr>
    </w:p>
    <w:p w14:paraId="3CCD5043" w14:textId="77777777" w:rsidR="00345804" w:rsidRPr="006645DC" w:rsidRDefault="00345804" w:rsidP="00345804">
      <w:pPr>
        <w:spacing w:line="276" w:lineRule="auto"/>
        <w:rPr>
          <w:rFonts w:cs="Calibri"/>
          <w:lang w:val="en-GB"/>
        </w:rPr>
      </w:pPr>
      <w:r w:rsidRPr="006645DC">
        <w:rPr>
          <w:shd w:val="clear" w:color="auto" w:fill="FFFFFF"/>
          <w:lang w:val="en-GB"/>
        </w:rPr>
        <w:t>The financing memorandum signed by the European Commission and Bulgaria estimated that the traffic over the new Calafat-Vidin Bridge would increase to 8400 cars and 30 trains per day until 2030.</w:t>
      </w:r>
    </w:p>
    <w:p w14:paraId="2B8CFB00" w14:textId="77777777" w:rsidR="00345804" w:rsidRPr="006645DC" w:rsidRDefault="00345804" w:rsidP="00345804">
      <w:pPr>
        <w:spacing w:line="276" w:lineRule="auto"/>
        <w:rPr>
          <w:lang w:val="en-GB"/>
        </w:rPr>
      </w:pPr>
      <w:r w:rsidRPr="006645DC">
        <w:rPr>
          <w:lang w:val="en-GB"/>
        </w:rPr>
        <w:t>The aim of cross-border infrastructure planning is to decrease the number of the so-called “dead-end” infrastructures mainly through the common border along the Danube. The problem of dead-end infrastructures shows that there is a low connectivity between the two countries but also low accessibility of cross-border areas to existing national infrastructure and major corridors.</w:t>
      </w:r>
    </w:p>
    <w:p w14:paraId="5A85EE9D" w14:textId="77777777" w:rsidR="00587CF0" w:rsidRPr="006645DC" w:rsidRDefault="00AA4C82" w:rsidP="00587CF0">
      <w:pPr>
        <w:pStyle w:val="BodyText"/>
        <w:jc w:val="center"/>
        <w:rPr>
          <w:rFonts w:ascii="Calibri" w:hAnsi="Calibri"/>
          <w:lang w:val="en-GB"/>
        </w:rPr>
      </w:pPr>
      <w:r w:rsidRPr="006645DC">
        <w:rPr>
          <w:noProof/>
          <w:snapToGrid/>
          <w:lang w:val="bg-BG" w:eastAsia="bg-BG"/>
        </w:rPr>
        <w:lastRenderedPageBreak/>
        <w:drawing>
          <wp:inline distT="0" distB="0" distL="0" distR="0" wp14:anchorId="53288E4E" wp14:editId="55E83142">
            <wp:extent cx="6134100" cy="3295650"/>
            <wp:effectExtent l="19050" t="0" r="0" b="0"/>
            <wp:docPr id="414" name="Imag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71"/>
                    <a:srcRect/>
                    <a:stretch>
                      <a:fillRect/>
                    </a:stretch>
                  </pic:blipFill>
                  <pic:spPr bwMode="auto">
                    <a:xfrm>
                      <a:off x="0" y="0"/>
                      <a:ext cx="6134100" cy="3295650"/>
                    </a:xfrm>
                    <a:prstGeom prst="rect">
                      <a:avLst/>
                    </a:prstGeom>
                    <a:solidFill>
                      <a:srgbClr val="FFFFFF"/>
                    </a:solidFill>
                    <a:ln w="9525">
                      <a:noFill/>
                      <a:miter lim="800000"/>
                      <a:headEnd/>
                      <a:tailEnd/>
                    </a:ln>
                  </pic:spPr>
                </pic:pic>
              </a:graphicData>
            </a:graphic>
          </wp:inline>
        </w:drawing>
      </w:r>
    </w:p>
    <w:p w14:paraId="5F1FDF0A" w14:textId="77777777" w:rsidR="00587CF0" w:rsidRPr="006645DC" w:rsidRDefault="00587CF0" w:rsidP="00587CF0">
      <w:pPr>
        <w:pStyle w:val="BodyText"/>
        <w:jc w:val="center"/>
        <w:rPr>
          <w:rFonts w:ascii="Calibri" w:hAnsi="Calibri"/>
          <w:lang w:val="en-GB"/>
        </w:rPr>
      </w:pPr>
    </w:p>
    <w:p w14:paraId="64BC72F3" w14:textId="77777777" w:rsidR="00587CF0" w:rsidRPr="006645DC" w:rsidRDefault="00587CF0" w:rsidP="00587CF0">
      <w:pPr>
        <w:pStyle w:val="Lgende1"/>
        <w:rPr>
          <w:lang w:val="en-GB"/>
        </w:rPr>
      </w:pPr>
      <w:bookmarkStart w:id="157" w:name="_Toc391150015"/>
      <w:r w:rsidRPr="006645DC">
        <w:rPr>
          <w:lang w:val="en-GB"/>
        </w:rPr>
        <w:t xml:space="preserve">Map </w:t>
      </w:r>
      <w:r w:rsidR="005979EB" w:rsidRPr="006645DC">
        <w:rPr>
          <w:lang w:val="en-GB"/>
        </w:rPr>
        <w:fldChar w:fldCharType="begin"/>
      </w:r>
      <w:r w:rsidRPr="006645DC">
        <w:rPr>
          <w:lang w:val="en-GB"/>
        </w:rPr>
        <w:instrText xml:space="preserve"> SEQ "Map" \*Arabic </w:instrText>
      </w:r>
      <w:r w:rsidR="005979EB" w:rsidRPr="006645DC">
        <w:rPr>
          <w:lang w:val="en-GB"/>
        </w:rPr>
        <w:fldChar w:fldCharType="separate"/>
      </w:r>
      <w:r w:rsidR="00523DE6">
        <w:rPr>
          <w:noProof/>
          <w:lang w:val="en-GB"/>
        </w:rPr>
        <w:t>11</w:t>
      </w:r>
      <w:r w:rsidR="005979EB" w:rsidRPr="006645DC">
        <w:rPr>
          <w:lang w:val="en-GB"/>
        </w:rPr>
        <w:fldChar w:fldCharType="end"/>
      </w:r>
      <w:r w:rsidRPr="006645DC">
        <w:rPr>
          <w:lang w:val="en-GB"/>
        </w:rPr>
        <w:t xml:space="preserve"> - Transit flows in the cross-border region</w:t>
      </w:r>
      <w:bookmarkEnd w:id="157"/>
    </w:p>
    <w:p w14:paraId="2C92B8D5" w14:textId="77777777" w:rsidR="00587CF0" w:rsidRPr="006645DC" w:rsidRDefault="00587CF0" w:rsidP="00587CF0">
      <w:pPr>
        <w:pStyle w:val="Heading4"/>
        <w:rPr>
          <w:lang w:val="en-GB"/>
        </w:rPr>
      </w:pPr>
      <w:r w:rsidRPr="006645DC">
        <w:rPr>
          <w:lang w:val="en-GB"/>
        </w:rPr>
        <w:t>Data source: National Institute of Statistics</w:t>
      </w:r>
    </w:p>
    <w:p w14:paraId="13C99414" w14:textId="77777777" w:rsidR="00587CF0" w:rsidRPr="006645DC" w:rsidRDefault="00587CF0" w:rsidP="00587CF0">
      <w:pPr>
        <w:pStyle w:val="Heading3"/>
        <w:numPr>
          <w:ilvl w:val="0"/>
          <w:numId w:val="0"/>
        </w:numPr>
        <w:tabs>
          <w:tab w:val="left" w:pos="708"/>
        </w:tabs>
        <w:ind w:left="927" w:hanging="357"/>
        <w:rPr>
          <w:lang w:val="en-GB"/>
        </w:rPr>
      </w:pPr>
      <w:bookmarkStart w:id="158" w:name="_Toc373519524"/>
    </w:p>
    <w:p w14:paraId="37428ECB" w14:textId="77777777" w:rsidR="00587CF0" w:rsidRPr="006645DC" w:rsidRDefault="00587CF0" w:rsidP="00C951D5">
      <w:pPr>
        <w:pStyle w:val="Heading3"/>
        <w:numPr>
          <w:ilvl w:val="0"/>
          <w:numId w:val="80"/>
        </w:numPr>
        <w:rPr>
          <w:lang w:val="en-GB"/>
        </w:rPr>
      </w:pPr>
      <w:bookmarkStart w:id="159" w:name="_Toc254543773"/>
      <w:r w:rsidRPr="006645DC">
        <w:rPr>
          <w:lang w:val="en-GB"/>
        </w:rPr>
        <w:t>Twin cities along the cross-border region</w:t>
      </w:r>
      <w:bookmarkEnd w:id="158"/>
      <w:bookmarkEnd w:id="159"/>
      <w:r w:rsidRPr="006645DC">
        <w:rPr>
          <w:lang w:val="en-GB"/>
        </w:rPr>
        <w:t xml:space="preserve"> </w:t>
      </w:r>
    </w:p>
    <w:p w14:paraId="0F6CDF2F" w14:textId="77777777" w:rsidR="00587CF0" w:rsidRPr="006645DC" w:rsidRDefault="00587CF0" w:rsidP="00587CF0">
      <w:pPr>
        <w:rPr>
          <w:lang w:val="en-GB"/>
        </w:rPr>
      </w:pPr>
      <w:r w:rsidRPr="006645DC">
        <w:rPr>
          <w:lang w:val="en-GB"/>
        </w:rPr>
        <w:t>The Romanian Bulgarian border along the Danube has always been a natural barrier, except for some fords that gradually became transversal circulation axes. These have favoured the individualization of some nuclei of human concentration, leading to the appearance of doublet settlements with local or regional polarization function: Calafat-Vidin, Bechet-Oreahovo, Turnu Magurele-Nikopol, Zimnicea-Svistov,</w:t>
      </w:r>
      <w:r w:rsidRPr="006645DC">
        <w:rPr>
          <w:rFonts w:ascii="Calluna-Regular" w:hAnsi="Calluna-Regular" w:cs="Calluna-Regular"/>
          <w:sz w:val="20"/>
          <w:szCs w:val="20"/>
          <w:lang w:val="en-GB"/>
        </w:rPr>
        <w:t xml:space="preserve"> </w:t>
      </w:r>
      <w:r w:rsidRPr="006645DC">
        <w:rPr>
          <w:lang w:val="en-GB"/>
        </w:rPr>
        <w:t>Giurgiu-Ruse, Oltenita-Tutrakan and Calarasi-Silistra.</w:t>
      </w:r>
    </w:p>
    <w:p w14:paraId="5EBAD4F4" w14:textId="77777777" w:rsidR="00587CF0" w:rsidRPr="006645DC" w:rsidRDefault="00587CF0" w:rsidP="00587CF0">
      <w:pPr>
        <w:rPr>
          <w:lang w:val="en-GB"/>
        </w:rPr>
      </w:pPr>
    </w:p>
    <w:p w14:paraId="40888E66" w14:textId="77777777" w:rsidR="00587CF0" w:rsidRPr="006645DC" w:rsidRDefault="00AA4C82" w:rsidP="00587CF0">
      <w:pPr>
        <w:jc w:val="center"/>
        <w:rPr>
          <w:lang w:val="en-GB"/>
        </w:rPr>
      </w:pPr>
      <w:r w:rsidRPr="006645DC">
        <w:rPr>
          <w:noProof/>
          <w:lang w:val="bg-BG" w:eastAsia="bg-BG"/>
        </w:rPr>
        <w:lastRenderedPageBreak/>
        <w:drawing>
          <wp:inline distT="0" distB="0" distL="0" distR="0" wp14:anchorId="47B69288" wp14:editId="4E3FB2BE">
            <wp:extent cx="5047013" cy="2100815"/>
            <wp:effectExtent l="0" t="0" r="1270" b="0"/>
            <wp:docPr id="415" name="Imag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72"/>
                    <a:srcRect/>
                    <a:stretch>
                      <a:fillRect/>
                    </a:stretch>
                  </pic:blipFill>
                  <pic:spPr bwMode="auto">
                    <a:xfrm>
                      <a:off x="0" y="0"/>
                      <a:ext cx="5057775" cy="2105295"/>
                    </a:xfrm>
                    <a:prstGeom prst="rect">
                      <a:avLst/>
                    </a:prstGeom>
                    <a:solidFill>
                      <a:srgbClr val="FFFFFF"/>
                    </a:solidFill>
                    <a:ln w="9525">
                      <a:noFill/>
                      <a:miter lim="800000"/>
                      <a:headEnd/>
                      <a:tailEnd/>
                    </a:ln>
                  </pic:spPr>
                </pic:pic>
              </a:graphicData>
            </a:graphic>
          </wp:inline>
        </w:drawing>
      </w:r>
    </w:p>
    <w:p w14:paraId="51CBBF43" w14:textId="77777777" w:rsidR="00587CF0" w:rsidRPr="006645DC" w:rsidRDefault="00587CF0" w:rsidP="00587CF0">
      <w:pPr>
        <w:pStyle w:val="Lgende1"/>
        <w:rPr>
          <w:lang w:val="en-GB"/>
        </w:rPr>
      </w:pPr>
      <w:bookmarkStart w:id="160" w:name="_Toc391150016"/>
      <w:r w:rsidRPr="006645DC">
        <w:rPr>
          <w:lang w:val="en-GB"/>
        </w:rPr>
        <w:t xml:space="preserve">Map </w:t>
      </w:r>
      <w:r w:rsidR="005979EB" w:rsidRPr="006645DC">
        <w:rPr>
          <w:lang w:val="en-GB"/>
        </w:rPr>
        <w:fldChar w:fldCharType="begin"/>
      </w:r>
      <w:r w:rsidRPr="006645DC">
        <w:rPr>
          <w:lang w:val="en-GB"/>
        </w:rPr>
        <w:instrText xml:space="preserve"> SEQ "Map" \*Arabic </w:instrText>
      </w:r>
      <w:r w:rsidR="005979EB" w:rsidRPr="006645DC">
        <w:rPr>
          <w:lang w:val="en-GB"/>
        </w:rPr>
        <w:fldChar w:fldCharType="separate"/>
      </w:r>
      <w:r w:rsidR="00523DE6">
        <w:rPr>
          <w:noProof/>
          <w:lang w:val="en-GB"/>
        </w:rPr>
        <w:t>12</w:t>
      </w:r>
      <w:r w:rsidR="005979EB" w:rsidRPr="006645DC">
        <w:rPr>
          <w:lang w:val="en-GB"/>
        </w:rPr>
        <w:fldChar w:fldCharType="end"/>
      </w:r>
      <w:r w:rsidRPr="006645DC">
        <w:rPr>
          <w:lang w:val="en-GB"/>
        </w:rPr>
        <w:t xml:space="preserve"> – Twin cities</w:t>
      </w:r>
      <w:bookmarkEnd w:id="160"/>
    </w:p>
    <w:p w14:paraId="10754FE0" w14:textId="77777777" w:rsidR="00587CF0" w:rsidRPr="006645DC" w:rsidRDefault="00587CF0" w:rsidP="00587CF0">
      <w:pPr>
        <w:pStyle w:val="Heading4"/>
        <w:rPr>
          <w:lang w:val="en-GB"/>
        </w:rPr>
      </w:pPr>
      <w:r w:rsidRPr="006645DC">
        <w:rPr>
          <w:lang w:val="en-GB"/>
        </w:rPr>
        <w:t>Source: Spatial Project</w:t>
      </w:r>
    </w:p>
    <w:p w14:paraId="7F85F261" w14:textId="0A5FE796" w:rsidR="001963C3" w:rsidRDefault="00587CF0" w:rsidP="00587CF0">
      <w:pPr>
        <w:rPr>
          <w:lang w:val="en-GB"/>
        </w:rPr>
      </w:pPr>
      <w:r w:rsidRPr="006645DC">
        <w:rPr>
          <w:lang w:val="en-GB"/>
        </w:rPr>
        <w:t>These twin cities have played a leading role in setting up the connection between the RO BG cross-border area, the Black sea, the Balkan Peninsula and Central Asia by guiding and distributing the cross-border fluxes in the Danube lined sector of the Romanian-Bulgarian border. Indeed, the Danube River was both an important axis of transversal fluxes and of longitudinal fluxes that generated this “urban belt” based on specific economic activity. The polarisation potential of harbour towns was closely related to the process of connecting harbours to the land transport system, as well as the role of some towns as customs points. The integrated development of the cross-border area is a good opportunity for the development of integrated planning strategies in these cities (e.g. sustainable mobility plans).</w:t>
      </w:r>
    </w:p>
    <w:p w14:paraId="50B0614F" w14:textId="77777777" w:rsidR="00587CF0" w:rsidRPr="006645DC" w:rsidRDefault="00587CF0" w:rsidP="00EC1CAA">
      <w:pPr>
        <w:pStyle w:val="Heading3"/>
        <w:rPr>
          <w:lang w:val="en-GB"/>
        </w:rPr>
      </w:pPr>
      <w:bookmarkStart w:id="161" w:name="_Toc371092793"/>
      <w:bookmarkStart w:id="162" w:name="_Toc373519525"/>
      <w:bookmarkStart w:id="163" w:name="_Toc254543774"/>
      <w:r w:rsidRPr="006645DC">
        <w:rPr>
          <w:lang w:val="en-GB"/>
        </w:rPr>
        <w:t>Fluvial and Sea Ports</w:t>
      </w:r>
      <w:bookmarkEnd w:id="161"/>
      <w:bookmarkEnd w:id="162"/>
      <w:bookmarkEnd w:id="163"/>
      <w:r w:rsidRPr="006645DC">
        <w:rPr>
          <w:lang w:val="en-GB"/>
        </w:rPr>
        <w:t xml:space="preserve"> </w:t>
      </w:r>
    </w:p>
    <w:p w14:paraId="1991E719" w14:textId="77777777" w:rsidR="00587CF0" w:rsidRPr="006645DC" w:rsidRDefault="00AA4C82" w:rsidP="00587CF0">
      <w:pPr>
        <w:spacing w:after="0"/>
        <w:jc w:val="center"/>
        <w:rPr>
          <w:i/>
          <w:sz w:val="18"/>
          <w:szCs w:val="18"/>
          <w:lang w:val="en-GB"/>
        </w:rPr>
      </w:pPr>
      <w:r w:rsidRPr="006645DC">
        <w:rPr>
          <w:noProof/>
          <w:lang w:val="bg-BG" w:eastAsia="bg-BG"/>
        </w:rPr>
        <w:drawing>
          <wp:inline distT="0" distB="0" distL="0" distR="0" wp14:anchorId="6DE772B5" wp14:editId="3A38C541">
            <wp:extent cx="4868312" cy="2671948"/>
            <wp:effectExtent l="0" t="0" r="8890" b="0"/>
            <wp:docPr id="416" name="Imag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73"/>
                    <a:srcRect/>
                    <a:stretch>
                      <a:fillRect/>
                    </a:stretch>
                  </pic:blipFill>
                  <pic:spPr bwMode="auto">
                    <a:xfrm>
                      <a:off x="0" y="0"/>
                      <a:ext cx="4876800" cy="2676606"/>
                    </a:xfrm>
                    <a:prstGeom prst="rect">
                      <a:avLst/>
                    </a:prstGeom>
                    <a:solidFill>
                      <a:srgbClr val="FFFFFF"/>
                    </a:solidFill>
                    <a:ln w="9525">
                      <a:noFill/>
                      <a:miter lim="800000"/>
                      <a:headEnd/>
                      <a:tailEnd/>
                    </a:ln>
                  </pic:spPr>
                </pic:pic>
              </a:graphicData>
            </a:graphic>
          </wp:inline>
        </w:drawing>
      </w:r>
    </w:p>
    <w:p w14:paraId="0D5B63EE" w14:textId="77777777" w:rsidR="00587CF0" w:rsidRPr="006645DC" w:rsidRDefault="00587CF0" w:rsidP="00587CF0">
      <w:pPr>
        <w:spacing w:before="0"/>
        <w:jc w:val="right"/>
        <w:rPr>
          <w:lang w:val="en-GB"/>
        </w:rPr>
      </w:pPr>
      <w:r w:rsidRPr="006645DC">
        <w:rPr>
          <w:i/>
          <w:sz w:val="18"/>
          <w:szCs w:val="18"/>
          <w:lang w:val="en-GB"/>
        </w:rPr>
        <w:t>Source: www.dahar.eu</w:t>
      </w:r>
    </w:p>
    <w:p w14:paraId="06155DA2" w14:textId="77777777" w:rsidR="00587CF0" w:rsidRPr="006645DC" w:rsidRDefault="00587CF0" w:rsidP="00587CF0">
      <w:pPr>
        <w:rPr>
          <w:lang w:val="en-GB"/>
        </w:rPr>
      </w:pPr>
      <w:r w:rsidRPr="006645DC">
        <w:rPr>
          <w:lang w:val="en-GB"/>
        </w:rPr>
        <w:lastRenderedPageBreak/>
        <w:t xml:space="preserve">The Danube and its tributaries are traditional freight transport routes, considering that there are 2,414 km from Keleim (Germany) to Sulina (Romania), connecting 78 ports. The most important ports along the Danube in the cross-border region are the following: Drobeta Turnu Severin, Calafat, Turnu Magurele, Giurgiu, Olteniţa, Călăraşi in Romania and Vidin, Lom, Oryahovo, Svishtov, Ruse, and Silistra in Bulgaria. Tourist boats stop at Giurgiu and Olteniţa just to reach Bucarest for a one day visit. However the infrastructures of the ports along the Danube could be developed to better take into consideration the needs of the leisure industry and tourism, which is not the case at the moment. </w:t>
      </w:r>
    </w:p>
    <w:p w14:paraId="7CB5BDDB" w14:textId="77777777" w:rsidR="00587CF0" w:rsidRPr="006645DC" w:rsidRDefault="00587CF0" w:rsidP="00587CF0">
      <w:pPr>
        <w:rPr>
          <w:lang w:val="en-GB"/>
        </w:rPr>
      </w:pPr>
      <w:r w:rsidRPr="006645DC">
        <w:rPr>
          <w:lang w:val="en-GB"/>
        </w:rPr>
        <w:t xml:space="preserve">The most important port on the Black Sea is Constanţa. The port covers an area of 1,313 ha waterside territory, 65 km of jetties and it is able to receive ship up to 250,000 tdw. It is an important link between Western, Central Europe and Central Asia and the Trans-Caucasus. Most of its turnover is based on the traffic of raw materials from the Russian Federation and traffic of containers from the Far East. The port of Constanţa generates 70% of the inland waterway international and transit traffic, 40% of the railway international and transit traffic and 12% of the road international and transit traffic. The port of Constanţa is connected to the Danube through the Danube-Black Sea Canal (64.2 km length). </w:t>
      </w:r>
    </w:p>
    <w:p w14:paraId="634168A0" w14:textId="77777777" w:rsidR="00587CF0" w:rsidRPr="006645DC" w:rsidRDefault="00587CF0" w:rsidP="00587CF0">
      <w:pPr>
        <w:rPr>
          <w:lang w:val="en-GB"/>
        </w:rPr>
      </w:pPr>
      <w:r w:rsidRPr="006645DC">
        <w:rPr>
          <w:lang w:val="en-GB"/>
        </w:rPr>
        <w:t>Romania has lower trade costs than the other countries in the region. Trade costs vis-a-vis the EU markets are lower for Romania than for Turkey, which is, further away from the EU than Romania and less integrated with the EU from an economic point of view.</w:t>
      </w:r>
    </w:p>
    <w:p w14:paraId="5F57BBE2" w14:textId="77777777" w:rsidR="00587CF0" w:rsidRPr="006645DC" w:rsidRDefault="004A1ABE" w:rsidP="00587CF0">
      <w:pPr>
        <w:jc w:val="center"/>
        <w:rPr>
          <w:lang w:val="en-GB"/>
        </w:rPr>
      </w:pPr>
      <w:r w:rsidRPr="006645DC">
        <w:rPr>
          <w:noProof/>
          <w:lang w:val="bg-BG" w:eastAsia="bg-BG"/>
        </w:rPr>
        <w:drawing>
          <wp:inline distT="0" distB="0" distL="0" distR="0" wp14:anchorId="238C6169" wp14:editId="5B81BFBA">
            <wp:extent cx="5943600" cy="2633079"/>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pic:cNvPicPr>
                      <a:picLocks noChangeAspect="1" noChangeArrowheads="1"/>
                    </pic:cNvPicPr>
                  </pic:nvPicPr>
                  <pic:blipFill>
                    <a:blip r:embed="rId74">
                      <a:extLst>
                        <a:ext uri="{BEBA8EAE-BF5A-486C-A8C5-ECC9F3942E4B}">
                          <a14:imgProps xmlns:a14="http://schemas.microsoft.com/office/drawing/2010/main">
                            <a14:imgLayer r:embed="rId75">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943600" cy="2633079"/>
                    </a:xfrm>
                    <a:prstGeom prst="rect">
                      <a:avLst/>
                    </a:prstGeom>
                    <a:noFill/>
                    <a:ln>
                      <a:noFill/>
                    </a:ln>
                  </pic:spPr>
                </pic:pic>
              </a:graphicData>
            </a:graphic>
          </wp:inline>
        </w:drawing>
      </w:r>
    </w:p>
    <w:p w14:paraId="43CFAD4F" w14:textId="77777777" w:rsidR="00587CF0" w:rsidRPr="006645DC" w:rsidRDefault="00587CF0" w:rsidP="00587CF0">
      <w:pPr>
        <w:pStyle w:val="Lgende1"/>
        <w:rPr>
          <w:lang w:val="en-GB"/>
        </w:rPr>
      </w:pPr>
      <w:bookmarkStart w:id="164" w:name="_Toc373793936"/>
      <w:bookmarkStart w:id="165" w:name="_Toc391150076"/>
      <w:r w:rsidRPr="006645DC">
        <w:rPr>
          <w:lang w:val="en-GB"/>
        </w:rPr>
        <w:t xml:space="preserve">Fig. </w:t>
      </w:r>
      <w:r w:rsidR="005979EB" w:rsidRPr="006645DC">
        <w:rPr>
          <w:lang w:val="en-GB"/>
        </w:rPr>
        <w:fldChar w:fldCharType="begin"/>
      </w:r>
      <w:r w:rsidRPr="006645DC">
        <w:rPr>
          <w:lang w:val="en-GB"/>
        </w:rPr>
        <w:instrText xml:space="preserve"> SEQ "Fig." \*Arabic </w:instrText>
      </w:r>
      <w:r w:rsidR="005979EB" w:rsidRPr="006645DC">
        <w:rPr>
          <w:lang w:val="en-GB"/>
        </w:rPr>
        <w:fldChar w:fldCharType="separate"/>
      </w:r>
      <w:r w:rsidR="00523DE6">
        <w:rPr>
          <w:noProof/>
          <w:lang w:val="en-GB"/>
        </w:rPr>
        <w:t>27</w:t>
      </w:r>
      <w:r w:rsidR="005979EB" w:rsidRPr="006645DC">
        <w:rPr>
          <w:lang w:val="en-GB"/>
        </w:rPr>
        <w:fldChar w:fldCharType="end"/>
      </w:r>
      <w:r w:rsidRPr="006645DC">
        <w:rPr>
          <w:lang w:val="en-GB"/>
        </w:rPr>
        <w:t xml:space="preserve"> - Bilateral trade costs for Romania</w:t>
      </w:r>
      <w:r w:rsidR="004A1ABE" w:rsidRPr="006645DC">
        <w:rPr>
          <w:lang w:val="en-GB"/>
        </w:rPr>
        <w:t>, Bulgaria</w:t>
      </w:r>
      <w:r w:rsidRPr="006645DC">
        <w:rPr>
          <w:lang w:val="en-GB"/>
        </w:rPr>
        <w:t xml:space="preserve"> and comparator countries (ad valorem equivalent)</w:t>
      </w:r>
      <w:bookmarkEnd w:id="164"/>
      <w:bookmarkEnd w:id="165"/>
    </w:p>
    <w:p w14:paraId="1138923C" w14:textId="77777777" w:rsidR="00587CF0" w:rsidRPr="006645DC" w:rsidRDefault="00587CF0" w:rsidP="00587CF0">
      <w:pPr>
        <w:pStyle w:val="Heading4"/>
        <w:rPr>
          <w:lang w:val="en-GB"/>
        </w:rPr>
      </w:pPr>
      <w:r w:rsidRPr="006645DC">
        <w:rPr>
          <w:lang w:val="en-GB"/>
        </w:rPr>
        <w:t>Source: LPI 2012, WB</w:t>
      </w:r>
    </w:p>
    <w:p w14:paraId="424EB5CE" w14:textId="77777777" w:rsidR="00587CF0" w:rsidRPr="006645DC" w:rsidRDefault="00587CF0" w:rsidP="00587CF0">
      <w:pPr>
        <w:rPr>
          <w:lang w:val="en-GB"/>
        </w:rPr>
      </w:pPr>
      <w:r w:rsidRPr="006645DC">
        <w:rPr>
          <w:lang w:val="en-GB"/>
        </w:rPr>
        <w:t xml:space="preserve">Probably the most important problem concerning navigation on the lower Danube relates to the low water levels. Shipping during dry months often has to be stopped at several points of the cross-border area along the Danube (e.g., </w:t>
      </w:r>
      <w:r w:rsidRPr="006645DC">
        <w:rPr>
          <w:rFonts w:cs="Arial"/>
          <w:color w:val="000000"/>
          <w:lang w:val="en-GB" w:eastAsia="sk-SK"/>
        </w:rPr>
        <w:t>Iron Gate II – Călărasi)</w:t>
      </w:r>
      <w:r w:rsidRPr="006645DC">
        <w:rPr>
          <w:lang w:val="en-GB"/>
        </w:rPr>
        <w:t xml:space="preserve">. The Romanian and Bulgarian government have signed an agreement to improve the navigability of the Danube in the cross-border region. The same intention has been formulated by the transport ministers of the riparian states of the Danube. </w:t>
      </w:r>
    </w:p>
    <w:p w14:paraId="60A1678A" w14:textId="77777777" w:rsidR="00587CF0" w:rsidRPr="006645DC" w:rsidRDefault="00587CF0" w:rsidP="00587CF0">
      <w:pPr>
        <w:rPr>
          <w:lang w:val="en-GB"/>
        </w:rPr>
      </w:pPr>
      <w:r w:rsidRPr="006645DC">
        <w:rPr>
          <w:lang w:val="en-GB"/>
        </w:rPr>
        <w:lastRenderedPageBreak/>
        <w:t>Ports along the Danube are connected to national or European road or rail networks and have the potential to become logistics hubs. The EU strategy on the Danube region has the aim to fully exploit the potential of the Danube as a waterway and to increase the volume of transport on the Danube by 20%, by eliminating obstacles to navigation.</w:t>
      </w:r>
    </w:p>
    <w:p w14:paraId="2B0E12D1" w14:textId="77777777" w:rsidR="00587CF0" w:rsidRPr="006645DC" w:rsidRDefault="00587CF0" w:rsidP="00EA46BF">
      <w:pPr>
        <w:pStyle w:val="Heading2"/>
        <w:rPr>
          <w:lang w:val="en-GB"/>
        </w:rPr>
      </w:pPr>
      <w:bookmarkStart w:id="166" w:name="_Toc371284495"/>
      <w:bookmarkStart w:id="167" w:name="_Toc371092794"/>
      <w:bookmarkStart w:id="168" w:name="_Toc376198455"/>
      <w:bookmarkStart w:id="169" w:name="_Toc254543775"/>
      <w:bookmarkStart w:id="170" w:name="_Toc391150170"/>
      <w:r w:rsidRPr="006645DC">
        <w:rPr>
          <w:lang w:val="en-GB"/>
        </w:rPr>
        <w:t>Communication - Broadband connection</w:t>
      </w:r>
      <w:bookmarkEnd w:id="166"/>
      <w:bookmarkEnd w:id="167"/>
      <w:bookmarkEnd w:id="168"/>
      <w:bookmarkEnd w:id="169"/>
      <w:bookmarkEnd w:id="170"/>
    </w:p>
    <w:p w14:paraId="55F4B52A" w14:textId="77777777" w:rsidR="00587CF0" w:rsidRPr="006645DC" w:rsidRDefault="00587CF0" w:rsidP="00587CF0">
      <w:pPr>
        <w:rPr>
          <w:lang w:val="en-GB"/>
        </w:rPr>
      </w:pPr>
      <w:r w:rsidRPr="006645DC">
        <w:rPr>
          <w:lang w:val="en-GB"/>
        </w:rPr>
        <w:t xml:space="preserve">In 2009, the rate of households with broadband Internet connection varies in the programme area. This rate was the lowest on the Bulgarian side (15-37%) and the Eastern regions of the Romanian side reached the highest rate (57-71%). The increased use of Internet is not so significant in these regions compared to other parts of the European Union. Regarding the number of IP addresses in 2009, most of the regions in the cross-border were in the category 1-10.000 IP addresses with the exception of Constanta, where this indicator was between 10.001-50.000. The development level of the Internet infrastructure can also be measured with other indicators. For example, the international Internet backbone capacity of these border regions, which provides Internet traffic among the countries, is relatively stable but very low. </w:t>
      </w:r>
    </w:p>
    <w:p w14:paraId="27D6F2E9" w14:textId="77777777" w:rsidR="00587CF0" w:rsidRPr="006645DC" w:rsidRDefault="00587CF0" w:rsidP="00587CF0">
      <w:pPr>
        <w:rPr>
          <w:sz w:val="24"/>
          <w:szCs w:val="24"/>
          <w:lang w:val="en-GB"/>
        </w:rPr>
      </w:pPr>
      <w:r w:rsidRPr="006645DC">
        <w:rPr>
          <w:lang w:val="en-GB"/>
        </w:rPr>
        <w:t xml:space="preserve">Regarding the regular use of Internet, the Bulgarian cross-border regional data show a significant increase in 2009 compared to 2008. However, in 2010 a drop-down of the share using regularly Internet is observed for all the districts except Silistra. Reason for this can be the economic crisis, where households had to make choices regarding their family budgets and decrease their spending for goods and services. </w:t>
      </w:r>
    </w:p>
    <w:p w14:paraId="7C31A8A3" w14:textId="77777777" w:rsidR="00587CF0" w:rsidRPr="006645DC" w:rsidRDefault="00587CF0" w:rsidP="00587CF0">
      <w:pPr>
        <w:rPr>
          <w:sz w:val="24"/>
          <w:szCs w:val="24"/>
          <w:lang w:val="en-GB"/>
        </w:rPr>
      </w:pPr>
    </w:p>
    <w:tbl>
      <w:tblPr>
        <w:tblW w:w="0" w:type="auto"/>
        <w:jc w:val="center"/>
        <w:tblLayout w:type="fixed"/>
        <w:tblLook w:val="04A0" w:firstRow="1" w:lastRow="0" w:firstColumn="1" w:lastColumn="0" w:noHBand="0" w:noVBand="1"/>
      </w:tblPr>
      <w:tblGrid>
        <w:gridCol w:w="1742"/>
        <w:gridCol w:w="1003"/>
        <w:gridCol w:w="1003"/>
        <w:gridCol w:w="1003"/>
        <w:gridCol w:w="1004"/>
      </w:tblGrid>
      <w:tr w:rsidR="00587CF0" w:rsidRPr="006645DC" w14:paraId="208B464F" w14:textId="77777777" w:rsidTr="00587CF0">
        <w:trPr>
          <w:trHeight w:val="315"/>
          <w:jc w:val="center"/>
        </w:trPr>
        <w:tc>
          <w:tcPr>
            <w:tcW w:w="1742" w:type="dxa"/>
            <w:tcBorders>
              <w:top w:val="single" w:sz="8" w:space="0" w:color="000000"/>
              <w:left w:val="single" w:sz="8" w:space="0" w:color="000000"/>
              <w:bottom w:val="single" w:sz="8" w:space="0" w:color="000000"/>
              <w:right w:val="single" w:sz="8" w:space="0" w:color="000000"/>
            </w:tcBorders>
            <w:shd w:val="clear" w:color="auto" w:fill="FFFFFF"/>
            <w:vAlign w:val="bottom"/>
            <w:hideMark/>
          </w:tcPr>
          <w:p w14:paraId="181F66CF" w14:textId="77777777" w:rsidR="00587CF0" w:rsidRPr="006645DC" w:rsidRDefault="00587CF0">
            <w:pPr>
              <w:suppressAutoHyphens/>
              <w:spacing w:before="0" w:after="0" w:line="100" w:lineRule="atLeast"/>
              <w:jc w:val="center"/>
              <w:rPr>
                <w:rFonts w:eastAsia="Arial" w:cs="Calibri"/>
                <w:b/>
                <w:bCs/>
                <w:color w:val="000000"/>
                <w:kern w:val="2"/>
                <w:lang w:val="en-GB"/>
              </w:rPr>
            </w:pPr>
            <w:r w:rsidRPr="006645DC">
              <w:rPr>
                <w:b/>
                <w:bCs/>
                <w:color w:val="000000"/>
                <w:lang w:val="en-GB"/>
              </w:rPr>
              <w:t>District</w:t>
            </w:r>
          </w:p>
        </w:tc>
        <w:tc>
          <w:tcPr>
            <w:tcW w:w="1003" w:type="dxa"/>
            <w:tcBorders>
              <w:top w:val="single" w:sz="8" w:space="0" w:color="000000"/>
              <w:left w:val="nil"/>
              <w:bottom w:val="single" w:sz="8" w:space="0" w:color="000000"/>
              <w:right w:val="single" w:sz="8" w:space="0" w:color="000000"/>
            </w:tcBorders>
            <w:shd w:val="clear" w:color="auto" w:fill="FFFFFF"/>
            <w:vAlign w:val="bottom"/>
            <w:hideMark/>
          </w:tcPr>
          <w:p w14:paraId="07B7D4C4" w14:textId="77777777" w:rsidR="00587CF0" w:rsidRPr="006645DC" w:rsidRDefault="00587CF0">
            <w:pPr>
              <w:suppressAutoHyphens/>
              <w:spacing w:before="0" w:after="0" w:line="100" w:lineRule="atLeast"/>
              <w:jc w:val="center"/>
              <w:rPr>
                <w:rFonts w:eastAsia="Arial" w:cs="Calibri"/>
                <w:b/>
                <w:bCs/>
                <w:color w:val="000000"/>
                <w:kern w:val="2"/>
                <w:lang w:val="en-GB"/>
              </w:rPr>
            </w:pPr>
            <w:r w:rsidRPr="006645DC">
              <w:rPr>
                <w:b/>
                <w:bCs/>
                <w:color w:val="000000"/>
                <w:lang w:val="en-GB"/>
              </w:rPr>
              <w:t>2008</w:t>
            </w:r>
          </w:p>
        </w:tc>
        <w:tc>
          <w:tcPr>
            <w:tcW w:w="1003" w:type="dxa"/>
            <w:tcBorders>
              <w:top w:val="single" w:sz="8" w:space="0" w:color="000000"/>
              <w:left w:val="nil"/>
              <w:bottom w:val="single" w:sz="8" w:space="0" w:color="000000"/>
              <w:right w:val="single" w:sz="8" w:space="0" w:color="000000"/>
            </w:tcBorders>
            <w:shd w:val="clear" w:color="auto" w:fill="FFFFFF"/>
            <w:vAlign w:val="bottom"/>
            <w:hideMark/>
          </w:tcPr>
          <w:p w14:paraId="326A1435" w14:textId="77777777" w:rsidR="00587CF0" w:rsidRPr="006645DC" w:rsidRDefault="00587CF0">
            <w:pPr>
              <w:suppressAutoHyphens/>
              <w:spacing w:before="0" w:after="0" w:line="100" w:lineRule="atLeast"/>
              <w:jc w:val="center"/>
              <w:rPr>
                <w:rFonts w:eastAsia="Arial" w:cs="Calibri"/>
                <w:b/>
                <w:bCs/>
                <w:color w:val="000000"/>
                <w:kern w:val="2"/>
                <w:lang w:val="en-GB"/>
              </w:rPr>
            </w:pPr>
            <w:r w:rsidRPr="006645DC">
              <w:rPr>
                <w:b/>
                <w:bCs/>
                <w:color w:val="000000"/>
                <w:lang w:val="en-GB"/>
              </w:rPr>
              <w:t>2009</w:t>
            </w:r>
          </w:p>
        </w:tc>
        <w:tc>
          <w:tcPr>
            <w:tcW w:w="1003" w:type="dxa"/>
            <w:tcBorders>
              <w:top w:val="single" w:sz="8" w:space="0" w:color="000000"/>
              <w:left w:val="nil"/>
              <w:bottom w:val="single" w:sz="8" w:space="0" w:color="000000"/>
              <w:right w:val="single" w:sz="8" w:space="0" w:color="000000"/>
            </w:tcBorders>
            <w:shd w:val="clear" w:color="auto" w:fill="FFFFFF"/>
            <w:vAlign w:val="bottom"/>
            <w:hideMark/>
          </w:tcPr>
          <w:p w14:paraId="2A960727" w14:textId="77777777" w:rsidR="00587CF0" w:rsidRPr="006645DC" w:rsidRDefault="00587CF0">
            <w:pPr>
              <w:suppressAutoHyphens/>
              <w:spacing w:before="0" w:after="0" w:line="100" w:lineRule="atLeast"/>
              <w:jc w:val="center"/>
              <w:rPr>
                <w:rFonts w:eastAsia="Arial" w:cs="Calibri"/>
                <w:b/>
                <w:bCs/>
                <w:color w:val="000000"/>
                <w:kern w:val="2"/>
                <w:lang w:val="en-GB"/>
              </w:rPr>
            </w:pPr>
            <w:r w:rsidRPr="006645DC">
              <w:rPr>
                <w:b/>
                <w:bCs/>
                <w:color w:val="000000"/>
                <w:lang w:val="en-GB"/>
              </w:rPr>
              <w:t>2010</w:t>
            </w:r>
          </w:p>
        </w:tc>
        <w:tc>
          <w:tcPr>
            <w:tcW w:w="1004" w:type="dxa"/>
            <w:tcBorders>
              <w:top w:val="single" w:sz="8" w:space="0" w:color="000000"/>
              <w:left w:val="nil"/>
              <w:bottom w:val="single" w:sz="8" w:space="0" w:color="000000"/>
              <w:right w:val="single" w:sz="8" w:space="0" w:color="000000"/>
            </w:tcBorders>
            <w:shd w:val="clear" w:color="auto" w:fill="FFFFFF"/>
            <w:vAlign w:val="bottom"/>
            <w:hideMark/>
          </w:tcPr>
          <w:p w14:paraId="589D2B19" w14:textId="77777777" w:rsidR="00587CF0" w:rsidRPr="006645DC" w:rsidRDefault="00587CF0">
            <w:pPr>
              <w:suppressAutoHyphens/>
              <w:spacing w:before="0" w:after="0" w:line="100" w:lineRule="atLeast"/>
              <w:jc w:val="center"/>
              <w:rPr>
                <w:rFonts w:eastAsia="Arial" w:cs="Calibri"/>
                <w:color w:val="000000"/>
                <w:kern w:val="2"/>
                <w:lang w:val="en-GB"/>
              </w:rPr>
            </w:pPr>
            <w:r w:rsidRPr="006645DC">
              <w:rPr>
                <w:b/>
                <w:bCs/>
                <w:color w:val="000000"/>
                <w:lang w:val="en-GB"/>
              </w:rPr>
              <w:t>2011</w:t>
            </w:r>
          </w:p>
        </w:tc>
      </w:tr>
      <w:tr w:rsidR="00587CF0" w:rsidRPr="006645DC" w14:paraId="64075BF2" w14:textId="77777777" w:rsidTr="00587CF0">
        <w:trPr>
          <w:trHeight w:val="300"/>
          <w:jc w:val="center"/>
        </w:trPr>
        <w:tc>
          <w:tcPr>
            <w:tcW w:w="1742" w:type="dxa"/>
            <w:tcBorders>
              <w:top w:val="nil"/>
              <w:left w:val="single" w:sz="8" w:space="0" w:color="000000"/>
              <w:bottom w:val="single" w:sz="4" w:space="0" w:color="000000"/>
              <w:right w:val="nil"/>
            </w:tcBorders>
            <w:shd w:val="clear" w:color="auto" w:fill="FFFFFF"/>
            <w:vAlign w:val="bottom"/>
            <w:hideMark/>
          </w:tcPr>
          <w:p w14:paraId="1A151194" w14:textId="77777777" w:rsidR="00587CF0" w:rsidRPr="006645DC" w:rsidRDefault="00587CF0">
            <w:pPr>
              <w:suppressAutoHyphens/>
              <w:spacing w:before="0" w:after="0" w:line="100" w:lineRule="atLeast"/>
              <w:rPr>
                <w:rFonts w:eastAsia="Arial" w:cs="Calibri"/>
                <w:color w:val="000000"/>
                <w:kern w:val="2"/>
                <w:lang w:val="en-GB"/>
              </w:rPr>
            </w:pPr>
            <w:r w:rsidRPr="006645DC">
              <w:rPr>
                <w:color w:val="000000"/>
                <w:lang w:val="en-GB"/>
              </w:rPr>
              <w:t>Vidin</w:t>
            </w:r>
          </w:p>
        </w:tc>
        <w:tc>
          <w:tcPr>
            <w:tcW w:w="1003" w:type="dxa"/>
            <w:tcBorders>
              <w:top w:val="nil"/>
              <w:left w:val="single" w:sz="4" w:space="0" w:color="000000"/>
              <w:bottom w:val="single" w:sz="4" w:space="0" w:color="000000"/>
              <w:right w:val="nil"/>
            </w:tcBorders>
            <w:shd w:val="clear" w:color="auto" w:fill="FFFFFF"/>
            <w:vAlign w:val="bottom"/>
            <w:hideMark/>
          </w:tcPr>
          <w:p w14:paraId="35501C2E"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28,2</w:t>
            </w:r>
          </w:p>
        </w:tc>
        <w:tc>
          <w:tcPr>
            <w:tcW w:w="1003" w:type="dxa"/>
            <w:tcBorders>
              <w:top w:val="nil"/>
              <w:left w:val="single" w:sz="4" w:space="0" w:color="000000"/>
              <w:bottom w:val="single" w:sz="4" w:space="0" w:color="000000"/>
              <w:right w:val="nil"/>
            </w:tcBorders>
            <w:shd w:val="clear" w:color="auto" w:fill="FFFFFF"/>
            <w:vAlign w:val="bottom"/>
            <w:hideMark/>
          </w:tcPr>
          <w:p w14:paraId="5D55DA24"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41,2</w:t>
            </w:r>
          </w:p>
        </w:tc>
        <w:tc>
          <w:tcPr>
            <w:tcW w:w="1003" w:type="dxa"/>
            <w:tcBorders>
              <w:top w:val="nil"/>
              <w:left w:val="single" w:sz="4" w:space="0" w:color="000000"/>
              <w:bottom w:val="single" w:sz="4" w:space="0" w:color="000000"/>
              <w:right w:val="single" w:sz="4" w:space="0" w:color="000000"/>
            </w:tcBorders>
            <w:shd w:val="clear" w:color="auto" w:fill="FFFFFF"/>
            <w:vAlign w:val="bottom"/>
            <w:hideMark/>
          </w:tcPr>
          <w:p w14:paraId="419E7138"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40,2</w:t>
            </w:r>
          </w:p>
        </w:tc>
        <w:tc>
          <w:tcPr>
            <w:tcW w:w="1004" w:type="dxa"/>
            <w:tcBorders>
              <w:top w:val="nil"/>
              <w:left w:val="nil"/>
              <w:bottom w:val="nil"/>
              <w:right w:val="single" w:sz="8" w:space="0" w:color="000000"/>
            </w:tcBorders>
            <w:shd w:val="clear" w:color="auto" w:fill="FFFFFF"/>
            <w:vAlign w:val="bottom"/>
            <w:hideMark/>
          </w:tcPr>
          <w:p w14:paraId="766A3886"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49,7</w:t>
            </w:r>
          </w:p>
        </w:tc>
      </w:tr>
      <w:tr w:rsidR="00587CF0" w:rsidRPr="006645DC" w14:paraId="4288AA0E" w14:textId="77777777" w:rsidTr="00587CF0">
        <w:trPr>
          <w:trHeight w:val="300"/>
          <w:jc w:val="center"/>
        </w:trPr>
        <w:tc>
          <w:tcPr>
            <w:tcW w:w="1742" w:type="dxa"/>
            <w:tcBorders>
              <w:top w:val="nil"/>
              <w:left w:val="single" w:sz="8" w:space="0" w:color="000000"/>
              <w:bottom w:val="single" w:sz="4" w:space="0" w:color="000000"/>
              <w:right w:val="single" w:sz="4" w:space="0" w:color="000000"/>
            </w:tcBorders>
            <w:shd w:val="clear" w:color="auto" w:fill="FFFFFF"/>
            <w:vAlign w:val="bottom"/>
            <w:hideMark/>
          </w:tcPr>
          <w:p w14:paraId="095F4914" w14:textId="77777777" w:rsidR="00587CF0" w:rsidRPr="006645DC" w:rsidRDefault="00587CF0">
            <w:pPr>
              <w:keepNext/>
              <w:keepLines/>
              <w:suppressAutoHyphens/>
              <w:spacing w:before="0" w:after="0" w:line="100" w:lineRule="atLeast"/>
              <w:rPr>
                <w:rFonts w:eastAsia="Arial" w:cs="Calibri"/>
                <w:color w:val="000000"/>
                <w:kern w:val="2"/>
                <w:lang w:val="en-GB"/>
              </w:rPr>
            </w:pPr>
            <w:r w:rsidRPr="006645DC">
              <w:rPr>
                <w:color w:val="000000"/>
                <w:lang w:val="en-GB"/>
              </w:rPr>
              <w:t>Vratsa</w:t>
            </w:r>
          </w:p>
        </w:tc>
        <w:tc>
          <w:tcPr>
            <w:tcW w:w="1003" w:type="dxa"/>
            <w:tcBorders>
              <w:top w:val="nil"/>
              <w:left w:val="nil"/>
              <w:bottom w:val="single" w:sz="4" w:space="0" w:color="000000"/>
              <w:right w:val="single" w:sz="4" w:space="0" w:color="000000"/>
            </w:tcBorders>
            <w:shd w:val="clear" w:color="auto" w:fill="FFFFFF"/>
            <w:vAlign w:val="bottom"/>
            <w:hideMark/>
          </w:tcPr>
          <w:p w14:paraId="278348E7"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31,1</w:t>
            </w:r>
          </w:p>
        </w:tc>
        <w:tc>
          <w:tcPr>
            <w:tcW w:w="1003" w:type="dxa"/>
            <w:tcBorders>
              <w:top w:val="nil"/>
              <w:left w:val="nil"/>
              <w:bottom w:val="single" w:sz="4" w:space="0" w:color="000000"/>
              <w:right w:val="single" w:sz="4" w:space="0" w:color="000000"/>
            </w:tcBorders>
            <w:shd w:val="clear" w:color="auto" w:fill="FFFFFF"/>
            <w:vAlign w:val="bottom"/>
            <w:hideMark/>
          </w:tcPr>
          <w:p w14:paraId="72908814"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43,5</w:t>
            </w:r>
          </w:p>
        </w:tc>
        <w:tc>
          <w:tcPr>
            <w:tcW w:w="1003" w:type="dxa"/>
            <w:tcBorders>
              <w:top w:val="nil"/>
              <w:left w:val="nil"/>
              <w:bottom w:val="single" w:sz="4" w:space="0" w:color="000000"/>
              <w:right w:val="single" w:sz="4" w:space="0" w:color="000000"/>
            </w:tcBorders>
            <w:shd w:val="clear" w:color="auto" w:fill="FFFFFF"/>
            <w:vAlign w:val="bottom"/>
            <w:hideMark/>
          </w:tcPr>
          <w:p w14:paraId="2DC15004"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37,9</w:t>
            </w:r>
          </w:p>
        </w:tc>
        <w:tc>
          <w:tcPr>
            <w:tcW w:w="1004" w:type="dxa"/>
            <w:tcBorders>
              <w:top w:val="single" w:sz="4" w:space="0" w:color="000000"/>
              <w:left w:val="nil"/>
              <w:bottom w:val="single" w:sz="4" w:space="0" w:color="000000"/>
              <w:right w:val="single" w:sz="8" w:space="0" w:color="000000"/>
            </w:tcBorders>
            <w:shd w:val="clear" w:color="auto" w:fill="FFFFFF"/>
            <w:vAlign w:val="bottom"/>
            <w:hideMark/>
          </w:tcPr>
          <w:p w14:paraId="6C2780E4"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39,1</w:t>
            </w:r>
          </w:p>
        </w:tc>
      </w:tr>
      <w:tr w:rsidR="00587CF0" w:rsidRPr="006645DC" w14:paraId="4208FFD5" w14:textId="77777777" w:rsidTr="00587CF0">
        <w:trPr>
          <w:trHeight w:val="300"/>
          <w:jc w:val="center"/>
        </w:trPr>
        <w:tc>
          <w:tcPr>
            <w:tcW w:w="1742" w:type="dxa"/>
            <w:tcBorders>
              <w:top w:val="nil"/>
              <w:left w:val="single" w:sz="8" w:space="0" w:color="000000"/>
              <w:bottom w:val="single" w:sz="4" w:space="0" w:color="000000"/>
              <w:right w:val="single" w:sz="4" w:space="0" w:color="000000"/>
            </w:tcBorders>
            <w:shd w:val="clear" w:color="auto" w:fill="FFFFFF"/>
            <w:vAlign w:val="bottom"/>
            <w:hideMark/>
          </w:tcPr>
          <w:p w14:paraId="0FF0C56A" w14:textId="77777777" w:rsidR="00587CF0" w:rsidRPr="006645DC" w:rsidRDefault="00587CF0">
            <w:pPr>
              <w:keepNext/>
              <w:keepLines/>
              <w:suppressAutoHyphens/>
              <w:spacing w:before="0" w:after="0" w:line="100" w:lineRule="atLeast"/>
              <w:rPr>
                <w:rFonts w:eastAsia="Arial" w:cs="Calibri"/>
                <w:color w:val="000000"/>
                <w:kern w:val="2"/>
                <w:lang w:val="en-GB"/>
              </w:rPr>
            </w:pPr>
            <w:r w:rsidRPr="006645DC">
              <w:rPr>
                <w:color w:val="000000"/>
                <w:lang w:val="en-GB"/>
              </w:rPr>
              <w:t>Montana</w:t>
            </w:r>
          </w:p>
        </w:tc>
        <w:tc>
          <w:tcPr>
            <w:tcW w:w="1003" w:type="dxa"/>
            <w:tcBorders>
              <w:top w:val="nil"/>
              <w:left w:val="nil"/>
              <w:bottom w:val="single" w:sz="4" w:space="0" w:color="000000"/>
              <w:right w:val="single" w:sz="4" w:space="0" w:color="000000"/>
            </w:tcBorders>
            <w:shd w:val="clear" w:color="auto" w:fill="FFFFFF"/>
            <w:vAlign w:val="bottom"/>
            <w:hideMark/>
          </w:tcPr>
          <w:p w14:paraId="22D21D52"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35,2</w:t>
            </w:r>
          </w:p>
        </w:tc>
        <w:tc>
          <w:tcPr>
            <w:tcW w:w="1003" w:type="dxa"/>
            <w:tcBorders>
              <w:top w:val="nil"/>
              <w:left w:val="nil"/>
              <w:bottom w:val="single" w:sz="4" w:space="0" w:color="000000"/>
              <w:right w:val="single" w:sz="4" w:space="0" w:color="000000"/>
            </w:tcBorders>
            <w:shd w:val="clear" w:color="auto" w:fill="FFFFFF"/>
            <w:vAlign w:val="bottom"/>
            <w:hideMark/>
          </w:tcPr>
          <w:p w14:paraId="71BB93E6"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36,7</w:t>
            </w:r>
          </w:p>
        </w:tc>
        <w:tc>
          <w:tcPr>
            <w:tcW w:w="1003" w:type="dxa"/>
            <w:tcBorders>
              <w:top w:val="nil"/>
              <w:left w:val="nil"/>
              <w:bottom w:val="single" w:sz="4" w:space="0" w:color="000000"/>
              <w:right w:val="single" w:sz="4" w:space="0" w:color="000000"/>
            </w:tcBorders>
            <w:shd w:val="clear" w:color="auto" w:fill="FFFFFF"/>
            <w:vAlign w:val="bottom"/>
            <w:hideMark/>
          </w:tcPr>
          <w:p w14:paraId="4425D8D6"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33,3</w:t>
            </w:r>
          </w:p>
        </w:tc>
        <w:tc>
          <w:tcPr>
            <w:tcW w:w="1004" w:type="dxa"/>
            <w:tcBorders>
              <w:top w:val="nil"/>
              <w:left w:val="nil"/>
              <w:bottom w:val="single" w:sz="4" w:space="0" w:color="000000"/>
              <w:right w:val="single" w:sz="8" w:space="0" w:color="000000"/>
            </w:tcBorders>
            <w:shd w:val="clear" w:color="auto" w:fill="FFFFFF"/>
            <w:vAlign w:val="bottom"/>
            <w:hideMark/>
          </w:tcPr>
          <w:p w14:paraId="7AFC745D"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37,9</w:t>
            </w:r>
          </w:p>
        </w:tc>
      </w:tr>
      <w:tr w:rsidR="00587CF0" w:rsidRPr="006645DC" w14:paraId="40018870" w14:textId="77777777" w:rsidTr="00587CF0">
        <w:trPr>
          <w:trHeight w:val="300"/>
          <w:jc w:val="center"/>
        </w:trPr>
        <w:tc>
          <w:tcPr>
            <w:tcW w:w="1742" w:type="dxa"/>
            <w:tcBorders>
              <w:top w:val="nil"/>
              <w:left w:val="single" w:sz="8" w:space="0" w:color="000000"/>
              <w:bottom w:val="single" w:sz="4" w:space="0" w:color="000000"/>
              <w:right w:val="single" w:sz="4" w:space="0" w:color="000000"/>
            </w:tcBorders>
            <w:shd w:val="clear" w:color="auto" w:fill="FFFFFF"/>
            <w:vAlign w:val="bottom"/>
            <w:hideMark/>
          </w:tcPr>
          <w:p w14:paraId="6E4B6585" w14:textId="77777777" w:rsidR="00587CF0" w:rsidRPr="006645DC" w:rsidRDefault="00587CF0">
            <w:pPr>
              <w:keepNext/>
              <w:keepLines/>
              <w:suppressAutoHyphens/>
              <w:spacing w:before="0" w:after="0" w:line="100" w:lineRule="atLeast"/>
              <w:rPr>
                <w:rFonts w:eastAsia="Arial" w:cs="Calibri"/>
                <w:color w:val="000000"/>
                <w:kern w:val="2"/>
                <w:lang w:val="en-GB"/>
              </w:rPr>
            </w:pPr>
            <w:r w:rsidRPr="006645DC">
              <w:rPr>
                <w:color w:val="000000"/>
                <w:lang w:val="en-GB"/>
              </w:rPr>
              <w:t>Pleven</w:t>
            </w:r>
          </w:p>
        </w:tc>
        <w:tc>
          <w:tcPr>
            <w:tcW w:w="1003" w:type="dxa"/>
            <w:tcBorders>
              <w:top w:val="nil"/>
              <w:left w:val="nil"/>
              <w:bottom w:val="single" w:sz="4" w:space="0" w:color="000000"/>
              <w:right w:val="single" w:sz="4" w:space="0" w:color="000000"/>
            </w:tcBorders>
            <w:shd w:val="clear" w:color="auto" w:fill="FFFFFF"/>
            <w:vAlign w:val="bottom"/>
            <w:hideMark/>
          </w:tcPr>
          <w:p w14:paraId="5D8282AB"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29,0</w:t>
            </w:r>
          </w:p>
        </w:tc>
        <w:tc>
          <w:tcPr>
            <w:tcW w:w="1003" w:type="dxa"/>
            <w:tcBorders>
              <w:top w:val="nil"/>
              <w:left w:val="nil"/>
              <w:bottom w:val="single" w:sz="4" w:space="0" w:color="000000"/>
              <w:right w:val="single" w:sz="4" w:space="0" w:color="000000"/>
            </w:tcBorders>
            <w:shd w:val="clear" w:color="auto" w:fill="FFFFFF"/>
            <w:vAlign w:val="bottom"/>
            <w:hideMark/>
          </w:tcPr>
          <w:p w14:paraId="72DBD4ED"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40,2</w:t>
            </w:r>
          </w:p>
        </w:tc>
        <w:tc>
          <w:tcPr>
            <w:tcW w:w="1003" w:type="dxa"/>
            <w:tcBorders>
              <w:top w:val="nil"/>
              <w:left w:val="nil"/>
              <w:bottom w:val="single" w:sz="4" w:space="0" w:color="000000"/>
              <w:right w:val="single" w:sz="4" w:space="0" w:color="000000"/>
            </w:tcBorders>
            <w:shd w:val="clear" w:color="auto" w:fill="FFFFFF"/>
            <w:vAlign w:val="bottom"/>
            <w:hideMark/>
          </w:tcPr>
          <w:p w14:paraId="76847D22"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37,7</w:t>
            </w:r>
          </w:p>
        </w:tc>
        <w:tc>
          <w:tcPr>
            <w:tcW w:w="1004" w:type="dxa"/>
            <w:tcBorders>
              <w:top w:val="nil"/>
              <w:left w:val="nil"/>
              <w:bottom w:val="single" w:sz="4" w:space="0" w:color="000000"/>
              <w:right w:val="single" w:sz="8" w:space="0" w:color="000000"/>
            </w:tcBorders>
            <w:shd w:val="clear" w:color="auto" w:fill="FFFFFF"/>
            <w:vAlign w:val="bottom"/>
            <w:hideMark/>
          </w:tcPr>
          <w:p w14:paraId="53C17710"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35,4</w:t>
            </w:r>
          </w:p>
        </w:tc>
      </w:tr>
      <w:tr w:rsidR="00587CF0" w:rsidRPr="006645DC" w14:paraId="634CCEF9" w14:textId="77777777" w:rsidTr="00587CF0">
        <w:trPr>
          <w:trHeight w:val="300"/>
          <w:jc w:val="center"/>
        </w:trPr>
        <w:tc>
          <w:tcPr>
            <w:tcW w:w="1742" w:type="dxa"/>
            <w:tcBorders>
              <w:top w:val="nil"/>
              <w:left w:val="single" w:sz="8" w:space="0" w:color="000000"/>
              <w:bottom w:val="single" w:sz="4" w:space="0" w:color="000000"/>
              <w:right w:val="single" w:sz="4" w:space="0" w:color="000000"/>
            </w:tcBorders>
            <w:shd w:val="clear" w:color="auto" w:fill="FFFFFF"/>
            <w:vAlign w:val="bottom"/>
            <w:hideMark/>
          </w:tcPr>
          <w:p w14:paraId="15DC128C" w14:textId="77777777" w:rsidR="00587CF0" w:rsidRPr="006645DC" w:rsidRDefault="00587CF0">
            <w:pPr>
              <w:keepNext/>
              <w:keepLines/>
              <w:suppressAutoHyphens/>
              <w:spacing w:before="0" w:after="0" w:line="100" w:lineRule="atLeast"/>
              <w:rPr>
                <w:rFonts w:eastAsia="Arial" w:cs="Calibri"/>
                <w:color w:val="000000"/>
                <w:kern w:val="2"/>
                <w:lang w:val="en-GB"/>
              </w:rPr>
            </w:pPr>
            <w:r w:rsidRPr="006645DC">
              <w:rPr>
                <w:color w:val="000000"/>
                <w:lang w:val="en-GB"/>
              </w:rPr>
              <w:t>Veliko Tarnovo</w:t>
            </w:r>
          </w:p>
        </w:tc>
        <w:tc>
          <w:tcPr>
            <w:tcW w:w="1003" w:type="dxa"/>
            <w:tcBorders>
              <w:top w:val="nil"/>
              <w:left w:val="nil"/>
              <w:bottom w:val="single" w:sz="4" w:space="0" w:color="000000"/>
              <w:right w:val="single" w:sz="4" w:space="0" w:color="000000"/>
            </w:tcBorders>
            <w:shd w:val="clear" w:color="auto" w:fill="FFFFFF"/>
            <w:vAlign w:val="bottom"/>
            <w:hideMark/>
          </w:tcPr>
          <w:p w14:paraId="36C040E1"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45,4</w:t>
            </w:r>
          </w:p>
        </w:tc>
        <w:tc>
          <w:tcPr>
            <w:tcW w:w="1003" w:type="dxa"/>
            <w:tcBorders>
              <w:top w:val="nil"/>
              <w:left w:val="nil"/>
              <w:bottom w:val="single" w:sz="4" w:space="0" w:color="000000"/>
              <w:right w:val="single" w:sz="4" w:space="0" w:color="000000"/>
            </w:tcBorders>
            <w:shd w:val="clear" w:color="auto" w:fill="FFFFFF"/>
            <w:vAlign w:val="bottom"/>
            <w:hideMark/>
          </w:tcPr>
          <w:p w14:paraId="0885BE2D"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38,7</w:t>
            </w:r>
          </w:p>
        </w:tc>
        <w:tc>
          <w:tcPr>
            <w:tcW w:w="1003" w:type="dxa"/>
            <w:tcBorders>
              <w:top w:val="nil"/>
              <w:left w:val="nil"/>
              <w:bottom w:val="single" w:sz="4" w:space="0" w:color="000000"/>
              <w:right w:val="single" w:sz="4" w:space="0" w:color="000000"/>
            </w:tcBorders>
            <w:shd w:val="clear" w:color="auto" w:fill="FFFFFF"/>
            <w:vAlign w:val="bottom"/>
            <w:hideMark/>
          </w:tcPr>
          <w:p w14:paraId="0DDD6DF0"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39,9</w:t>
            </w:r>
          </w:p>
        </w:tc>
        <w:tc>
          <w:tcPr>
            <w:tcW w:w="1004" w:type="dxa"/>
            <w:tcBorders>
              <w:top w:val="nil"/>
              <w:left w:val="nil"/>
              <w:bottom w:val="single" w:sz="4" w:space="0" w:color="000000"/>
              <w:right w:val="single" w:sz="8" w:space="0" w:color="000000"/>
            </w:tcBorders>
            <w:shd w:val="clear" w:color="auto" w:fill="FFFFFF"/>
            <w:vAlign w:val="bottom"/>
            <w:hideMark/>
          </w:tcPr>
          <w:p w14:paraId="02CF3C66"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46,0</w:t>
            </w:r>
          </w:p>
        </w:tc>
      </w:tr>
      <w:tr w:rsidR="00587CF0" w:rsidRPr="006645DC" w14:paraId="1BC3F118" w14:textId="77777777" w:rsidTr="00587CF0">
        <w:trPr>
          <w:trHeight w:val="300"/>
          <w:jc w:val="center"/>
        </w:trPr>
        <w:tc>
          <w:tcPr>
            <w:tcW w:w="1742" w:type="dxa"/>
            <w:tcBorders>
              <w:top w:val="nil"/>
              <w:left w:val="single" w:sz="8" w:space="0" w:color="000000"/>
              <w:bottom w:val="single" w:sz="4" w:space="0" w:color="000000"/>
              <w:right w:val="single" w:sz="4" w:space="0" w:color="000000"/>
            </w:tcBorders>
            <w:shd w:val="clear" w:color="auto" w:fill="FFFFFF"/>
            <w:vAlign w:val="bottom"/>
            <w:hideMark/>
          </w:tcPr>
          <w:p w14:paraId="14AD0FF6" w14:textId="77777777" w:rsidR="00587CF0" w:rsidRPr="006645DC" w:rsidRDefault="00587CF0">
            <w:pPr>
              <w:keepNext/>
              <w:keepLines/>
              <w:suppressAutoHyphens/>
              <w:spacing w:before="0" w:after="0" w:line="100" w:lineRule="atLeast"/>
              <w:rPr>
                <w:rFonts w:eastAsia="Arial" w:cs="Calibri"/>
                <w:color w:val="000000"/>
                <w:kern w:val="2"/>
                <w:lang w:val="en-GB"/>
              </w:rPr>
            </w:pPr>
            <w:r w:rsidRPr="006645DC">
              <w:rPr>
                <w:color w:val="000000"/>
                <w:lang w:val="en-GB"/>
              </w:rPr>
              <w:t>Ruse</w:t>
            </w:r>
          </w:p>
        </w:tc>
        <w:tc>
          <w:tcPr>
            <w:tcW w:w="1003" w:type="dxa"/>
            <w:tcBorders>
              <w:top w:val="nil"/>
              <w:left w:val="nil"/>
              <w:bottom w:val="single" w:sz="4" w:space="0" w:color="000000"/>
              <w:right w:val="single" w:sz="4" w:space="0" w:color="000000"/>
            </w:tcBorders>
            <w:shd w:val="clear" w:color="auto" w:fill="FFFFFF"/>
            <w:vAlign w:val="bottom"/>
            <w:hideMark/>
          </w:tcPr>
          <w:p w14:paraId="4E4A1141"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42,3</w:t>
            </w:r>
          </w:p>
        </w:tc>
        <w:tc>
          <w:tcPr>
            <w:tcW w:w="1003" w:type="dxa"/>
            <w:tcBorders>
              <w:top w:val="nil"/>
              <w:left w:val="nil"/>
              <w:bottom w:val="single" w:sz="4" w:space="0" w:color="000000"/>
              <w:right w:val="single" w:sz="4" w:space="0" w:color="000000"/>
            </w:tcBorders>
            <w:shd w:val="clear" w:color="auto" w:fill="FFFFFF"/>
            <w:vAlign w:val="bottom"/>
            <w:hideMark/>
          </w:tcPr>
          <w:p w14:paraId="0A84CFFF"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52,3</w:t>
            </w:r>
          </w:p>
        </w:tc>
        <w:tc>
          <w:tcPr>
            <w:tcW w:w="1003" w:type="dxa"/>
            <w:tcBorders>
              <w:top w:val="nil"/>
              <w:left w:val="nil"/>
              <w:bottom w:val="single" w:sz="4" w:space="0" w:color="000000"/>
              <w:right w:val="single" w:sz="4" w:space="0" w:color="000000"/>
            </w:tcBorders>
            <w:shd w:val="clear" w:color="auto" w:fill="FFFFFF"/>
            <w:vAlign w:val="bottom"/>
            <w:hideMark/>
          </w:tcPr>
          <w:p w14:paraId="242C13E6"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41,5</w:t>
            </w:r>
          </w:p>
        </w:tc>
        <w:tc>
          <w:tcPr>
            <w:tcW w:w="1004" w:type="dxa"/>
            <w:tcBorders>
              <w:top w:val="nil"/>
              <w:left w:val="nil"/>
              <w:bottom w:val="single" w:sz="4" w:space="0" w:color="000000"/>
              <w:right w:val="single" w:sz="8" w:space="0" w:color="000000"/>
            </w:tcBorders>
            <w:shd w:val="clear" w:color="auto" w:fill="FFFFFF"/>
            <w:vAlign w:val="bottom"/>
            <w:hideMark/>
          </w:tcPr>
          <w:p w14:paraId="4A04231D"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41,4</w:t>
            </w:r>
          </w:p>
        </w:tc>
      </w:tr>
      <w:tr w:rsidR="00587CF0" w:rsidRPr="006645DC" w14:paraId="53CC2287" w14:textId="77777777" w:rsidTr="00587CF0">
        <w:trPr>
          <w:trHeight w:val="300"/>
          <w:jc w:val="center"/>
        </w:trPr>
        <w:tc>
          <w:tcPr>
            <w:tcW w:w="1742" w:type="dxa"/>
            <w:tcBorders>
              <w:top w:val="nil"/>
              <w:left w:val="single" w:sz="8" w:space="0" w:color="000000"/>
              <w:bottom w:val="single" w:sz="4" w:space="0" w:color="000000"/>
              <w:right w:val="single" w:sz="4" w:space="0" w:color="000000"/>
            </w:tcBorders>
            <w:shd w:val="clear" w:color="auto" w:fill="FFFFFF"/>
            <w:vAlign w:val="bottom"/>
            <w:hideMark/>
          </w:tcPr>
          <w:p w14:paraId="4704EC3A" w14:textId="77777777" w:rsidR="00587CF0" w:rsidRPr="006645DC" w:rsidRDefault="00587CF0">
            <w:pPr>
              <w:keepNext/>
              <w:keepLines/>
              <w:suppressAutoHyphens/>
              <w:spacing w:before="0" w:after="0" w:line="100" w:lineRule="atLeast"/>
              <w:rPr>
                <w:rFonts w:eastAsia="Arial" w:cs="Calibri"/>
                <w:color w:val="000000"/>
                <w:kern w:val="2"/>
                <w:lang w:val="en-GB"/>
              </w:rPr>
            </w:pPr>
            <w:r w:rsidRPr="006645DC">
              <w:rPr>
                <w:color w:val="000000"/>
                <w:lang w:val="en-GB"/>
              </w:rPr>
              <w:t>Silistra</w:t>
            </w:r>
          </w:p>
        </w:tc>
        <w:tc>
          <w:tcPr>
            <w:tcW w:w="1003" w:type="dxa"/>
            <w:tcBorders>
              <w:top w:val="nil"/>
              <w:left w:val="nil"/>
              <w:bottom w:val="single" w:sz="4" w:space="0" w:color="000000"/>
              <w:right w:val="single" w:sz="4" w:space="0" w:color="000000"/>
            </w:tcBorders>
            <w:shd w:val="clear" w:color="auto" w:fill="FFFFFF"/>
            <w:vAlign w:val="bottom"/>
            <w:hideMark/>
          </w:tcPr>
          <w:p w14:paraId="22E743FD"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33,4</w:t>
            </w:r>
          </w:p>
        </w:tc>
        <w:tc>
          <w:tcPr>
            <w:tcW w:w="1003" w:type="dxa"/>
            <w:tcBorders>
              <w:top w:val="nil"/>
              <w:left w:val="nil"/>
              <w:bottom w:val="single" w:sz="4" w:space="0" w:color="000000"/>
              <w:right w:val="single" w:sz="4" w:space="0" w:color="000000"/>
            </w:tcBorders>
            <w:shd w:val="clear" w:color="auto" w:fill="FFFFFF"/>
            <w:vAlign w:val="bottom"/>
            <w:hideMark/>
          </w:tcPr>
          <w:p w14:paraId="1D280F5D"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20,1</w:t>
            </w:r>
          </w:p>
        </w:tc>
        <w:tc>
          <w:tcPr>
            <w:tcW w:w="1003" w:type="dxa"/>
            <w:tcBorders>
              <w:top w:val="nil"/>
              <w:left w:val="nil"/>
              <w:bottom w:val="single" w:sz="4" w:space="0" w:color="000000"/>
              <w:right w:val="single" w:sz="4" w:space="0" w:color="000000"/>
            </w:tcBorders>
            <w:shd w:val="clear" w:color="auto" w:fill="FFFFFF"/>
            <w:vAlign w:val="bottom"/>
            <w:hideMark/>
          </w:tcPr>
          <w:p w14:paraId="24E21D15"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26,2</w:t>
            </w:r>
          </w:p>
        </w:tc>
        <w:tc>
          <w:tcPr>
            <w:tcW w:w="1004" w:type="dxa"/>
            <w:tcBorders>
              <w:top w:val="nil"/>
              <w:left w:val="nil"/>
              <w:bottom w:val="single" w:sz="4" w:space="0" w:color="000000"/>
              <w:right w:val="single" w:sz="8" w:space="0" w:color="000000"/>
            </w:tcBorders>
            <w:shd w:val="clear" w:color="auto" w:fill="FFFFFF"/>
            <w:vAlign w:val="bottom"/>
            <w:hideMark/>
          </w:tcPr>
          <w:p w14:paraId="11826E3F"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33,1</w:t>
            </w:r>
          </w:p>
        </w:tc>
      </w:tr>
      <w:tr w:rsidR="00587CF0" w:rsidRPr="006645DC" w14:paraId="6653FC29" w14:textId="77777777" w:rsidTr="00587CF0">
        <w:trPr>
          <w:trHeight w:val="315"/>
          <w:jc w:val="center"/>
        </w:trPr>
        <w:tc>
          <w:tcPr>
            <w:tcW w:w="1742" w:type="dxa"/>
            <w:tcBorders>
              <w:top w:val="nil"/>
              <w:left w:val="single" w:sz="8" w:space="0" w:color="000000"/>
              <w:bottom w:val="single" w:sz="8" w:space="0" w:color="000000"/>
              <w:right w:val="nil"/>
            </w:tcBorders>
            <w:shd w:val="clear" w:color="auto" w:fill="FFFFFF"/>
            <w:vAlign w:val="bottom"/>
            <w:hideMark/>
          </w:tcPr>
          <w:p w14:paraId="5955855C" w14:textId="77777777" w:rsidR="00587CF0" w:rsidRPr="006645DC" w:rsidRDefault="00587CF0">
            <w:pPr>
              <w:keepNext/>
              <w:keepLines/>
              <w:suppressAutoHyphens/>
              <w:spacing w:before="0" w:after="0" w:line="100" w:lineRule="atLeast"/>
              <w:rPr>
                <w:rFonts w:eastAsia="Arial" w:cs="Calibri"/>
                <w:color w:val="000000"/>
                <w:kern w:val="2"/>
                <w:lang w:val="en-GB"/>
              </w:rPr>
            </w:pPr>
            <w:r w:rsidRPr="006645DC">
              <w:rPr>
                <w:color w:val="000000"/>
                <w:lang w:val="en-GB"/>
              </w:rPr>
              <w:t>Dobrich</w:t>
            </w:r>
          </w:p>
        </w:tc>
        <w:tc>
          <w:tcPr>
            <w:tcW w:w="1003" w:type="dxa"/>
            <w:tcBorders>
              <w:top w:val="nil"/>
              <w:left w:val="single" w:sz="4" w:space="0" w:color="000000"/>
              <w:bottom w:val="single" w:sz="8" w:space="0" w:color="000000"/>
              <w:right w:val="nil"/>
            </w:tcBorders>
            <w:shd w:val="clear" w:color="auto" w:fill="FFFFFF"/>
            <w:vAlign w:val="bottom"/>
            <w:hideMark/>
          </w:tcPr>
          <w:p w14:paraId="40E9FEFA"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30,1</w:t>
            </w:r>
          </w:p>
        </w:tc>
        <w:tc>
          <w:tcPr>
            <w:tcW w:w="1003" w:type="dxa"/>
            <w:tcBorders>
              <w:top w:val="nil"/>
              <w:left w:val="single" w:sz="4" w:space="0" w:color="000000"/>
              <w:bottom w:val="single" w:sz="8" w:space="0" w:color="000000"/>
              <w:right w:val="single" w:sz="4" w:space="0" w:color="000000"/>
            </w:tcBorders>
            <w:shd w:val="clear" w:color="auto" w:fill="FFFFFF"/>
            <w:vAlign w:val="bottom"/>
            <w:hideMark/>
          </w:tcPr>
          <w:p w14:paraId="6BE78D84"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34,7</w:t>
            </w:r>
          </w:p>
        </w:tc>
        <w:tc>
          <w:tcPr>
            <w:tcW w:w="1003" w:type="dxa"/>
            <w:tcBorders>
              <w:top w:val="nil"/>
              <w:left w:val="nil"/>
              <w:bottom w:val="single" w:sz="8" w:space="0" w:color="000000"/>
              <w:right w:val="nil"/>
            </w:tcBorders>
            <w:shd w:val="clear" w:color="auto" w:fill="FFFFFF"/>
            <w:vAlign w:val="bottom"/>
            <w:hideMark/>
          </w:tcPr>
          <w:p w14:paraId="2D2CF2D8" w14:textId="77777777" w:rsidR="00587CF0" w:rsidRPr="006645DC" w:rsidRDefault="00587CF0">
            <w:pPr>
              <w:keepNext/>
              <w:keepLines/>
              <w:suppressAutoHyphens/>
              <w:spacing w:before="0" w:after="0" w:line="100" w:lineRule="atLeast"/>
              <w:ind w:left="757" w:hanging="360"/>
              <w:jc w:val="right"/>
              <w:rPr>
                <w:rFonts w:eastAsia="Arial" w:cs="Calibri"/>
                <w:color w:val="000000"/>
                <w:kern w:val="2"/>
                <w:lang w:val="en-GB"/>
              </w:rPr>
            </w:pPr>
            <w:r w:rsidRPr="006645DC">
              <w:rPr>
                <w:color w:val="000000"/>
                <w:lang w:val="en-GB"/>
              </w:rPr>
              <w:t>33,5</w:t>
            </w:r>
          </w:p>
        </w:tc>
        <w:tc>
          <w:tcPr>
            <w:tcW w:w="1004" w:type="dxa"/>
            <w:tcBorders>
              <w:top w:val="nil"/>
              <w:left w:val="single" w:sz="4" w:space="0" w:color="000000"/>
              <w:bottom w:val="single" w:sz="8" w:space="0" w:color="000000"/>
              <w:right w:val="single" w:sz="8" w:space="0" w:color="000000"/>
            </w:tcBorders>
            <w:shd w:val="clear" w:color="auto" w:fill="FFFFFF"/>
            <w:vAlign w:val="bottom"/>
            <w:hideMark/>
          </w:tcPr>
          <w:p w14:paraId="306D25E8" w14:textId="77777777" w:rsidR="00587CF0" w:rsidRPr="006645DC" w:rsidRDefault="00587CF0">
            <w:pPr>
              <w:keepNext/>
              <w:keepLines/>
              <w:suppressAutoHyphens/>
              <w:spacing w:before="0" w:after="0" w:line="100" w:lineRule="atLeast"/>
              <w:ind w:left="757" w:hanging="360"/>
              <w:jc w:val="right"/>
              <w:rPr>
                <w:rFonts w:eastAsia="Arial" w:cs="Calibri"/>
                <w:kern w:val="2"/>
                <w:lang w:val="en-GB"/>
              </w:rPr>
            </w:pPr>
            <w:r w:rsidRPr="006645DC">
              <w:rPr>
                <w:color w:val="000000"/>
                <w:lang w:val="en-GB"/>
              </w:rPr>
              <w:t>34,5</w:t>
            </w:r>
          </w:p>
        </w:tc>
      </w:tr>
    </w:tbl>
    <w:p w14:paraId="3EFDAAA7" w14:textId="77777777" w:rsidR="00587CF0" w:rsidRPr="006645DC" w:rsidRDefault="00587CF0" w:rsidP="00587CF0">
      <w:pPr>
        <w:pStyle w:val="Lgende1"/>
        <w:rPr>
          <w:kern w:val="2"/>
          <w:lang w:val="en-GB"/>
        </w:rPr>
      </w:pPr>
      <w:bookmarkStart w:id="171" w:name="_Toc391150109"/>
      <w:r w:rsidRPr="006645DC">
        <w:rPr>
          <w:lang w:val="en-GB"/>
        </w:rPr>
        <w:t xml:space="preserve">Table </w:t>
      </w:r>
      <w:r w:rsidR="005979EB" w:rsidRPr="006645DC">
        <w:rPr>
          <w:lang w:val="en-GB"/>
        </w:rPr>
        <w:fldChar w:fldCharType="begin"/>
      </w:r>
      <w:r w:rsidRPr="006645DC">
        <w:rPr>
          <w:lang w:val="en-GB"/>
        </w:rPr>
        <w:instrText xml:space="preserve"> SEQ "Table" \*Arabic </w:instrText>
      </w:r>
      <w:r w:rsidR="005979EB" w:rsidRPr="006645DC">
        <w:rPr>
          <w:lang w:val="en-GB"/>
        </w:rPr>
        <w:fldChar w:fldCharType="separate"/>
      </w:r>
      <w:r w:rsidR="00523DE6">
        <w:rPr>
          <w:noProof/>
          <w:lang w:val="en-GB"/>
        </w:rPr>
        <w:t>12</w:t>
      </w:r>
      <w:r w:rsidR="005979EB" w:rsidRPr="006645DC">
        <w:rPr>
          <w:lang w:val="en-GB"/>
        </w:rPr>
        <w:fldChar w:fldCharType="end"/>
      </w:r>
      <w:r w:rsidRPr="006645DC">
        <w:rPr>
          <w:lang w:val="en-GB"/>
        </w:rPr>
        <w:t xml:space="preserve"> - Relative share of individuals aged 16-74, regularly using Internet (at least once per week)</w:t>
      </w:r>
      <w:bookmarkEnd w:id="171"/>
    </w:p>
    <w:p w14:paraId="29C37BE8" w14:textId="7CB8F2D2" w:rsidR="00587CF0" w:rsidRPr="006645DC" w:rsidRDefault="001963C3" w:rsidP="001963C3">
      <w:pPr>
        <w:pStyle w:val="Heading4"/>
        <w:rPr>
          <w:lang w:val="en-GB"/>
        </w:rPr>
      </w:pPr>
      <w:r>
        <w:rPr>
          <w:lang w:val="en-GB"/>
        </w:rPr>
        <w:t xml:space="preserve"> Source: NSI Bulgaria</w:t>
      </w:r>
    </w:p>
    <w:p w14:paraId="5E484D49" w14:textId="77777777" w:rsidR="001963C3" w:rsidRDefault="001963C3" w:rsidP="00587CF0">
      <w:pPr>
        <w:rPr>
          <w:lang w:val="en-GB"/>
        </w:rPr>
      </w:pPr>
    </w:p>
    <w:p w14:paraId="4B7547A6" w14:textId="77777777" w:rsidR="00587CF0" w:rsidRPr="006645DC" w:rsidRDefault="00587CF0" w:rsidP="00587CF0">
      <w:pPr>
        <w:rPr>
          <w:sz w:val="24"/>
          <w:szCs w:val="24"/>
          <w:lang w:val="en-GB"/>
        </w:rPr>
      </w:pPr>
      <w:r w:rsidRPr="006645DC">
        <w:rPr>
          <w:lang w:val="en-GB"/>
        </w:rPr>
        <w:t>Regarding broadband speed, according to the Bloomberg.com ranking from January 2013 Bulgaria occupies the 8</w:t>
      </w:r>
      <w:r w:rsidRPr="006645DC">
        <w:rPr>
          <w:vertAlign w:val="superscript"/>
          <w:lang w:val="en-GB"/>
        </w:rPr>
        <w:t>th</w:t>
      </w:r>
      <w:r w:rsidRPr="006645DC">
        <w:rPr>
          <w:lang w:val="en-GB"/>
        </w:rPr>
        <w:t xml:space="preserve"> position in the Top 10 countries in the world with the fastest broadband speed, reaching an average of 32.1 megabits per second. Romania is ranked 5</w:t>
      </w:r>
      <w:r w:rsidRPr="006645DC">
        <w:rPr>
          <w:vertAlign w:val="superscript"/>
          <w:lang w:val="en-GB"/>
        </w:rPr>
        <w:t>th</w:t>
      </w:r>
      <w:r w:rsidRPr="006645DC">
        <w:rPr>
          <w:lang w:val="en-GB"/>
        </w:rPr>
        <w:t xml:space="preserve"> within the same ranking with an average peak speed of 37.4 megabits per second. </w:t>
      </w:r>
    </w:p>
    <w:p w14:paraId="07821668" w14:textId="5E813B1B" w:rsidR="00587CF0" w:rsidRPr="001963C3" w:rsidRDefault="001963C3" w:rsidP="001963C3">
      <w:pPr>
        <w:rPr>
          <w:sz w:val="24"/>
          <w:szCs w:val="24"/>
          <w:lang w:val="en-GB"/>
        </w:rPr>
      </w:pPr>
      <w:r w:rsidRPr="006645DC">
        <w:rPr>
          <w:noProof/>
          <w:lang w:val="bg-BG" w:eastAsia="bg-BG"/>
        </w:rPr>
        <w:lastRenderedPageBreak/>
        <w:drawing>
          <wp:inline distT="0" distB="0" distL="0" distR="0" wp14:anchorId="0D80897E" wp14:editId="17276CAF">
            <wp:extent cx="5762625" cy="3238500"/>
            <wp:effectExtent l="19050" t="0" r="9525" b="0"/>
            <wp:docPr id="418" name="Imag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76"/>
                    <a:srcRect t="10840"/>
                    <a:stretch>
                      <a:fillRect/>
                    </a:stretch>
                  </pic:blipFill>
                  <pic:spPr bwMode="auto">
                    <a:xfrm>
                      <a:off x="0" y="0"/>
                      <a:ext cx="5762625" cy="3238500"/>
                    </a:xfrm>
                    <a:prstGeom prst="rect">
                      <a:avLst/>
                    </a:prstGeom>
                    <a:solidFill>
                      <a:srgbClr val="FFFFFF"/>
                    </a:solidFill>
                    <a:ln w="9525">
                      <a:noFill/>
                      <a:miter lim="800000"/>
                      <a:headEnd/>
                      <a:tailEnd/>
                    </a:ln>
                  </pic:spPr>
                </pic:pic>
              </a:graphicData>
            </a:graphic>
          </wp:inline>
        </w:drawing>
      </w:r>
    </w:p>
    <w:p w14:paraId="24A25412" w14:textId="77777777" w:rsidR="00587CF0" w:rsidRPr="006645DC" w:rsidRDefault="00587CF0" w:rsidP="00587CF0">
      <w:pPr>
        <w:pStyle w:val="Lgende1"/>
        <w:rPr>
          <w:lang w:val="en-GB"/>
        </w:rPr>
      </w:pPr>
      <w:bookmarkStart w:id="172" w:name="_Toc391150017"/>
      <w:r w:rsidRPr="006645DC">
        <w:rPr>
          <w:lang w:val="en-GB"/>
        </w:rPr>
        <w:t xml:space="preserve">Map </w:t>
      </w:r>
      <w:r w:rsidR="005979EB" w:rsidRPr="006645DC">
        <w:rPr>
          <w:lang w:val="en-GB"/>
        </w:rPr>
        <w:fldChar w:fldCharType="begin"/>
      </w:r>
      <w:r w:rsidRPr="006645DC">
        <w:rPr>
          <w:lang w:val="en-GB"/>
        </w:rPr>
        <w:instrText xml:space="preserve"> SEQ "Map" \*Arabic </w:instrText>
      </w:r>
      <w:r w:rsidR="005979EB" w:rsidRPr="006645DC">
        <w:rPr>
          <w:lang w:val="en-GB"/>
        </w:rPr>
        <w:fldChar w:fldCharType="separate"/>
      </w:r>
      <w:r w:rsidR="00523DE6">
        <w:rPr>
          <w:noProof/>
          <w:lang w:val="en-GB"/>
        </w:rPr>
        <w:t>13</w:t>
      </w:r>
      <w:r w:rsidR="005979EB" w:rsidRPr="006645DC">
        <w:rPr>
          <w:lang w:val="en-GB"/>
        </w:rPr>
        <w:fldChar w:fldCharType="end"/>
      </w:r>
      <w:r w:rsidRPr="006645DC">
        <w:rPr>
          <w:lang w:val="en-GB"/>
        </w:rPr>
        <w:t xml:space="preserve"> – Standard broadband coverage cross-border area in 2011, study for the EC by Point Topic</w:t>
      </w:r>
      <w:bookmarkEnd w:id="172"/>
    </w:p>
    <w:p w14:paraId="0520F500" w14:textId="168910BC" w:rsidR="00587CF0" w:rsidRPr="006645DC" w:rsidRDefault="00587CF0" w:rsidP="001963C3">
      <w:pPr>
        <w:pStyle w:val="Heading4"/>
        <w:rPr>
          <w:lang w:val="en-GB"/>
        </w:rPr>
      </w:pPr>
      <w:r w:rsidRPr="006645DC">
        <w:rPr>
          <w:lang w:val="en-GB"/>
        </w:rPr>
        <w:t>Source:</w:t>
      </w:r>
      <w:r w:rsidR="001963C3">
        <w:rPr>
          <w:lang w:val="en-GB"/>
        </w:rPr>
        <w:t xml:space="preserve"> BCE 2011, Détente Consultants </w:t>
      </w:r>
    </w:p>
    <w:p w14:paraId="5C63C290" w14:textId="77777777" w:rsidR="00587CF0" w:rsidRPr="006645DC" w:rsidRDefault="00587CF0" w:rsidP="00587CF0">
      <w:pPr>
        <w:rPr>
          <w:sz w:val="24"/>
          <w:szCs w:val="24"/>
          <w:lang w:val="en-GB"/>
        </w:rPr>
      </w:pPr>
      <w:r w:rsidRPr="006645DC">
        <w:rPr>
          <w:lang w:val="en-GB"/>
        </w:rPr>
        <w:t xml:space="preserve">As shown on the previous maps, the broadband coverage level of the counties and districts in the cross-border area varies widely, with very low coverage (less than 75%) in Vratsa and Montana, low (less than 90%) in Dolj, Olt, Calarasi, Vidin, and Ruse. The only district with 100% coverage is Silistra. </w:t>
      </w:r>
    </w:p>
    <w:tbl>
      <w:tblPr>
        <w:tblW w:w="0" w:type="auto"/>
        <w:jc w:val="center"/>
        <w:tblLayout w:type="fixed"/>
        <w:tblLook w:val="04A0" w:firstRow="1" w:lastRow="0" w:firstColumn="1" w:lastColumn="0" w:noHBand="0" w:noVBand="1"/>
      </w:tblPr>
      <w:tblGrid>
        <w:gridCol w:w="1168"/>
        <w:gridCol w:w="710"/>
        <w:gridCol w:w="994"/>
        <w:gridCol w:w="990"/>
        <w:gridCol w:w="852"/>
        <w:gridCol w:w="851"/>
        <w:gridCol w:w="993"/>
        <w:gridCol w:w="992"/>
        <w:gridCol w:w="851"/>
        <w:gridCol w:w="1027"/>
      </w:tblGrid>
      <w:tr w:rsidR="00587CF0" w:rsidRPr="006645DC" w14:paraId="0F0A51A6" w14:textId="77777777" w:rsidTr="00587CF0">
        <w:trPr>
          <w:cantSplit/>
          <w:trHeight w:val="300"/>
          <w:jc w:val="center"/>
        </w:trPr>
        <w:tc>
          <w:tcPr>
            <w:tcW w:w="1168" w:type="dxa"/>
            <w:vMerge w:val="restart"/>
            <w:tcBorders>
              <w:top w:val="single" w:sz="4" w:space="0" w:color="000000"/>
              <w:left w:val="single" w:sz="4" w:space="0" w:color="000000"/>
              <w:bottom w:val="single" w:sz="4" w:space="0" w:color="000000"/>
              <w:right w:val="nil"/>
            </w:tcBorders>
            <w:shd w:val="clear" w:color="auto" w:fill="FFFFFF"/>
            <w:vAlign w:val="bottom"/>
          </w:tcPr>
          <w:p w14:paraId="7A2BFCAB" w14:textId="77777777" w:rsidR="00587CF0" w:rsidRPr="006645DC" w:rsidRDefault="00587CF0">
            <w:pPr>
              <w:suppressAutoHyphens/>
              <w:spacing w:before="0" w:after="0" w:line="276" w:lineRule="auto"/>
              <w:rPr>
                <w:rFonts w:eastAsia="Arial" w:cs="Calibri"/>
                <w:kern w:val="2"/>
                <w:sz w:val="24"/>
                <w:szCs w:val="24"/>
                <w:lang w:val="en-GB"/>
              </w:rPr>
            </w:pPr>
          </w:p>
        </w:tc>
        <w:tc>
          <w:tcPr>
            <w:tcW w:w="2694" w:type="dxa"/>
            <w:gridSpan w:val="3"/>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4893266" w14:textId="77777777" w:rsidR="00587CF0" w:rsidRPr="006645DC" w:rsidRDefault="00587CF0">
            <w:pPr>
              <w:suppressAutoHyphens/>
              <w:spacing w:before="0" w:after="0" w:line="100" w:lineRule="atLeast"/>
              <w:jc w:val="center"/>
              <w:rPr>
                <w:rFonts w:eastAsia="Arial" w:cs="Calibri"/>
                <w:b/>
                <w:kern w:val="2"/>
                <w:sz w:val="24"/>
                <w:szCs w:val="24"/>
                <w:lang w:val="en-GB"/>
              </w:rPr>
            </w:pPr>
            <w:r w:rsidRPr="006645DC">
              <w:rPr>
                <w:b/>
                <w:sz w:val="24"/>
                <w:szCs w:val="24"/>
                <w:lang w:val="en-GB"/>
              </w:rPr>
              <w:t>Computer use</w:t>
            </w:r>
          </w:p>
        </w:tc>
        <w:tc>
          <w:tcPr>
            <w:tcW w:w="2696" w:type="dxa"/>
            <w:gridSpan w:val="3"/>
            <w:tcBorders>
              <w:top w:val="single" w:sz="4" w:space="0" w:color="000000"/>
              <w:left w:val="single" w:sz="4" w:space="0" w:color="000000"/>
              <w:bottom w:val="single" w:sz="4" w:space="0" w:color="000000"/>
              <w:right w:val="single" w:sz="4" w:space="0" w:color="000000"/>
            </w:tcBorders>
            <w:vAlign w:val="center"/>
            <w:hideMark/>
          </w:tcPr>
          <w:p w14:paraId="1E5F135A" w14:textId="77777777" w:rsidR="00587CF0" w:rsidRPr="006645DC" w:rsidRDefault="00587CF0">
            <w:pPr>
              <w:suppressAutoHyphens/>
              <w:spacing w:before="0" w:after="0" w:line="100" w:lineRule="atLeast"/>
              <w:jc w:val="center"/>
              <w:rPr>
                <w:rFonts w:eastAsia="Arial" w:cs="Calibri"/>
                <w:b/>
                <w:kern w:val="2"/>
                <w:sz w:val="24"/>
                <w:szCs w:val="24"/>
                <w:lang w:val="en-GB"/>
              </w:rPr>
            </w:pPr>
            <w:r w:rsidRPr="006645DC">
              <w:rPr>
                <w:b/>
                <w:sz w:val="24"/>
                <w:szCs w:val="24"/>
                <w:lang w:val="en-GB"/>
              </w:rPr>
              <w:t>Internet use</w:t>
            </w:r>
          </w:p>
        </w:tc>
        <w:tc>
          <w:tcPr>
            <w:tcW w:w="2870" w:type="dxa"/>
            <w:gridSpan w:val="3"/>
            <w:tcBorders>
              <w:top w:val="single" w:sz="4" w:space="0" w:color="000000"/>
              <w:left w:val="single" w:sz="4" w:space="0" w:color="000000"/>
              <w:bottom w:val="single" w:sz="4" w:space="0" w:color="000000"/>
              <w:right w:val="single" w:sz="4" w:space="0" w:color="000000"/>
            </w:tcBorders>
            <w:hideMark/>
          </w:tcPr>
          <w:p w14:paraId="40762230" w14:textId="77777777" w:rsidR="00587CF0" w:rsidRPr="006645DC" w:rsidRDefault="00587CF0">
            <w:pPr>
              <w:suppressAutoHyphens/>
              <w:spacing w:before="0" w:after="0" w:line="100" w:lineRule="atLeast"/>
              <w:jc w:val="center"/>
              <w:rPr>
                <w:rFonts w:eastAsia="Arial" w:cs="Calibri"/>
                <w:kern w:val="2"/>
                <w:sz w:val="24"/>
                <w:szCs w:val="24"/>
                <w:lang w:val="en-GB"/>
              </w:rPr>
            </w:pPr>
            <w:r w:rsidRPr="006645DC">
              <w:rPr>
                <w:b/>
                <w:sz w:val="24"/>
                <w:szCs w:val="24"/>
                <w:lang w:val="en-GB"/>
              </w:rPr>
              <w:t>Internet used to find information on goods and services</w:t>
            </w:r>
          </w:p>
        </w:tc>
      </w:tr>
      <w:tr w:rsidR="00587CF0" w:rsidRPr="006645DC" w14:paraId="640CFC60" w14:textId="77777777" w:rsidTr="00587CF0">
        <w:trPr>
          <w:cantSplit/>
          <w:trHeight w:val="300"/>
          <w:jc w:val="center"/>
        </w:trPr>
        <w:tc>
          <w:tcPr>
            <w:tcW w:w="1168" w:type="dxa"/>
            <w:vMerge/>
            <w:tcBorders>
              <w:top w:val="single" w:sz="4" w:space="0" w:color="000000"/>
              <w:left w:val="single" w:sz="4" w:space="0" w:color="000000"/>
              <w:bottom w:val="single" w:sz="4" w:space="0" w:color="000000"/>
              <w:right w:val="nil"/>
            </w:tcBorders>
            <w:vAlign w:val="center"/>
            <w:hideMark/>
          </w:tcPr>
          <w:p w14:paraId="19EB085A" w14:textId="77777777" w:rsidR="00587CF0" w:rsidRPr="006645DC" w:rsidRDefault="00587CF0">
            <w:pPr>
              <w:spacing w:before="0" w:after="0"/>
              <w:jc w:val="left"/>
              <w:rPr>
                <w:rFonts w:eastAsia="Arial" w:cs="Calibri"/>
                <w:kern w:val="2"/>
                <w:sz w:val="24"/>
                <w:szCs w:val="24"/>
                <w:lang w:val="en-GB"/>
              </w:rPr>
            </w:pPr>
          </w:p>
        </w:tc>
        <w:tc>
          <w:tcPr>
            <w:tcW w:w="710" w:type="dxa"/>
            <w:tcBorders>
              <w:top w:val="single" w:sz="4" w:space="0" w:color="000000"/>
              <w:left w:val="single" w:sz="4" w:space="0" w:color="000000"/>
              <w:bottom w:val="single" w:sz="4" w:space="0" w:color="000000"/>
              <w:right w:val="nil"/>
            </w:tcBorders>
            <w:vAlign w:val="center"/>
            <w:hideMark/>
          </w:tcPr>
          <w:p w14:paraId="68AC1D44" w14:textId="77777777" w:rsidR="00587CF0" w:rsidRPr="006645DC" w:rsidRDefault="00587CF0">
            <w:pPr>
              <w:keepNext/>
              <w:keepLines/>
              <w:suppressAutoHyphens/>
              <w:spacing w:before="0" w:after="0" w:line="100" w:lineRule="atLeast"/>
              <w:rPr>
                <w:rFonts w:eastAsia="Arial" w:cs="Calibri"/>
                <w:b/>
                <w:kern w:val="2"/>
                <w:sz w:val="24"/>
                <w:szCs w:val="24"/>
                <w:lang w:val="en-GB"/>
              </w:rPr>
            </w:pPr>
            <w:r w:rsidRPr="006645DC">
              <w:rPr>
                <w:b/>
                <w:sz w:val="24"/>
                <w:szCs w:val="24"/>
                <w:lang w:val="en-GB"/>
              </w:rPr>
              <w:t>2009</w:t>
            </w:r>
          </w:p>
        </w:tc>
        <w:tc>
          <w:tcPr>
            <w:tcW w:w="994" w:type="dxa"/>
            <w:tcBorders>
              <w:top w:val="single" w:sz="4" w:space="0" w:color="000000"/>
              <w:left w:val="single" w:sz="4" w:space="0" w:color="000000"/>
              <w:bottom w:val="single" w:sz="4" w:space="0" w:color="000000"/>
              <w:right w:val="nil"/>
            </w:tcBorders>
            <w:vAlign w:val="center"/>
            <w:hideMark/>
          </w:tcPr>
          <w:p w14:paraId="2DEB98DD" w14:textId="77777777" w:rsidR="00587CF0" w:rsidRPr="006645DC" w:rsidRDefault="00587CF0">
            <w:pPr>
              <w:keepNext/>
              <w:keepLines/>
              <w:suppressAutoHyphens/>
              <w:spacing w:before="0" w:after="0" w:line="100" w:lineRule="atLeast"/>
              <w:rPr>
                <w:rFonts w:eastAsia="Arial" w:cs="Calibri"/>
                <w:b/>
                <w:kern w:val="2"/>
                <w:sz w:val="24"/>
                <w:szCs w:val="24"/>
                <w:lang w:val="en-GB"/>
              </w:rPr>
            </w:pPr>
            <w:r w:rsidRPr="006645DC">
              <w:rPr>
                <w:b/>
                <w:sz w:val="24"/>
                <w:szCs w:val="24"/>
                <w:lang w:val="en-GB"/>
              </w:rPr>
              <w:t>2010</w:t>
            </w:r>
          </w:p>
        </w:tc>
        <w:tc>
          <w:tcPr>
            <w:tcW w:w="990" w:type="dxa"/>
            <w:tcBorders>
              <w:top w:val="single" w:sz="4" w:space="0" w:color="000000"/>
              <w:left w:val="single" w:sz="4" w:space="0" w:color="000000"/>
              <w:bottom w:val="single" w:sz="4" w:space="0" w:color="000000"/>
              <w:right w:val="single" w:sz="4" w:space="0" w:color="000000"/>
            </w:tcBorders>
            <w:vAlign w:val="center"/>
            <w:hideMark/>
          </w:tcPr>
          <w:p w14:paraId="425423FC" w14:textId="77777777" w:rsidR="00587CF0" w:rsidRPr="006645DC" w:rsidRDefault="00587CF0">
            <w:pPr>
              <w:keepNext/>
              <w:keepLines/>
              <w:suppressAutoHyphens/>
              <w:spacing w:before="0" w:after="0" w:line="100" w:lineRule="atLeast"/>
              <w:rPr>
                <w:rFonts w:eastAsia="Arial" w:cs="Calibri"/>
                <w:b/>
                <w:kern w:val="2"/>
                <w:sz w:val="24"/>
                <w:szCs w:val="24"/>
                <w:lang w:val="en-GB"/>
              </w:rPr>
            </w:pPr>
            <w:r w:rsidRPr="006645DC">
              <w:rPr>
                <w:b/>
                <w:sz w:val="24"/>
                <w:szCs w:val="24"/>
                <w:lang w:val="en-GB"/>
              </w:rPr>
              <w:t>2011</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30F56240" w14:textId="77777777" w:rsidR="00587CF0" w:rsidRPr="006645DC" w:rsidRDefault="00587CF0">
            <w:pPr>
              <w:keepNext/>
              <w:keepLines/>
              <w:suppressAutoHyphens/>
              <w:spacing w:before="0" w:after="0" w:line="100" w:lineRule="atLeast"/>
              <w:rPr>
                <w:rFonts w:eastAsia="Arial" w:cs="Calibri"/>
                <w:b/>
                <w:kern w:val="2"/>
                <w:sz w:val="24"/>
                <w:szCs w:val="24"/>
                <w:lang w:val="en-GB"/>
              </w:rPr>
            </w:pPr>
            <w:r w:rsidRPr="006645DC">
              <w:rPr>
                <w:b/>
                <w:sz w:val="24"/>
                <w:szCs w:val="24"/>
                <w:lang w:val="en-GB"/>
              </w:rPr>
              <w:t>2009</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50C6F3B6" w14:textId="77777777" w:rsidR="00587CF0" w:rsidRPr="006645DC" w:rsidRDefault="00587CF0">
            <w:pPr>
              <w:suppressAutoHyphens/>
              <w:spacing w:before="0" w:after="0" w:line="100" w:lineRule="atLeast"/>
              <w:jc w:val="center"/>
              <w:rPr>
                <w:rFonts w:eastAsia="Arial" w:cs="Calibri"/>
                <w:b/>
                <w:kern w:val="2"/>
                <w:sz w:val="24"/>
                <w:szCs w:val="24"/>
                <w:lang w:val="en-GB"/>
              </w:rPr>
            </w:pPr>
            <w:r w:rsidRPr="006645DC">
              <w:rPr>
                <w:b/>
                <w:sz w:val="24"/>
                <w:szCs w:val="24"/>
                <w:lang w:val="en-GB"/>
              </w:rPr>
              <w:t>2010</w:t>
            </w:r>
          </w:p>
        </w:tc>
        <w:tc>
          <w:tcPr>
            <w:tcW w:w="993" w:type="dxa"/>
            <w:tcBorders>
              <w:top w:val="single" w:sz="4" w:space="0" w:color="000000"/>
              <w:left w:val="single" w:sz="4" w:space="0" w:color="000000"/>
              <w:bottom w:val="single" w:sz="4" w:space="0" w:color="000000"/>
              <w:right w:val="single" w:sz="4" w:space="0" w:color="000000"/>
            </w:tcBorders>
            <w:vAlign w:val="center"/>
            <w:hideMark/>
          </w:tcPr>
          <w:p w14:paraId="7B806B60" w14:textId="77777777" w:rsidR="00587CF0" w:rsidRPr="006645DC" w:rsidRDefault="00587CF0">
            <w:pPr>
              <w:suppressAutoHyphens/>
              <w:spacing w:before="0" w:after="0" w:line="100" w:lineRule="atLeast"/>
              <w:jc w:val="center"/>
              <w:rPr>
                <w:rFonts w:eastAsia="Arial" w:cs="Calibri"/>
                <w:b/>
                <w:kern w:val="2"/>
                <w:sz w:val="24"/>
                <w:szCs w:val="24"/>
                <w:lang w:val="en-GB"/>
              </w:rPr>
            </w:pPr>
            <w:r w:rsidRPr="006645DC">
              <w:rPr>
                <w:b/>
                <w:sz w:val="24"/>
                <w:szCs w:val="24"/>
                <w:lang w:val="en-GB"/>
              </w:rPr>
              <w:t>2011</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08A42F0D" w14:textId="77777777" w:rsidR="00587CF0" w:rsidRPr="006645DC" w:rsidRDefault="00587CF0">
            <w:pPr>
              <w:suppressAutoHyphens/>
              <w:spacing w:before="0" w:after="0" w:line="100" w:lineRule="atLeast"/>
              <w:jc w:val="center"/>
              <w:rPr>
                <w:rFonts w:eastAsia="Arial" w:cs="Calibri"/>
                <w:b/>
                <w:kern w:val="2"/>
                <w:sz w:val="24"/>
                <w:szCs w:val="24"/>
                <w:lang w:val="en-GB"/>
              </w:rPr>
            </w:pPr>
            <w:r w:rsidRPr="006645DC">
              <w:rPr>
                <w:b/>
                <w:sz w:val="24"/>
                <w:szCs w:val="24"/>
                <w:lang w:val="en-GB"/>
              </w:rPr>
              <w:t>2009</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1DADABDD" w14:textId="77777777" w:rsidR="00587CF0" w:rsidRPr="006645DC" w:rsidRDefault="00587CF0">
            <w:pPr>
              <w:suppressAutoHyphens/>
              <w:spacing w:before="0" w:after="0" w:line="100" w:lineRule="atLeast"/>
              <w:jc w:val="center"/>
              <w:rPr>
                <w:rFonts w:eastAsia="Arial" w:cs="Calibri"/>
                <w:b/>
                <w:kern w:val="2"/>
                <w:sz w:val="24"/>
                <w:szCs w:val="24"/>
                <w:lang w:val="en-GB"/>
              </w:rPr>
            </w:pPr>
            <w:r w:rsidRPr="006645DC">
              <w:rPr>
                <w:b/>
                <w:sz w:val="24"/>
                <w:szCs w:val="24"/>
                <w:lang w:val="en-GB"/>
              </w:rPr>
              <w:t>2010</w:t>
            </w:r>
          </w:p>
        </w:tc>
        <w:tc>
          <w:tcPr>
            <w:tcW w:w="1027" w:type="dxa"/>
            <w:tcBorders>
              <w:top w:val="single" w:sz="4" w:space="0" w:color="000000"/>
              <w:left w:val="single" w:sz="4" w:space="0" w:color="000000"/>
              <w:bottom w:val="single" w:sz="4" w:space="0" w:color="000000"/>
              <w:right w:val="single" w:sz="4" w:space="0" w:color="000000"/>
            </w:tcBorders>
            <w:vAlign w:val="center"/>
            <w:hideMark/>
          </w:tcPr>
          <w:p w14:paraId="2AA70239" w14:textId="77777777" w:rsidR="00587CF0" w:rsidRPr="006645DC" w:rsidRDefault="00587CF0">
            <w:pPr>
              <w:suppressAutoHyphens/>
              <w:spacing w:before="0" w:after="0" w:line="100" w:lineRule="atLeast"/>
              <w:jc w:val="center"/>
              <w:rPr>
                <w:rFonts w:eastAsia="Arial" w:cs="Calibri"/>
                <w:b/>
                <w:kern w:val="2"/>
                <w:sz w:val="24"/>
                <w:szCs w:val="24"/>
                <w:lang w:val="en-GB"/>
              </w:rPr>
            </w:pPr>
            <w:r w:rsidRPr="006645DC">
              <w:rPr>
                <w:b/>
                <w:sz w:val="24"/>
                <w:szCs w:val="24"/>
                <w:lang w:val="en-GB"/>
              </w:rPr>
              <w:t>2011</w:t>
            </w:r>
          </w:p>
        </w:tc>
      </w:tr>
      <w:tr w:rsidR="00587CF0" w:rsidRPr="006645DC" w14:paraId="4ED945F6" w14:textId="77777777" w:rsidTr="00587CF0">
        <w:trPr>
          <w:trHeight w:val="300"/>
          <w:jc w:val="center"/>
        </w:trPr>
        <w:tc>
          <w:tcPr>
            <w:tcW w:w="1168" w:type="dxa"/>
            <w:tcBorders>
              <w:top w:val="single" w:sz="4" w:space="0" w:color="000000"/>
              <w:left w:val="single" w:sz="4" w:space="0" w:color="000000"/>
              <w:bottom w:val="single" w:sz="4" w:space="0" w:color="000000"/>
              <w:right w:val="nil"/>
            </w:tcBorders>
            <w:vAlign w:val="bottom"/>
            <w:hideMark/>
          </w:tcPr>
          <w:p w14:paraId="613AED81" w14:textId="77777777" w:rsidR="00587CF0" w:rsidRPr="006645DC" w:rsidRDefault="00587CF0">
            <w:pPr>
              <w:suppressAutoHyphens/>
              <w:spacing w:before="0" w:after="0" w:line="276" w:lineRule="auto"/>
              <w:rPr>
                <w:rFonts w:eastAsia="Arial" w:cs="Calibri"/>
                <w:kern w:val="2"/>
                <w:sz w:val="24"/>
                <w:szCs w:val="24"/>
                <w:lang w:val="en-GB"/>
              </w:rPr>
            </w:pPr>
            <w:r w:rsidRPr="006645DC">
              <w:rPr>
                <w:b/>
                <w:sz w:val="24"/>
                <w:szCs w:val="24"/>
                <w:lang w:val="en-GB"/>
              </w:rPr>
              <w:t>Romania</w:t>
            </w:r>
          </w:p>
        </w:tc>
        <w:tc>
          <w:tcPr>
            <w:tcW w:w="710" w:type="dxa"/>
            <w:tcBorders>
              <w:top w:val="single" w:sz="4" w:space="0" w:color="000000"/>
              <w:left w:val="single" w:sz="4" w:space="0" w:color="000000"/>
              <w:bottom w:val="single" w:sz="4" w:space="0" w:color="000000"/>
              <w:right w:val="nil"/>
            </w:tcBorders>
            <w:vAlign w:val="center"/>
            <w:hideMark/>
          </w:tcPr>
          <w:p w14:paraId="2CB646A8"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42</w:t>
            </w:r>
          </w:p>
        </w:tc>
        <w:tc>
          <w:tcPr>
            <w:tcW w:w="994" w:type="dxa"/>
            <w:tcBorders>
              <w:top w:val="single" w:sz="4" w:space="0" w:color="000000"/>
              <w:left w:val="single" w:sz="4" w:space="0" w:color="000000"/>
              <w:bottom w:val="single" w:sz="4" w:space="0" w:color="000000"/>
              <w:right w:val="nil"/>
            </w:tcBorders>
            <w:vAlign w:val="center"/>
            <w:hideMark/>
          </w:tcPr>
          <w:p w14:paraId="67C157DF"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41</w:t>
            </w:r>
          </w:p>
        </w:tc>
        <w:tc>
          <w:tcPr>
            <w:tcW w:w="990" w:type="dxa"/>
            <w:tcBorders>
              <w:top w:val="single" w:sz="4" w:space="0" w:color="000000"/>
              <w:left w:val="single" w:sz="4" w:space="0" w:color="000000"/>
              <w:bottom w:val="single" w:sz="4" w:space="0" w:color="000000"/>
              <w:right w:val="single" w:sz="4" w:space="0" w:color="000000"/>
            </w:tcBorders>
            <w:vAlign w:val="center"/>
            <w:hideMark/>
          </w:tcPr>
          <w:p w14:paraId="7F54F2BB"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43</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78F0DF46"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33</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4BB27DA2"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36</w:t>
            </w:r>
          </w:p>
        </w:tc>
        <w:tc>
          <w:tcPr>
            <w:tcW w:w="993" w:type="dxa"/>
            <w:tcBorders>
              <w:top w:val="single" w:sz="4" w:space="0" w:color="000000"/>
              <w:left w:val="single" w:sz="4" w:space="0" w:color="000000"/>
              <w:bottom w:val="single" w:sz="4" w:space="0" w:color="000000"/>
              <w:right w:val="single" w:sz="4" w:space="0" w:color="000000"/>
            </w:tcBorders>
            <w:vAlign w:val="center"/>
            <w:hideMark/>
          </w:tcPr>
          <w:p w14:paraId="198A9DC6"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40</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75D37A4F"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12</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4D08308B"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26</w:t>
            </w:r>
          </w:p>
        </w:tc>
        <w:tc>
          <w:tcPr>
            <w:tcW w:w="1027" w:type="dxa"/>
            <w:tcBorders>
              <w:top w:val="single" w:sz="4" w:space="0" w:color="000000"/>
              <w:left w:val="single" w:sz="4" w:space="0" w:color="000000"/>
              <w:bottom w:val="single" w:sz="4" w:space="0" w:color="000000"/>
              <w:right w:val="single" w:sz="4" w:space="0" w:color="000000"/>
            </w:tcBorders>
            <w:vAlign w:val="center"/>
            <w:hideMark/>
          </w:tcPr>
          <w:p w14:paraId="4E3B2A79"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27</w:t>
            </w:r>
          </w:p>
        </w:tc>
      </w:tr>
      <w:tr w:rsidR="00587CF0" w:rsidRPr="006645DC" w14:paraId="4EF0F98F" w14:textId="77777777" w:rsidTr="00587CF0">
        <w:trPr>
          <w:trHeight w:val="270"/>
          <w:jc w:val="center"/>
        </w:trPr>
        <w:tc>
          <w:tcPr>
            <w:tcW w:w="1168" w:type="dxa"/>
            <w:tcBorders>
              <w:top w:val="single" w:sz="4" w:space="0" w:color="000000"/>
              <w:left w:val="single" w:sz="4" w:space="0" w:color="000000"/>
              <w:bottom w:val="single" w:sz="4" w:space="0" w:color="000000"/>
              <w:right w:val="nil"/>
            </w:tcBorders>
            <w:shd w:val="clear" w:color="auto" w:fill="FFFFFF"/>
            <w:vAlign w:val="center"/>
            <w:hideMark/>
          </w:tcPr>
          <w:p w14:paraId="005DDEB0" w14:textId="77777777" w:rsidR="00587CF0" w:rsidRPr="006645DC" w:rsidRDefault="00587CF0">
            <w:pPr>
              <w:keepNext/>
              <w:keepLines/>
              <w:suppressAutoHyphens/>
              <w:spacing w:before="0" w:after="0" w:line="276" w:lineRule="auto"/>
              <w:rPr>
                <w:rFonts w:eastAsia="Arial" w:cs="Calibri"/>
                <w:kern w:val="2"/>
                <w:sz w:val="24"/>
                <w:szCs w:val="24"/>
                <w:lang w:val="en-GB"/>
              </w:rPr>
            </w:pPr>
            <w:r w:rsidRPr="006645DC">
              <w:rPr>
                <w:b/>
                <w:sz w:val="24"/>
                <w:szCs w:val="24"/>
                <w:lang w:val="en-GB"/>
              </w:rPr>
              <w:t>Bulgaria</w:t>
            </w:r>
          </w:p>
        </w:tc>
        <w:tc>
          <w:tcPr>
            <w:tcW w:w="710" w:type="dxa"/>
            <w:tcBorders>
              <w:top w:val="single" w:sz="4" w:space="0" w:color="000000"/>
              <w:left w:val="single" w:sz="4" w:space="0" w:color="000000"/>
              <w:bottom w:val="single" w:sz="4" w:space="0" w:color="000000"/>
              <w:right w:val="nil"/>
            </w:tcBorders>
            <w:shd w:val="clear" w:color="auto" w:fill="FFFFFF"/>
            <w:vAlign w:val="center"/>
            <w:hideMark/>
          </w:tcPr>
          <w:p w14:paraId="2C34C421"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44</w:t>
            </w:r>
          </w:p>
        </w:tc>
        <w:tc>
          <w:tcPr>
            <w:tcW w:w="994" w:type="dxa"/>
            <w:tcBorders>
              <w:top w:val="single" w:sz="4" w:space="0" w:color="000000"/>
              <w:left w:val="single" w:sz="4" w:space="0" w:color="000000"/>
              <w:bottom w:val="single" w:sz="4" w:space="0" w:color="000000"/>
              <w:right w:val="nil"/>
            </w:tcBorders>
            <w:shd w:val="clear" w:color="auto" w:fill="FFFFFF"/>
            <w:vAlign w:val="center"/>
            <w:hideMark/>
          </w:tcPr>
          <w:p w14:paraId="7F54F6AF"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45</w:t>
            </w:r>
          </w:p>
        </w:tc>
        <w:tc>
          <w:tcPr>
            <w:tcW w:w="99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98897D9"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49</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08365ED7"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42</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28E10D16"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43</w:t>
            </w:r>
          </w:p>
        </w:tc>
        <w:tc>
          <w:tcPr>
            <w:tcW w:w="993" w:type="dxa"/>
            <w:tcBorders>
              <w:top w:val="single" w:sz="4" w:space="0" w:color="000000"/>
              <w:left w:val="single" w:sz="4" w:space="0" w:color="000000"/>
              <w:bottom w:val="single" w:sz="4" w:space="0" w:color="000000"/>
              <w:right w:val="single" w:sz="4" w:space="0" w:color="000000"/>
            </w:tcBorders>
            <w:vAlign w:val="center"/>
            <w:hideMark/>
          </w:tcPr>
          <w:p w14:paraId="5CBFDA8F"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48</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47308A6C"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17</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2C3B2F59"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26</w:t>
            </w:r>
          </w:p>
        </w:tc>
        <w:tc>
          <w:tcPr>
            <w:tcW w:w="1027" w:type="dxa"/>
            <w:tcBorders>
              <w:top w:val="single" w:sz="4" w:space="0" w:color="000000"/>
              <w:left w:val="single" w:sz="4" w:space="0" w:color="000000"/>
              <w:bottom w:val="single" w:sz="4" w:space="0" w:color="000000"/>
              <w:right w:val="single" w:sz="4" w:space="0" w:color="000000"/>
            </w:tcBorders>
            <w:vAlign w:val="center"/>
            <w:hideMark/>
          </w:tcPr>
          <w:p w14:paraId="75942233"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28</w:t>
            </w:r>
          </w:p>
        </w:tc>
      </w:tr>
      <w:tr w:rsidR="00587CF0" w:rsidRPr="006645DC" w14:paraId="254CACC7" w14:textId="77777777" w:rsidTr="00587CF0">
        <w:trPr>
          <w:trHeight w:val="270"/>
          <w:jc w:val="center"/>
        </w:trPr>
        <w:tc>
          <w:tcPr>
            <w:tcW w:w="1168" w:type="dxa"/>
            <w:tcBorders>
              <w:top w:val="single" w:sz="4" w:space="0" w:color="000000"/>
              <w:left w:val="single" w:sz="4" w:space="0" w:color="000000"/>
              <w:bottom w:val="single" w:sz="4" w:space="0" w:color="000000"/>
              <w:right w:val="nil"/>
            </w:tcBorders>
            <w:shd w:val="clear" w:color="auto" w:fill="FFFFFF"/>
            <w:vAlign w:val="center"/>
            <w:hideMark/>
          </w:tcPr>
          <w:p w14:paraId="0DA2C6AF" w14:textId="77777777" w:rsidR="00587CF0" w:rsidRPr="006645DC" w:rsidRDefault="00587CF0">
            <w:pPr>
              <w:keepNext/>
              <w:keepLines/>
              <w:suppressAutoHyphens/>
              <w:spacing w:before="0" w:after="0" w:line="276" w:lineRule="auto"/>
              <w:rPr>
                <w:rFonts w:eastAsia="Arial" w:cs="Calibri"/>
                <w:kern w:val="2"/>
                <w:sz w:val="24"/>
                <w:szCs w:val="24"/>
                <w:lang w:val="en-GB"/>
              </w:rPr>
            </w:pPr>
            <w:r w:rsidRPr="006645DC">
              <w:rPr>
                <w:b/>
                <w:sz w:val="24"/>
                <w:szCs w:val="24"/>
                <w:lang w:val="en-GB"/>
              </w:rPr>
              <w:t>EU 27</w:t>
            </w:r>
          </w:p>
        </w:tc>
        <w:tc>
          <w:tcPr>
            <w:tcW w:w="710" w:type="dxa"/>
            <w:tcBorders>
              <w:top w:val="single" w:sz="4" w:space="0" w:color="000000"/>
              <w:left w:val="single" w:sz="4" w:space="0" w:color="000000"/>
              <w:bottom w:val="single" w:sz="4" w:space="0" w:color="000000"/>
              <w:right w:val="nil"/>
            </w:tcBorders>
            <w:shd w:val="clear" w:color="auto" w:fill="FFFFFF"/>
            <w:vAlign w:val="center"/>
            <w:hideMark/>
          </w:tcPr>
          <w:p w14:paraId="38ACD1FC"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69</w:t>
            </w:r>
          </w:p>
        </w:tc>
        <w:tc>
          <w:tcPr>
            <w:tcW w:w="994" w:type="dxa"/>
            <w:tcBorders>
              <w:top w:val="single" w:sz="4" w:space="0" w:color="000000"/>
              <w:left w:val="single" w:sz="4" w:space="0" w:color="000000"/>
              <w:bottom w:val="single" w:sz="4" w:space="0" w:color="000000"/>
              <w:right w:val="nil"/>
            </w:tcBorders>
            <w:shd w:val="clear" w:color="auto" w:fill="FFFFFF"/>
            <w:vAlign w:val="center"/>
            <w:hideMark/>
          </w:tcPr>
          <w:p w14:paraId="5900830B"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71</w:t>
            </w:r>
          </w:p>
        </w:tc>
        <w:tc>
          <w:tcPr>
            <w:tcW w:w="99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3B01651"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73</w:t>
            </w:r>
          </w:p>
        </w:tc>
        <w:tc>
          <w:tcPr>
            <w:tcW w:w="852" w:type="dxa"/>
            <w:tcBorders>
              <w:top w:val="single" w:sz="4" w:space="0" w:color="000000"/>
              <w:left w:val="single" w:sz="4" w:space="0" w:color="000000"/>
              <w:bottom w:val="single" w:sz="4" w:space="0" w:color="000000"/>
              <w:right w:val="single" w:sz="4" w:space="0" w:color="000000"/>
            </w:tcBorders>
            <w:vAlign w:val="center"/>
            <w:hideMark/>
          </w:tcPr>
          <w:p w14:paraId="1554C252"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65</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6FAF93A9"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69</w:t>
            </w:r>
          </w:p>
        </w:tc>
        <w:tc>
          <w:tcPr>
            <w:tcW w:w="993" w:type="dxa"/>
            <w:tcBorders>
              <w:top w:val="single" w:sz="4" w:space="0" w:color="000000"/>
              <w:left w:val="single" w:sz="4" w:space="0" w:color="000000"/>
              <w:bottom w:val="single" w:sz="4" w:space="0" w:color="000000"/>
              <w:right w:val="single" w:sz="4" w:space="0" w:color="000000"/>
            </w:tcBorders>
            <w:vAlign w:val="center"/>
            <w:hideMark/>
          </w:tcPr>
          <w:p w14:paraId="3DC0AC5C"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71</w:t>
            </w:r>
          </w:p>
        </w:tc>
        <w:tc>
          <w:tcPr>
            <w:tcW w:w="992" w:type="dxa"/>
            <w:tcBorders>
              <w:top w:val="single" w:sz="4" w:space="0" w:color="000000"/>
              <w:left w:val="single" w:sz="4" w:space="0" w:color="000000"/>
              <w:bottom w:val="single" w:sz="4" w:space="0" w:color="000000"/>
              <w:right w:val="single" w:sz="4" w:space="0" w:color="000000"/>
            </w:tcBorders>
            <w:vAlign w:val="center"/>
            <w:hideMark/>
          </w:tcPr>
          <w:p w14:paraId="23A129E7"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52</w:t>
            </w:r>
          </w:p>
        </w:tc>
        <w:tc>
          <w:tcPr>
            <w:tcW w:w="851" w:type="dxa"/>
            <w:tcBorders>
              <w:top w:val="single" w:sz="4" w:space="0" w:color="000000"/>
              <w:left w:val="single" w:sz="4" w:space="0" w:color="000000"/>
              <w:bottom w:val="single" w:sz="4" w:space="0" w:color="000000"/>
              <w:right w:val="single" w:sz="4" w:space="0" w:color="000000"/>
            </w:tcBorders>
            <w:vAlign w:val="center"/>
            <w:hideMark/>
          </w:tcPr>
          <w:p w14:paraId="78D14CA5"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56</w:t>
            </w:r>
          </w:p>
        </w:tc>
        <w:tc>
          <w:tcPr>
            <w:tcW w:w="1027" w:type="dxa"/>
            <w:tcBorders>
              <w:top w:val="single" w:sz="4" w:space="0" w:color="000000"/>
              <w:left w:val="single" w:sz="4" w:space="0" w:color="000000"/>
              <w:bottom w:val="single" w:sz="4" w:space="0" w:color="000000"/>
              <w:right w:val="single" w:sz="4" w:space="0" w:color="000000"/>
            </w:tcBorders>
            <w:vAlign w:val="center"/>
            <w:hideMark/>
          </w:tcPr>
          <w:p w14:paraId="10764BF5" w14:textId="77777777" w:rsidR="00587CF0" w:rsidRPr="006645DC" w:rsidRDefault="00587CF0">
            <w:pPr>
              <w:keepNext/>
              <w:keepLines/>
              <w:suppressAutoHyphens/>
              <w:spacing w:before="0" w:after="0" w:line="100" w:lineRule="atLeast"/>
              <w:jc w:val="center"/>
              <w:rPr>
                <w:rFonts w:eastAsia="Arial" w:cs="Calibri"/>
                <w:kern w:val="2"/>
                <w:sz w:val="24"/>
                <w:szCs w:val="24"/>
                <w:lang w:val="en-GB"/>
              </w:rPr>
            </w:pPr>
            <w:r w:rsidRPr="006645DC">
              <w:rPr>
                <w:sz w:val="24"/>
                <w:szCs w:val="24"/>
                <w:lang w:val="en-GB"/>
              </w:rPr>
              <w:t>57</w:t>
            </w:r>
          </w:p>
        </w:tc>
      </w:tr>
    </w:tbl>
    <w:p w14:paraId="098D1FAB" w14:textId="77777777" w:rsidR="00587CF0" w:rsidRPr="006645DC" w:rsidRDefault="00587CF0" w:rsidP="00587CF0">
      <w:pPr>
        <w:pStyle w:val="Lgende1"/>
        <w:rPr>
          <w:kern w:val="2"/>
          <w:lang w:val="en-GB"/>
        </w:rPr>
      </w:pPr>
      <w:bookmarkStart w:id="173" w:name="_Toc391150110"/>
      <w:r w:rsidRPr="006645DC">
        <w:rPr>
          <w:lang w:val="en-GB"/>
        </w:rPr>
        <w:t xml:space="preserve">Table </w:t>
      </w:r>
      <w:r w:rsidR="005979EB" w:rsidRPr="006645DC">
        <w:rPr>
          <w:lang w:val="en-GB"/>
        </w:rPr>
        <w:fldChar w:fldCharType="begin"/>
      </w:r>
      <w:r w:rsidRPr="006645DC">
        <w:rPr>
          <w:lang w:val="en-GB"/>
        </w:rPr>
        <w:instrText xml:space="preserve"> SEQ "Table" \*Arabic </w:instrText>
      </w:r>
      <w:r w:rsidR="005979EB" w:rsidRPr="006645DC">
        <w:rPr>
          <w:lang w:val="en-GB"/>
        </w:rPr>
        <w:fldChar w:fldCharType="separate"/>
      </w:r>
      <w:r w:rsidR="00523DE6">
        <w:rPr>
          <w:noProof/>
          <w:lang w:val="en-GB"/>
        </w:rPr>
        <w:t>13</w:t>
      </w:r>
      <w:r w:rsidR="005979EB" w:rsidRPr="006645DC">
        <w:rPr>
          <w:lang w:val="en-GB"/>
        </w:rPr>
        <w:fldChar w:fldCharType="end"/>
      </w:r>
      <w:r w:rsidRPr="006645DC">
        <w:rPr>
          <w:lang w:val="en-GB"/>
        </w:rPr>
        <w:t xml:space="preserve"> - Use of ITCs and use of online services, (% of individuals aged 16 to 74)</w:t>
      </w:r>
      <w:bookmarkEnd w:id="173"/>
    </w:p>
    <w:p w14:paraId="7A936BEC" w14:textId="37C99699" w:rsidR="00587CF0" w:rsidRPr="006645DC" w:rsidRDefault="00587CF0" w:rsidP="001963C3">
      <w:pPr>
        <w:pStyle w:val="Heading4"/>
        <w:rPr>
          <w:sz w:val="24"/>
          <w:szCs w:val="24"/>
          <w:lang w:val="en-GB"/>
        </w:rPr>
      </w:pPr>
      <w:r w:rsidRPr="006645DC">
        <w:rPr>
          <w:lang w:val="en-GB" w:eastAsia="ro-RO"/>
        </w:rPr>
        <w:t xml:space="preserve">Source: Spatial Project </w:t>
      </w:r>
    </w:p>
    <w:p w14:paraId="04A02D5B" w14:textId="38B3E666" w:rsidR="00587CF0" w:rsidRPr="006645DC" w:rsidRDefault="00587CF0" w:rsidP="00587CF0">
      <w:pPr>
        <w:rPr>
          <w:lang w:val="en-GB"/>
        </w:rPr>
      </w:pPr>
      <w:r w:rsidRPr="006645DC">
        <w:rPr>
          <w:lang w:val="en-GB"/>
        </w:rPr>
        <w:t xml:space="preserve">Although, the use of ITC tools and the share of Internet users increased between 2009 and 2011 both in Romania and in Bulgaria, the figures are still far below the EU27 average numbers. </w:t>
      </w:r>
      <w:r w:rsidR="001963C3">
        <w:rPr>
          <w:lang w:val="en-GB"/>
        </w:rPr>
        <w:t>T</w:t>
      </w:r>
      <w:r w:rsidR="001963C3" w:rsidRPr="001963C3">
        <w:rPr>
          <w:lang w:val="en-GB"/>
        </w:rPr>
        <w:t>he cross-border region</w:t>
      </w:r>
      <w:r w:rsidR="001963C3">
        <w:rPr>
          <w:lang w:val="en-GB"/>
        </w:rPr>
        <w:t xml:space="preserve"> needs to implement the Digital Agenda flagship initiative </w:t>
      </w:r>
      <w:r w:rsidRPr="006645DC">
        <w:rPr>
          <w:lang w:val="en-GB"/>
        </w:rPr>
        <w:t xml:space="preserve"> </w:t>
      </w:r>
      <w:r w:rsidR="001963C3">
        <w:rPr>
          <w:lang w:val="en-GB"/>
        </w:rPr>
        <w:t>and to</w:t>
      </w:r>
      <w:r w:rsidRPr="006645DC">
        <w:rPr>
          <w:lang w:val="en-GB"/>
        </w:rPr>
        <w:t xml:space="preserve"> support digital technologies in order to provide</w:t>
      </w:r>
      <w:r w:rsidR="001963C3">
        <w:rPr>
          <w:lang w:val="en-GB"/>
        </w:rPr>
        <w:t xml:space="preserve"> a sustainable</w:t>
      </w:r>
      <w:r w:rsidRPr="006645DC">
        <w:rPr>
          <w:lang w:val="en-GB"/>
        </w:rPr>
        <w:t xml:space="preserve"> economic growth</w:t>
      </w:r>
      <w:r w:rsidR="001963C3">
        <w:rPr>
          <w:lang w:val="en-GB"/>
        </w:rPr>
        <w:t xml:space="preserve"> and that through</w:t>
      </w:r>
      <w:r w:rsidRPr="006645DC">
        <w:rPr>
          <w:lang w:val="en-GB"/>
        </w:rPr>
        <w:t xml:space="preserve"> several targets, e.g. broadband coverage for all, to increase the rate of those who use internet regularly, use e-government, or buy online, etc.. </w:t>
      </w:r>
    </w:p>
    <w:p w14:paraId="0FF8AFD6" w14:textId="77777777" w:rsidR="00587CF0" w:rsidRPr="006645DC" w:rsidRDefault="00587CF0" w:rsidP="00A4740C">
      <w:pPr>
        <w:pStyle w:val="Heading2"/>
        <w:rPr>
          <w:color w:val="FFFFFF"/>
          <w:lang w:val="en-GB"/>
        </w:rPr>
      </w:pPr>
      <w:bookmarkStart w:id="174" w:name="_Toc376198456"/>
      <w:bookmarkStart w:id="175" w:name="_Toc254543776"/>
      <w:bookmarkStart w:id="176" w:name="_Toc391150171"/>
      <w:bookmarkStart w:id="177" w:name="_Toc371284496"/>
      <w:r w:rsidRPr="006645DC">
        <w:rPr>
          <w:lang w:val="en-GB"/>
        </w:rPr>
        <w:lastRenderedPageBreak/>
        <w:t>SWOT and problem tree</w:t>
      </w:r>
      <w:bookmarkEnd w:id="174"/>
      <w:bookmarkEnd w:id="175"/>
      <w:bookmarkEnd w:id="176"/>
    </w:p>
    <w:tbl>
      <w:tblPr>
        <w:tblW w:w="0" w:type="auto"/>
        <w:tblInd w:w="108" w:type="dxa"/>
        <w:tblLayout w:type="fixed"/>
        <w:tblLook w:val="04A0" w:firstRow="1" w:lastRow="0" w:firstColumn="1" w:lastColumn="0" w:noHBand="0" w:noVBand="1"/>
      </w:tblPr>
      <w:tblGrid>
        <w:gridCol w:w="4788"/>
        <w:gridCol w:w="4788"/>
      </w:tblGrid>
      <w:tr w:rsidR="00587CF0" w:rsidRPr="006645DC" w14:paraId="1647F217" w14:textId="77777777" w:rsidTr="00587CF0">
        <w:trPr>
          <w:trHeight w:val="296"/>
        </w:trPr>
        <w:tc>
          <w:tcPr>
            <w:tcW w:w="4788" w:type="dxa"/>
            <w:tcBorders>
              <w:top w:val="single" w:sz="8" w:space="0" w:color="000000"/>
              <w:left w:val="single" w:sz="8" w:space="0" w:color="000000"/>
              <w:bottom w:val="single" w:sz="8" w:space="0" w:color="000000"/>
              <w:right w:val="single" w:sz="8" w:space="0" w:color="000000"/>
            </w:tcBorders>
            <w:shd w:val="clear" w:color="auto" w:fill="9BBB59"/>
            <w:tcMar>
              <w:top w:w="15" w:type="dxa"/>
              <w:left w:w="108" w:type="dxa"/>
              <w:bottom w:w="0" w:type="dxa"/>
              <w:right w:w="108" w:type="dxa"/>
            </w:tcMar>
            <w:hideMark/>
          </w:tcPr>
          <w:p w14:paraId="527E6BEC" w14:textId="77777777" w:rsidR="00587CF0" w:rsidRPr="001963C3" w:rsidRDefault="00587CF0">
            <w:pPr>
              <w:suppressAutoHyphens/>
              <w:spacing w:line="100" w:lineRule="atLeast"/>
              <w:jc w:val="center"/>
              <w:rPr>
                <w:rFonts w:eastAsia="Arial" w:cs="Calibri"/>
                <w:kern w:val="2"/>
                <w:lang w:val="en-GB"/>
              </w:rPr>
            </w:pPr>
            <w:r w:rsidRPr="001963C3">
              <w:rPr>
                <w:b/>
                <w:bCs/>
                <w:color w:val="FFFFFF"/>
                <w:lang w:val="en-GB"/>
              </w:rPr>
              <w:t>Strengths</w:t>
            </w:r>
          </w:p>
        </w:tc>
        <w:tc>
          <w:tcPr>
            <w:tcW w:w="4788" w:type="dxa"/>
            <w:tcBorders>
              <w:top w:val="single" w:sz="8" w:space="0" w:color="000000"/>
              <w:left w:val="single" w:sz="8" w:space="0" w:color="000000"/>
              <w:bottom w:val="single" w:sz="8" w:space="0" w:color="000000"/>
              <w:right w:val="single" w:sz="8" w:space="0" w:color="000000"/>
            </w:tcBorders>
            <w:shd w:val="clear" w:color="auto" w:fill="F79646"/>
            <w:tcMar>
              <w:top w:w="15" w:type="dxa"/>
              <w:left w:w="108" w:type="dxa"/>
              <w:bottom w:w="0" w:type="dxa"/>
              <w:right w:w="108" w:type="dxa"/>
            </w:tcMar>
            <w:hideMark/>
          </w:tcPr>
          <w:p w14:paraId="56FF2C00" w14:textId="77777777" w:rsidR="00587CF0" w:rsidRPr="001963C3" w:rsidRDefault="00587CF0">
            <w:pPr>
              <w:suppressAutoHyphens/>
              <w:spacing w:line="100" w:lineRule="atLeast"/>
              <w:jc w:val="center"/>
              <w:rPr>
                <w:rFonts w:eastAsia="Arial" w:cs="Calibri"/>
                <w:kern w:val="2"/>
                <w:lang w:val="en-GB"/>
              </w:rPr>
            </w:pPr>
            <w:r w:rsidRPr="001963C3">
              <w:rPr>
                <w:b/>
                <w:bCs/>
                <w:color w:val="FFFFFF"/>
                <w:lang w:val="en-GB"/>
              </w:rPr>
              <w:t>Weaknesses</w:t>
            </w:r>
          </w:p>
        </w:tc>
      </w:tr>
      <w:tr w:rsidR="00587CF0" w:rsidRPr="006645DC" w14:paraId="52040ACD" w14:textId="77777777" w:rsidTr="00587CF0">
        <w:trPr>
          <w:trHeight w:val="2174"/>
        </w:trPr>
        <w:tc>
          <w:tcPr>
            <w:tcW w:w="478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611F1A05" w14:textId="3EE88632" w:rsidR="00587CF0" w:rsidRPr="001963C3" w:rsidRDefault="00587CF0" w:rsidP="00C951D5">
            <w:pPr>
              <w:pStyle w:val="ListParagraph2"/>
              <w:numPr>
                <w:ilvl w:val="0"/>
                <w:numId w:val="79"/>
              </w:numPr>
              <w:spacing w:before="0" w:after="0" w:line="240" w:lineRule="auto"/>
              <w:ind w:left="340" w:hanging="340"/>
              <w:jc w:val="left"/>
              <w:rPr>
                <w:kern w:val="2"/>
                <w:lang w:val="en-GB"/>
              </w:rPr>
            </w:pPr>
            <w:r w:rsidRPr="001963C3">
              <w:rPr>
                <w:rFonts w:eastAsia="Calibri"/>
                <w:lang w:val="en-GB"/>
              </w:rPr>
              <w:t>Presence of the Danube and the Black Sea</w:t>
            </w:r>
            <w:r w:rsidR="00386DD8">
              <w:rPr>
                <w:rFonts w:eastAsia="Calibri"/>
                <w:lang w:val="en-GB"/>
              </w:rPr>
              <w:t xml:space="preserve"> as transport corridors</w:t>
            </w:r>
          </w:p>
          <w:p w14:paraId="01361E77"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Existence of the twin-city-ports</w:t>
            </w:r>
          </w:p>
          <w:p w14:paraId="143B7D3F"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Great potential for logistics hubs</w:t>
            </w:r>
          </w:p>
          <w:p w14:paraId="49408E56"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Established freight transport routes</w:t>
            </w:r>
          </w:p>
          <w:p w14:paraId="4CA16447"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Improvement of the road network in progress</w:t>
            </w:r>
          </w:p>
          <w:p w14:paraId="6690D0A8" w14:textId="77777777" w:rsidR="00587CF0" w:rsidRPr="001963C3" w:rsidRDefault="00587CF0" w:rsidP="00C951D5">
            <w:pPr>
              <w:pStyle w:val="ListParagraph2"/>
              <w:numPr>
                <w:ilvl w:val="0"/>
                <w:numId w:val="79"/>
              </w:numPr>
              <w:spacing w:before="0" w:after="0" w:line="240" w:lineRule="auto"/>
              <w:ind w:left="340" w:hanging="340"/>
              <w:jc w:val="left"/>
              <w:rPr>
                <w:rFonts w:eastAsia="Calibri"/>
                <w:lang w:val="en-GB"/>
              </w:rPr>
            </w:pPr>
            <w:r w:rsidRPr="001963C3">
              <w:rPr>
                <w:rFonts w:eastAsia="Calibri"/>
                <w:lang w:val="en-GB"/>
              </w:rPr>
              <w:t xml:space="preserve">Port of Constanta as an important link between Europe and Asia </w:t>
            </w:r>
          </w:p>
          <w:p w14:paraId="5CA1A734"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Stable international Internet backbone capacity</w:t>
            </w:r>
          </w:p>
          <w:p w14:paraId="40985E7E"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 xml:space="preserve">Growing number of Internet users </w:t>
            </w:r>
          </w:p>
          <w:p w14:paraId="306DD121" w14:textId="65FDAF3F" w:rsidR="00587CF0" w:rsidRPr="001963C3" w:rsidRDefault="00587CF0" w:rsidP="00C951D5">
            <w:pPr>
              <w:pStyle w:val="ListParagraph2"/>
              <w:numPr>
                <w:ilvl w:val="0"/>
                <w:numId w:val="79"/>
              </w:numPr>
              <w:spacing w:before="0" w:after="0" w:line="240" w:lineRule="auto"/>
              <w:ind w:left="340" w:hanging="340"/>
              <w:jc w:val="left"/>
              <w:rPr>
                <w:kern w:val="2"/>
                <w:lang w:val="en-GB"/>
              </w:rPr>
            </w:pPr>
            <w:r w:rsidRPr="001963C3">
              <w:rPr>
                <w:rFonts w:eastAsia="Calibri"/>
                <w:lang w:val="en-GB"/>
              </w:rPr>
              <w:t>Availability of all means of transportation in a comparatively well-developed transport infrastructure</w:t>
            </w:r>
            <w:r w:rsidR="00386DD8">
              <w:rPr>
                <w:rFonts w:eastAsia="Calibri"/>
                <w:lang w:val="en-GB"/>
              </w:rPr>
              <w:t xml:space="preserve"> but in a bad shape</w:t>
            </w:r>
          </w:p>
        </w:tc>
        <w:tc>
          <w:tcPr>
            <w:tcW w:w="478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14:paraId="7FFCB228" w14:textId="77777777" w:rsidR="00587CF0" w:rsidRPr="00386DD8" w:rsidRDefault="00587CF0" w:rsidP="00C951D5">
            <w:pPr>
              <w:pStyle w:val="ListParagraph2"/>
              <w:numPr>
                <w:ilvl w:val="0"/>
                <w:numId w:val="79"/>
              </w:numPr>
              <w:spacing w:before="0" w:after="0" w:line="240" w:lineRule="auto"/>
              <w:ind w:left="340" w:hanging="340"/>
              <w:jc w:val="left"/>
              <w:rPr>
                <w:kern w:val="2"/>
                <w:lang w:val="en-GB"/>
              </w:rPr>
            </w:pPr>
            <w:r w:rsidRPr="001963C3">
              <w:rPr>
                <w:rFonts w:eastAsia="Calibri"/>
                <w:lang w:val="en-GB"/>
              </w:rPr>
              <w:t>The Danube representing a rather rigid border</w:t>
            </w:r>
          </w:p>
          <w:p w14:paraId="7B733BB9" w14:textId="15796BE6" w:rsidR="00386DD8" w:rsidRPr="00386DD8" w:rsidRDefault="00386DD8" w:rsidP="00386DD8">
            <w:pPr>
              <w:pStyle w:val="ListParagraph2"/>
              <w:numPr>
                <w:ilvl w:val="0"/>
                <w:numId w:val="79"/>
              </w:numPr>
              <w:spacing w:before="0" w:after="0" w:line="240" w:lineRule="auto"/>
              <w:ind w:left="340" w:hanging="340"/>
              <w:jc w:val="left"/>
              <w:rPr>
                <w:kern w:val="2"/>
                <w:lang w:val="en-GB"/>
              </w:rPr>
            </w:pPr>
            <w:r>
              <w:rPr>
                <w:rFonts w:eastAsia="Calibri"/>
                <w:lang w:val="en-GB"/>
              </w:rPr>
              <w:t>Lack of connectivity to the TEN-T Network and especially to the Danube river</w:t>
            </w:r>
          </w:p>
          <w:p w14:paraId="1C4B9A33"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Lack of investments in rail infrastructure</w:t>
            </w:r>
          </w:p>
          <w:p w14:paraId="1B675F23"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Lack of sustainable urban mobility plans</w:t>
            </w:r>
          </w:p>
          <w:p w14:paraId="67B97590"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Lack of border-crossing points</w:t>
            </w:r>
          </w:p>
          <w:p w14:paraId="50E009D3"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Costly and time-consuming border crossing</w:t>
            </w:r>
          </w:p>
          <w:p w14:paraId="3DE5CECD"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Low accessibility of cross-border areas</w:t>
            </w:r>
          </w:p>
          <w:p w14:paraId="343B5E92" w14:textId="77777777" w:rsidR="00587CF0" w:rsidRPr="001963C3" w:rsidRDefault="00587CF0" w:rsidP="00C951D5">
            <w:pPr>
              <w:pStyle w:val="ListParagraph2"/>
              <w:numPr>
                <w:ilvl w:val="0"/>
                <w:numId w:val="79"/>
              </w:numPr>
              <w:spacing w:before="0" w:after="0" w:line="240" w:lineRule="auto"/>
              <w:ind w:left="340" w:hanging="340"/>
              <w:jc w:val="left"/>
              <w:rPr>
                <w:lang w:val="en-GB"/>
              </w:rPr>
            </w:pPr>
            <w:r w:rsidRPr="001963C3">
              <w:rPr>
                <w:rFonts w:eastAsia="Calibri"/>
                <w:lang w:val="en-GB"/>
              </w:rPr>
              <w:t>Winter isolation</w:t>
            </w:r>
          </w:p>
          <w:p w14:paraId="64A7E78B" w14:textId="77777777" w:rsidR="00587CF0" w:rsidRPr="001963C3" w:rsidRDefault="00587CF0" w:rsidP="00C951D5">
            <w:pPr>
              <w:pStyle w:val="ListParagraph2"/>
              <w:numPr>
                <w:ilvl w:val="0"/>
                <w:numId w:val="79"/>
              </w:numPr>
              <w:spacing w:before="0" w:after="0" w:line="240" w:lineRule="auto"/>
              <w:ind w:left="340" w:hanging="340"/>
              <w:jc w:val="left"/>
              <w:rPr>
                <w:rFonts w:eastAsia="Calibri"/>
                <w:lang w:val="en-GB"/>
              </w:rPr>
            </w:pPr>
            <w:r w:rsidRPr="001963C3">
              <w:rPr>
                <w:rFonts w:eastAsia="Calibri"/>
                <w:lang w:val="en-GB"/>
              </w:rPr>
              <w:t>Relatively low broadband coverage</w:t>
            </w:r>
          </w:p>
          <w:p w14:paraId="186ABDE7" w14:textId="7A46649B" w:rsidR="00587CF0" w:rsidRPr="001963C3" w:rsidRDefault="00386DD8" w:rsidP="00386DD8">
            <w:pPr>
              <w:pStyle w:val="ListParagraph2"/>
              <w:numPr>
                <w:ilvl w:val="0"/>
                <w:numId w:val="79"/>
              </w:numPr>
              <w:spacing w:before="0" w:after="0" w:line="240" w:lineRule="auto"/>
              <w:ind w:left="340" w:hanging="340"/>
              <w:jc w:val="left"/>
              <w:rPr>
                <w:kern w:val="2"/>
                <w:lang w:val="en-GB"/>
              </w:rPr>
            </w:pPr>
            <w:r>
              <w:rPr>
                <w:rFonts w:eastAsia="Calibri"/>
                <w:lang w:val="en-GB"/>
              </w:rPr>
              <w:t>The Danube river is considered as a costly and unpredictable freight and transport corridor. For example, s</w:t>
            </w:r>
            <w:r w:rsidR="00587CF0" w:rsidRPr="001963C3">
              <w:rPr>
                <w:rFonts w:eastAsia="Calibri"/>
                <w:lang w:val="en-GB"/>
              </w:rPr>
              <w:t>hipping during dry months often has to be stopped at several point of the cross-border area along the Danube</w:t>
            </w:r>
          </w:p>
        </w:tc>
      </w:tr>
      <w:tr w:rsidR="00587CF0" w:rsidRPr="006645DC" w14:paraId="7B67A3FA" w14:textId="77777777" w:rsidTr="00587CF0">
        <w:trPr>
          <w:trHeight w:val="398"/>
        </w:trPr>
        <w:tc>
          <w:tcPr>
            <w:tcW w:w="4788" w:type="dxa"/>
            <w:tcBorders>
              <w:top w:val="single" w:sz="8" w:space="0" w:color="000000"/>
              <w:left w:val="single" w:sz="8" w:space="0" w:color="000000"/>
              <w:bottom w:val="single" w:sz="8" w:space="0" w:color="000000"/>
              <w:right w:val="single" w:sz="8" w:space="0" w:color="000000"/>
            </w:tcBorders>
            <w:shd w:val="clear" w:color="auto" w:fill="4BACC6"/>
            <w:tcMar>
              <w:top w:w="15" w:type="dxa"/>
              <w:left w:w="108" w:type="dxa"/>
              <w:bottom w:w="0" w:type="dxa"/>
              <w:right w:w="108" w:type="dxa"/>
            </w:tcMar>
            <w:vAlign w:val="center"/>
            <w:hideMark/>
          </w:tcPr>
          <w:p w14:paraId="001F4A0C" w14:textId="0EC7244B" w:rsidR="00587CF0" w:rsidRPr="001963C3" w:rsidRDefault="00587CF0">
            <w:pPr>
              <w:suppressAutoHyphens/>
              <w:spacing w:before="0" w:after="0" w:line="100" w:lineRule="atLeast"/>
              <w:jc w:val="center"/>
              <w:rPr>
                <w:rFonts w:eastAsia="Arial" w:cs="Calibri"/>
                <w:kern w:val="2"/>
                <w:lang w:val="en-GB"/>
              </w:rPr>
            </w:pPr>
            <w:r w:rsidRPr="001963C3">
              <w:rPr>
                <w:b/>
                <w:bCs/>
                <w:color w:val="FFFFFF"/>
                <w:lang w:val="en-GB"/>
              </w:rPr>
              <w:t>Opportunities</w:t>
            </w:r>
          </w:p>
        </w:tc>
        <w:tc>
          <w:tcPr>
            <w:tcW w:w="4788" w:type="dxa"/>
            <w:tcBorders>
              <w:top w:val="single" w:sz="8" w:space="0" w:color="000000"/>
              <w:left w:val="single" w:sz="8" w:space="0" w:color="000000"/>
              <w:bottom w:val="single" w:sz="8" w:space="0" w:color="000000"/>
              <w:right w:val="single" w:sz="8" w:space="0" w:color="000000"/>
            </w:tcBorders>
            <w:shd w:val="clear" w:color="auto" w:fill="B2A1C7"/>
            <w:tcMar>
              <w:top w:w="15" w:type="dxa"/>
              <w:left w:w="108" w:type="dxa"/>
              <w:bottom w:w="0" w:type="dxa"/>
              <w:right w:w="108" w:type="dxa"/>
            </w:tcMar>
            <w:hideMark/>
          </w:tcPr>
          <w:p w14:paraId="4B684D3B" w14:textId="77777777" w:rsidR="00587CF0" w:rsidRPr="001963C3" w:rsidRDefault="00587CF0">
            <w:pPr>
              <w:suppressAutoHyphens/>
              <w:spacing w:line="100" w:lineRule="atLeast"/>
              <w:jc w:val="center"/>
              <w:rPr>
                <w:rFonts w:eastAsia="Arial" w:cs="Calibri"/>
                <w:kern w:val="2"/>
                <w:lang w:val="en-GB"/>
              </w:rPr>
            </w:pPr>
            <w:r w:rsidRPr="001963C3">
              <w:rPr>
                <w:b/>
                <w:bCs/>
                <w:color w:val="FFFFFF"/>
                <w:lang w:val="en-GB"/>
              </w:rPr>
              <w:t>Threats</w:t>
            </w:r>
          </w:p>
        </w:tc>
      </w:tr>
      <w:tr w:rsidR="00587CF0" w:rsidRPr="006645DC" w14:paraId="490F42E1" w14:textId="77777777" w:rsidTr="00386DD8">
        <w:trPr>
          <w:trHeight w:val="2398"/>
        </w:trPr>
        <w:tc>
          <w:tcPr>
            <w:tcW w:w="478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520AAA5A" w14:textId="6DF22FF4" w:rsidR="00587CF0" w:rsidRPr="001963C3" w:rsidRDefault="00587CF0" w:rsidP="00C951D5">
            <w:pPr>
              <w:pStyle w:val="ListParagraph2"/>
              <w:numPr>
                <w:ilvl w:val="0"/>
                <w:numId w:val="79"/>
              </w:numPr>
              <w:spacing w:before="0" w:after="0"/>
              <w:jc w:val="left"/>
              <w:rPr>
                <w:kern w:val="2"/>
                <w:lang w:val="en-GB"/>
              </w:rPr>
            </w:pPr>
            <w:r w:rsidRPr="001963C3">
              <w:rPr>
                <w:rFonts w:eastAsia="Calibri"/>
                <w:lang w:val="en-GB"/>
              </w:rPr>
              <w:t>Great potential for logistics hubs</w:t>
            </w:r>
          </w:p>
          <w:p w14:paraId="798E8FEE" w14:textId="77777777" w:rsidR="00386DD8" w:rsidRPr="00386DD8" w:rsidRDefault="00587CF0" w:rsidP="00C951D5">
            <w:pPr>
              <w:pStyle w:val="ListParagraph2"/>
              <w:numPr>
                <w:ilvl w:val="0"/>
                <w:numId w:val="79"/>
              </w:numPr>
              <w:spacing w:before="0" w:after="0"/>
              <w:jc w:val="left"/>
              <w:rPr>
                <w:lang w:val="en-GB"/>
              </w:rPr>
            </w:pPr>
            <w:r w:rsidRPr="001963C3">
              <w:rPr>
                <w:rFonts w:eastAsia="Calibri"/>
                <w:lang w:val="en-GB"/>
              </w:rPr>
              <w:t>Creation of new infrastructures to cross the Danube</w:t>
            </w:r>
          </w:p>
          <w:p w14:paraId="17F004BB" w14:textId="77777777" w:rsidR="00386DD8" w:rsidRPr="00386DD8" w:rsidRDefault="00386DD8" w:rsidP="00C951D5">
            <w:pPr>
              <w:pStyle w:val="ListParagraph2"/>
              <w:numPr>
                <w:ilvl w:val="0"/>
                <w:numId w:val="79"/>
              </w:numPr>
              <w:spacing w:before="0" w:after="0"/>
              <w:jc w:val="left"/>
              <w:rPr>
                <w:lang w:val="en-GB"/>
              </w:rPr>
            </w:pPr>
            <w:r>
              <w:rPr>
                <w:rFonts w:eastAsia="Calibri"/>
                <w:lang w:val="en-GB"/>
              </w:rPr>
              <w:t>Enhancing the connection to the TEN-T Network</w:t>
            </w:r>
          </w:p>
          <w:p w14:paraId="7E361456" w14:textId="7F26A26A" w:rsidR="00587CF0" w:rsidRPr="001963C3" w:rsidRDefault="00386DD8" w:rsidP="00C951D5">
            <w:pPr>
              <w:pStyle w:val="ListParagraph2"/>
              <w:numPr>
                <w:ilvl w:val="0"/>
                <w:numId w:val="79"/>
              </w:numPr>
              <w:spacing w:before="0" w:after="0"/>
              <w:jc w:val="left"/>
              <w:rPr>
                <w:lang w:val="en-GB"/>
              </w:rPr>
            </w:pPr>
            <w:r>
              <w:rPr>
                <w:rFonts w:eastAsia="Calibri"/>
                <w:lang w:val="en-GB"/>
              </w:rPr>
              <w:t>Enhancing the safety and the predictability of navigation on the Danube</w:t>
            </w:r>
            <w:r w:rsidR="00587CF0" w:rsidRPr="001963C3">
              <w:rPr>
                <w:rFonts w:eastAsia="Calibri"/>
                <w:lang w:val="en-GB"/>
              </w:rPr>
              <w:t xml:space="preserve"> </w:t>
            </w:r>
          </w:p>
          <w:p w14:paraId="7BB718AE" w14:textId="77777777" w:rsidR="00587CF0" w:rsidRPr="001963C3" w:rsidRDefault="00587CF0" w:rsidP="00C951D5">
            <w:pPr>
              <w:pStyle w:val="ListParagraph2"/>
              <w:numPr>
                <w:ilvl w:val="0"/>
                <w:numId w:val="79"/>
              </w:numPr>
              <w:spacing w:before="0" w:after="0"/>
              <w:jc w:val="left"/>
              <w:rPr>
                <w:lang w:val="en-GB"/>
              </w:rPr>
            </w:pPr>
            <w:r w:rsidRPr="001963C3">
              <w:rPr>
                <w:rFonts w:eastAsia="Calibri"/>
                <w:lang w:val="en-GB"/>
              </w:rPr>
              <w:t xml:space="preserve">Elaboration of sustainable mobility plans </w:t>
            </w:r>
          </w:p>
          <w:p w14:paraId="3A3ACBB7" w14:textId="77777777" w:rsidR="00587CF0" w:rsidRPr="001963C3" w:rsidRDefault="00587CF0" w:rsidP="00C951D5">
            <w:pPr>
              <w:pStyle w:val="ListParagraph2"/>
              <w:numPr>
                <w:ilvl w:val="0"/>
                <w:numId w:val="79"/>
              </w:numPr>
              <w:spacing w:before="0" w:after="0"/>
              <w:jc w:val="left"/>
              <w:rPr>
                <w:lang w:val="en-GB"/>
              </w:rPr>
            </w:pPr>
            <w:r w:rsidRPr="001963C3">
              <w:rPr>
                <w:rFonts w:eastAsia="Calibri"/>
                <w:lang w:val="en-GB"/>
              </w:rPr>
              <w:t xml:space="preserve">Improving integrated urban development </w:t>
            </w:r>
          </w:p>
          <w:p w14:paraId="7CA5F2BC" w14:textId="77777777" w:rsidR="00587CF0" w:rsidRPr="001963C3" w:rsidRDefault="00587CF0" w:rsidP="00C951D5">
            <w:pPr>
              <w:pStyle w:val="ListParagraph2"/>
              <w:numPr>
                <w:ilvl w:val="0"/>
                <w:numId w:val="79"/>
              </w:numPr>
              <w:spacing w:before="0" w:after="0"/>
              <w:jc w:val="left"/>
              <w:rPr>
                <w:lang w:val="en-GB"/>
              </w:rPr>
            </w:pPr>
            <w:r w:rsidRPr="001963C3">
              <w:rPr>
                <w:rFonts w:eastAsia="Calibri"/>
                <w:lang w:val="en-GB"/>
              </w:rPr>
              <w:t xml:space="preserve">Development of planning strategies for the twin-city-ports </w:t>
            </w:r>
          </w:p>
          <w:p w14:paraId="055E0C8A" w14:textId="77777777" w:rsidR="00587CF0" w:rsidRPr="001963C3" w:rsidRDefault="00587CF0" w:rsidP="00C951D5">
            <w:pPr>
              <w:pStyle w:val="ListParagraph2"/>
              <w:numPr>
                <w:ilvl w:val="0"/>
                <w:numId w:val="79"/>
              </w:numPr>
              <w:spacing w:before="0" w:after="0"/>
              <w:jc w:val="left"/>
              <w:rPr>
                <w:lang w:val="en-GB"/>
              </w:rPr>
            </w:pPr>
            <w:r w:rsidRPr="001963C3">
              <w:rPr>
                <w:rFonts w:eastAsia="Calibri"/>
                <w:lang w:val="en-GB"/>
              </w:rPr>
              <w:t xml:space="preserve">The inclusion of “enclave” areas near the Danube in national transport Master plans </w:t>
            </w:r>
          </w:p>
          <w:p w14:paraId="0413AF87" w14:textId="77777777" w:rsidR="00587CF0" w:rsidRPr="001963C3" w:rsidRDefault="00587CF0" w:rsidP="00C951D5">
            <w:pPr>
              <w:pStyle w:val="ListParagraph2"/>
              <w:numPr>
                <w:ilvl w:val="0"/>
                <w:numId w:val="79"/>
              </w:numPr>
              <w:spacing w:before="0" w:after="0"/>
              <w:jc w:val="left"/>
              <w:rPr>
                <w:lang w:val="en-GB"/>
              </w:rPr>
            </w:pPr>
            <w:r w:rsidRPr="001963C3">
              <w:rPr>
                <w:rFonts w:eastAsia="Calibri"/>
                <w:lang w:val="en-GB"/>
              </w:rPr>
              <w:t xml:space="preserve">Adopting best practices of winter management to access isolated areas </w:t>
            </w:r>
          </w:p>
          <w:p w14:paraId="024173A9" w14:textId="77777777" w:rsidR="00587CF0" w:rsidRPr="001963C3" w:rsidRDefault="00587CF0" w:rsidP="001963C3">
            <w:pPr>
              <w:pStyle w:val="ListParagraph2"/>
              <w:keepNext/>
              <w:keepLines/>
              <w:numPr>
                <w:ilvl w:val="0"/>
                <w:numId w:val="79"/>
              </w:numPr>
              <w:shd w:val="clear" w:color="auto" w:fill="FFFFFF" w:themeFill="background1"/>
              <w:spacing w:before="0" w:after="0"/>
              <w:jc w:val="left"/>
              <w:outlineLvl w:val="0"/>
              <w:rPr>
                <w:kern w:val="2"/>
                <w:lang w:val="en-GB"/>
              </w:rPr>
            </w:pPr>
            <w:r w:rsidRPr="001963C3">
              <w:rPr>
                <w:rFonts w:eastAsia="Calibri"/>
                <w:lang w:val="en-GB"/>
              </w:rPr>
              <w:t xml:space="preserve">Development of telecom infrastructure </w:t>
            </w:r>
          </w:p>
          <w:p w14:paraId="23FED4EA" w14:textId="77777777" w:rsidR="004B28A8" w:rsidRPr="001963C3" w:rsidRDefault="004B28A8" w:rsidP="00C951D5">
            <w:pPr>
              <w:pStyle w:val="ListParagraph2"/>
              <w:numPr>
                <w:ilvl w:val="0"/>
                <w:numId w:val="79"/>
              </w:numPr>
              <w:spacing w:before="0" w:after="0"/>
              <w:jc w:val="left"/>
              <w:rPr>
                <w:kern w:val="2"/>
                <w:lang w:val="en-GB"/>
              </w:rPr>
            </w:pPr>
            <w:r w:rsidRPr="001963C3">
              <w:rPr>
                <w:rFonts w:eastAsia="Calibri"/>
                <w:lang w:val="en-GB"/>
              </w:rPr>
              <w:t>Joint measures for smart and sustainable transport in the cross-border area</w:t>
            </w:r>
          </w:p>
        </w:tc>
        <w:tc>
          <w:tcPr>
            <w:tcW w:w="4788"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023AE989" w14:textId="77777777" w:rsidR="00587CF0" w:rsidRPr="001963C3" w:rsidRDefault="00587CF0" w:rsidP="00386DD8">
            <w:pPr>
              <w:pStyle w:val="ListParagraph2"/>
              <w:numPr>
                <w:ilvl w:val="0"/>
                <w:numId w:val="79"/>
              </w:numPr>
              <w:spacing w:before="0" w:after="0"/>
              <w:jc w:val="left"/>
              <w:rPr>
                <w:kern w:val="2"/>
                <w:lang w:val="en-GB"/>
              </w:rPr>
            </w:pPr>
            <w:r w:rsidRPr="001963C3">
              <w:rPr>
                <w:rFonts w:eastAsia="Calibri"/>
                <w:lang w:val="en-GB"/>
              </w:rPr>
              <w:t xml:space="preserve">Lack of infrastructure can hinder the cross-border cooperation </w:t>
            </w:r>
          </w:p>
          <w:p w14:paraId="291DCCB1" w14:textId="77777777" w:rsidR="00587CF0" w:rsidRPr="001963C3" w:rsidRDefault="00587CF0" w:rsidP="00386DD8">
            <w:pPr>
              <w:pStyle w:val="ListParagraph2"/>
              <w:numPr>
                <w:ilvl w:val="0"/>
                <w:numId w:val="79"/>
              </w:numPr>
              <w:spacing w:before="0" w:after="0"/>
              <w:jc w:val="left"/>
              <w:rPr>
                <w:lang w:val="en-GB"/>
              </w:rPr>
            </w:pPr>
            <w:r w:rsidRPr="001963C3">
              <w:rPr>
                <w:rFonts w:eastAsia="Calibri"/>
                <w:lang w:val="en-GB"/>
              </w:rPr>
              <w:t>Lack of infrastructure can hinder the socio-economic territorial integration</w:t>
            </w:r>
          </w:p>
          <w:p w14:paraId="77426450" w14:textId="77777777" w:rsidR="00587CF0" w:rsidRPr="001963C3" w:rsidRDefault="00587CF0" w:rsidP="00386DD8">
            <w:pPr>
              <w:pStyle w:val="ListParagraph2"/>
              <w:numPr>
                <w:ilvl w:val="0"/>
                <w:numId w:val="79"/>
              </w:numPr>
              <w:spacing w:before="0" w:after="0"/>
              <w:jc w:val="left"/>
              <w:rPr>
                <w:kern w:val="2"/>
                <w:lang w:val="en-GB"/>
              </w:rPr>
            </w:pPr>
            <w:r w:rsidRPr="001963C3">
              <w:rPr>
                <w:rFonts w:eastAsia="Calibri"/>
                <w:lang w:val="en-GB"/>
              </w:rPr>
              <w:t>The lack of connectivity is a hindrance of the multimodality hub/port development</w:t>
            </w:r>
          </w:p>
        </w:tc>
      </w:tr>
    </w:tbl>
    <w:p w14:paraId="69858847" w14:textId="77777777" w:rsidR="00587CF0" w:rsidRPr="006645DC" w:rsidRDefault="00587CF0" w:rsidP="00587CF0">
      <w:pPr>
        <w:rPr>
          <w:rFonts w:eastAsia="Arial" w:cs="Calibri"/>
          <w:kern w:val="2"/>
          <w:lang w:val="en-GB"/>
        </w:rPr>
      </w:pPr>
    </w:p>
    <w:p w14:paraId="42CA0421" w14:textId="77777777" w:rsidR="00587CF0" w:rsidRPr="006645DC" w:rsidRDefault="00587CF0" w:rsidP="00587CF0">
      <w:pPr>
        <w:rPr>
          <w:lang w:val="en-GB"/>
        </w:rPr>
      </w:pPr>
    </w:p>
    <w:p w14:paraId="5B0D34E3" w14:textId="77777777" w:rsidR="00587CF0" w:rsidRPr="006645DC" w:rsidRDefault="00587CF0" w:rsidP="00587CF0">
      <w:pPr>
        <w:spacing w:before="0" w:after="0"/>
        <w:jc w:val="left"/>
        <w:rPr>
          <w:lang w:val="en-GB"/>
        </w:rPr>
        <w:sectPr w:rsidR="00587CF0" w:rsidRPr="006645DC">
          <w:pgSz w:w="12240" w:h="15840"/>
          <w:pgMar w:top="1440" w:right="1440" w:bottom="1440" w:left="1440" w:header="708" w:footer="708" w:gutter="0"/>
          <w:cols w:space="720"/>
        </w:sectPr>
      </w:pPr>
    </w:p>
    <w:p w14:paraId="24B2CC92" w14:textId="77777777" w:rsidR="00587CF0" w:rsidRPr="006645DC" w:rsidRDefault="00AA4C82" w:rsidP="00587CF0">
      <w:pPr>
        <w:jc w:val="center"/>
        <w:rPr>
          <w:lang w:val="en-GB"/>
        </w:rPr>
      </w:pPr>
      <w:r w:rsidRPr="006645DC">
        <w:rPr>
          <w:noProof/>
          <w:lang w:val="bg-BG" w:eastAsia="bg-BG"/>
        </w:rPr>
        <w:lastRenderedPageBreak/>
        <w:drawing>
          <wp:inline distT="0" distB="0" distL="0" distR="0" wp14:anchorId="72A2B669" wp14:editId="673CBC99">
            <wp:extent cx="5686425" cy="5848350"/>
            <wp:effectExtent l="19050" t="0" r="9525" b="0"/>
            <wp:docPr id="419" name="Imag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77"/>
                    <a:srcRect/>
                    <a:stretch>
                      <a:fillRect/>
                    </a:stretch>
                  </pic:blipFill>
                  <pic:spPr bwMode="auto">
                    <a:xfrm>
                      <a:off x="0" y="0"/>
                      <a:ext cx="5686425" cy="5848350"/>
                    </a:xfrm>
                    <a:prstGeom prst="rect">
                      <a:avLst/>
                    </a:prstGeom>
                    <a:noFill/>
                    <a:ln w="9525">
                      <a:noFill/>
                      <a:miter lim="800000"/>
                      <a:headEnd/>
                      <a:tailEnd/>
                    </a:ln>
                  </pic:spPr>
                </pic:pic>
              </a:graphicData>
            </a:graphic>
          </wp:inline>
        </w:drawing>
      </w:r>
    </w:p>
    <w:p w14:paraId="7A5ECA49" w14:textId="77777777" w:rsidR="00587CF0" w:rsidRPr="006645DC" w:rsidRDefault="00587CF0" w:rsidP="00587CF0">
      <w:pPr>
        <w:jc w:val="center"/>
        <w:rPr>
          <w:lang w:val="en-GB"/>
        </w:rPr>
      </w:pPr>
    </w:p>
    <w:p w14:paraId="21835D24" w14:textId="77777777" w:rsidR="00587CF0" w:rsidRPr="006645DC" w:rsidRDefault="00587CF0" w:rsidP="00587CF0">
      <w:pPr>
        <w:rPr>
          <w:lang w:val="en-GB"/>
        </w:rPr>
      </w:pPr>
    </w:p>
    <w:p w14:paraId="4798E30D" w14:textId="77777777" w:rsidR="00587CF0" w:rsidRPr="006645DC" w:rsidRDefault="00587CF0" w:rsidP="00587CF0">
      <w:pPr>
        <w:rPr>
          <w:lang w:val="en-GB"/>
        </w:rPr>
      </w:pPr>
    </w:p>
    <w:p w14:paraId="4F4B53AC" w14:textId="77777777" w:rsidR="00587CF0" w:rsidRPr="006645DC" w:rsidRDefault="00587CF0" w:rsidP="00587CF0">
      <w:pPr>
        <w:rPr>
          <w:lang w:val="en-GB"/>
        </w:rPr>
      </w:pPr>
    </w:p>
    <w:p w14:paraId="17D5C12F" w14:textId="77777777" w:rsidR="00587CF0" w:rsidRPr="006645DC" w:rsidRDefault="00587CF0" w:rsidP="00587CF0">
      <w:pPr>
        <w:spacing w:before="0" w:after="0"/>
        <w:jc w:val="left"/>
        <w:rPr>
          <w:lang w:val="en-GB"/>
        </w:rPr>
        <w:sectPr w:rsidR="00587CF0" w:rsidRPr="006645DC">
          <w:pgSz w:w="12240" w:h="15840"/>
          <w:pgMar w:top="1440" w:right="1440" w:bottom="1440" w:left="1440" w:header="708" w:footer="708" w:gutter="0"/>
          <w:cols w:space="720"/>
        </w:sectPr>
      </w:pPr>
    </w:p>
    <w:p w14:paraId="7E60D76D" w14:textId="77777777" w:rsidR="00587CF0" w:rsidRPr="006645DC" w:rsidRDefault="00587CF0" w:rsidP="00386DD8">
      <w:pPr>
        <w:pStyle w:val="Heading2"/>
        <w:spacing w:before="0"/>
        <w:rPr>
          <w:lang w:val="en-GB"/>
        </w:rPr>
      </w:pPr>
      <w:bookmarkStart w:id="178" w:name="_Toc376198457"/>
      <w:bookmarkStart w:id="179" w:name="_Toc254543777"/>
      <w:bookmarkStart w:id="180" w:name="_Toc391150172"/>
      <w:r w:rsidRPr="006645DC">
        <w:rPr>
          <w:lang w:val="en-GB"/>
        </w:rPr>
        <w:lastRenderedPageBreak/>
        <w:t>Challenges and needs</w:t>
      </w:r>
      <w:bookmarkEnd w:id="177"/>
      <w:bookmarkEnd w:id="178"/>
      <w:bookmarkEnd w:id="179"/>
      <w:bookmarkEnd w:id="180"/>
    </w:p>
    <w:p w14:paraId="64356901" w14:textId="77777777" w:rsidR="00587CF0" w:rsidRPr="006645DC" w:rsidRDefault="00587CF0" w:rsidP="00C951D5">
      <w:pPr>
        <w:pStyle w:val="Heading3"/>
        <w:numPr>
          <w:ilvl w:val="0"/>
          <w:numId w:val="81"/>
        </w:numPr>
        <w:rPr>
          <w:lang w:val="en-GB"/>
        </w:rPr>
      </w:pPr>
      <w:bookmarkStart w:id="181" w:name="_Toc254543778"/>
      <w:r w:rsidRPr="006645DC">
        <w:rPr>
          <w:lang w:val="en-GB"/>
        </w:rPr>
        <w:t>Territorial challenges</w:t>
      </w:r>
      <w:bookmarkEnd w:id="181"/>
    </w:p>
    <w:p w14:paraId="700A47AB" w14:textId="77777777" w:rsidR="00587CF0" w:rsidRPr="006645DC" w:rsidRDefault="00587CF0" w:rsidP="00E12EE5">
      <w:pPr>
        <w:pStyle w:val="ListParagraph"/>
        <w:rPr>
          <w:lang w:val="en-GB"/>
        </w:rPr>
      </w:pPr>
      <w:r w:rsidRPr="006645DC">
        <w:rPr>
          <w:lang w:val="en-GB"/>
        </w:rPr>
        <w:t>The Danube represents a rather rigid border almost a barrier between Romania and Bulgaria. The lack of infrastructure for crossing the border is hindering the cross-border cooperation and socio-economic territorial integration. Companies and civil society organisations are unable to take advantage of the neighbo</w:t>
      </w:r>
      <w:r w:rsidR="004B28A8" w:rsidRPr="006645DC">
        <w:rPr>
          <w:lang w:val="en-GB"/>
        </w:rPr>
        <w:t>u</w:t>
      </w:r>
      <w:r w:rsidRPr="006645DC">
        <w:rPr>
          <w:lang w:val="en-GB"/>
        </w:rPr>
        <w:t>ring territory’s opportunities for cooperation as crossing the border is costly and time-consuming. The lack of border-crossing points is an especially cumbersome reality.</w:t>
      </w:r>
    </w:p>
    <w:p w14:paraId="37956C8F" w14:textId="77777777" w:rsidR="00587CF0" w:rsidRPr="006645DC" w:rsidRDefault="00587CF0" w:rsidP="00E12EE5">
      <w:pPr>
        <w:pStyle w:val="ListParagraph"/>
        <w:rPr>
          <w:lang w:val="en-GB"/>
        </w:rPr>
      </w:pPr>
      <w:r w:rsidRPr="006645DC">
        <w:rPr>
          <w:lang w:val="en-GB"/>
        </w:rPr>
        <w:t>The infrastructure grid reflects the concept of the frontier as “dead-end” leading not only to low connectivity between the two countries but also to low accessibility of cross-border areas to</w:t>
      </w:r>
      <w:r w:rsidR="004B28A8" w:rsidRPr="006645DC">
        <w:rPr>
          <w:lang w:val="en-GB"/>
        </w:rPr>
        <w:t xml:space="preserve"> TEN-T corridors and</w:t>
      </w:r>
      <w:r w:rsidRPr="006645DC">
        <w:rPr>
          <w:lang w:val="en-GB"/>
        </w:rPr>
        <w:t xml:space="preserve"> own existing national infrastructure major corridors. Many cross-border areas are “dead-ends” from the point of view of accessibility.</w:t>
      </w:r>
    </w:p>
    <w:p w14:paraId="7A7272A0" w14:textId="77777777" w:rsidR="00587CF0" w:rsidRPr="006645DC" w:rsidRDefault="00587CF0" w:rsidP="00E12EE5">
      <w:pPr>
        <w:pStyle w:val="ListParagraph"/>
        <w:rPr>
          <w:lang w:val="en-GB"/>
        </w:rPr>
      </w:pPr>
      <w:r w:rsidRPr="006645DC">
        <w:rPr>
          <w:lang w:val="en-GB"/>
        </w:rPr>
        <w:t xml:space="preserve">The lack of connectivity of the hinterland to the Danube is a hindrance to the multimodality hub/port development. Multimodality could increase the use of the Danube’s transport potential and create the premises for making some “enclave” territories accessible. </w:t>
      </w:r>
    </w:p>
    <w:p w14:paraId="13A46BAC" w14:textId="77777777" w:rsidR="00587CF0" w:rsidRPr="006645DC" w:rsidRDefault="00587CF0" w:rsidP="00E12EE5">
      <w:pPr>
        <w:pStyle w:val="ListParagraph"/>
        <w:rPr>
          <w:lang w:val="en-GB"/>
        </w:rPr>
      </w:pPr>
      <w:r w:rsidRPr="006645DC">
        <w:rPr>
          <w:lang w:val="en-GB"/>
        </w:rPr>
        <w:t>Broadband coverage is relatively low, especially in the rural area. This is one of the key factors for the re-connection of the rural area to the urban centers and to increase the attractiveness of the rural area.</w:t>
      </w:r>
    </w:p>
    <w:p w14:paraId="25C36F97" w14:textId="2685D18E" w:rsidR="00587CF0" w:rsidRPr="006645DC" w:rsidRDefault="00587CF0" w:rsidP="00E12EE5">
      <w:pPr>
        <w:pStyle w:val="ListParagraph"/>
        <w:rPr>
          <w:lang w:val="en-GB"/>
        </w:rPr>
      </w:pPr>
      <w:r w:rsidRPr="006645DC">
        <w:rPr>
          <w:lang w:val="en-GB"/>
        </w:rPr>
        <w:t xml:space="preserve">The lack of sustainable urban mobility plans for the main cities to develop links with small towns and the rural area. The lack of investments in rail infrastructure and the crossing by the main road infrastructure of town centers (especially in Romania) is leading to low accessibility. </w:t>
      </w:r>
    </w:p>
    <w:p w14:paraId="559CBFFB" w14:textId="76C4F10D" w:rsidR="00587CF0" w:rsidRPr="006645DC" w:rsidRDefault="00587CF0" w:rsidP="00E12EE5">
      <w:pPr>
        <w:pStyle w:val="ListParagraph"/>
        <w:rPr>
          <w:lang w:val="en-GB"/>
        </w:rPr>
      </w:pPr>
      <w:r w:rsidRPr="006645DC">
        <w:rPr>
          <w:lang w:val="en-GB"/>
        </w:rPr>
        <w:t xml:space="preserve">Shipping during dry months often has to be stopped at several points of the cross-border area along the Danube. Furthermore </w:t>
      </w:r>
      <w:r w:rsidR="004B28A8" w:rsidRPr="006645DC">
        <w:rPr>
          <w:lang w:val="en-GB"/>
        </w:rPr>
        <w:t>t</w:t>
      </w:r>
      <w:r w:rsidRPr="006645DC">
        <w:rPr>
          <w:lang w:val="en-GB"/>
        </w:rPr>
        <w:t>he winter conditions make the area (especially the Romanian lower plain area) extremely exposed to the winter isolation. The infrastructure needs to better take into account this aspect.</w:t>
      </w:r>
    </w:p>
    <w:p w14:paraId="797DEF00" w14:textId="77777777" w:rsidR="00587CF0" w:rsidRPr="006645DC" w:rsidRDefault="00587CF0" w:rsidP="004C2574">
      <w:pPr>
        <w:pStyle w:val="ListParagraph"/>
        <w:rPr>
          <w:lang w:val="en-GB"/>
        </w:rPr>
      </w:pPr>
      <w:r w:rsidRPr="006645DC">
        <w:rPr>
          <w:lang w:val="en-GB"/>
        </w:rPr>
        <w:t xml:space="preserve">The unused transport potential of the Danube is a key factor that has to be taken into account by cross-border cooperation for land infrastructure planning and for smart competitiveness economic planning. </w:t>
      </w:r>
    </w:p>
    <w:p w14:paraId="5C854E27" w14:textId="6D51CBD6" w:rsidR="00A952D6" w:rsidRPr="006645DC" w:rsidRDefault="004B28A8" w:rsidP="00A733C0">
      <w:pPr>
        <w:pStyle w:val="ListParagraph"/>
        <w:rPr>
          <w:lang w:val="en-GB"/>
        </w:rPr>
      </w:pPr>
      <w:r w:rsidRPr="006645DC">
        <w:rPr>
          <w:lang w:val="en-GB"/>
        </w:rPr>
        <w:t>The adverse consequences</w:t>
      </w:r>
      <w:r w:rsidR="005C4681" w:rsidRPr="006645DC">
        <w:rPr>
          <w:lang w:val="en-GB"/>
        </w:rPr>
        <w:t xml:space="preserve"> (e.g. accidents, traffic jams, etc.)</w:t>
      </w:r>
      <w:r w:rsidRPr="006645DC">
        <w:rPr>
          <w:lang w:val="en-GB"/>
        </w:rPr>
        <w:t xml:space="preserve"> of the poor quality of secondary and tertiary road networks the roads need to be mitigated by integrated solutions such as joint traffic management (route guidance, emergency detection, etc</w:t>
      </w:r>
      <w:r w:rsidR="005C4681" w:rsidRPr="006645DC">
        <w:rPr>
          <w:lang w:val="en-GB"/>
        </w:rPr>
        <w:t>.</w:t>
      </w:r>
      <w:r w:rsidRPr="006645DC">
        <w:rPr>
          <w:lang w:val="en-GB"/>
        </w:rPr>
        <w:t>) and improving traffic safety measures.</w:t>
      </w:r>
    </w:p>
    <w:p w14:paraId="5AC8C335" w14:textId="77777777" w:rsidR="00A733C0" w:rsidRPr="006645DC" w:rsidRDefault="00A733C0" w:rsidP="00A733C0">
      <w:pPr>
        <w:rPr>
          <w:lang w:val="en-GB"/>
        </w:rPr>
      </w:pPr>
    </w:p>
    <w:p w14:paraId="0C1FF4E6" w14:textId="14FA4112" w:rsidR="00386DD8" w:rsidRPr="00386DD8" w:rsidRDefault="00587CF0" w:rsidP="00386DD8">
      <w:pPr>
        <w:pStyle w:val="Heading3"/>
        <w:rPr>
          <w:rFonts w:ascii="Cambria" w:hAnsi="Cambria"/>
          <w:lang w:val="en-GB"/>
        </w:rPr>
      </w:pPr>
      <w:bookmarkStart w:id="182" w:name="_Toc371084759"/>
      <w:bookmarkStart w:id="183" w:name="_Toc371092797"/>
      <w:bookmarkStart w:id="184" w:name="_Toc254543779"/>
      <w:r w:rsidRPr="006645DC">
        <w:rPr>
          <w:lang w:val="en-GB"/>
        </w:rPr>
        <w:lastRenderedPageBreak/>
        <w:t>Needs</w:t>
      </w:r>
      <w:bookmarkEnd w:id="182"/>
      <w:bookmarkEnd w:id="183"/>
      <w:bookmarkEnd w:id="184"/>
    </w:p>
    <w:tbl>
      <w:tblPr>
        <w:tblStyle w:val="TableGrid4"/>
        <w:tblpPr w:leftFromText="180" w:rightFromText="180" w:vertAnchor="text" w:horzAnchor="margin" w:tblpY="166"/>
        <w:tblW w:w="5000" w:type="pct"/>
        <w:tblLook w:val="04A0" w:firstRow="1" w:lastRow="0" w:firstColumn="1" w:lastColumn="0" w:noHBand="0" w:noVBand="1"/>
      </w:tblPr>
      <w:tblGrid>
        <w:gridCol w:w="659"/>
        <w:gridCol w:w="4704"/>
        <w:gridCol w:w="1055"/>
        <w:gridCol w:w="1055"/>
        <w:gridCol w:w="1055"/>
        <w:gridCol w:w="1048"/>
      </w:tblGrid>
      <w:tr w:rsidR="00240617" w:rsidRPr="006645DC" w14:paraId="7E8D18DE" w14:textId="77777777" w:rsidTr="00240617">
        <w:tc>
          <w:tcPr>
            <w:tcW w:w="344" w:type="pct"/>
            <w:vMerge w:val="restart"/>
            <w:hideMark/>
          </w:tcPr>
          <w:p w14:paraId="4306E971" w14:textId="77777777" w:rsidR="00240617" w:rsidRPr="00240617" w:rsidRDefault="00240617" w:rsidP="00240617">
            <w:pPr>
              <w:suppressAutoHyphens/>
              <w:spacing w:after="0" w:line="100" w:lineRule="atLeast"/>
              <w:jc w:val="center"/>
              <w:rPr>
                <w:rFonts w:asciiTheme="minorHAnsi" w:eastAsia="Arial" w:hAnsiTheme="minorHAnsi" w:cstheme="minorHAnsi"/>
                <w:b/>
                <w:bCs/>
                <w:kern w:val="2"/>
                <w:lang w:val="en-GB"/>
              </w:rPr>
            </w:pPr>
            <w:r w:rsidRPr="00240617">
              <w:rPr>
                <w:rFonts w:asciiTheme="minorHAnsi" w:hAnsiTheme="minorHAnsi" w:cstheme="minorHAnsi"/>
                <w:b/>
                <w:bCs/>
                <w:lang w:val="en-GB"/>
              </w:rPr>
              <w:t>No.</w:t>
            </w:r>
          </w:p>
        </w:tc>
        <w:tc>
          <w:tcPr>
            <w:tcW w:w="2456" w:type="pct"/>
            <w:vMerge w:val="restart"/>
            <w:hideMark/>
          </w:tcPr>
          <w:p w14:paraId="7B3664F8" w14:textId="77777777" w:rsidR="00240617" w:rsidRPr="00240617" w:rsidRDefault="00240617" w:rsidP="00240617">
            <w:pPr>
              <w:suppressAutoHyphens/>
              <w:spacing w:after="0" w:line="100" w:lineRule="atLeast"/>
              <w:rPr>
                <w:rFonts w:asciiTheme="minorHAnsi" w:eastAsia="Arial" w:hAnsiTheme="minorHAnsi" w:cstheme="minorHAnsi"/>
                <w:b/>
                <w:bCs/>
                <w:kern w:val="2"/>
                <w:lang w:val="en-GB"/>
              </w:rPr>
            </w:pPr>
            <w:r w:rsidRPr="00240617">
              <w:rPr>
                <w:rFonts w:asciiTheme="minorHAnsi" w:hAnsiTheme="minorHAnsi" w:cstheme="minorHAnsi"/>
                <w:b/>
                <w:bCs/>
                <w:lang w:val="en-GB"/>
              </w:rPr>
              <w:t>Identified need</w:t>
            </w:r>
          </w:p>
        </w:tc>
        <w:tc>
          <w:tcPr>
            <w:tcW w:w="1102" w:type="pct"/>
            <w:gridSpan w:val="2"/>
            <w:hideMark/>
          </w:tcPr>
          <w:p w14:paraId="70CC84E3" w14:textId="77777777" w:rsidR="00240617" w:rsidRPr="00240617" w:rsidRDefault="00240617" w:rsidP="00240617">
            <w:pPr>
              <w:suppressAutoHyphens/>
              <w:spacing w:after="0" w:line="100" w:lineRule="atLeast"/>
              <w:jc w:val="center"/>
              <w:rPr>
                <w:rFonts w:asciiTheme="minorHAnsi" w:eastAsia="Arial" w:hAnsiTheme="minorHAnsi" w:cstheme="minorHAnsi"/>
                <w:b/>
                <w:bCs/>
                <w:kern w:val="2"/>
                <w:lang w:val="en-GB"/>
              </w:rPr>
            </w:pPr>
            <w:r w:rsidRPr="00240617">
              <w:rPr>
                <w:rFonts w:asciiTheme="minorHAnsi" w:hAnsiTheme="minorHAnsi" w:cstheme="minorHAnsi"/>
                <w:b/>
                <w:bCs/>
                <w:lang w:val="en-GB"/>
              </w:rPr>
              <w:t>Relevance for each national cross-border area</w:t>
            </w:r>
          </w:p>
        </w:tc>
        <w:tc>
          <w:tcPr>
            <w:tcW w:w="1098" w:type="pct"/>
            <w:gridSpan w:val="2"/>
            <w:hideMark/>
          </w:tcPr>
          <w:p w14:paraId="7112EFF9" w14:textId="77777777" w:rsidR="00240617" w:rsidRPr="00240617" w:rsidRDefault="00240617" w:rsidP="00240617">
            <w:pPr>
              <w:suppressAutoHyphens/>
              <w:spacing w:after="0" w:line="100" w:lineRule="atLeast"/>
              <w:jc w:val="center"/>
              <w:rPr>
                <w:rFonts w:asciiTheme="minorHAnsi" w:eastAsia="Arial" w:hAnsiTheme="minorHAnsi" w:cstheme="minorHAnsi"/>
                <w:b/>
                <w:bCs/>
                <w:kern w:val="2"/>
                <w:lang w:val="en-GB"/>
              </w:rPr>
            </w:pPr>
            <w:r w:rsidRPr="00240617">
              <w:rPr>
                <w:rFonts w:asciiTheme="minorHAnsi" w:hAnsiTheme="minorHAnsi" w:cstheme="minorHAnsi"/>
                <w:b/>
                <w:bCs/>
                <w:lang w:val="en-GB"/>
              </w:rPr>
              <w:t>Relevance for the ERDF Thematic Objectives</w:t>
            </w:r>
          </w:p>
        </w:tc>
      </w:tr>
      <w:tr w:rsidR="00240617" w:rsidRPr="006645DC" w14:paraId="27F5694C" w14:textId="77777777" w:rsidTr="00240617">
        <w:tc>
          <w:tcPr>
            <w:tcW w:w="344" w:type="pct"/>
            <w:vMerge/>
            <w:hideMark/>
          </w:tcPr>
          <w:p w14:paraId="05FFEEC5" w14:textId="77777777" w:rsidR="00240617" w:rsidRPr="00240617" w:rsidRDefault="00240617" w:rsidP="00240617">
            <w:pPr>
              <w:spacing w:after="0"/>
              <w:jc w:val="center"/>
              <w:rPr>
                <w:rFonts w:asciiTheme="minorHAnsi" w:eastAsia="Arial" w:hAnsiTheme="minorHAnsi" w:cstheme="minorHAnsi"/>
                <w:b/>
                <w:bCs/>
                <w:kern w:val="2"/>
                <w:lang w:val="en-GB"/>
              </w:rPr>
            </w:pPr>
          </w:p>
        </w:tc>
        <w:tc>
          <w:tcPr>
            <w:tcW w:w="2456" w:type="pct"/>
            <w:vMerge/>
            <w:hideMark/>
          </w:tcPr>
          <w:p w14:paraId="4677A141" w14:textId="77777777" w:rsidR="00240617" w:rsidRPr="00240617" w:rsidRDefault="00240617" w:rsidP="00240617">
            <w:pPr>
              <w:spacing w:after="0"/>
              <w:rPr>
                <w:rFonts w:asciiTheme="minorHAnsi" w:eastAsia="Arial" w:hAnsiTheme="minorHAnsi" w:cstheme="minorHAnsi"/>
                <w:b/>
                <w:bCs/>
                <w:kern w:val="2"/>
                <w:lang w:val="en-GB"/>
              </w:rPr>
            </w:pPr>
          </w:p>
        </w:tc>
        <w:tc>
          <w:tcPr>
            <w:tcW w:w="551" w:type="pct"/>
            <w:hideMark/>
          </w:tcPr>
          <w:p w14:paraId="76722276"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kern w:val="2"/>
                <w:lang w:val="en-GB"/>
              </w:rPr>
            </w:pPr>
            <w:r w:rsidRPr="00240617">
              <w:rPr>
                <w:rFonts w:asciiTheme="minorHAnsi" w:hAnsiTheme="minorHAnsi" w:cstheme="minorHAnsi"/>
                <w:b/>
                <w:lang w:val="en-GB"/>
              </w:rPr>
              <w:t>RO</w:t>
            </w:r>
          </w:p>
        </w:tc>
        <w:tc>
          <w:tcPr>
            <w:tcW w:w="551" w:type="pct"/>
            <w:hideMark/>
          </w:tcPr>
          <w:p w14:paraId="13A0FFA2"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kern w:val="2"/>
                <w:lang w:val="en-GB"/>
              </w:rPr>
            </w:pPr>
            <w:r w:rsidRPr="00240617">
              <w:rPr>
                <w:rFonts w:asciiTheme="minorHAnsi" w:hAnsiTheme="minorHAnsi" w:cstheme="minorHAnsi"/>
                <w:b/>
                <w:lang w:val="en-GB"/>
              </w:rPr>
              <w:t>BG</w:t>
            </w:r>
          </w:p>
        </w:tc>
        <w:tc>
          <w:tcPr>
            <w:tcW w:w="551" w:type="pct"/>
            <w:hideMark/>
          </w:tcPr>
          <w:p w14:paraId="227B9995"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kern w:val="2"/>
                <w:lang w:val="en-GB"/>
              </w:rPr>
            </w:pPr>
            <w:r w:rsidRPr="00240617">
              <w:rPr>
                <w:rFonts w:asciiTheme="minorHAnsi" w:hAnsiTheme="minorHAnsi" w:cstheme="minorHAnsi"/>
                <w:b/>
                <w:lang w:val="en-GB"/>
              </w:rPr>
              <w:t>TO2</w:t>
            </w:r>
          </w:p>
        </w:tc>
        <w:tc>
          <w:tcPr>
            <w:tcW w:w="547" w:type="pct"/>
            <w:hideMark/>
          </w:tcPr>
          <w:p w14:paraId="7ABFB7A7" w14:textId="77777777" w:rsidR="00240617" w:rsidRPr="00240617" w:rsidRDefault="00240617" w:rsidP="00240617">
            <w:pPr>
              <w:suppressAutoHyphens/>
              <w:spacing w:after="0" w:line="100" w:lineRule="atLeast"/>
              <w:jc w:val="center"/>
              <w:rPr>
                <w:rFonts w:asciiTheme="minorHAnsi" w:eastAsia="Arial" w:hAnsiTheme="minorHAnsi" w:cstheme="minorHAnsi"/>
                <w:b/>
                <w:bCs/>
                <w:kern w:val="2"/>
                <w:lang w:val="en-GB"/>
              </w:rPr>
            </w:pPr>
            <w:r w:rsidRPr="00240617">
              <w:rPr>
                <w:rFonts w:asciiTheme="minorHAnsi" w:hAnsiTheme="minorHAnsi" w:cstheme="minorHAnsi"/>
                <w:b/>
                <w:lang w:val="en-GB"/>
              </w:rPr>
              <w:t>TO7</w:t>
            </w:r>
          </w:p>
        </w:tc>
      </w:tr>
      <w:tr w:rsidR="00240617" w:rsidRPr="006645DC" w14:paraId="5CF32747" w14:textId="77777777" w:rsidTr="00240617">
        <w:tc>
          <w:tcPr>
            <w:tcW w:w="344" w:type="pct"/>
            <w:hideMark/>
          </w:tcPr>
          <w:p w14:paraId="0CD5442E" w14:textId="77777777" w:rsidR="00240617" w:rsidRPr="00240617" w:rsidRDefault="00240617" w:rsidP="00240617">
            <w:pPr>
              <w:suppressAutoHyphens/>
              <w:spacing w:after="0" w:line="100" w:lineRule="atLeast"/>
              <w:jc w:val="center"/>
              <w:rPr>
                <w:rFonts w:asciiTheme="minorHAnsi" w:eastAsia="Arial" w:hAnsiTheme="minorHAnsi" w:cstheme="minorHAnsi"/>
                <w:kern w:val="2"/>
                <w:lang w:val="en-GB"/>
              </w:rPr>
            </w:pPr>
            <w:r w:rsidRPr="00240617">
              <w:rPr>
                <w:rFonts w:asciiTheme="minorHAnsi" w:hAnsiTheme="minorHAnsi" w:cstheme="minorHAnsi"/>
                <w:b/>
                <w:bCs/>
                <w:lang w:val="en-GB"/>
              </w:rPr>
              <w:t>1</w:t>
            </w:r>
          </w:p>
        </w:tc>
        <w:tc>
          <w:tcPr>
            <w:tcW w:w="2456" w:type="pct"/>
            <w:hideMark/>
          </w:tcPr>
          <w:p w14:paraId="6CA55BB2" w14:textId="77777777" w:rsidR="00240617" w:rsidRPr="00240617" w:rsidRDefault="00240617" w:rsidP="00240617">
            <w:pPr>
              <w:keepNext/>
              <w:keepLines/>
              <w:suppressAutoHyphens/>
              <w:spacing w:after="0" w:line="100" w:lineRule="atLeast"/>
              <w:rPr>
                <w:rFonts w:asciiTheme="minorHAnsi" w:eastAsia="Arial" w:hAnsiTheme="minorHAnsi" w:cstheme="minorHAnsi"/>
                <w:kern w:val="2"/>
                <w:lang w:val="en-GB"/>
              </w:rPr>
            </w:pPr>
            <w:r w:rsidRPr="00240617">
              <w:rPr>
                <w:rFonts w:asciiTheme="minorHAnsi" w:hAnsiTheme="minorHAnsi" w:cstheme="minorHAnsi"/>
                <w:lang w:val="en-GB"/>
              </w:rPr>
              <w:t>The creation of new, more versatile, and flexible, and scalable ways of crossing the Danube</w:t>
            </w:r>
          </w:p>
        </w:tc>
        <w:tc>
          <w:tcPr>
            <w:tcW w:w="551" w:type="pct"/>
            <w:hideMark/>
          </w:tcPr>
          <w:p w14:paraId="1EBBA457"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kern w:val="2"/>
                <w:lang w:val="en-GB"/>
              </w:rPr>
            </w:pPr>
            <w:r w:rsidRPr="00240617">
              <w:rPr>
                <w:rFonts w:asciiTheme="minorHAnsi" w:hAnsiTheme="minorHAnsi" w:cstheme="minorHAnsi"/>
                <w:lang w:val="en-GB"/>
              </w:rPr>
              <w:t>+++</w:t>
            </w:r>
          </w:p>
        </w:tc>
        <w:tc>
          <w:tcPr>
            <w:tcW w:w="551" w:type="pct"/>
            <w:hideMark/>
          </w:tcPr>
          <w:p w14:paraId="1F9C6E01"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kern w:val="2"/>
                <w:lang w:val="en-GB"/>
              </w:rPr>
            </w:pPr>
            <w:r w:rsidRPr="00240617">
              <w:rPr>
                <w:rFonts w:asciiTheme="minorHAnsi" w:hAnsiTheme="minorHAnsi" w:cstheme="minorHAnsi"/>
                <w:lang w:val="en-GB"/>
              </w:rPr>
              <w:t>+++</w:t>
            </w:r>
          </w:p>
        </w:tc>
        <w:tc>
          <w:tcPr>
            <w:tcW w:w="551" w:type="pct"/>
          </w:tcPr>
          <w:p w14:paraId="4F34F261"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c>
          <w:tcPr>
            <w:tcW w:w="547" w:type="pct"/>
            <w:hideMark/>
          </w:tcPr>
          <w:p w14:paraId="3D436129"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bCs/>
                <w:kern w:val="2"/>
                <w:lang w:val="en-GB"/>
              </w:rPr>
            </w:pPr>
            <w:r w:rsidRPr="00240617">
              <w:rPr>
                <w:rFonts w:asciiTheme="minorHAnsi" w:hAnsiTheme="minorHAnsi" w:cstheme="minorHAnsi"/>
                <w:b/>
                <w:lang w:val="en-GB"/>
              </w:rPr>
              <w:t>√</w:t>
            </w:r>
          </w:p>
        </w:tc>
      </w:tr>
      <w:tr w:rsidR="00240617" w:rsidRPr="006645DC" w14:paraId="779BAFD1" w14:textId="77777777" w:rsidTr="00240617">
        <w:tc>
          <w:tcPr>
            <w:tcW w:w="344" w:type="pct"/>
            <w:hideMark/>
          </w:tcPr>
          <w:p w14:paraId="7736B046" w14:textId="77777777" w:rsidR="00240617" w:rsidRPr="00240617" w:rsidRDefault="00240617" w:rsidP="00240617">
            <w:pPr>
              <w:suppressAutoHyphens/>
              <w:spacing w:after="0" w:line="100" w:lineRule="atLeast"/>
              <w:jc w:val="center"/>
              <w:rPr>
                <w:rFonts w:asciiTheme="minorHAnsi" w:hAnsiTheme="minorHAnsi" w:cstheme="minorHAnsi"/>
                <w:b/>
                <w:bCs/>
                <w:lang w:val="en-GB"/>
              </w:rPr>
            </w:pPr>
            <w:r w:rsidRPr="00240617">
              <w:rPr>
                <w:rFonts w:asciiTheme="minorHAnsi" w:hAnsiTheme="minorHAnsi" w:cstheme="minorHAnsi"/>
                <w:b/>
                <w:bCs/>
                <w:lang w:val="en-GB"/>
              </w:rPr>
              <w:t>2</w:t>
            </w:r>
          </w:p>
        </w:tc>
        <w:tc>
          <w:tcPr>
            <w:tcW w:w="2456" w:type="pct"/>
            <w:hideMark/>
          </w:tcPr>
          <w:p w14:paraId="08155356" w14:textId="77777777" w:rsidR="00240617" w:rsidRPr="00240617" w:rsidRDefault="00240617" w:rsidP="00240617">
            <w:pPr>
              <w:keepNext/>
              <w:keepLines/>
              <w:suppressAutoHyphens/>
              <w:spacing w:after="0" w:line="100" w:lineRule="atLeast"/>
              <w:rPr>
                <w:rFonts w:asciiTheme="minorHAnsi" w:hAnsiTheme="minorHAnsi" w:cstheme="minorHAnsi"/>
                <w:lang w:val="en-GB"/>
              </w:rPr>
            </w:pPr>
            <w:r w:rsidRPr="00240617">
              <w:rPr>
                <w:rFonts w:asciiTheme="minorHAnsi" w:hAnsiTheme="minorHAnsi" w:cstheme="minorHAnsi"/>
                <w:lang w:val="en-GB"/>
              </w:rPr>
              <w:t>Promote the secondary and tertiary nodes connection to TEN-T infrastructure through investments and integrated strategies, plans, etc.</w:t>
            </w:r>
          </w:p>
        </w:tc>
        <w:tc>
          <w:tcPr>
            <w:tcW w:w="551" w:type="pct"/>
            <w:hideMark/>
          </w:tcPr>
          <w:p w14:paraId="352ABEEB"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hideMark/>
          </w:tcPr>
          <w:p w14:paraId="43EB0B72"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tcPr>
          <w:p w14:paraId="2B22F898"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c>
          <w:tcPr>
            <w:tcW w:w="547" w:type="pct"/>
            <w:hideMark/>
          </w:tcPr>
          <w:p w14:paraId="77A7B36F" w14:textId="77777777" w:rsidR="00240617" w:rsidRPr="00240617" w:rsidRDefault="00240617" w:rsidP="00240617">
            <w:pPr>
              <w:keepNext/>
              <w:keepLines/>
              <w:suppressAutoHyphens/>
              <w:spacing w:after="0" w:line="100" w:lineRule="atLeast"/>
              <w:jc w:val="center"/>
              <w:rPr>
                <w:rFonts w:asciiTheme="minorHAnsi" w:hAnsiTheme="minorHAnsi" w:cstheme="minorHAnsi"/>
                <w:b/>
                <w:lang w:val="en-GB"/>
              </w:rPr>
            </w:pPr>
            <w:r w:rsidRPr="00240617">
              <w:rPr>
                <w:rFonts w:asciiTheme="minorHAnsi" w:hAnsiTheme="minorHAnsi" w:cstheme="minorHAnsi"/>
                <w:b/>
                <w:lang w:val="en-GB"/>
              </w:rPr>
              <w:t>√</w:t>
            </w:r>
          </w:p>
        </w:tc>
      </w:tr>
      <w:tr w:rsidR="00240617" w:rsidRPr="006645DC" w14:paraId="7A257F14" w14:textId="77777777" w:rsidTr="00240617">
        <w:tc>
          <w:tcPr>
            <w:tcW w:w="344" w:type="pct"/>
            <w:hideMark/>
          </w:tcPr>
          <w:p w14:paraId="2AB4E6EE" w14:textId="77777777" w:rsidR="00240617" w:rsidRPr="00240617" w:rsidRDefault="00240617" w:rsidP="00240617">
            <w:pPr>
              <w:suppressAutoHyphens/>
              <w:spacing w:after="0" w:line="100" w:lineRule="atLeast"/>
              <w:jc w:val="center"/>
              <w:rPr>
                <w:rFonts w:asciiTheme="minorHAnsi" w:hAnsiTheme="minorHAnsi" w:cstheme="minorHAnsi"/>
                <w:b/>
                <w:bCs/>
                <w:lang w:val="en-GB"/>
              </w:rPr>
            </w:pPr>
            <w:r w:rsidRPr="00240617">
              <w:rPr>
                <w:rFonts w:asciiTheme="minorHAnsi" w:hAnsiTheme="minorHAnsi" w:cstheme="minorHAnsi"/>
                <w:b/>
                <w:bCs/>
                <w:lang w:val="en-GB"/>
              </w:rPr>
              <w:t>3</w:t>
            </w:r>
          </w:p>
        </w:tc>
        <w:tc>
          <w:tcPr>
            <w:tcW w:w="2456" w:type="pct"/>
            <w:hideMark/>
          </w:tcPr>
          <w:p w14:paraId="790BF1A1" w14:textId="3F5C1080" w:rsidR="00240617" w:rsidRPr="00240617" w:rsidRDefault="00240617" w:rsidP="00240617">
            <w:pPr>
              <w:keepNext/>
              <w:keepLines/>
              <w:suppressAutoHyphens/>
              <w:spacing w:after="0" w:line="100" w:lineRule="atLeast"/>
              <w:rPr>
                <w:rFonts w:asciiTheme="minorHAnsi" w:hAnsiTheme="minorHAnsi" w:cstheme="minorHAnsi"/>
                <w:lang w:val="en-GB"/>
              </w:rPr>
            </w:pPr>
            <w:r>
              <w:rPr>
                <w:rFonts w:asciiTheme="minorHAnsi" w:hAnsiTheme="minorHAnsi" w:cstheme="minorHAnsi"/>
                <w:lang w:val="en-GB"/>
              </w:rPr>
              <w:t xml:space="preserve">Develop </w:t>
            </w:r>
            <w:r w:rsidRPr="00240617">
              <w:rPr>
                <w:rFonts w:asciiTheme="minorHAnsi" w:hAnsiTheme="minorHAnsi" w:cstheme="minorHAnsi"/>
                <w:lang w:val="en-GB"/>
              </w:rPr>
              <w:t xml:space="preserve">the freight and passenger river transport </w:t>
            </w:r>
            <w:r>
              <w:rPr>
                <w:rFonts w:asciiTheme="minorHAnsi" w:hAnsiTheme="minorHAnsi" w:cstheme="minorHAnsi"/>
                <w:lang w:val="en-GB"/>
              </w:rPr>
              <w:t>by enhancing the safety and predictability of navigation</w:t>
            </w:r>
          </w:p>
        </w:tc>
        <w:tc>
          <w:tcPr>
            <w:tcW w:w="551" w:type="pct"/>
            <w:hideMark/>
          </w:tcPr>
          <w:p w14:paraId="5A419E07"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hideMark/>
          </w:tcPr>
          <w:p w14:paraId="22586C01"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tcPr>
          <w:p w14:paraId="353426B3"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c>
          <w:tcPr>
            <w:tcW w:w="547" w:type="pct"/>
            <w:hideMark/>
          </w:tcPr>
          <w:p w14:paraId="2CBD6DAE" w14:textId="77777777" w:rsidR="00240617" w:rsidRPr="00240617" w:rsidRDefault="00240617" w:rsidP="00240617">
            <w:pPr>
              <w:keepNext/>
              <w:keepLines/>
              <w:suppressAutoHyphens/>
              <w:spacing w:after="0" w:line="100" w:lineRule="atLeast"/>
              <w:jc w:val="center"/>
              <w:rPr>
                <w:rFonts w:asciiTheme="minorHAnsi" w:hAnsiTheme="minorHAnsi" w:cstheme="minorHAnsi"/>
                <w:b/>
                <w:lang w:val="en-GB"/>
              </w:rPr>
            </w:pPr>
            <w:r w:rsidRPr="00240617">
              <w:rPr>
                <w:rFonts w:asciiTheme="minorHAnsi" w:hAnsiTheme="minorHAnsi" w:cstheme="minorHAnsi"/>
                <w:b/>
                <w:lang w:val="en-GB"/>
              </w:rPr>
              <w:t>√</w:t>
            </w:r>
          </w:p>
        </w:tc>
      </w:tr>
      <w:tr w:rsidR="00240617" w:rsidRPr="006645DC" w14:paraId="00DFEA4C" w14:textId="77777777" w:rsidTr="00240617">
        <w:tc>
          <w:tcPr>
            <w:tcW w:w="344" w:type="pct"/>
            <w:hideMark/>
          </w:tcPr>
          <w:p w14:paraId="0B891E6D"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kern w:val="2"/>
                <w:lang w:val="en-GB"/>
              </w:rPr>
            </w:pPr>
            <w:r w:rsidRPr="00240617">
              <w:rPr>
                <w:rFonts w:asciiTheme="minorHAnsi" w:hAnsiTheme="minorHAnsi" w:cstheme="minorHAnsi"/>
                <w:b/>
                <w:bCs/>
                <w:lang w:val="en-GB"/>
              </w:rPr>
              <w:t>4</w:t>
            </w:r>
          </w:p>
        </w:tc>
        <w:tc>
          <w:tcPr>
            <w:tcW w:w="2456" w:type="pct"/>
            <w:hideMark/>
          </w:tcPr>
          <w:p w14:paraId="2660EE53" w14:textId="77777777" w:rsidR="00240617" w:rsidRPr="00240617" w:rsidRDefault="00240617" w:rsidP="00240617">
            <w:pPr>
              <w:keepNext/>
              <w:keepLines/>
              <w:suppressAutoHyphens/>
              <w:spacing w:after="0" w:line="100" w:lineRule="atLeast"/>
              <w:rPr>
                <w:rFonts w:asciiTheme="minorHAnsi" w:eastAsia="Arial" w:hAnsiTheme="minorHAnsi" w:cstheme="minorHAnsi"/>
                <w:kern w:val="2"/>
                <w:lang w:val="en-GB"/>
              </w:rPr>
            </w:pPr>
            <w:r w:rsidRPr="00240617">
              <w:rPr>
                <w:rFonts w:asciiTheme="minorHAnsi" w:hAnsiTheme="minorHAnsi" w:cstheme="minorHAnsi"/>
                <w:lang w:val="en-GB"/>
              </w:rPr>
              <w:t>The elaboration of sustainable mobility plans for the cross-border area towns and cities (joint concepts, standards and tools)</w:t>
            </w:r>
          </w:p>
        </w:tc>
        <w:tc>
          <w:tcPr>
            <w:tcW w:w="551" w:type="pct"/>
            <w:hideMark/>
          </w:tcPr>
          <w:p w14:paraId="6FA3BEDD" w14:textId="5E19725F" w:rsidR="00240617" w:rsidRPr="00240617" w:rsidRDefault="00240617" w:rsidP="00240617">
            <w:pPr>
              <w:keepNext/>
              <w:keepLines/>
              <w:suppressAutoHyphens/>
              <w:spacing w:after="0" w:line="100" w:lineRule="atLeast"/>
              <w:jc w:val="center"/>
              <w:rPr>
                <w:rFonts w:asciiTheme="minorHAnsi" w:eastAsia="Arial" w:hAnsiTheme="minorHAnsi" w:cstheme="minorHAnsi"/>
                <w:kern w:val="2"/>
                <w:lang w:val="en-GB"/>
              </w:rPr>
            </w:pPr>
            <w:r>
              <w:rPr>
                <w:rFonts w:asciiTheme="minorHAnsi" w:hAnsiTheme="minorHAnsi" w:cstheme="minorHAnsi"/>
                <w:lang w:val="en-GB"/>
              </w:rPr>
              <w:t>++</w:t>
            </w:r>
          </w:p>
        </w:tc>
        <w:tc>
          <w:tcPr>
            <w:tcW w:w="551" w:type="pct"/>
            <w:hideMark/>
          </w:tcPr>
          <w:p w14:paraId="77DE26E2" w14:textId="33B59EB8" w:rsidR="00240617" w:rsidRPr="00240617" w:rsidRDefault="00240617" w:rsidP="00240617">
            <w:pPr>
              <w:keepNext/>
              <w:keepLines/>
              <w:suppressAutoHyphens/>
              <w:spacing w:after="0" w:line="100" w:lineRule="atLeast"/>
              <w:jc w:val="center"/>
              <w:rPr>
                <w:rFonts w:asciiTheme="minorHAnsi" w:eastAsia="Arial" w:hAnsiTheme="minorHAnsi" w:cstheme="minorHAnsi"/>
                <w:b/>
                <w:kern w:val="2"/>
                <w:lang w:val="en-GB"/>
              </w:rPr>
            </w:pPr>
            <w:r>
              <w:rPr>
                <w:rFonts w:asciiTheme="minorHAnsi" w:hAnsiTheme="minorHAnsi" w:cstheme="minorHAnsi"/>
                <w:lang w:val="en-GB"/>
              </w:rPr>
              <w:t>++</w:t>
            </w:r>
          </w:p>
        </w:tc>
        <w:tc>
          <w:tcPr>
            <w:tcW w:w="551" w:type="pct"/>
          </w:tcPr>
          <w:p w14:paraId="20869D05"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c>
          <w:tcPr>
            <w:tcW w:w="547" w:type="pct"/>
            <w:hideMark/>
          </w:tcPr>
          <w:p w14:paraId="67429877"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bCs/>
                <w:kern w:val="2"/>
                <w:lang w:val="en-GB"/>
              </w:rPr>
            </w:pPr>
            <w:r w:rsidRPr="00240617">
              <w:rPr>
                <w:rFonts w:asciiTheme="minorHAnsi" w:hAnsiTheme="minorHAnsi" w:cstheme="minorHAnsi"/>
                <w:b/>
                <w:lang w:val="en-GB"/>
              </w:rPr>
              <w:t>√</w:t>
            </w:r>
          </w:p>
        </w:tc>
      </w:tr>
      <w:tr w:rsidR="00240617" w:rsidRPr="006645DC" w14:paraId="04AFDEB9" w14:textId="77777777" w:rsidTr="00240617">
        <w:tc>
          <w:tcPr>
            <w:tcW w:w="344" w:type="pct"/>
            <w:hideMark/>
          </w:tcPr>
          <w:p w14:paraId="292C09A7" w14:textId="77777777" w:rsidR="00240617" w:rsidRPr="00240617" w:rsidRDefault="00240617" w:rsidP="00240617">
            <w:pPr>
              <w:keepNext/>
              <w:keepLines/>
              <w:suppressAutoHyphens/>
              <w:spacing w:after="0" w:line="100" w:lineRule="atLeast"/>
              <w:jc w:val="center"/>
              <w:rPr>
                <w:rFonts w:asciiTheme="minorHAnsi" w:hAnsiTheme="minorHAnsi" w:cstheme="minorHAnsi"/>
                <w:b/>
                <w:bCs/>
                <w:lang w:val="en-GB"/>
              </w:rPr>
            </w:pPr>
            <w:r w:rsidRPr="00240617">
              <w:rPr>
                <w:rFonts w:asciiTheme="minorHAnsi" w:hAnsiTheme="minorHAnsi" w:cstheme="minorHAnsi"/>
                <w:b/>
                <w:bCs/>
                <w:lang w:val="en-GB"/>
              </w:rPr>
              <w:t>5</w:t>
            </w:r>
          </w:p>
        </w:tc>
        <w:tc>
          <w:tcPr>
            <w:tcW w:w="2456" w:type="pct"/>
            <w:hideMark/>
          </w:tcPr>
          <w:p w14:paraId="197B0D4F" w14:textId="77777777" w:rsidR="00240617" w:rsidRPr="00240617" w:rsidRDefault="00240617" w:rsidP="00240617">
            <w:pPr>
              <w:keepNext/>
              <w:keepLines/>
              <w:suppressAutoHyphens/>
              <w:spacing w:after="0" w:line="100" w:lineRule="atLeast"/>
              <w:rPr>
                <w:rFonts w:asciiTheme="minorHAnsi" w:hAnsiTheme="minorHAnsi" w:cstheme="minorHAnsi"/>
                <w:lang w:val="en-GB"/>
              </w:rPr>
            </w:pPr>
            <w:r w:rsidRPr="00240617">
              <w:rPr>
                <w:rFonts w:asciiTheme="minorHAnsi" w:hAnsiTheme="minorHAnsi" w:cstheme="minorHAnsi"/>
                <w:lang w:val="en-GB"/>
              </w:rPr>
              <w:t>Establish joint traffic management in the cross-border area</w:t>
            </w:r>
          </w:p>
        </w:tc>
        <w:tc>
          <w:tcPr>
            <w:tcW w:w="551" w:type="pct"/>
            <w:hideMark/>
          </w:tcPr>
          <w:p w14:paraId="20BA532D"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hideMark/>
          </w:tcPr>
          <w:p w14:paraId="27159B69"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tcPr>
          <w:p w14:paraId="02F7D3DE"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c>
          <w:tcPr>
            <w:tcW w:w="547" w:type="pct"/>
            <w:hideMark/>
          </w:tcPr>
          <w:p w14:paraId="788796C4" w14:textId="77777777" w:rsidR="00240617" w:rsidRPr="00240617" w:rsidRDefault="00240617" w:rsidP="00240617">
            <w:pPr>
              <w:keepNext/>
              <w:keepLines/>
              <w:suppressAutoHyphens/>
              <w:spacing w:after="0" w:line="100" w:lineRule="atLeast"/>
              <w:jc w:val="center"/>
              <w:rPr>
                <w:rFonts w:asciiTheme="minorHAnsi" w:hAnsiTheme="minorHAnsi" w:cstheme="minorHAnsi"/>
                <w:b/>
                <w:lang w:val="en-GB"/>
              </w:rPr>
            </w:pPr>
            <w:r w:rsidRPr="00240617">
              <w:rPr>
                <w:rFonts w:asciiTheme="minorHAnsi" w:hAnsiTheme="minorHAnsi" w:cstheme="minorHAnsi"/>
                <w:b/>
                <w:lang w:val="en-GB"/>
              </w:rPr>
              <w:t>√</w:t>
            </w:r>
          </w:p>
        </w:tc>
      </w:tr>
      <w:tr w:rsidR="00240617" w:rsidRPr="006645DC" w14:paraId="16AF9C17" w14:textId="77777777" w:rsidTr="00240617">
        <w:tc>
          <w:tcPr>
            <w:tcW w:w="344" w:type="pct"/>
            <w:hideMark/>
          </w:tcPr>
          <w:p w14:paraId="6A00153A" w14:textId="77777777" w:rsidR="00240617" w:rsidRPr="00240617" w:rsidRDefault="00240617" w:rsidP="00240617">
            <w:pPr>
              <w:keepNext/>
              <w:keepLines/>
              <w:suppressAutoHyphens/>
              <w:spacing w:after="0" w:line="100" w:lineRule="atLeast"/>
              <w:jc w:val="center"/>
              <w:rPr>
                <w:rFonts w:asciiTheme="minorHAnsi" w:hAnsiTheme="minorHAnsi" w:cstheme="minorHAnsi"/>
                <w:b/>
                <w:bCs/>
                <w:lang w:val="en-GB"/>
              </w:rPr>
            </w:pPr>
            <w:r w:rsidRPr="00240617">
              <w:rPr>
                <w:rFonts w:asciiTheme="minorHAnsi" w:hAnsiTheme="minorHAnsi" w:cstheme="minorHAnsi"/>
                <w:b/>
                <w:bCs/>
                <w:lang w:val="en-GB"/>
              </w:rPr>
              <w:t>6</w:t>
            </w:r>
          </w:p>
        </w:tc>
        <w:tc>
          <w:tcPr>
            <w:tcW w:w="2456" w:type="pct"/>
            <w:hideMark/>
          </w:tcPr>
          <w:p w14:paraId="203B50DA" w14:textId="77777777" w:rsidR="00240617" w:rsidRPr="00240617" w:rsidRDefault="00240617" w:rsidP="00240617">
            <w:pPr>
              <w:keepNext/>
              <w:keepLines/>
              <w:suppressAutoHyphens/>
              <w:spacing w:after="0" w:line="100" w:lineRule="atLeast"/>
              <w:rPr>
                <w:rFonts w:asciiTheme="minorHAnsi" w:hAnsiTheme="minorHAnsi" w:cstheme="minorHAnsi"/>
                <w:lang w:val="en-GB"/>
              </w:rPr>
            </w:pPr>
            <w:r w:rsidRPr="00240617">
              <w:rPr>
                <w:rFonts w:asciiTheme="minorHAnsi" w:hAnsiTheme="minorHAnsi" w:cstheme="minorHAnsi"/>
                <w:lang w:val="en-GB"/>
              </w:rPr>
              <w:t>Improve local transport by ensuring effective cooperation between providers of transport as well as traffic information and value added services</w:t>
            </w:r>
          </w:p>
        </w:tc>
        <w:tc>
          <w:tcPr>
            <w:tcW w:w="551" w:type="pct"/>
            <w:hideMark/>
          </w:tcPr>
          <w:p w14:paraId="1E997B90"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hideMark/>
          </w:tcPr>
          <w:p w14:paraId="0125F7EB"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tcPr>
          <w:p w14:paraId="28A4931E"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c>
          <w:tcPr>
            <w:tcW w:w="547" w:type="pct"/>
            <w:hideMark/>
          </w:tcPr>
          <w:p w14:paraId="4CACA7D6" w14:textId="77777777" w:rsidR="00240617" w:rsidRPr="00240617" w:rsidRDefault="00240617" w:rsidP="00240617">
            <w:pPr>
              <w:keepNext/>
              <w:keepLines/>
              <w:suppressAutoHyphens/>
              <w:spacing w:after="0" w:line="100" w:lineRule="atLeast"/>
              <w:jc w:val="center"/>
              <w:rPr>
                <w:rFonts w:asciiTheme="minorHAnsi" w:hAnsiTheme="minorHAnsi" w:cstheme="minorHAnsi"/>
                <w:b/>
                <w:lang w:val="en-GB"/>
              </w:rPr>
            </w:pPr>
            <w:r w:rsidRPr="00240617">
              <w:rPr>
                <w:rFonts w:asciiTheme="minorHAnsi" w:hAnsiTheme="minorHAnsi" w:cstheme="minorHAnsi"/>
                <w:b/>
                <w:lang w:val="en-GB"/>
              </w:rPr>
              <w:t>√</w:t>
            </w:r>
          </w:p>
        </w:tc>
      </w:tr>
      <w:tr w:rsidR="00240617" w:rsidRPr="006645DC" w14:paraId="06207273" w14:textId="77777777" w:rsidTr="00240617">
        <w:tc>
          <w:tcPr>
            <w:tcW w:w="344" w:type="pct"/>
            <w:hideMark/>
          </w:tcPr>
          <w:p w14:paraId="6A03EA55"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kern w:val="2"/>
                <w:lang w:val="en-GB"/>
              </w:rPr>
            </w:pPr>
            <w:r w:rsidRPr="00240617">
              <w:rPr>
                <w:rFonts w:asciiTheme="minorHAnsi" w:hAnsiTheme="minorHAnsi" w:cstheme="minorHAnsi"/>
                <w:b/>
                <w:bCs/>
                <w:lang w:val="en-GB"/>
              </w:rPr>
              <w:t>7</w:t>
            </w:r>
          </w:p>
        </w:tc>
        <w:tc>
          <w:tcPr>
            <w:tcW w:w="2456" w:type="pct"/>
            <w:hideMark/>
          </w:tcPr>
          <w:p w14:paraId="33419FC3" w14:textId="77777777" w:rsidR="00240617" w:rsidRPr="00240617" w:rsidRDefault="00240617" w:rsidP="00240617">
            <w:pPr>
              <w:keepNext/>
              <w:keepLines/>
              <w:suppressAutoHyphens/>
              <w:spacing w:after="0" w:line="100" w:lineRule="atLeast"/>
              <w:rPr>
                <w:rFonts w:asciiTheme="minorHAnsi" w:eastAsia="Arial" w:hAnsiTheme="minorHAnsi" w:cstheme="minorHAnsi"/>
                <w:kern w:val="2"/>
                <w:lang w:val="en-GB"/>
              </w:rPr>
            </w:pPr>
            <w:r w:rsidRPr="00240617">
              <w:rPr>
                <w:rFonts w:asciiTheme="minorHAnsi" w:hAnsiTheme="minorHAnsi" w:cstheme="minorHAnsi"/>
                <w:lang w:val="en-GB"/>
              </w:rPr>
              <w:t>The development of telecom (broadband) infrastructure that is adapted to the territorial profile</w:t>
            </w:r>
          </w:p>
        </w:tc>
        <w:tc>
          <w:tcPr>
            <w:tcW w:w="551" w:type="pct"/>
            <w:hideMark/>
          </w:tcPr>
          <w:p w14:paraId="779AD05B" w14:textId="2E384CE2" w:rsidR="00240617" w:rsidRPr="00240617" w:rsidRDefault="00240617" w:rsidP="00240617">
            <w:pPr>
              <w:keepNext/>
              <w:keepLines/>
              <w:suppressAutoHyphens/>
              <w:spacing w:after="0" w:line="100" w:lineRule="atLeast"/>
              <w:jc w:val="center"/>
              <w:rPr>
                <w:rFonts w:asciiTheme="minorHAnsi" w:eastAsia="Arial" w:hAnsiTheme="minorHAnsi" w:cstheme="minorHAnsi"/>
                <w:kern w:val="2"/>
                <w:lang w:val="en-GB"/>
              </w:rPr>
            </w:pPr>
            <w:r>
              <w:rPr>
                <w:rFonts w:asciiTheme="minorHAnsi" w:hAnsiTheme="minorHAnsi" w:cstheme="minorHAnsi"/>
                <w:lang w:val="en-GB"/>
              </w:rPr>
              <w:t>++</w:t>
            </w:r>
          </w:p>
        </w:tc>
        <w:tc>
          <w:tcPr>
            <w:tcW w:w="551" w:type="pct"/>
            <w:hideMark/>
          </w:tcPr>
          <w:p w14:paraId="09382F12" w14:textId="756A1B56" w:rsidR="00240617" w:rsidRPr="00240617" w:rsidRDefault="00240617" w:rsidP="00240617">
            <w:pPr>
              <w:keepNext/>
              <w:keepLines/>
              <w:suppressAutoHyphens/>
              <w:spacing w:after="0" w:line="100" w:lineRule="atLeast"/>
              <w:jc w:val="center"/>
              <w:rPr>
                <w:rFonts w:asciiTheme="minorHAnsi" w:eastAsia="Arial" w:hAnsiTheme="minorHAnsi" w:cstheme="minorHAnsi"/>
                <w:b/>
                <w:kern w:val="2"/>
                <w:lang w:val="en-GB"/>
              </w:rPr>
            </w:pPr>
            <w:r>
              <w:rPr>
                <w:rFonts w:asciiTheme="minorHAnsi" w:hAnsiTheme="minorHAnsi" w:cstheme="minorHAnsi"/>
                <w:lang w:val="en-GB"/>
              </w:rPr>
              <w:t>++</w:t>
            </w:r>
          </w:p>
        </w:tc>
        <w:tc>
          <w:tcPr>
            <w:tcW w:w="551" w:type="pct"/>
            <w:hideMark/>
          </w:tcPr>
          <w:p w14:paraId="4B726A54"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kern w:val="2"/>
                <w:lang w:val="en-GB"/>
              </w:rPr>
            </w:pPr>
            <w:r w:rsidRPr="00240617">
              <w:rPr>
                <w:rFonts w:asciiTheme="minorHAnsi" w:hAnsiTheme="minorHAnsi" w:cstheme="minorHAnsi"/>
                <w:b/>
                <w:lang w:val="en-GB"/>
              </w:rPr>
              <w:t>√</w:t>
            </w:r>
          </w:p>
        </w:tc>
        <w:tc>
          <w:tcPr>
            <w:tcW w:w="547" w:type="pct"/>
          </w:tcPr>
          <w:p w14:paraId="7F65F978"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r>
      <w:tr w:rsidR="00240617" w:rsidRPr="006645DC" w14:paraId="7C9B53FB" w14:textId="77777777" w:rsidTr="00240617">
        <w:tc>
          <w:tcPr>
            <w:tcW w:w="344" w:type="pct"/>
            <w:hideMark/>
          </w:tcPr>
          <w:p w14:paraId="75954132"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kern w:val="2"/>
                <w:lang w:val="en-GB"/>
              </w:rPr>
            </w:pPr>
            <w:r w:rsidRPr="00240617">
              <w:rPr>
                <w:rFonts w:asciiTheme="minorHAnsi" w:hAnsiTheme="minorHAnsi" w:cstheme="minorHAnsi"/>
                <w:b/>
                <w:bCs/>
                <w:lang w:val="en-GB"/>
              </w:rPr>
              <w:t>9</w:t>
            </w:r>
          </w:p>
        </w:tc>
        <w:tc>
          <w:tcPr>
            <w:tcW w:w="2456" w:type="pct"/>
            <w:hideMark/>
          </w:tcPr>
          <w:p w14:paraId="79F3008A" w14:textId="77777777" w:rsidR="00240617" w:rsidRPr="00240617" w:rsidRDefault="00240617" w:rsidP="00240617">
            <w:pPr>
              <w:keepNext/>
              <w:keepLines/>
              <w:suppressAutoHyphens/>
              <w:spacing w:after="0" w:line="100" w:lineRule="atLeast"/>
              <w:rPr>
                <w:rFonts w:asciiTheme="minorHAnsi" w:eastAsia="Arial" w:hAnsiTheme="minorHAnsi" w:cstheme="minorHAnsi"/>
                <w:kern w:val="2"/>
                <w:lang w:val="en-GB"/>
              </w:rPr>
            </w:pPr>
            <w:r w:rsidRPr="00240617">
              <w:rPr>
                <w:rFonts w:asciiTheme="minorHAnsi" w:hAnsiTheme="minorHAnsi" w:cstheme="minorHAnsi"/>
                <w:lang w:val="en-GB"/>
              </w:rPr>
              <w:t>Promote the better connection of the “enclave” areas near the Danube to the TEN-T infrastructure, national main corridors, and transport backbone</w:t>
            </w:r>
          </w:p>
        </w:tc>
        <w:tc>
          <w:tcPr>
            <w:tcW w:w="551" w:type="pct"/>
            <w:hideMark/>
          </w:tcPr>
          <w:p w14:paraId="7A68A531"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kern w:val="2"/>
                <w:lang w:val="en-GB"/>
              </w:rPr>
            </w:pPr>
            <w:r w:rsidRPr="00240617">
              <w:rPr>
                <w:rFonts w:asciiTheme="minorHAnsi" w:hAnsiTheme="minorHAnsi" w:cstheme="minorHAnsi"/>
                <w:lang w:val="en-GB"/>
              </w:rPr>
              <w:t>+++</w:t>
            </w:r>
          </w:p>
        </w:tc>
        <w:tc>
          <w:tcPr>
            <w:tcW w:w="551" w:type="pct"/>
            <w:hideMark/>
          </w:tcPr>
          <w:p w14:paraId="1B963AC5"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kern w:val="2"/>
                <w:lang w:val="en-GB"/>
              </w:rPr>
            </w:pPr>
            <w:r w:rsidRPr="00240617">
              <w:rPr>
                <w:rFonts w:asciiTheme="minorHAnsi" w:hAnsiTheme="minorHAnsi" w:cstheme="minorHAnsi"/>
                <w:lang w:val="en-GB"/>
              </w:rPr>
              <w:t>+++</w:t>
            </w:r>
          </w:p>
        </w:tc>
        <w:tc>
          <w:tcPr>
            <w:tcW w:w="551" w:type="pct"/>
          </w:tcPr>
          <w:p w14:paraId="6D5955AE"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c>
          <w:tcPr>
            <w:tcW w:w="547" w:type="pct"/>
            <w:hideMark/>
          </w:tcPr>
          <w:p w14:paraId="1738E44E"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bCs/>
                <w:kern w:val="2"/>
                <w:lang w:val="en-GB"/>
              </w:rPr>
            </w:pPr>
            <w:r w:rsidRPr="00240617">
              <w:rPr>
                <w:rFonts w:asciiTheme="minorHAnsi" w:hAnsiTheme="minorHAnsi" w:cstheme="minorHAnsi"/>
                <w:b/>
                <w:lang w:val="en-GB"/>
              </w:rPr>
              <w:t>√</w:t>
            </w:r>
          </w:p>
        </w:tc>
      </w:tr>
      <w:tr w:rsidR="00240617" w:rsidRPr="006645DC" w14:paraId="79D81420" w14:textId="77777777" w:rsidTr="00240617">
        <w:tc>
          <w:tcPr>
            <w:tcW w:w="344" w:type="pct"/>
            <w:hideMark/>
          </w:tcPr>
          <w:p w14:paraId="6DF1C79B"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kern w:val="2"/>
                <w:lang w:val="en-GB"/>
              </w:rPr>
            </w:pPr>
            <w:r w:rsidRPr="00240617">
              <w:rPr>
                <w:rFonts w:asciiTheme="minorHAnsi" w:hAnsiTheme="minorHAnsi" w:cstheme="minorHAnsi"/>
                <w:b/>
                <w:bCs/>
                <w:lang w:val="en-GB"/>
              </w:rPr>
              <w:t>10</w:t>
            </w:r>
          </w:p>
        </w:tc>
        <w:tc>
          <w:tcPr>
            <w:tcW w:w="2456" w:type="pct"/>
            <w:hideMark/>
          </w:tcPr>
          <w:p w14:paraId="6F837613" w14:textId="77777777" w:rsidR="00240617" w:rsidRPr="00240617" w:rsidRDefault="00240617" w:rsidP="00240617">
            <w:pPr>
              <w:keepNext/>
              <w:keepLines/>
              <w:suppressAutoHyphens/>
              <w:spacing w:after="0" w:line="100" w:lineRule="atLeast"/>
              <w:rPr>
                <w:rFonts w:asciiTheme="minorHAnsi" w:eastAsia="Arial" w:hAnsiTheme="minorHAnsi" w:cstheme="minorHAnsi"/>
                <w:kern w:val="2"/>
                <w:lang w:val="en-GB"/>
              </w:rPr>
            </w:pPr>
            <w:r w:rsidRPr="00240617">
              <w:rPr>
                <w:rFonts w:asciiTheme="minorHAnsi" w:hAnsiTheme="minorHAnsi" w:cstheme="minorHAnsi"/>
                <w:lang w:val="en-GB"/>
              </w:rPr>
              <w:t xml:space="preserve">Adopting best practices and implementing new methods for winter management through joint seminars, study visits, trainings, etc. </w:t>
            </w:r>
          </w:p>
        </w:tc>
        <w:tc>
          <w:tcPr>
            <w:tcW w:w="551" w:type="pct"/>
            <w:hideMark/>
          </w:tcPr>
          <w:p w14:paraId="21559EFB"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kern w:val="2"/>
                <w:lang w:val="en-GB"/>
              </w:rPr>
            </w:pPr>
            <w:r w:rsidRPr="00240617">
              <w:rPr>
                <w:rFonts w:asciiTheme="minorHAnsi" w:hAnsiTheme="minorHAnsi" w:cstheme="minorHAnsi"/>
                <w:lang w:val="en-GB"/>
              </w:rPr>
              <w:t>+++</w:t>
            </w:r>
          </w:p>
        </w:tc>
        <w:tc>
          <w:tcPr>
            <w:tcW w:w="551" w:type="pct"/>
            <w:hideMark/>
          </w:tcPr>
          <w:p w14:paraId="6CC0C232"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kern w:val="2"/>
                <w:lang w:val="en-GB"/>
              </w:rPr>
            </w:pPr>
            <w:r w:rsidRPr="00240617">
              <w:rPr>
                <w:rFonts w:asciiTheme="minorHAnsi" w:hAnsiTheme="minorHAnsi" w:cstheme="minorHAnsi"/>
                <w:lang w:val="en-GB"/>
              </w:rPr>
              <w:t>+++</w:t>
            </w:r>
          </w:p>
        </w:tc>
        <w:tc>
          <w:tcPr>
            <w:tcW w:w="551" w:type="pct"/>
          </w:tcPr>
          <w:p w14:paraId="39E6EF27"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c>
          <w:tcPr>
            <w:tcW w:w="547" w:type="pct"/>
            <w:hideMark/>
          </w:tcPr>
          <w:p w14:paraId="6B716FBA"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bCs/>
                <w:kern w:val="2"/>
                <w:lang w:val="en-GB"/>
              </w:rPr>
            </w:pPr>
            <w:r w:rsidRPr="00240617">
              <w:rPr>
                <w:rFonts w:asciiTheme="minorHAnsi" w:hAnsiTheme="minorHAnsi" w:cstheme="minorHAnsi"/>
                <w:b/>
                <w:lang w:val="en-GB"/>
              </w:rPr>
              <w:t>√</w:t>
            </w:r>
          </w:p>
        </w:tc>
      </w:tr>
      <w:tr w:rsidR="00240617" w:rsidRPr="006645DC" w14:paraId="1E00271C" w14:textId="77777777" w:rsidTr="00240617">
        <w:tc>
          <w:tcPr>
            <w:tcW w:w="344" w:type="pct"/>
            <w:hideMark/>
          </w:tcPr>
          <w:p w14:paraId="71BFA2B2"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bCs/>
                <w:kern w:val="2"/>
                <w:lang w:val="en-GB"/>
              </w:rPr>
            </w:pPr>
            <w:r w:rsidRPr="00240617">
              <w:rPr>
                <w:rFonts w:asciiTheme="minorHAnsi" w:hAnsiTheme="minorHAnsi" w:cstheme="minorHAnsi"/>
                <w:b/>
                <w:bCs/>
                <w:lang w:val="en-GB"/>
              </w:rPr>
              <w:t>12</w:t>
            </w:r>
          </w:p>
        </w:tc>
        <w:tc>
          <w:tcPr>
            <w:tcW w:w="2456" w:type="pct"/>
            <w:hideMark/>
          </w:tcPr>
          <w:p w14:paraId="5FD16DFD" w14:textId="77777777" w:rsidR="00240617" w:rsidRPr="00240617" w:rsidRDefault="00240617" w:rsidP="00240617">
            <w:pPr>
              <w:keepNext/>
              <w:keepLines/>
              <w:suppressAutoHyphens/>
              <w:spacing w:after="0" w:line="100" w:lineRule="atLeast"/>
              <w:rPr>
                <w:rFonts w:asciiTheme="minorHAnsi" w:eastAsia="Arial" w:hAnsiTheme="minorHAnsi" w:cstheme="minorHAnsi"/>
                <w:kern w:val="2"/>
                <w:lang w:val="en-GB"/>
              </w:rPr>
            </w:pPr>
            <w:r w:rsidRPr="00240617">
              <w:rPr>
                <w:rFonts w:asciiTheme="minorHAnsi" w:hAnsiTheme="minorHAnsi" w:cstheme="minorHAnsi"/>
                <w:lang w:val="en-GB"/>
              </w:rPr>
              <w:t xml:space="preserve">The improvement of the Danube inland waterway (e.g joint plans and measures to enhance </w:t>
            </w:r>
            <w:r w:rsidRPr="00240617">
              <w:rPr>
                <w:rFonts w:asciiTheme="minorHAnsi" w:hAnsiTheme="minorHAnsi" w:cstheme="minorHAnsi"/>
                <w:lang w:val="en-GB"/>
              </w:rPr>
              <w:lastRenderedPageBreak/>
              <w:t>navigation conditions)</w:t>
            </w:r>
          </w:p>
        </w:tc>
        <w:tc>
          <w:tcPr>
            <w:tcW w:w="551" w:type="pct"/>
            <w:hideMark/>
          </w:tcPr>
          <w:p w14:paraId="00756F56"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kern w:val="2"/>
                <w:lang w:val="en-GB"/>
              </w:rPr>
            </w:pPr>
            <w:r w:rsidRPr="00240617">
              <w:rPr>
                <w:rFonts w:asciiTheme="minorHAnsi" w:hAnsiTheme="minorHAnsi" w:cstheme="minorHAnsi"/>
                <w:lang w:val="en-GB"/>
              </w:rPr>
              <w:lastRenderedPageBreak/>
              <w:t>+++</w:t>
            </w:r>
          </w:p>
        </w:tc>
        <w:tc>
          <w:tcPr>
            <w:tcW w:w="551" w:type="pct"/>
            <w:hideMark/>
          </w:tcPr>
          <w:p w14:paraId="343CE35A"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kern w:val="2"/>
                <w:lang w:val="en-GB"/>
              </w:rPr>
            </w:pPr>
            <w:r w:rsidRPr="00240617">
              <w:rPr>
                <w:rFonts w:asciiTheme="minorHAnsi" w:hAnsiTheme="minorHAnsi" w:cstheme="minorHAnsi"/>
                <w:lang w:val="en-GB"/>
              </w:rPr>
              <w:t>+++</w:t>
            </w:r>
          </w:p>
        </w:tc>
        <w:tc>
          <w:tcPr>
            <w:tcW w:w="551" w:type="pct"/>
          </w:tcPr>
          <w:p w14:paraId="1EEAB483"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c>
          <w:tcPr>
            <w:tcW w:w="547" w:type="pct"/>
            <w:hideMark/>
          </w:tcPr>
          <w:p w14:paraId="2D1BC924" w14:textId="77777777" w:rsidR="00240617" w:rsidRPr="00240617" w:rsidRDefault="00240617" w:rsidP="00240617">
            <w:pPr>
              <w:keepNext/>
              <w:keepLines/>
              <w:suppressAutoHyphens/>
              <w:spacing w:after="0" w:line="100" w:lineRule="atLeast"/>
              <w:jc w:val="center"/>
              <w:rPr>
                <w:rFonts w:asciiTheme="minorHAnsi" w:eastAsia="Arial" w:hAnsiTheme="minorHAnsi" w:cstheme="minorHAnsi"/>
                <w:b/>
                <w:kern w:val="2"/>
                <w:lang w:val="en-GB"/>
              </w:rPr>
            </w:pPr>
            <w:r w:rsidRPr="00240617">
              <w:rPr>
                <w:rFonts w:asciiTheme="minorHAnsi" w:hAnsiTheme="minorHAnsi" w:cstheme="minorHAnsi"/>
                <w:b/>
                <w:lang w:val="en-GB"/>
              </w:rPr>
              <w:t>√</w:t>
            </w:r>
          </w:p>
        </w:tc>
      </w:tr>
      <w:tr w:rsidR="00240617" w:rsidRPr="006645DC" w14:paraId="304C9DBE" w14:textId="77777777" w:rsidTr="00240617">
        <w:tc>
          <w:tcPr>
            <w:tcW w:w="344" w:type="pct"/>
            <w:hideMark/>
          </w:tcPr>
          <w:p w14:paraId="06E921C6" w14:textId="77777777" w:rsidR="00240617" w:rsidRPr="00240617" w:rsidRDefault="00240617" w:rsidP="00240617">
            <w:pPr>
              <w:keepNext/>
              <w:keepLines/>
              <w:suppressAutoHyphens/>
              <w:spacing w:after="0" w:line="100" w:lineRule="atLeast"/>
              <w:jc w:val="center"/>
              <w:rPr>
                <w:rFonts w:asciiTheme="minorHAnsi" w:hAnsiTheme="minorHAnsi" w:cstheme="minorHAnsi"/>
                <w:b/>
                <w:bCs/>
                <w:lang w:val="en-GB"/>
              </w:rPr>
            </w:pPr>
            <w:r w:rsidRPr="00240617">
              <w:rPr>
                <w:rFonts w:asciiTheme="minorHAnsi" w:hAnsiTheme="minorHAnsi" w:cstheme="minorHAnsi"/>
                <w:b/>
                <w:bCs/>
                <w:lang w:val="en-GB"/>
              </w:rPr>
              <w:lastRenderedPageBreak/>
              <w:t>13</w:t>
            </w:r>
          </w:p>
        </w:tc>
        <w:tc>
          <w:tcPr>
            <w:tcW w:w="2456" w:type="pct"/>
            <w:hideMark/>
          </w:tcPr>
          <w:p w14:paraId="38C1546D" w14:textId="3706A7FB" w:rsidR="00240617" w:rsidRPr="00240617" w:rsidRDefault="00240617" w:rsidP="00240617">
            <w:pPr>
              <w:keepNext/>
              <w:keepLines/>
              <w:suppressAutoHyphens/>
              <w:spacing w:after="0" w:line="100" w:lineRule="atLeast"/>
              <w:rPr>
                <w:rFonts w:asciiTheme="minorHAnsi" w:hAnsiTheme="minorHAnsi" w:cstheme="minorHAnsi"/>
                <w:lang w:val="en-GB"/>
              </w:rPr>
            </w:pPr>
            <w:r w:rsidRPr="00240617">
              <w:rPr>
                <w:rFonts w:asciiTheme="minorHAnsi" w:hAnsiTheme="minorHAnsi" w:cstheme="minorHAnsi"/>
                <w:lang w:val="en-GB"/>
              </w:rPr>
              <w:t xml:space="preserve">Improving traffic safety in the cross-border area </w:t>
            </w:r>
          </w:p>
        </w:tc>
        <w:tc>
          <w:tcPr>
            <w:tcW w:w="551" w:type="pct"/>
            <w:hideMark/>
          </w:tcPr>
          <w:p w14:paraId="6BD0B139"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hideMark/>
          </w:tcPr>
          <w:p w14:paraId="402BD536"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tcPr>
          <w:p w14:paraId="6C9F5C0B"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c>
          <w:tcPr>
            <w:tcW w:w="547" w:type="pct"/>
            <w:hideMark/>
          </w:tcPr>
          <w:p w14:paraId="389B139F" w14:textId="77777777" w:rsidR="00240617" w:rsidRPr="00240617" w:rsidRDefault="00240617" w:rsidP="00240617">
            <w:pPr>
              <w:keepNext/>
              <w:keepLines/>
              <w:suppressAutoHyphens/>
              <w:spacing w:after="0" w:line="100" w:lineRule="atLeast"/>
              <w:jc w:val="center"/>
              <w:rPr>
                <w:rFonts w:asciiTheme="minorHAnsi" w:hAnsiTheme="minorHAnsi" w:cstheme="minorHAnsi"/>
                <w:b/>
                <w:lang w:val="en-GB"/>
              </w:rPr>
            </w:pPr>
            <w:r w:rsidRPr="00240617">
              <w:rPr>
                <w:rFonts w:asciiTheme="minorHAnsi" w:hAnsiTheme="minorHAnsi" w:cstheme="minorHAnsi"/>
                <w:b/>
                <w:lang w:val="en-GB"/>
              </w:rPr>
              <w:t>√</w:t>
            </w:r>
          </w:p>
        </w:tc>
      </w:tr>
      <w:tr w:rsidR="00240617" w:rsidRPr="006645DC" w14:paraId="2E8C4CBC" w14:textId="77777777" w:rsidTr="00240617">
        <w:tc>
          <w:tcPr>
            <w:tcW w:w="344" w:type="pct"/>
            <w:hideMark/>
          </w:tcPr>
          <w:p w14:paraId="064C59D8" w14:textId="77777777" w:rsidR="00240617" w:rsidRPr="00240617" w:rsidRDefault="00240617" w:rsidP="00240617">
            <w:pPr>
              <w:keepNext/>
              <w:keepLines/>
              <w:suppressAutoHyphens/>
              <w:spacing w:after="0" w:line="100" w:lineRule="atLeast"/>
              <w:jc w:val="center"/>
              <w:rPr>
                <w:rFonts w:asciiTheme="minorHAnsi" w:hAnsiTheme="minorHAnsi" w:cstheme="minorHAnsi"/>
                <w:b/>
                <w:bCs/>
                <w:lang w:val="en-GB"/>
              </w:rPr>
            </w:pPr>
            <w:r w:rsidRPr="00240617">
              <w:rPr>
                <w:rFonts w:asciiTheme="minorHAnsi" w:hAnsiTheme="minorHAnsi" w:cstheme="minorHAnsi"/>
                <w:b/>
                <w:bCs/>
                <w:lang w:val="en-GB"/>
              </w:rPr>
              <w:t>14</w:t>
            </w:r>
          </w:p>
        </w:tc>
        <w:tc>
          <w:tcPr>
            <w:tcW w:w="2456" w:type="pct"/>
            <w:hideMark/>
          </w:tcPr>
          <w:p w14:paraId="3A1F6273" w14:textId="0A493F1B" w:rsidR="00240617" w:rsidRPr="00240617" w:rsidRDefault="00240617" w:rsidP="00240617">
            <w:pPr>
              <w:keepNext/>
              <w:keepLines/>
              <w:suppressAutoHyphens/>
              <w:spacing w:after="0" w:line="100" w:lineRule="atLeast"/>
              <w:rPr>
                <w:rFonts w:asciiTheme="minorHAnsi" w:hAnsiTheme="minorHAnsi" w:cstheme="minorHAnsi"/>
                <w:lang w:val="en-GB"/>
              </w:rPr>
            </w:pPr>
            <w:r w:rsidRPr="00240617">
              <w:rPr>
                <w:rFonts w:asciiTheme="minorHAnsi" w:hAnsiTheme="minorHAnsi" w:cstheme="minorHAnsi"/>
                <w:lang w:val="en-GB"/>
              </w:rPr>
              <w:t xml:space="preserve">Draw public attention on the relevance environment-friendly transport systems </w:t>
            </w:r>
          </w:p>
        </w:tc>
        <w:tc>
          <w:tcPr>
            <w:tcW w:w="551" w:type="pct"/>
            <w:hideMark/>
          </w:tcPr>
          <w:p w14:paraId="6110AB58"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hideMark/>
          </w:tcPr>
          <w:p w14:paraId="578A3971" w14:textId="77777777" w:rsidR="00240617" w:rsidRPr="00240617" w:rsidRDefault="00240617" w:rsidP="00240617">
            <w:pPr>
              <w:keepNext/>
              <w:keepLines/>
              <w:suppressAutoHyphens/>
              <w:spacing w:after="0" w:line="100" w:lineRule="atLeast"/>
              <w:jc w:val="center"/>
              <w:rPr>
                <w:rFonts w:asciiTheme="minorHAnsi" w:hAnsiTheme="minorHAnsi" w:cstheme="minorHAnsi"/>
                <w:lang w:val="en-GB"/>
              </w:rPr>
            </w:pPr>
            <w:r w:rsidRPr="00240617">
              <w:rPr>
                <w:rFonts w:asciiTheme="minorHAnsi" w:hAnsiTheme="minorHAnsi" w:cstheme="minorHAnsi"/>
                <w:lang w:val="en-GB"/>
              </w:rPr>
              <w:t>+++</w:t>
            </w:r>
          </w:p>
        </w:tc>
        <w:tc>
          <w:tcPr>
            <w:tcW w:w="551" w:type="pct"/>
          </w:tcPr>
          <w:p w14:paraId="6CCA8229" w14:textId="77777777" w:rsidR="00240617" w:rsidRPr="00240617" w:rsidRDefault="00240617" w:rsidP="00240617">
            <w:pPr>
              <w:suppressAutoHyphens/>
              <w:spacing w:after="0" w:line="100" w:lineRule="atLeast"/>
              <w:jc w:val="center"/>
              <w:rPr>
                <w:rFonts w:asciiTheme="minorHAnsi" w:eastAsia="Arial" w:hAnsiTheme="minorHAnsi" w:cstheme="minorHAnsi"/>
                <w:b/>
                <w:kern w:val="2"/>
                <w:lang w:val="en-GB"/>
              </w:rPr>
            </w:pPr>
          </w:p>
        </w:tc>
        <w:tc>
          <w:tcPr>
            <w:tcW w:w="547" w:type="pct"/>
            <w:hideMark/>
          </w:tcPr>
          <w:p w14:paraId="2FF03E21" w14:textId="77777777" w:rsidR="00240617" w:rsidRPr="00240617" w:rsidRDefault="00240617" w:rsidP="00240617">
            <w:pPr>
              <w:keepNext/>
              <w:keepLines/>
              <w:suppressAutoHyphens/>
              <w:spacing w:after="0" w:line="100" w:lineRule="atLeast"/>
              <w:jc w:val="center"/>
              <w:rPr>
                <w:rFonts w:asciiTheme="minorHAnsi" w:hAnsiTheme="minorHAnsi" w:cstheme="minorHAnsi"/>
                <w:b/>
                <w:lang w:val="en-GB"/>
              </w:rPr>
            </w:pPr>
            <w:r w:rsidRPr="00240617">
              <w:rPr>
                <w:rFonts w:asciiTheme="minorHAnsi" w:hAnsiTheme="minorHAnsi" w:cstheme="minorHAnsi"/>
                <w:b/>
                <w:lang w:val="en-GB"/>
              </w:rPr>
              <w:t>√</w:t>
            </w:r>
          </w:p>
        </w:tc>
      </w:tr>
    </w:tbl>
    <w:p w14:paraId="1B9B5936" w14:textId="77777777" w:rsidR="00A733C0" w:rsidRPr="006645DC" w:rsidRDefault="00A733C0" w:rsidP="00587CF0">
      <w:pPr>
        <w:rPr>
          <w:b/>
          <w:lang w:val="en-GB"/>
        </w:rPr>
      </w:pPr>
    </w:p>
    <w:p w14:paraId="65181119" w14:textId="77777777" w:rsidR="00587CF0" w:rsidRPr="006645DC" w:rsidRDefault="00587CF0" w:rsidP="00587CF0">
      <w:pPr>
        <w:rPr>
          <w:rFonts w:eastAsia="Arial" w:cs="Calibri"/>
          <w:b/>
          <w:kern w:val="2"/>
          <w:lang w:val="en-GB"/>
        </w:rPr>
      </w:pPr>
      <w:r w:rsidRPr="006645DC">
        <w:rPr>
          <w:b/>
          <w:lang w:val="en-GB"/>
        </w:rPr>
        <w:t>Table key:</w:t>
      </w:r>
    </w:p>
    <w:tbl>
      <w:tblPr>
        <w:tblW w:w="0" w:type="auto"/>
        <w:jc w:val="center"/>
        <w:tblLayout w:type="fixed"/>
        <w:tblLook w:val="04A0" w:firstRow="1" w:lastRow="0" w:firstColumn="1" w:lastColumn="0" w:noHBand="0" w:noVBand="1"/>
      </w:tblPr>
      <w:tblGrid>
        <w:gridCol w:w="3091"/>
        <w:gridCol w:w="3096"/>
        <w:gridCol w:w="3101"/>
      </w:tblGrid>
      <w:tr w:rsidR="00587CF0" w:rsidRPr="006645DC" w14:paraId="2507ADF3" w14:textId="77777777" w:rsidTr="00587CF0">
        <w:trPr>
          <w:trHeight w:val="283"/>
          <w:jc w:val="center"/>
        </w:trPr>
        <w:tc>
          <w:tcPr>
            <w:tcW w:w="3091" w:type="dxa"/>
            <w:vAlign w:val="center"/>
            <w:hideMark/>
          </w:tcPr>
          <w:p w14:paraId="6754DF52"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w:t>
            </w:r>
          </w:p>
        </w:tc>
        <w:tc>
          <w:tcPr>
            <w:tcW w:w="3096" w:type="dxa"/>
            <w:vAlign w:val="center"/>
            <w:hideMark/>
          </w:tcPr>
          <w:p w14:paraId="3E083491"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w:t>
            </w:r>
          </w:p>
        </w:tc>
        <w:tc>
          <w:tcPr>
            <w:tcW w:w="3101" w:type="dxa"/>
            <w:vAlign w:val="center"/>
            <w:hideMark/>
          </w:tcPr>
          <w:p w14:paraId="5BD5681B" w14:textId="77777777" w:rsidR="00587CF0" w:rsidRPr="006645DC" w:rsidRDefault="00587CF0">
            <w:pPr>
              <w:suppressAutoHyphens/>
              <w:spacing w:before="0" w:after="0" w:line="100" w:lineRule="atLeast"/>
              <w:jc w:val="center"/>
              <w:rPr>
                <w:rFonts w:eastAsia="Arial" w:cs="Calibri"/>
                <w:b/>
                <w:kern w:val="2"/>
                <w:lang w:val="en-GB"/>
              </w:rPr>
            </w:pPr>
            <w:r w:rsidRPr="006645DC">
              <w:rPr>
                <w:b/>
                <w:lang w:val="en-GB"/>
              </w:rPr>
              <w:t>+++</w:t>
            </w:r>
          </w:p>
        </w:tc>
      </w:tr>
    </w:tbl>
    <w:p w14:paraId="1A0319C6" w14:textId="7718250F" w:rsidR="00587CF0" w:rsidRPr="006645DC" w:rsidRDefault="00982AD8" w:rsidP="00A733C0">
      <w:pPr>
        <w:rPr>
          <w:i/>
          <w:lang w:val="en-GB"/>
        </w:rPr>
      </w:pPr>
      <w:r w:rsidRPr="006645DC">
        <w:rPr>
          <w:rFonts w:ascii="Times New Roman" w:hAnsi="Times New Roman"/>
          <w:noProof/>
          <w:sz w:val="24"/>
          <w:szCs w:val="24"/>
          <w:lang w:val="bg-BG" w:eastAsia="bg-BG"/>
        </w:rPr>
        <mc:AlternateContent>
          <mc:Choice Requires="wps">
            <w:drawing>
              <wp:anchor distT="0" distB="0" distL="114300" distR="114300" simplePos="0" relativeHeight="251712512" behindDoc="0" locked="0" layoutInCell="1" allowOverlap="1" wp14:anchorId="201C2D80" wp14:editId="44FB03BA">
                <wp:simplePos x="0" y="0"/>
                <wp:positionH relativeFrom="column">
                  <wp:posOffset>32385</wp:posOffset>
                </wp:positionH>
                <wp:positionV relativeFrom="paragraph">
                  <wp:posOffset>19050</wp:posOffset>
                </wp:positionV>
                <wp:extent cx="5687695" cy="232410"/>
                <wp:effectExtent l="0" t="0" r="8255" b="53340"/>
                <wp:wrapNone/>
                <wp:docPr id="93" name="AutoShape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87695" cy="232410"/>
                        </a:xfrm>
                        <a:prstGeom prst="rightArrow">
                          <a:avLst>
                            <a:gd name="adj1" fmla="val 50000"/>
                            <a:gd name="adj2" fmla="val 48605"/>
                          </a:avLst>
                        </a:prstGeom>
                        <a:gradFill rotWithShape="1">
                          <a:gsLst>
                            <a:gs pos="0">
                              <a:srgbClr val="FF0000"/>
                            </a:gs>
                            <a:gs pos="74001">
                              <a:srgbClr val="C2D1ED"/>
                            </a:gs>
                            <a:gs pos="100000">
                              <a:srgbClr val="E1E8F5"/>
                            </a:gs>
                          </a:gsLst>
                          <a:lin ang="10800000" scaled="1"/>
                        </a:gradFill>
                        <a:ln>
                          <a:noFill/>
                        </a:ln>
                        <a:effectLst>
                          <a:outerShdw dist="50800" dir="5400000" algn="ctr" rotWithShape="0">
                            <a:srgbClr val="808080"/>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14:paraId="6D159439" w14:textId="77777777" w:rsidR="00F14D1E" w:rsidRPr="00E12EE5" w:rsidRDefault="00F14D1E" w:rsidP="00E12EE5"/>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66" o:spid="_x0000_s1027" type="#_x0000_t13" style="position:absolute;left:0;text-align:left;margin-left:2.55pt;margin-top:1.5pt;width:447.85pt;height:18.3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" adj="21171" fillcolor="red" stroked="f" strokeweight="2pt">
                <v:fill color2="#e1e8f5" rotate="t" angle="270" colors="0 red;48497f #c2d1ed;1 #e1e8f5" focus="100%" type="gradient"/>
                <v:shadow on="t" offset="0,4pt"/>
                <v:path arrowok="t"/>
                <v:textbox>
                  <w:txbxContent>
                    <w:p w14:paraId="6D159439" w14:textId="77777777" w:rsidR="00F14D1E" w:rsidRPr="00E12EE5" w:rsidRDefault="00F14D1E" w:rsidP="00E12EE5"/>
                  </w:txbxContent>
                </v:textbox>
              </v:shape>
            </w:pict>
          </mc:Fallback>
        </mc:AlternateContent>
      </w:r>
      <w:r w:rsidR="00587CF0" w:rsidRPr="006645DC">
        <w:rPr>
          <w:i/>
          <w:lang w:val="en-GB"/>
        </w:rPr>
        <w:t>Degree of need territorial relevance</w:t>
      </w:r>
    </w:p>
    <w:p w14:paraId="040090A8" w14:textId="77777777" w:rsidR="00587CF0" w:rsidRPr="006645DC" w:rsidRDefault="00587CF0" w:rsidP="00587CF0">
      <w:pPr>
        <w:spacing w:before="0" w:after="0"/>
        <w:jc w:val="center"/>
        <w:rPr>
          <w:b/>
          <w:i/>
          <w:lang w:val="en-GB"/>
        </w:rPr>
      </w:pPr>
    </w:p>
    <w:p w14:paraId="24BA3AB3" w14:textId="77777777" w:rsidR="00587CF0" w:rsidRPr="006645DC" w:rsidRDefault="00587CF0" w:rsidP="00587CF0">
      <w:pPr>
        <w:spacing w:before="0" w:after="0"/>
        <w:rPr>
          <w:b/>
          <w:i/>
          <w:lang w:val="en-GB"/>
        </w:rPr>
      </w:pPr>
      <w:r w:rsidRPr="006645DC">
        <w:rPr>
          <w:b/>
          <w:i/>
          <w:lang w:val="en-GB"/>
        </w:rPr>
        <w:t>TO2 – Enhancing access to and use of quality ICT</w:t>
      </w:r>
    </w:p>
    <w:p w14:paraId="176AAB50" w14:textId="77777777" w:rsidR="00587CF0" w:rsidRPr="006645DC" w:rsidRDefault="00587CF0" w:rsidP="00587CF0">
      <w:pPr>
        <w:spacing w:before="0" w:after="0"/>
        <w:rPr>
          <w:lang w:val="en-GB"/>
        </w:rPr>
      </w:pPr>
      <w:r w:rsidRPr="006645DC">
        <w:rPr>
          <w:b/>
          <w:i/>
          <w:lang w:val="en-GB"/>
        </w:rPr>
        <w:t>TO7 – Promoting sustainable transport and removing bottlenecks in key network infrastructures</w:t>
      </w:r>
    </w:p>
    <w:p w14:paraId="723ADE12" w14:textId="77777777" w:rsidR="00587CF0" w:rsidRPr="006645DC" w:rsidRDefault="00587CF0" w:rsidP="00587CF0">
      <w:pPr>
        <w:rPr>
          <w:lang w:val="en-GB"/>
        </w:rPr>
      </w:pPr>
    </w:p>
    <w:p w14:paraId="576659B7" w14:textId="77777777" w:rsidR="00587CF0" w:rsidRPr="006645DC" w:rsidRDefault="00587CF0" w:rsidP="00587CF0">
      <w:pPr>
        <w:rPr>
          <w:lang w:val="en-GB"/>
        </w:rPr>
      </w:pPr>
    </w:p>
    <w:p w14:paraId="0C8CA104" w14:textId="77777777" w:rsidR="00587CF0" w:rsidRPr="006645DC" w:rsidRDefault="00587CF0" w:rsidP="00587CF0">
      <w:pPr>
        <w:rPr>
          <w:lang w:val="en-GB"/>
        </w:rPr>
      </w:pPr>
    </w:p>
    <w:p w14:paraId="0A09E0A3" w14:textId="77777777" w:rsidR="00587CF0" w:rsidRPr="006645DC" w:rsidRDefault="00587CF0" w:rsidP="00587CF0">
      <w:pPr>
        <w:rPr>
          <w:lang w:val="en-GB"/>
        </w:rPr>
      </w:pPr>
    </w:p>
    <w:p w14:paraId="37FB79F3" w14:textId="77777777" w:rsidR="00587CF0" w:rsidRPr="006645DC" w:rsidRDefault="00587CF0" w:rsidP="00587CF0">
      <w:pPr>
        <w:rPr>
          <w:sz w:val="24"/>
          <w:szCs w:val="24"/>
          <w:lang w:val="en-GB"/>
        </w:rPr>
      </w:pPr>
    </w:p>
    <w:p w14:paraId="2C9D0AB0" w14:textId="31C922FD" w:rsidR="00043E36" w:rsidRPr="006645DC" w:rsidRDefault="00043E36" w:rsidP="00A733C0">
      <w:pPr>
        <w:suppressAutoHyphens/>
        <w:spacing w:line="100" w:lineRule="atLeast"/>
        <w:rPr>
          <w:lang w:val="en-GB"/>
        </w:rPr>
        <w:sectPr w:rsidR="00043E36" w:rsidRPr="006645DC" w:rsidSect="00187E88">
          <w:pgSz w:w="12240" w:h="15840"/>
          <w:pgMar w:top="1440" w:right="1440" w:bottom="1440" w:left="1440" w:header="720" w:footer="720" w:gutter="0"/>
          <w:cols w:space="720"/>
          <w:docGrid w:linePitch="360"/>
        </w:sectPr>
      </w:pPr>
    </w:p>
    <w:p w14:paraId="1FAFD4CF" w14:textId="77777777" w:rsidR="003531E5" w:rsidRPr="006645DC" w:rsidRDefault="003531E5" w:rsidP="003531E5">
      <w:pPr>
        <w:pStyle w:val="Heading1"/>
        <w:rPr>
          <w:lang w:val="en-GB"/>
        </w:rPr>
      </w:pPr>
      <w:bookmarkStart w:id="185" w:name="_Toc376198458"/>
      <w:bookmarkStart w:id="186" w:name="_Toc254543780"/>
      <w:bookmarkStart w:id="187" w:name="_Toc391150173"/>
      <w:r w:rsidRPr="006645DC">
        <w:rPr>
          <w:lang w:val="en-GB"/>
        </w:rPr>
        <w:lastRenderedPageBreak/>
        <w:t>Demographic Change</w:t>
      </w:r>
      <w:bookmarkEnd w:id="185"/>
      <w:bookmarkEnd w:id="186"/>
      <w:bookmarkEnd w:id="187"/>
    </w:p>
    <w:p w14:paraId="3783DEFE" w14:textId="77777777" w:rsidR="00947408" w:rsidRPr="006645DC" w:rsidRDefault="00947408" w:rsidP="00947408">
      <w:pPr>
        <w:rPr>
          <w:snapToGrid w:val="0"/>
          <w:lang w:val="en-GB" w:eastAsia="ro-RO"/>
        </w:rPr>
      </w:pPr>
      <w:r w:rsidRPr="006645DC">
        <w:rPr>
          <w:snapToGrid w:val="0"/>
          <w:lang w:val="en-GB" w:eastAsia="ro-RO"/>
        </w:rPr>
        <w:t xml:space="preserve">The Romania-Bulgaria cross-border region is highly affected by a demographic transition due mainly to the political and socio-economic processes that took place after 1989 in both countries (transition from State-run economies to free market economies, the deindustrialisation of the area and the after-effects of demographic policies that were adopted by Communist regimes–especially in Romania where abortion was illegal). The main demographic phenomena, that are common to both sides of the Danube, are accentuated ageing of populations and strong outward migration. This is reflected in direct statistical data (age groups weight and evolution, number of residents, etc.) but also through indicators that present these two aspects as strong tendencies that will continue in the years to come (i.e. the evolution of fertility, the evolution in the number of marriages, the urbanisation negative trend, etc.). </w:t>
      </w:r>
    </w:p>
    <w:p w14:paraId="590E8F49" w14:textId="77777777" w:rsidR="00947408" w:rsidRPr="006645DC" w:rsidRDefault="00947408" w:rsidP="00947408">
      <w:pPr>
        <w:rPr>
          <w:snapToGrid w:val="0"/>
          <w:lang w:val="en-GB" w:eastAsia="ro-RO"/>
        </w:rPr>
      </w:pPr>
      <w:r w:rsidRPr="006645DC">
        <w:rPr>
          <w:snapToGrid w:val="0"/>
          <w:lang w:val="en-GB" w:eastAsia="ro-RO"/>
        </w:rPr>
        <w:t xml:space="preserve">Even though the mentioned phenomena have local specific character and causes, they participate to the overall European trend of ageing population and migration from rural areas. This seems to indicate that even though challenges seem to differ in scope and causes, the needs that address them are similar and strategic approaches and policy/intervention best practices from other EU areas can address effectively the demographic needs of the Romania-Bulgaria cross-border region.    </w:t>
      </w:r>
    </w:p>
    <w:p w14:paraId="1E9BDBA2" w14:textId="77777777" w:rsidR="00333CBE" w:rsidRPr="006645DC" w:rsidRDefault="00333CBE" w:rsidP="00C951D5">
      <w:pPr>
        <w:pStyle w:val="Heading2"/>
        <w:numPr>
          <w:ilvl w:val="0"/>
          <w:numId w:val="47"/>
        </w:numPr>
        <w:rPr>
          <w:lang w:val="en-GB"/>
        </w:rPr>
      </w:pPr>
      <w:bookmarkStart w:id="188" w:name="_Toc376198459"/>
      <w:bookmarkStart w:id="189" w:name="_Toc254543781"/>
      <w:bookmarkStart w:id="190" w:name="_Toc391150174"/>
      <w:r w:rsidRPr="006645DC">
        <w:rPr>
          <w:lang w:val="en-GB"/>
        </w:rPr>
        <w:t>Changing population/depopulation of the area</w:t>
      </w:r>
      <w:bookmarkEnd w:id="188"/>
      <w:bookmarkEnd w:id="189"/>
      <w:bookmarkEnd w:id="190"/>
    </w:p>
    <w:p w14:paraId="5C458FD8" w14:textId="77777777" w:rsidR="00947408" w:rsidRPr="006645DC" w:rsidRDefault="00947408" w:rsidP="00947408">
      <w:pPr>
        <w:rPr>
          <w:lang w:val="en-GB"/>
        </w:rPr>
      </w:pPr>
      <w:r w:rsidRPr="006645DC">
        <w:rPr>
          <w:lang w:val="en-GB"/>
        </w:rPr>
        <w:t xml:space="preserve">As mentioned previously, the area on both the Bulgarian side and the Romanian side is affected by depopulation, due to both negative natural growth and migration. The tables below indicates the evolution of the resident population in the cross border as a whole and in Romanian and Bulgarian cross-border areas.  Additional splits between genders and the distribution of population in counties/districts is provided (for the year 2011). </w:t>
      </w:r>
    </w:p>
    <w:p w14:paraId="73AC41EF" w14:textId="77777777" w:rsidR="00947408" w:rsidRPr="006645DC" w:rsidRDefault="00947408" w:rsidP="00947408">
      <w:pPr>
        <w:rPr>
          <w:lang w:val="en-GB"/>
        </w:rPr>
      </w:pPr>
    </w:p>
    <w:p w14:paraId="326A6051" w14:textId="77777777" w:rsidR="001E3B84" w:rsidRPr="006645DC" w:rsidRDefault="001E3B84" w:rsidP="00947408">
      <w:pPr>
        <w:rPr>
          <w:lang w:val="en-GB"/>
        </w:rPr>
      </w:pPr>
    </w:p>
    <w:p w14:paraId="35FDCBE2" w14:textId="77777777" w:rsidR="001E3B84" w:rsidRPr="006645DC" w:rsidRDefault="001E3B84" w:rsidP="00947408">
      <w:pPr>
        <w:rPr>
          <w:lang w:val="en-GB"/>
        </w:rPr>
      </w:pPr>
    </w:p>
    <w:p w14:paraId="64836960" w14:textId="77777777" w:rsidR="001E3B84" w:rsidRPr="006645DC" w:rsidRDefault="001E3B84" w:rsidP="00947408">
      <w:pPr>
        <w:rPr>
          <w:lang w:val="en-GB"/>
        </w:rPr>
      </w:pPr>
    </w:p>
    <w:p w14:paraId="206E84A2" w14:textId="77777777" w:rsidR="001E3B84" w:rsidRPr="006645DC" w:rsidRDefault="001E3B84" w:rsidP="00947408">
      <w:pPr>
        <w:rPr>
          <w:lang w:val="en-GB"/>
        </w:rPr>
      </w:pPr>
    </w:p>
    <w:p w14:paraId="4AE2FEE3" w14:textId="77777777" w:rsidR="001E3B84" w:rsidRPr="006645DC" w:rsidRDefault="001E3B84" w:rsidP="00947408">
      <w:pPr>
        <w:rPr>
          <w:lang w:val="en-GB"/>
        </w:rPr>
      </w:pPr>
    </w:p>
    <w:p w14:paraId="0159219C" w14:textId="77777777" w:rsidR="001E3B84" w:rsidRPr="006645DC" w:rsidRDefault="001E3B84" w:rsidP="00947408">
      <w:pPr>
        <w:rPr>
          <w:lang w:val="en-GB"/>
        </w:rPr>
      </w:pPr>
    </w:p>
    <w:p w14:paraId="536B1AAA" w14:textId="77777777" w:rsidR="001E3B84" w:rsidRPr="006645DC" w:rsidRDefault="001E3B84" w:rsidP="00947408">
      <w:pPr>
        <w:rPr>
          <w:lang w:val="en-GB"/>
        </w:rPr>
      </w:pPr>
    </w:p>
    <w:p w14:paraId="4EEAC00D" w14:textId="77777777" w:rsidR="001E3B84" w:rsidRPr="006645DC" w:rsidRDefault="001E3B84" w:rsidP="00947408">
      <w:pPr>
        <w:rPr>
          <w:lang w:val="en-GB"/>
        </w:rPr>
      </w:pPr>
    </w:p>
    <w:p w14:paraId="1ED6A54A" w14:textId="77777777" w:rsidR="001E3B84" w:rsidRPr="006645DC" w:rsidRDefault="001E3B84" w:rsidP="00947408">
      <w:pPr>
        <w:rPr>
          <w:lang w:val="en-GB"/>
        </w:rPr>
      </w:pPr>
    </w:p>
    <w:tbl>
      <w:tblPr>
        <w:tblW w:w="0" w:type="auto"/>
        <w:jc w:val="center"/>
        <w:tblLayout w:type="fixed"/>
        <w:tblLook w:val="0000" w:firstRow="0" w:lastRow="0" w:firstColumn="0" w:lastColumn="0" w:noHBand="0" w:noVBand="0"/>
      </w:tblPr>
      <w:tblGrid>
        <w:gridCol w:w="923"/>
        <w:gridCol w:w="1209"/>
        <w:gridCol w:w="1134"/>
        <w:gridCol w:w="992"/>
        <w:gridCol w:w="993"/>
        <w:gridCol w:w="1134"/>
      </w:tblGrid>
      <w:tr w:rsidR="00947408" w:rsidRPr="006645DC" w14:paraId="311F0DD8" w14:textId="77777777" w:rsidTr="00947408">
        <w:trPr>
          <w:tblHeader/>
          <w:jc w:val="center"/>
        </w:trPr>
        <w:tc>
          <w:tcPr>
            <w:tcW w:w="923" w:type="dxa"/>
            <w:tcBorders>
              <w:top w:val="single" w:sz="4" w:space="0" w:color="000000"/>
              <w:left w:val="single" w:sz="4" w:space="0" w:color="000000"/>
              <w:bottom w:val="single" w:sz="4" w:space="0" w:color="000000"/>
            </w:tcBorders>
          </w:tcPr>
          <w:p w14:paraId="2B8FD74F" w14:textId="77777777" w:rsidR="00947408" w:rsidRPr="006645DC" w:rsidRDefault="00947408" w:rsidP="00947408">
            <w:pPr>
              <w:snapToGrid w:val="0"/>
              <w:spacing w:before="0" w:after="0"/>
              <w:rPr>
                <w:rFonts w:cs="Calibri"/>
                <w:b/>
                <w:lang w:val="en-GB"/>
              </w:rPr>
            </w:pPr>
            <w:r w:rsidRPr="006645DC">
              <w:rPr>
                <w:rFonts w:cs="Calibri"/>
                <w:b/>
                <w:lang w:val="en-GB"/>
              </w:rPr>
              <w:lastRenderedPageBreak/>
              <w:t>Years</w:t>
            </w:r>
          </w:p>
        </w:tc>
        <w:tc>
          <w:tcPr>
            <w:tcW w:w="1209" w:type="dxa"/>
            <w:tcBorders>
              <w:top w:val="single" w:sz="4" w:space="0" w:color="000000"/>
              <w:left w:val="single" w:sz="4" w:space="0" w:color="000000"/>
              <w:bottom w:val="single" w:sz="4" w:space="0" w:color="000000"/>
            </w:tcBorders>
          </w:tcPr>
          <w:p w14:paraId="4843B9DB" w14:textId="77777777" w:rsidR="00947408" w:rsidRPr="006645DC" w:rsidRDefault="00947408" w:rsidP="00947408">
            <w:pPr>
              <w:snapToGrid w:val="0"/>
              <w:spacing w:before="0" w:after="0"/>
              <w:jc w:val="center"/>
              <w:rPr>
                <w:rFonts w:cs="Calibri"/>
                <w:b/>
                <w:lang w:val="en-GB"/>
              </w:rPr>
            </w:pPr>
            <w:r w:rsidRPr="006645DC">
              <w:rPr>
                <w:rFonts w:cs="Calibri"/>
                <w:b/>
                <w:lang w:val="en-GB"/>
              </w:rPr>
              <w:t>Total</w:t>
            </w:r>
          </w:p>
        </w:tc>
        <w:tc>
          <w:tcPr>
            <w:tcW w:w="1134" w:type="dxa"/>
            <w:tcBorders>
              <w:top w:val="single" w:sz="4" w:space="0" w:color="000000"/>
              <w:left w:val="single" w:sz="4" w:space="0" w:color="000000"/>
              <w:bottom w:val="single" w:sz="4" w:space="0" w:color="000000"/>
            </w:tcBorders>
          </w:tcPr>
          <w:p w14:paraId="693DDD53" w14:textId="77777777" w:rsidR="00947408" w:rsidRPr="006645DC" w:rsidRDefault="00947408" w:rsidP="00947408">
            <w:pPr>
              <w:snapToGrid w:val="0"/>
              <w:spacing w:before="0" w:after="0"/>
              <w:jc w:val="center"/>
              <w:rPr>
                <w:rFonts w:cs="Calibri"/>
                <w:b/>
                <w:lang w:val="en-GB"/>
              </w:rPr>
            </w:pPr>
            <w:r w:rsidRPr="006645DC">
              <w:rPr>
                <w:rFonts w:cs="Calibri"/>
                <w:b/>
                <w:lang w:val="en-GB"/>
              </w:rPr>
              <w:t>Male</w:t>
            </w:r>
          </w:p>
        </w:tc>
        <w:tc>
          <w:tcPr>
            <w:tcW w:w="992" w:type="dxa"/>
            <w:tcBorders>
              <w:top w:val="single" w:sz="4" w:space="0" w:color="000000"/>
              <w:left w:val="single" w:sz="4" w:space="0" w:color="000000"/>
              <w:bottom w:val="single" w:sz="4" w:space="0" w:color="000000"/>
            </w:tcBorders>
          </w:tcPr>
          <w:p w14:paraId="0560A008" w14:textId="77777777" w:rsidR="00947408" w:rsidRPr="006645DC" w:rsidRDefault="00947408" w:rsidP="00947408">
            <w:pPr>
              <w:snapToGrid w:val="0"/>
              <w:spacing w:before="0" w:after="0"/>
              <w:jc w:val="center"/>
              <w:rPr>
                <w:rFonts w:cs="Calibri"/>
                <w:b/>
                <w:lang w:val="en-GB"/>
              </w:rPr>
            </w:pPr>
            <w:r w:rsidRPr="006645DC">
              <w:rPr>
                <w:rFonts w:cs="Calibri"/>
                <w:b/>
                <w:lang w:val="en-GB"/>
              </w:rPr>
              <w:t>Fem</w:t>
            </w:r>
          </w:p>
        </w:tc>
        <w:tc>
          <w:tcPr>
            <w:tcW w:w="993" w:type="dxa"/>
            <w:tcBorders>
              <w:top w:val="single" w:sz="4" w:space="0" w:color="000000"/>
              <w:left w:val="single" w:sz="4" w:space="0" w:color="000000"/>
              <w:bottom w:val="single" w:sz="4" w:space="0" w:color="000000"/>
            </w:tcBorders>
          </w:tcPr>
          <w:p w14:paraId="66E81571" w14:textId="77777777" w:rsidR="00947408" w:rsidRPr="006645DC" w:rsidRDefault="00947408" w:rsidP="00947408">
            <w:pPr>
              <w:snapToGrid w:val="0"/>
              <w:spacing w:before="0" w:after="0"/>
              <w:jc w:val="center"/>
              <w:rPr>
                <w:rFonts w:cs="Calibri"/>
                <w:b/>
                <w:lang w:val="en-GB"/>
              </w:rPr>
            </w:pPr>
            <w:r w:rsidRPr="006645DC">
              <w:rPr>
                <w:rFonts w:cs="Calibri"/>
                <w:b/>
                <w:lang w:val="en-GB"/>
              </w:rPr>
              <w:t>Urban</w:t>
            </w:r>
          </w:p>
        </w:tc>
        <w:tc>
          <w:tcPr>
            <w:tcW w:w="1134" w:type="dxa"/>
            <w:tcBorders>
              <w:top w:val="single" w:sz="4" w:space="0" w:color="000000"/>
              <w:left w:val="single" w:sz="4" w:space="0" w:color="000000"/>
              <w:bottom w:val="single" w:sz="4" w:space="0" w:color="000000"/>
              <w:right w:val="single" w:sz="4" w:space="0" w:color="000000"/>
            </w:tcBorders>
          </w:tcPr>
          <w:p w14:paraId="708B7547" w14:textId="77777777" w:rsidR="00947408" w:rsidRPr="006645DC" w:rsidRDefault="00947408" w:rsidP="00947408">
            <w:pPr>
              <w:snapToGrid w:val="0"/>
              <w:spacing w:before="0" w:after="0"/>
              <w:jc w:val="center"/>
              <w:rPr>
                <w:rFonts w:cs="Calibri"/>
                <w:b/>
                <w:lang w:val="en-GB"/>
              </w:rPr>
            </w:pPr>
            <w:r w:rsidRPr="006645DC">
              <w:rPr>
                <w:rFonts w:cs="Calibri"/>
                <w:b/>
                <w:lang w:val="en-GB"/>
              </w:rPr>
              <w:t>Rural</w:t>
            </w:r>
          </w:p>
        </w:tc>
      </w:tr>
      <w:tr w:rsidR="00947408" w:rsidRPr="006645DC" w14:paraId="5FE1CB9D" w14:textId="77777777" w:rsidTr="00947408">
        <w:trPr>
          <w:jc w:val="center"/>
        </w:trPr>
        <w:tc>
          <w:tcPr>
            <w:tcW w:w="6385" w:type="dxa"/>
            <w:gridSpan w:val="6"/>
            <w:tcBorders>
              <w:top w:val="single" w:sz="4" w:space="0" w:color="000000"/>
              <w:left w:val="single" w:sz="4" w:space="0" w:color="000000"/>
              <w:bottom w:val="single" w:sz="4" w:space="0" w:color="000000"/>
              <w:right w:val="single" w:sz="4" w:space="0" w:color="000000"/>
            </w:tcBorders>
          </w:tcPr>
          <w:p w14:paraId="0F62E46C" w14:textId="77777777" w:rsidR="00947408" w:rsidRPr="006645DC" w:rsidRDefault="00947408" w:rsidP="00947408">
            <w:pPr>
              <w:snapToGrid w:val="0"/>
              <w:spacing w:before="0" w:after="0"/>
              <w:jc w:val="center"/>
              <w:rPr>
                <w:rFonts w:cs="Calibri"/>
                <w:b/>
                <w:lang w:val="en-GB"/>
              </w:rPr>
            </w:pPr>
            <w:r w:rsidRPr="006645DC">
              <w:rPr>
                <w:rFonts w:cs="Calibri"/>
                <w:b/>
                <w:lang w:val="en-GB"/>
              </w:rPr>
              <w:t>Total cross-border area</w:t>
            </w:r>
          </w:p>
        </w:tc>
      </w:tr>
      <w:tr w:rsidR="00947408" w:rsidRPr="006645DC" w14:paraId="2DEBC9E2" w14:textId="77777777" w:rsidTr="007C5AA8">
        <w:trPr>
          <w:jc w:val="center"/>
        </w:trPr>
        <w:tc>
          <w:tcPr>
            <w:tcW w:w="923" w:type="dxa"/>
            <w:tcBorders>
              <w:top w:val="single" w:sz="4" w:space="0" w:color="000000"/>
              <w:left w:val="single" w:sz="4" w:space="0" w:color="000000"/>
              <w:bottom w:val="single" w:sz="4" w:space="0" w:color="000000"/>
            </w:tcBorders>
          </w:tcPr>
          <w:p w14:paraId="744D31B4" w14:textId="77777777" w:rsidR="00947408" w:rsidRPr="006645DC" w:rsidRDefault="00947408" w:rsidP="00152E61">
            <w:pPr>
              <w:keepNext/>
              <w:keepLines/>
              <w:snapToGrid w:val="0"/>
              <w:spacing w:before="0" w:after="0"/>
              <w:outlineLvl w:val="1"/>
              <w:rPr>
                <w:rFonts w:cs="Calibri"/>
                <w:lang w:val="en-GB"/>
              </w:rPr>
            </w:pPr>
            <w:bookmarkStart w:id="191" w:name="_Toc376198460"/>
            <w:r w:rsidRPr="006645DC">
              <w:rPr>
                <w:rFonts w:cs="Calibri"/>
                <w:lang w:val="en-GB"/>
              </w:rPr>
              <w:t>2007</w:t>
            </w:r>
            <w:bookmarkEnd w:id="191"/>
          </w:p>
        </w:tc>
        <w:tc>
          <w:tcPr>
            <w:tcW w:w="1209" w:type="dxa"/>
            <w:tcBorders>
              <w:top w:val="single" w:sz="4" w:space="0" w:color="000000"/>
              <w:left w:val="single" w:sz="4" w:space="0" w:color="000000"/>
              <w:bottom w:val="single" w:sz="4" w:space="0" w:color="000000"/>
            </w:tcBorders>
            <w:vAlign w:val="center"/>
          </w:tcPr>
          <w:p w14:paraId="5078C744" w14:textId="77777777" w:rsidR="00947408" w:rsidRPr="006645DC" w:rsidRDefault="00947408" w:rsidP="007C5AA8">
            <w:pPr>
              <w:keepNext/>
              <w:keepLines/>
              <w:snapToGrid w:val="0"/>
              <w:spacing w:before="0" w:after="0"/>
              <w:jc w:val="right"/>
              <w:outlineLvl w:val="1"/>
              <w:rPr>
                <w:rFonts w:cs="Calibri"/>
                <w:lang w:val="en-GB"/>
              </w:rPr>
            </w:pPr>
            <w:bookmarkStart w:id="192" w:name="_Toc376198461"/>
            <w:r w:rsidRPr="006645DC">
              <w:rPr>
                <w:rFonts w:cs="Calibri"/>
                <w:lang w:val="en-GB"/>
              </w:rPr>
              <w:t>4 992.9</w:t>
            </w:r>
            <w:bookmarkEnd w:id="192"/>
          </w:p>
        </w:tc>
        <w:tc>
          <w:tcPr>
            <w:tcW w:w="1134" w:type="dxa"/>
            <w:tcBorders>
              <w:top w:val="single" w:sz="4" w:space="0" w:color="000000"/>
              <w:left w:val="single" w:sz="4" w:space="0" w:color="000000"/>
              <w:bottom w:val="single" w:sz="4" w:space="0" w:color="000000"/>
            </w:tcBorders>
            <w:vAlign w:val="center"/>
          </w:tcPr>
          <w:p w14:paraId="448165BA" w14:textId="77777777" w:rsidR="00947408" w:rsidRPr="006645DC" w:rsidRDefault="00947408" w:rsidP="007C5AA8">
            <w:pPr>
              <w:keepNext/>
              <w:keepLines/>
              <w:snapToGrid w:val="0"/>
              <w:spacing w:before="0" w:after="0"/>
              <w:jc w:val="right"/>
              <w:outlineLvl w:val="1"/>
              <w:rPr>
                <w:rFonts w:cs="Calibri"/>
                <w:lang w:val="en-GB"/>
              </w:rPr>
            </w:pPr>
            <w:bookmarkStart w:id="193" w:name="_Toc376198462"/>
            <w:r w:rsidRPr="006645DC">
              <w:rPr>
                <w:rFonts w:cs="Calibri"/>
                <w:lang w:val="en-GB"/>
              </w:rPr>
              <w:t>2 435.5</w:t>
            </w:r>
            <w:bookmarkEnd w:id="193"/>
          </w:p>
        </w:tc>
        <w:tc>
          <w:tcPr>
            <w:tcW w:w="992" w:type="dxa"/>
            <w:tcBorders>
              <w:top w:val="single" w:sz="4" w:space="0" w:color="000000"/>
              <w:left w:val="single" w:sz="4" w:space="0" w:color="000000"/>
              <w:bottom w:val="single" w:sz="4" w:space="0" w:color="000000"/>
            </w:tcBorders>
            <w:vAlign w:val="center"/>
          </w:tcPr>
          <w:p w14:paraId="33286B3C" w14:textId="77777777" w:rsidR="00947408" w:rsidRPr="006645DC" w:rsidRDefault="00947408" w:rsidP="007C5AA8">
            <w:pPr>
              <w:keepNext/>
              <w:keepLines/>
              <w:snapToGrid w:val="0"/>
              <w:spacing w:before="0" w:after="0"/>
              <w:jc w:val="right"/>
              <w:outlineLvl w:val="1"/>
              <w:rPr>
                <w:rFonts w:cs="Calibri"/>
                <w:lang w:val="en-GB"/>
              </w:rPr>
            </w:pPr>
            <w:bookmarkStart w:id="194" w:name="_Toc376198463"/>
            <w:r w:rsidRPr="006645DC">
              <w:rPr>
                <w:rFonts w:cs="Calibri"/>
                <w:lang w:val="en-GB"/>
              </w:rPr>
              <w:t>2 557.4</w:t>
            </w:r>
            <w:bookmarkEnd w:id="194"/>
          </w:p>
        </w:tc>
        <w:tc>
          <w:tcPr>
            <w:tcW w:w="993" w:type="dxa"/>
            <w:tcBorders>
              <w:top w:val="single" w:sz="4" w:space="0" w:color="000000"/>
              <w:left w:val="single" w:sz="4" w:space="0" w:color="000000"/>
              <w:bottom w:val="single" w:sz="4" w:space="0" w:color="000000"/>
            </w:tcBorders>
            <w:vAlign w:val="center"/>
          </w:tcPr>
          <w:p w14:paraId="30A6AE65" w14:textId="77777777" w:rsidR="00947408" w:rsidRPr="006645DC" w:rsidRDefault="00947408" w:rsidP="007C5AA8">
            <w:pPr>
              <w:keepNext/>
              <w:keepLines/>
              <w:snapToGrid w:val="0"/>
              <w:spacing w:before="0" w:after="0"/>
              <w:jc w:val="right"/>
              <w:outlineLvl w:val="1"/>
              <w:rPr>
                <w:rFonts w:cs="Calibri"/>
                <w:lang w:val="en-GB"/>
              </w:rPr>
            </w:pPr>
            <w:bookmarkStart w:id="195" w:name="_Toc376198464"/>
            <w:r w:rsidRPr="006645DC">
              <w:rPr>
                <w:rFonts w:cs="Calibri"/>
                <w:lang w:val="en-GB"/>
              </w:rPr>
              <w:t>2 685.5</w:t>
            </w:r>
            <w:bookmarkEnd w:id="195"/>
          </w:p>
        </w:tc>
        <w:tc>
          <w:tcPr>
            <w:tcW w:w="1134" w:type="dxa"/>
            <w:tcBorders>
              <w:top w:val="single" w:sz="4" w:space="0" w:color="000000"/>
              <w:left w:val="single" w:sz="4" w:space="0" w:color="000000"/>
              <w:bottom w:val="single" w:sz="4" w:space="0" w:color="000000"/>
              <w:right w:val="single" w:sz="4" w:space="0" w:color="000000"/>
            </w:tcBorders>
            <w:vAlign w:val="center"/>
          </w:tcPr>
          <w:p w14:paraId="057D2B1E" w14:textId="77777777" w:rsidR="00947408" w:rsidRPr="006645DC" w:rsidRDefault="00947408" w:rsidP="007C5AA8">
            <w:pPr>
              <w:keepNext/>
              <w:keepLines/>
              <w:snapToGrid w:val="0"/>
              <w:spacing w:before="0" w:after="0"/>
              <w:jc w:val="right"/>
              <w:outlineLvl w:val="1"/>
              <w:rPr>
                <w:rFonts w:cs="Calibri"/>
                <w:lang w:val="en-GB"/>
              </w:rPr>
            </w:pPr>
            <w:bookmarkStart w:id="196" w:name="_Toc376198465"/>
            <w:r w:rsidRPr="006645DC">
              <w:rPr>
                <w:rFonts w:cs="Calibri"/>
                <w:lang w:val="en-GB"/>
              </w:rPr>
              <w:t>2 307.4</w:t>
            </w:r>
            <w:bookmarkEnd w:id="196"/>
          </w:p>
        </w:tc>
      </w:tr>
      <w:tr w:rsidR="00947408" w:rsidRPr="006645DC" w14:paraId="09DAB765" w14:textId="77777777" w:rsidTr="007C5AA8">
        <w:trPr>
          <w:jc w:val="center"/>
        </w:trPr>
        <w:tc>
          <w:tcPr>
            <w:tcW w:w="923" w:type="dxa"/>
            <w:tcBorders>
              <w:top w:val="single" w:sz="4" w:space="0" w:color="000000"/>
              <w:left w:val="single" w:sz="4" w:space="0" w:color="000000"/>
              <w:bottom w:val="single" w:sz="4" w:space="0" w:color="000000"/>
            </w:tcBorders>
          </w:tcPr>
          <w:p w14:paraId="49ACAE7B" w14:textId="77777777" w:rsidR="00947408" w:rsidRPr="006645DC" w:rsidRDefault="00947408" w:rsidP="00152E61">
            <w:pPr>
              <w:keepNext/>
              <w:keepLines/>
              <w:snapToGrid w:val="0"/>
              <w:spacing w:before="0" w:after="0"/>
              <w:outlineLvl w:val="1"/>
              <w:rPr>
                <w:rFonts w:cs="Calibri"/>
                <w:lang w:val="en-GB"/>
              </w:rPr>
            </w:pPr>
            <w:bookmarkStart w:id="197" w:name="_Toc376198466"/>
            <w:r w:rsidRPr="006645DC">
              <w:rPr>
                <w:rFonts w:cs="Calibri"/>
                <w:lang w:val="en-GB"/>
              </w:rPr>
              <w:t>2008</w:t>
            </w:r>
            <w:bookmarkEnd w:id="197"/>
          </w:p>
        </w:tc>
        <w:tc>
          <w:tcPr>
            <w:tcW w:w="1209" w:type="dxa"/>
            <w:tcBorders>
              <w:top w:val="single" w:sz="4" w:space="0" w:color="000000"/>
              <w:left w:val="single" w:sz="4" w:space="0" w:color="000000"/>
              <w:bottom w:val="single" w:sz="4" w:space="0" w:color="000000"/>
            </w:tcBorders>
            <w:vAlign w:val="center"/>
          </w:tcPr>
          <w:p w14:paraId="00AE7430" w14:textId="77777777" w:rsidR="00947408" w:rsidRPr="006645DC" w:rsidRDefault="00947408" w:rsidP="007C5AA8">
            <w:pPr>
              <w:keepNext/>
              <w:keepLines/>
              <w:snapToGrid w:val="0"/>
              <w:spacing w:before="0" w:after="0"/>
              <w:jc w:val="right"/>
              <w:outlineLvl w:val="1"/>
              <w:rPr>
                <w:rFonts w:cs="Calibri"/>
                <w:lang w:val="en-GB"/>
              </w:rPr>
            </w:pPr>
            <w:bookmarkStart w:id="198" w:name="_Toc376198467"/>
            <w:r w:rsidRPr="006645DC">
              <w:rPr>
                <w:rFonts w:cs="Calibri"/>
                <w:lang w:val="en-GB"/>
              </w:rPr>
              <w:t>4 954.8</w:t>
            </w:r>
            <w:bookmarkEnd w:id="198"/>
          </w:p>
        </w:tc>
        <w:tc>
          <w:tcPr>
            <w:tcW w:w="1134" w:type="dxa"/>
            <w:tcBorders>
              <w:top w:val="single" w:sz="4" w:space="0" w:color="000000"/>
              <w:left w:val="single" w:sz="4" w:space="0" w:color="000000"/>
              <w:bottom w:val="single" w:sz="4" w:space="0" w:color="000000"/>
            </w:tcBorders>
            <w:vAlign w:val="center"/>
          </w:tcPr>
          <w:p w14:paraId="3FABFE33" w14:textId="77777777" w:rsidR="00947408" w:rsidRPr="006645DC" w:rsidRDefault="00947408" w:rsidP="007C5AA8">
            <w:pPr>
              <w:keepNext/>
              <w:keepLines/>
              <w:snapToGrid w:val="0"/>
              <w:spacing w:before="0" w:after="0"/>
              <w:jc w:val="right"/>
              <w:outlineLvl w:val="1"/>
              <w:rPr>
                <w:rFonts w:cs="Calibri"/>
                <w:lang w:val="en-GB"/>
              </w:rPr>
            </w:pPr>
            <w:bookmarkStart w:id="199" w:name="_Toc376198468"/>
            <w:r w:rsidRPr="006645DC">
              <w:rPr>
                <w:rFonts w:cs="Calibri"/>
                <w:lang w:val="en-GB"/>
              </w:rPr>
              <w:t>2 414.4</w:t>
            </w:r>
            <w:bookmarkEnd w:id="199"/>
          </w:p>
        </w:tc>
        <w:tc>
          <w:tcPr>
            <w:tcW w:w="992" w:type="dxa"/>
            <w:tcBorders>
              <w:top w:val="single" w:sz="4" w:space="0" w:color="000000"/>
              <w:left w:val="single" w:sz="4" w:space="0" w:color="000000"/>
              <w:bottom w:val="single" w:sz="4" w:space="0" w:color="000000"/>
            </w:tcBorders>
            <w:vAlign w:val="center"/>
          </w:tcPr>
          <w:p w14:paraId="4443BD2D" w14:textId="77777777" w:rsidR="00947408" w:rsidRPr="006645DC" w:rsidRDefault="00947408" w:rsidP="007C5AA8">
            <w:pPr>
              <w:keepNext/>
              <w:keepLines/>
              <w:snapToGrid w:val="0"/>
              <w:spacing w:before="0" w:after="0"/>
              <w:jc w:val="right"/>
              <w:outlineLvl w:val="1"/>
              <w:rPr>
                <w:rFonts w:cs="Calibri"/>
                <w:lang w:val="en-GB"/>
              </w:rPr>
            </w:pPr>
            <w:bookmarkStart w:id="200" w:name="_Toc376198469"/>
            <w:r w:rsidRPr="006645DC">
              <w:rPr>
                <w:rFonts w:cs="Calibri"/>
                <w:lang w:val="en-GB"/>
              </w:rPr>
              <w:t>2 540.4</w:t>
            </w:r>
            <w:bookmarkEnd w:id="200"/>
          </w:p>
        </w:tc>
        <w:tc>
          <w:tcPr>
            <w:tcW w:w="993" w:type="dxa"/>
            <w:tcBorders>
              <w:top w:val="single" w:sz="4" w:space="0" w:color="000000"/>
              <w:left w:val="single" w:sz="4" w:space="0" w:color="000000"/>
              <w:bottom w:val="single" w:sz="4" w:space="0" w:color="000000"/>
            </w:tcBorders>
            <w:vAlign w:val="center"/>
          </w:tcPr>
          <w:p w14:paraId="75BD33B2" w14:textId="77777777" w:rsidR="00947408" w:rsidRPr="006645DC" w:rsidRDefault="00947408" w:rsidP="007C5AA8">
            <w:pPr>
              <w:keepNext/>
              <w:keepLines/>
              <w:snapToGrid w:val="0"/>
              <w:spacing w:before="0" w:after="0"/>
              <w:jc w:val="right"/>
              <w:outlineLvl w:val="1"/>
              <w:rPr>
                <w:rFonts w:cs="Calibri"/>
                <w:lang w:val="en-GB"/>
              </w:rPr>
            </w:pPr>
            <w:bookmarkStart w:id="201" w:name="_Toc376198470"/>
            <w:r w:rsidRPr="006645DC">
              <w:rPr>
                <w:rFonts w:cs="Calibri"/>
                <w:lang w:val="en-GB"/>
              </w:rPr>
              <w:t>2 667.5</w:t>
            </w:r>
            <w:bookmarkEnd w:id="201"/>
          </w:p>
        </w:tc>
        <w:tc>
          <w:tcPr>
            <w:tcW w:w="1134" w:type="dxa"/>
            <w:tcBorders>
              <w:top w:val="single" w:sz="4" w:space="0" w:color="000000"/>
              <w:left w:val="single" w:sz="4" w:space="0" w:color="000000"/>
              <w:bottom w:val="single" w:sz="4" w:space="0" w:color="000000"/>
              <w:right w:val="single" w:sz="4" w:space="0" w:color="000000"/>
            </w:tcBorders>
            <w:vAlign w:val="center"/>
          </w:tcPr>
          <w:p w14:paraId="76753763" w14:textId="77777777" w:rsidR="00947408" w:rsidRPr="006645DC" w:rsidRDefault="00947408" w:rsidP="007C5AA8">
            <w:pPr>
              <w:keepNext/>
              <w:keepLines/>
              <w:snapToGrid w:val="0"/>
              <w:spacing w:before="0" w:after="0"/>
              <w:jc w:val="right"/>
              <w:outlineLvl w:val="1"/>
              <w:rPr>
                <w:rFonts w:cs="Calibri"/>
                <w:lang w:val="en-GB"/>
              </w:rPr>
            </w:pPr>
            <w:bookmarkStart w:id="202" w:name="_Toc376198471"/>
            <w:r w:rsidRPr="006645DC">
              <w:rPr>
                <w:rFonts w:cs="Calibri"/>
                <w:lang w:val="en-GB"/>
              </w:rPr>
              <w:t>2 287.3</w:t>
            </w:r>
            <w:bookmarkEnd w:id="202"/>
          </w:p>
        </w:tc>
      </w:tr>
      <w:tr w:rsidR="00947408" w:rsidRPr="006645DC" w14:paraId="45F3FD8B" w14:textId="77777777" w:rsidTr="007C5AA8">
        <w:trPr>
          <w:jc w:val="center"/>
        </w:trPr>
        <w:tc>
          <w:tcPr>
            <w:tcW w:w="923" w:type="dxa"/>
            <w:tcBorders>
              <w:top w:val="single" w:sz="4" w:space="0" w:color="000000"/>
              <w:left w:val="single" w:sz="4" w:space="0" w:color="000000"/>
              <w:bottom w:val="single" w:sz="4" w:space="0" w:color="000000"/>
            </w:tcBorders>
          </w:tcPr>
          <w:p w14:paraId="26BA5CDC" w14:textId="77777777" w:rsidR="00947408" w:rsidRPr="006645DC" w:rsidRDefault="00947408" w:rsidP="00152E61">
            <w:pPr>
              <w:keepNext/>
              <w:keepLines/>
              <w:snapToGrid w:val="0"/>
              <w:spacing w:before="0" w:after="0"/>
              <w:outlineLvl w:val="1"/>
              <w:rPr>
                <w:rFonts w:cs="Calibri"/>
                <w:lang w:val="en-GB"/>
              </w:rPr>
            </w:pPr>
            <w:bookmarkStart w:id="203" w:name="_Toc376198472"/>
            <w:r w:rsidRPr="006645DC">
              <w:rPr>
                <w:rFonts w:cs="Calibri"/>
                <w:lang w:val="en-GB"/>
              </w:rPr>
              <w:t>2009</w:t>
            </w:r>
            <w:bookmarkEnd w:id="203"/>
          </w:p>
        </w:tc>
        <w:tc>
          <w:tcPr>
            <w:tcW w:w="1209" w:type="dxa"/>
            <w:tcBorders>
              <w:top w:val="single" w:sz="4" w:space="0" w:color="000000"/>
              <w:left w:val="single" w:sz="4" w:space="0" w:color="000000"/>
              <w:bottom w:val="single" w:sz="4" w:space="0" w:color="000000"/>
            </w:tcBorders>
            <w:vAlign w:val="center"/>
          </w:tcPr>
          <w:p w14:paraId="56891C1E" w14:textId="77777777" w:rsidR="00947408" w:rsidRPr="006645DC" w:rsidRDefault="00947408" w:rsidP="007C5AA8">
            <w:pPr>
              <w:keepNext/>
              <w:keepLines/>
              <w:snapToGrid w:val="0"/>
              <w:spacing w:before="0" w:after="0"/>
              <w:jc w:val="right"/>
              <w:outlineLvl w:val="1"/>
              <w:rPr>
                <w:rFonts w:cs="Calibri"/>
                <w:lang w:val="en-GB"/>
              </w:rPr>
            </w:pPr>
            <w:bookmarkStart w:id="204" w:name="_Toc376198473"/>
            <w:r w:rsidRPr="006645DC">
              <w:rPr>
                <w:rFonts w:cs="Calibri"/>
                <w:lang w:val="en-GB"/>
              </w:rPr>
              <w:t>4 920.0</w:t>
            </w:r>
            <w:bookmarkEnd w:id="204"/>
          </w:p>
        </w:tc>
        <w:tc>
          <w:tcPr>
            <w:tcW w:w="1134" w:type="dxa"/>
            <w:tcBorders>
              <w:top w:val="single" w:sz="4" w:space="0" w:color="000000"/>
              <w:left w:val="single" w:sz="4" w:space="0" w:color="000000"/>
              <w:bottom w:val="single" w:sz="4" w:space="0" w:color="000000"/>
            </w:tcBorders>
            <w:vAlign w:val="center"/>
          </w:tcPr>
          <w:p w14:paraId="65088D94" w14:textId="77777777" w:rsidR="00947408" w:rsidRPr="006645DC" w:rsidRDefault="00947408" w:rsidP="007C5AA8">
            <w:pPr>
              <w:keepNext/>
              <w:keepLines/>
              <w:snapToGrid w:val="0"/>
              <w:spacing w:before="0" w:after="0"/>
              <w:jc w:val="right"/>
              <w:outlineLvl w:val="1"/>
              <w:rPr>
                <w:rFonts w:cs="Calibri"/>
                <w:lang w:val="en-GB"/>
              </w:rPr>
            </w:pPr>
            <w:bookmarkStart w:id="205" w:name="_Toc376198474"/>
            <w:r w:rsidRPr="006645DC">
              <w:rPr>
                <w:rFonts w:cs="Calibri"/>
                <w:lang w:val="en-GB"/>
              </w:rPr>
              <w:t>2 396.1</w:t>
            </w:r>
            <w:bookmarkEnd w:id="205"/>
          </w:p>
        </w:tc>
        <w:tc>
          <w:tcPr>
            <w:tcW w:w="992" w:type="dxa"/>
            <w:tcBorders>
              <w:top w:val="single" w:sz="4" w:space="0" w:color="000000"/>
              <w:left w:val="single" w:sz="4" w:space="0" w:color="000000"/>
              <w:bottom w:val="single" w:sz="4" w:space="0" w:color="000000"/>
            </w:tcBorders>
            <w:vAlign w:val="center"/>
          </w:tcPr>
          <w:p w14:paraId="142C4913" w14:textId="77777777" w:rsidR="00947408" w:rsidRPr="006645DC" w:rsidRDefault="00947408" w:rsidP="007C5AA8">
            <w:pPr>
              <w:keepNext/>
              <w:keepLines/>
              <w:snapToGrid w:val="0"/>
              <w:spacing w:before="0" w:after="0"/>
              <w:jc w:val="right"/>
              <w:outlineLvl w:val="1"/>
              <w:rPr>
                <w:rFonts w:cs="Calibri"/>
                <w:lang w:val="en-GB"/>
              </w:rPr>
            </w:pPr>
            <w:bookmarkStart w:id="206" w:name="_Toc376198475"/>
            <w:r w:rsidRPr="006645DC">
              <w:rPr>
                <w:rFonts w:cs="Calibri"/>
                <w:lang w:val="en-GB"/>
              </w:rPr>
              <w:t>2 523.9</w:t>
            </w:r>
            <w:bookmarkEnd w:id="206"/>
          </w:p>
        </w:tc>
        <w:tc>
          <w:tcPr>
            <w:tcW w:w="993" w:type="dxa"/>
            <w:tcBorders>
              <w:top w:val="single" w:sz="4" w:space="0" w:color="000000"/>
              <w:left w:val="single" w:sz="4" w:space="0" w:color="000000"/>
              <w:bottom w:val="single" w:sz="4" w:space="0" w:color="000000"/>
            </w:tcBorders>
            <w:vAlign w:val="center"/>
          </w:tcPr>
          <w:p w14:paraId="01FC1D5F" w14:textId="77777777" w:rsidR="00947408" w:rsidRPr="006645DC" w:rsidRDefault="00947408" w:rsidP="007C5AA8">
            <w:pPr>
              <w:keepNext/>
              <w:keepLines/>
              <w:snapToGrid w:val="0"/>
              <w:spacing w:before="0" w:after="0"/>
              <w:jc w:val="right"/>
              <w:outlineLvl w:val="1"/>
              <w:rPr>
                <w:rFonts w:cs="Calibri"/>
                <w:lang w:val="en-GB"/>
              </w:rPr>
            </w:pPr>
            <w:bookmarkStart w:id="207" w:name="_Toc376198476"/>
            <w:r w:rsidRPr="006645DC">
              <w:rPr>
                <w:rFonts w:cs="Calibri"/>
                <w:lang w:val="en-GB"/>
              </w:rPr>
              <w:t>2 657.1</w:t>
            </w:r>
            <w:bookmarkEnd w:id="207"/>
          </w:p>
        </w:tc>
        <w:tc>
          <w:tcPr>
            <w:tcW w:w="1134" w:type="dxa"/>
            <w:tcBorders>
              <w:top w:val="single" w:sz="4" w:space="0" w:color="000000"/>
              <w:left w:val="single" w:sz="4" w:space="0" w:color="000000"/>
              <w:bottom w:val="single" w:sz="4" w:space="0" w:color="000000"/>
              <w:right w:val="single" w:sz="4" w:space="0" w:color="000000"/>
            </w:tcBorders>
            <w:vAlign w:val="center"/>
          </w:tcPr>
          <w:p w14:paraId="3FFF7338" w14:textId="77777777" w:rsidR="00947408" w:rsidRPr="006645DC" w:rsidRDefault="00947408" w:rsidP="007C5AA8">
            <w:pPr>
              <w:keepNext/>
              <w:keepLines/>
              <w:snapToGrid w:val="0"/>
              <w:spacing w:before="0" w:after="0"/>
              <w:jc w:val="right"/>
              <w:outlineLvl w:val="1"/>
              <w:rPr>
                <w:rFonts w:cs="Calibri"/>
                <w:lang w:val="en-GB"/>
              </w:rPr>
            </w:pPr>
            <w:bookmarkStart w:id="208" w:name="_Toc376198477"/>
            <w:r w:rsidRPr="006645DC">
              <w:rPr>
                <w:rFonts w:cs="Calibri"/>
                <w:lang w:val="en-GB"/>
              </w:rPr>
              <w:t>2 263.0</w:t>
            </w:r>
            <w:bookmarkEnd w:id="208"/>
          </w:p>
        </w:tc>
      </w:tr>
      <w:tr w:rsidR="00947408" w:rsidRPr="006645DC" w14:paraId="34B1A486" w14:textId="77777777" w:rsidTr="007C5AA8">
        <w:trPr>
          <w:jc w:val="center"/>
        </w:trPr>
        <w:tc>
          <w:tcPr>
            <w:tcW w:w="923" w:type="dxa"/>
            <w:tcBorders>
              <w:top w:val="single" w:sz="4" w:space="0" w:color="000000"/>
              <w:left w:val="single" w:sz="4" w:space="0" w:color="000000"/>
              <w:bottom w:val="single" w:sz="4" w:space="0" w:color="000000"/>
            </w:tcBorders>
          </w:tcPr>
          <w:p w14:paraId="3C5291F1" w14:textId="77777777" w:rsidR="00947408" w:rsidRPr="006645DC" w:rsidRDefault="00947408" w:rsidP="00152E61">
            <w:pPr>
              <w:keepNext/>
              <w:keepLines/>
              <w:snapToGrid w:val="0"/>
              <w:spacing w:before="0" w:after="0"/>
              <w:outlineLvl w:val="1"/>
              <w:rPr>
                <w:rFonts w:cs="Calibri"/>
                <w:lang w:val="en-GB"/>
              </w:rPr>
            </w:pPr>
            <w:bookmarkStart w:id="209" w:name="_Toc376198478"/>
            <w:r w:rsidRPr="006645DC">
              <w:rPr>
                <w:rFonts w:cs="Calibri"/>
                <w:lang w:val="en-GB"/>
              </w:rPr>
              <w:t>2010</w:t>
            </w:r>
            <w:bookmarkEnd w:id="209"/>
          </w:p>
        </w:tc>
        <w:tc>
          <w:tcPr>
            <w:tcW w:w="1209" w:type="dxa"/>
            <w:tcBorders>
              <w:top w:val="single" w:sz="4" w:space="0" w:color="000000"/>
              <w:left w:val="single" w:sz="4" w:space="0" w:color="000000"/>
              <w:bottom w:val="single" w:sz="4" w:space="0" w:color="000000"/>
            </w:tcBorders>
            <w:vAlign w:val="center"/>
          </w:tcPr>
          <w:p w14:paraId="46B5993A" w14:textId="77777777" w:rsidR="00947408" w:rsidRPr="006645DC" w:rsidRDefault="00947408" w:rsidP="007C5AA8">
            <w:pPr>
              <w:keepNext/>
              <w:keepLines/>
              <w:snapToGrid w:val="0"/>
              <w:spacing w:before="0" w:after="0"/>
              <w:jc w:val="right"/>
              <w:outlineLvl w:val="1"/>
              <w:rPr>
                <w:rFonts w:cs="Calibri"/>
                <w:lang w:val="en-GB"/>
              </w:rPr>
            </w:pPr>
            <w:bookmarkStart w:id="210" w:name="_Toc376198479"/>
            <w:r w:rsidRPr="006645DC">
              <w:rPr>
                <w:rFonts w:cs="Calibri"/>
                <w:lang w:val="en-GB"/>
              </w:rPr>
              <w:t>4 880.2</w:t>
            </w:r>
            <w:bookmarkEnd w:id="210"/>
          </w:p>
        </w:tc>
        <w:tc>
          <w:tcPr>
            <w:tcW w:w="1134" w:type="dxa"/>
            <w:tcBorders>
              <w:top w:val="single" w:sz="4" w:space="0" w:color="000000"/>
              <w:left w:val="single" w:sz="4" w:space="0" w:color="000000"/>
              <w:bottom w:val="single" w:sz="4" w:space="0" w:color="000000"/>
            </w:tcBorders>
            <w:vAlign w:val="center"/>
          </w:tcPr>
          <w:p w14:paraId="3FC41545" w14:textId="77777777" w:rsidR="00947408" w:rsidRPr="006645DC" w:rsidRDefault="00947408" w:rsidP="007C5AA8">
            <w:pPr>
              <w:keepNext/>
              <w:keepLines/>
              <w:snapToGrid w:val="0"/>
              <w:spacing w:before="0" w:after="0"/>
              <w:jc w:val="right"/>
              <w:outlineLvl w:val="1"/>
              <w:rPr>
                <w:rFonts w:cs="Calibri"/>
                <w:lang w:val="en-GB"/>
              </w:rPr>
            </w:pPr>
            <w:bookmarkStart w:id="211" w:name="_Toc376198480"/>
            <w:r w:rsidRPr="006645DC">
              <w:rPr>
                <w:rFonts w:cs="Calibri"/>
                <w:lang w:val="en-GB"/>
              </w:rPr>
              <w:t>2 376.3</w:t>
            </w:r>
            <w:bookmarkEnd w:id="211"/>
          </w:p>
        </w:tc>
        <w:tc>
          <w:tcPr>
            <w:tcW w:w="992" w:type="dxa"/>
            <w:tcBorders>
              <w:top w:val="single" w:sz="4" w:space="0" w:color="000000"/>
              <w:left w:val="single" w:sz="4" w:space="0" w:color="000000"/>
              <w:bottom w:val="single" w:sz="4" w:space="0" w:color="000000"/>
            </w:tcBorders>
            <w:vAlign w:val="center"/>
          </w:tcPr>
          <w:p w14:paraId="6070D1AE" w14:textId="77777777" w:rsidR="00947408" w:rsidRPr="006645DC" w:rsidRDefault="00947408" w:rsidP="007C5AA8">
            <w:pPr>
              <w:keepNext/>
              <w:keepLines/>
              <w:snapToGrid w:val="0"/>
              <w:spacing w:before="0" w:after="0"/>
              <w:jc w:val="right"/>
              <w:outlineLvl w:val="1"/>
              <w:rPr>
                <w:rFonts w:cs="Calibri"/>
                <w:lang w:val="en-GB"/>
              </w:rPr>
            </w:pPr>
            <w:bookmarkStart w:id="212" w:name="_Toc376198481"/>
            <w:r w:rsidRPr="006645DC">
              <w:rPr>
                <w:rFonts w:cs="Calibri"/>
                <w:lang w:val="en-GB"/>
              </w:rPr>
              <w:t>2 504.0</w:t>
            </w:r>
            <w:bookmarkEnd w:id="212"/>
          </w:p>
        </w:tc>
        <w:tc>
          <w:tcPr>
            <w:tcW w:w="993" w:type="dxa"/>
            <w:tcBorders>
              <w:top w:val="single" w:sz="4" w:space="0" w:color="000000"/>
              <w:left w:val="single" w:sz="4" w:space="0" w:color="000000"/>
              <w:bottom w:val="single" w:sz="4" w:space="0" w:color="000000"/>
            </w:tcBorders>
            <w:vAlign w:val="center"/>
          </w:tcPr>
          <w:p w14:paraId="6328E357" w14:textId="77777777" w:rsidR="00947408" w:rsidRPr="006645DC" w:rsidRDefault="00947408" w:rsidP="007C5AA8">
            <w:pPr>
              <w:keepNext/>
              <w:keepLines/>
              <w:snapToGrid w:val="0"/>
              <w:spacing w:before="0" w:after="0"/>
              <w:jc w:val="right"/>
              <w:outlineLvl w:val="1"/>
              <w:rPr>
                <w:rFonts w:cs="Calibri"/>
                <w:lang w:val="en-GB"/>
              </w:rPr>
            </w:pPr>
            <w:bookmarkStart w:id="213" w:name="_Toc376198482"/>
            <w:r w:rsidRPr="006645DC">
              <w:rPr>
                <w:rFonts w:cs="Calibri"/>
                <w:lang w:val="en-GB"/>
              </w:rPr>
              <w:t>2 641.3</w:t>
            </w:r>
            <w:bookmarkEnd w:id="213"/>
          </w:p>
        </w:tc>
        <w:tc>
          <w:tcPr>
            <w:tcW w:w="1134" w:type="dxa"/>
            <w:tcBorders>
              <w:top w:val="single" w:sz="4" w:space="0" w:color="000000"/>
              <w:left w:val="single" w:sz="4" w:space="0" w:color="000000"/>
              <w:bottom w:val="single" w:sz="4" w:space="0" w:color="000000"/>
              <w:right w:val="single" w:sz="4" w:space="0" w:color="000000"/>
            </w:tcBorders>
            <w:vAlign w:val="center"/>
          </w:tcPr>
          <w:p w14:paraId="32A6665C" w14:textId="77777777" w:rsidR="00947408" w:rsidRPr="006645DC" w:rsidRDefault="00152E61" w:rsidP="007C5AA8">
            <w:pPr>
              <w:keepNext/>
              <w:keepLines/>
              <w:snapToGrid w:val="0"/>
              <w:spacing w:before="0" w:after="0"/>
              <w:jc w:val="right"/>
              <w:outlineLvl w:val="1"/>
              <w:rPr>
                <w:rFonts w:cs="Calibri"/>
                <w:lang w:val="en-GB"/>
              </w:rPr>
            </w:pPr>
            <w:bookmarkStart w:id="214" w:name="_Toc376198483"/>
            <w:r w:rsidRPr="006645DC">
              <w:rPr>
                <w:rFonts w:cs="Calibri"/>
                <w:lang w:val="en-GB"/>
              </w:rPr>
              <w:t xml:space="preserve">2 </w:t>
            </w:r>
            <w:r w:rsidR="00947408" w:rsidRPr="006645DC">
              <w:rPr>
                <w:rFonts w:cs="Calibri"/>
                <w:lang w:val="en-GB"/>
              </w:rPr>
              <w:t>238.9</w:t>
            </w:r>
            <w:bookmarkEnd w:id="214"/>
          </w:p>
        </w:tc>
      </w:tr>
      <w:tr w:rsidR="00947408" w:rsidRPr="006645DC" w14:paraId="064E8FFA" w14:textId="77777777" w:rsidTr="007C5AA8">
        <w:trPr>
          <w:jc w:val="center"/>
        </w:trPr>
        <w:tc>
          <w:tcPr>
            <w:tcW w:w="923" w:type="dxa"/>
            <w:tcBorders>
              <w:top w:val="single" w:sz="4" w:space="0" w:color="000000"/>
              <w:left w:val="single" w:sz="4" w:space="0" w:color="000000"/>
              <w:bottom w:val="single" w:sz="4" w:space="0" w:color="000000"/>
            </w:tcBorders>
          </w:tcPr>
          <w:p w14:paraId="1E017F00" w14:textId="77777777" w:rsidR="00947408" w:rsidRPr="006645DC" w:rsidRDefault="00947408" w:rsidP="00997A4F">
            <w:pPr>
              <w:keepNext/>
              <w:keepLines/>
              <w:autoSpaceDE w:val="0"/>
              <w:autoSpaceDN w:val="0"/>
              <w:adjustRightInd w:val="0"/>
              <w:spacing w:before="0" w:after="0"/>
              <w:outlineLvl w:val="1"/>
              <w:rPr>
                <w:rFonts w:eastAsia="Times New Roman" w:cs="Calibri"/>
                <w:snapToGrid w:val="0"/>
                <w:color w:val="000000"/>
                <w:lang w:val="en-GB" w:eastAsia="ro-RO"/>
              </w:rPr>
            </w:pPr>
            <w:bookmarkStart w:id="215" w:name="_Toc376198484"/>
            <w:r w:rsidRPr="006645DC">
              <w:rPr>
                <w:rFonts w:eastAsia="Times New Roman" w:cs="Calibri"/>
                <w:snapToGrid w:val="0"/>
                <w:color w:val="000000"/>
                <w:lang w:val="en-GB" w:eastAsia="ro-RO"/>
              </w:rPr>
              <w:t>2011</w:t>
            </w:r>
            <w:bookmarkEnd w:id="215"/>
            <w:r w:rsidRPr="006645DC">
              <w:rPr>
                <w:rFonts w:eastAsia="Times New Roman" w:cs="Calibri"/>
                <w:snapToGrid w:val="0"/>
                <w:color w:val="000000"/>
                <w:lang w:val="en-GB" w:eastAsia="ro-RO"/>
              </w:rPr>
              <w:t xml:space="preserve"> </w:t>
            </w:r>
          </w:p>
        </w:tc>
        <w:tc>
          <w:tcPr>
            <w:tcW w:w="1209" w:type="dxa"/>
            <w:tcBorders>
              <w:top w:val="single" w:sz="4" w:space="0" w:color="000000"/>
              <w:left w:val="single" w:sz="4" w:space="0" w:color="000000"/>
              <w:bottom w:val="single" w:sz="4" w:space="0" w:color="000000"/>
            </w:tcBorders>
            <w:vAlign w:val="center"/>
          </w:tcPr>
          <w:p w14:paraId="3A71E011"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16" w:name="_Toc376198485"/>
            <w:r w:rsidRPr="006645DC">
              <w:rPr>
                <w:rFonts w:eastAsia="Times New Roman" w:cs="Calibri"/>
                <w:snapToGrid w:val="0"/>
                <w:color w:val="000000"/>
                <w:lang w:val="en-GB" w:eastAsia="ro-RO"/>
              </w:rPr>
              <w:t>4 779.8</w:t>
            </w:r>
            <w:bookmarkEnd w:id="216"/>
          </w:p>
        </w:tc>
        <w:tc>
          <w:tcPr>
            <w:tcW w:w="1134" w:type="dxa"/>
            <w:tcBorders>
              <w:top w:val="single" w:sz="4" w:space="0" w:color="000000"/>
              <w:left w:val="single" w:sz="4" w:space="0" w:color="000000"/>
              <w:bottom w:val="single" w:sz="4" w:space="0" w:color="000000"/>
            </w:tcBorders>
            <w:vAlign w:val="center"/>
          </w:tcPr>
          <w:p w14:paraId="3DADC770"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17" w:name="_Toc376198486"/>
            <w:r w:rsidRPr="006645DC">
              <w:rPr>
                <w:rFonts w:eastAsia="Times New Roman" w:cs="Calibri"/>
                <w:snapToGrid w:val="0"/>
                <w:color w:val="000000"/>
                <w:lang w:val="en-GB" w:eastAsia="ro-RO"/>
              </w:rPr>
              <w:t>2 335.7</w:t>
            </w:r>
            <w:bookmarkEnd w:id="217"/>
          </w:p>
        </w:tc>
        <w:tc>
          <w:tcPr>
            <w:tcW w:w="992" w:type="dxa"/>
            <w:tcBorders>
              <w:top w:val="single" w:sz="4" w:space="0" w:color="000000"/>
              <w:left w:val="single" w:sz="4" w:space="0" w:color="000000"/>
              <w:bottom w:val="single" w:sz="4" w:space="0" w:color="000000"/>
            </w:tcBorders>
            <w:vAlign w:val="center"/>
          </w:tcPr>
          <w:p w14:paraId="4EC8F6AB"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18" w:name="_Toc376198487"/>
            <w:r w:rsidRPr="006645DC">
              <w:rPr>
                <w:rFonts w:eastAsia="Times New Roman" w:cs="Calibri"/>
                <w:snapToGrid w:val="0"/>
                <w:color w:val="000000"/>
                <w:lang w:val="en-GB" w:eastAsia="ro-RO"/>
              </w:rPr>
              <w:t>2 444.1</w:t>
            </w:r>
            <w:bookmarkEnd w:id="218"/>
          </w:p>
        </w:tc>
        <w:tc>
          <w:tcPr>
            <w:tcW w:w="993" w:type="dxa"/>
            <w:tcBorders>
              <w:top w:val="single" w:sz="4" w:space="0" w:color="000000"/>
              <w:left w:val="single" w:sz="4" w:space="0" w:color="000000"/>
              <w:bottom w:val="single" w:sz="4" w:space="0" w:color="000000"/>
            </w:tcBorders>
            <w:vAlign w:val="center"/>
          </w:tcPr>
          <w:p w14:paraId="0EABD5F1"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19" w:name="_Toc376198488"/>
            <w:r w:rsidRPr="006645DC">
              <w:rPr>
                <w:rFonts w:eastAsia="Times New Roman" w:cs="Calibri"/>
                <w:snapToGrid w:val="0"/>
                <w:color w:val="000000"/>
                <w:lang w:val="en-GB" w:eastAsia="ro-RO"/>
              </w:rPr>
              <w:t>2 594.4</w:t>
            </w:r>
            <w:bookmarkEnd w:id="219"/>
          </w:p>
        </w:tc>
        <w:tc>
          <w:tcPr>
            <w:tcW w:w="1134" w:type="dxa"/>
            <w:tcBorders>
              <w:top w:val="single" w:sz="4" w:space="0" w:color="000000"/>
              <w:left w:val="single" w:sz="4" w:space="0" w:color="000000"/>
              <w:bottom w:val="single" w:sz="4" w:space="0" w:color="000000"/>
              <w:right w:val="single" w:sz="4" w:space="0" w:color="000000"/>
            </w:tcBorders>
            <w:vAlign w:val="center"/>
          </w:tcPr>
          <w:p w14:paraId="713B2D87"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20" w:name="_Toc376198489"/>
            <w:r w:rsidRPr="006645DC">
              <w:rPr>
                <w:rFonts w:eastAsia="Times New Roman" w:cs="Calibri"/>
                <w:snapToGrid w:val="0"/>
                <w:color w:val="000000"/>
                <w:lang w:val="en-GB" w:eastAsia="ro-RO"/>
              </w:rPr>
              <w:t>2 185.4</w:t>
            </w:r>
            <w:bookmarkEnd w:id="220"/>
          </w:p>
        </w:tc>
      </w:tr>
      <w:tr w:rsidR="00947408" w:rsidRPr="006645DC" w14:paraId="1552A151" w14:textId="77777777" w:rsidTr="00947408">
        <w:trPr>
          <w:jc w:val="center"/>
        </w:trPr>
        <w:tc>
          <w:tcPr>
            <w:tcW w:w="6385" w:type="dxa"/>
            <w:gridSpan w:val="6"/>
            <w:tcBorders>
              <w:top w:val="single" w:sz="4" w:space="0" w:color="000000"/>
              <w:left w:val="single" w:sz="4" w:space="0" w:color="000000"/>
              <w:bottom w:val="single" w:sz="4" w:space="0" w:color="000000"/>
              <w:right w:val="single" w:sz="4" w:space="0" w:color="000000"/>
            </w:tcBorders>
          </w:tcPr>
          <w:p w14:paraId="0EF62E15" w14:textId="77777777" w:rsidR="00947408" w:rsidRPr="006645DC" w:rsidRDefault="00947408" w:rsidP="00947408">
            <w:pPr>
              <w:keepNext/>
              <w:keepLines/>
              <w:snapToGrid w:val="0"/>
              <w:spacing w:before="0" w:after="0" w:line="280" w:lineRule="auto"/>
              <w:ind w:left="757" w:hanging="360"/>
              <w:jc w:val="center"/>
              <w:outlineLvl w:val="1"/>
              <w:rPr>
                <w:rFonts w:cs="Calibri"/>
                <w:lang w:val="en-GB"/>
              </w:rPr>
            </w:pPr>
            <w:bookmarkStart w:id="221" w:name="_Toc376198490"/>
            <w:r w:rsidRPr="006645DC">
              <w:rPr>
                <w:rFonts w:cs="Calibri"/>
                <w:b/>
                <w:lang w:val="en-GB"/>
              </w:rPr>
              <w:t>Romanian Cross-border region</w:t>
            </w:r>
            <w:bookmarkEnd w:id="221"/>
            <w:r w:rsidRPr="006645DC">
              <w:rPr>
                <w:rFonts w:cs="Calibri"/>
                <w:b/>
                <w:lang w:val="en-GB"/>
              </w:rPr>
              <w:t xml:space="preserve"> </w:t>
            </w:r>
          </w:p>
        </w:tc>
      </w:tr>
      <w:tr w:rsidR="00947408" w:rsidRPr="006645DC" w14:paraId="4D7E3478" w14:textId="77777777" w:rsidTr="007C5AA8">
        <w:trPr>
          <w:jc w:val="center"/>
        </w:trPr>
        <w:tc>
          <w:tcPr>
            <w:tcW w:w="923" w:type="dxa"/>
            <w:tcBorders>
              <w:top w:val="single" w:sz="4" w:space="0" w:color="000000"/>
              <w:left w:val="single" w:sz="4" w:space="0" w:color="000000"/>
              <w:bottom w:val="single" w:sz="4" w:space="0" w:color="000000"/>
            </w:tcBorders>
          </w:tcPr>
          <w:p w14:paraId="1E03510F" w14:textId="77777777" w:rsidR="00947408" w:rsidRPr="006645DC" w:rsidRDefault="00947408" w:rsidP="00997A4F">
            <w:pPr>
              <w:keepNext/>
              <w:keepLines/>
              <w:snapToGrid w:val="0"/>
              <w:spacing w:before="0" w:after="0"/>
              <w:outlineLvl w:val="1"/>
              <w:rPr>
                <w:rFonts w:cs="Calibri"/>
                <w:lang w:val="en-GB"/>
              </w:rPr>
            </w:pPr>
            <w:bookmarkStart w:id="222" w:name="_Toc376198491"/>
            <w:r w:rsidRPr="006645DC">
              <w:rPr>
                <w:rFonts w:cs="Calibri"/>
                <w:lang w:val="en-GB"/>
              </w:rPr>
              <w:t>2007</w:t>
            </w:r>
            <w:bookmarkEnd w:id="222"/>
          </w:p>
        </w:tc>
        <w:tc>
          <w:tcPr>
            <w:tcW w:w="1209" w:type="dxa"/>
            <w:tcBorders>
              <w:top w:val="single" w:sz="4" w:space="0" w:color="000000"/>
              <w:left w:val="single" w:sz="4" w:space="0" w:color="000000"/>
              <w:bottom w:val="single" w:sz="4" w:space="0" w:color="000000"/>
            </w:tcBorders>
            <w:vAlign w:val="center"/>
          </w:tcPr>
          <w:p w14:paraId="00495B82" w14:textId="77777777" w:rsidR="00947408" w:rsidRPr="006645DC" w:rsidRDefault="00947408" w:rsidP="007C5AA8">
            <w:pPr>
              <w:keepNext/>
              <w:keepLines/>
              <w:snapToGrid w:val="0"/>
              <w:spacing w:before="0" w:after="0"/>
              <w:jc w:val="right"/>
              <w:outlineLvl w:val="1"/>
              <w:rPr>
                <w:rFonts w:cs="Calibri"/>
                <w:lang w:val="en-GB"/>
              </w:rPr>
            </w:pPr>
            <w:bookmarkStart w:id="223" w:name="_Toc376198492"/>
            <w:r w:rsidRPr="006645DC">
              <w:rPr>
                <w:rFonts w:cs="Calibri"/>
                <w:lang w:val="en-GB"/>
              </w:rPr>
              <w:t>3 216.6</w:t>
            </w:r>
            <w:bookmarkEnd w:id="223"/>
          </w:p>
        </w:tc>
        <w:tc>
          <w:tcPr>
            <w:tcW w:w="1134" w:type="dxa"/>
            <w:tcBorders>
              <w:top w:val="single" w:sz="4" w:space="0" w:color="000000"/>
              <w:left w:val="single" w:sz="4" w:space="0" w:color="000000"/>
              <w:bottom w:val="single" w:sz="4" w:space="0" w:color="000000"/>
            </w:tcBorders>
            <w:vAlign w:val="center"/>
          </w:tcPr>
          <w:p w14:paraId="19484067" w14:textId="77777777" w:rsidR="00947408" w:rsidRPr="006645DC" w:rsidRDefault="00947408" w:rsidP="007C5AA8">
            <w:pPr>
              <w:keepNext/>
              <w:keepLines/>
              <w:snapToGrid w:val="0"/>
              <w:spacing w:before="0" w:after="0"/>
              <w:jc w:val="right"/>
              <w:outlineLvl w:val="1"/>
              <w:rPr>
                <w:rFonts w:cs="Calibri"/>
                <w:lang w:val="en-GB"/>
              </w:rPr>
            </w:pPr>
            <w:bookmarkStart w:id="224" w:name="_Toc376198493"/>
            <w:r w:rsidRPr="006645DC">
              <w:rPr>
                <w:rFonts w:cs="Calibri"/>
                <w:lang w:val="en-GB"/>
              </w:rPr>
              <w:t>1 573.4</w:t>
            </w:r>
            <w:bookmarkEnd w:id="224"/>
          </w:p>
        </w:tc>
        <w:tc>
          <w:tcPr>
            <w:tcW w:w="992" w:type="dxa"/>
            <w:tcBorders>
              <w:top w:val="single" w:sz="4" w:space="0" w:color="000000"/>
              <w:left w:val="single" w:sz="4" w:space="0" w:color="000000"/>
              <w:bottom w:val="single" w:sz="4" w:space="0" w:color="000000"/>
            </w:tcBorders>
            <w:vAlign w:val="center"/>
          </w:tcPr>
          <w:p w14:paraId="03DB6F6A" w14:textId="77777777" w:rsidR="00947408" w:rsidRPr="006645DC" w:rsidRDefault="00947408" w:rsidP="007C5AA8">
            <w:pPr>
              <w:keepNext/>
              <w:keepLines/>
              <w:snapToGrid w:val="0"/>
              <w:spacing w:before="0" w:after="0"/>
              <w:jc w:val="right"/>
              <w:outlineLvl w:val="1"/>
              <w:rPr>
                <w:rFonts w:cs="Calibri"/>
                <w:lang w:val="en-GB"/>
              </w:rPr>
            </w:pPr>
            <w:bookmarkStart w:id="225" w:name="_Toc376198494"/>
            <w:r w:rsidRPr="006645DC">
              <w:rPr>
                <w:rFonts w:cs="Calibri"/>
                <w:lang w:val="en-GB"/>
              </w:rPr>
              <w:t>1 643.2</w:t>
            </w:r>
            <w:bookmarkEnd w:id="225"/>
          </w:p>
        </w:tc>
        <w:tc>
          <w:tcPr>
            <w:tcW w:w="993" w:type="dxa"/>
            <w:tcBorders>
              <w:top w:val="single" w:sz="4" w:space="0" w:color="000000"/>
              <w:left w:val="single" w:sz="4" w:space="0" w:color="000000"/>
              <w:bottom w:val="single" w:sz="4" w:space="0" w:color="000000"/>
            </w:tcBorders>
            <w:vAlign w:val="center"/>
          </w:tcPr>
          <w:p w14:paraId="144DD5A3" w14:textId="77777777" w:rsidR="00947408" w:rsidRPr="006645DC" w:rsidRDefault="00947408" w:rsidP="007C5AA8">
            <w:pPr>
              <w:keepNext/>
              <w:keepLines/>
              <w:snapToGrid w:val="0"/>
              <w:spacing w:before="0" w:after="0"/>
              <w:jc w:val="right"/>
              <w:outlineLvl w:val="1"/>
              <w:rPr>
                <w:rFonts w:cs="Calibri"/>
                <w:lang w:val="en-GB"/>
              </w:rPr>
            </w:pPr>
            <w:bookmarkStart w:id="226" w:name="_Toc376198495"/>
            <w:r w:rsidRPr="006645DC">
              <w:rPr>
                <w:rFonts w:cs="Calibri"/>
                <w:lang w:val="en-GB"/>
              </w:rPr>
              <w:t>1 574.9</w:t>
            </w:r>
            <w:bookmarkEnd w:id="226"/>
          </w:p>
        </w:tc>
        <w:tc>
          <w:tcPr>
            <w:tcW w:w="1134" w:type="dxa"/>
            <w:tcBorders>
              <w:top w:val="single" w:sz="4" w:space="0" w:color="000000"/>
              <w:left w:val="single" w:sz="4" w:space="0" w:color="000000"/>
              <w:bottom w:val="single" w:sz="4" w:space="0" w:color="000000"/>
              <w:right w:val="single" w:sz="4" w:space="0" w:color="000000"/>
            </w:tcBorders>
            <w:vAlign w:val="center"/>
          </w:tcPr>
          <w:p w14:paraId="0909869F" w14:textId="77777777" w:rsidR="00947408" w:rsidRPr="006645DC" w:rsidRDefault="00947408" w:rsidP="007C5AA8">
            <w:pPr>
              <w:keepNext/>
              <w:keepLines/>
              <w:snapToGrid w:val="0"/>
              <w:spacing w:before="0" w:after="0"/>
              <w:jc w:val="right"/>
              <w:outlineLvl w:val="1"/>
              <w:rPr>
                <w:rFonts w:cs="Calibri"/>
                <w:lang w:val="en-GB"/>
              </w:rPr>
            </w:pPr>
            <w:bookmarkStart w:id="227" w:name="_Toc376198496"/>
            <w:r w:rsidRPr="006645DC">
              <w:rPr>
                <w:rFonts w:cs="Calibri"/>
                <w:lang w:val="en-GB"/>
              </w:rPr>
              <w:t>1 641.7</w:t>
            </w:r>
            <w:bookmarkEnd w:id="227"/>
          </w:p>
        </w:tc>
      </w:tr>
      <w:tr w:rsidR="00947408" w:rsidRPr="006645DC" w14:paraId="02921A0C" w14:textId="77777777" w:rsidTr="007C5AA8">
        <w:trPr>
          <w:jc w:val="center"/>
        </w:trPr>
        <w:tc>
          <w:tcPr>
            <w:tcW w:w="923" w:type="dxa"/>
            <w:tcBorders>
              <w:top w:val="single" w:sz="4" w:space="0" w:color="000000"/>
              <w:left w:val="single" w:sz="4" w:space="0" w:color="000000"/>
              <w:bottom w:val="single" w:sz="4" w:space="0" w:color="000000"/>
            </w:tcBorders>
          </w:tcPr>
          <w:p w14:paraId="7DAFC027" w14:textId="77777777" w:rsidR="00947408" w:rsidRPr="006645DC" w:rsidRDefault="00947408" w:rsidP="00997A4F">
            <w:pPr>
              <w:keepNext/>
              <w:keepLines/>
              <w:snapToGrid w:val="0"/>
              <w:spacing w:before="0" w:after="0"/>
              <w:outlineLvl w:val="1"/>
              <w:rPr>
                <w:rFonts w:cs="Calibri"/>
                <w:lang w:val="en-GB"/>
              </w:rPr>
            </w:pPr>
            <w:bookmarkStart w:id="228" w:name="_Toc376198497"/>
            <w:r w:rsidRPr="006645DC">
              <w:rPr>
                <w:rFonts w:cs="Calibri"/>
                <w:lang w:val="en-GB"/>
              </w:rPr>
              <w:t>2008</w:t>
            </w:r>
            <w:bookmarkEnd w:id="228"/>
          </w:p>
        </w:tc>
        <w:tc>
          <w:tcPr>
            <w:tcW w:w="1209" w:type="dxa"/>
            <w:tcBorders>
              <w:top w:val="single" w:sz="4" w:space="0" w:color="000000"/>
              <w:left w:val="single" w:sz="4" w:space="0" w:color="000000"/>
              <w:bottom w:val="single" w:sz="4" w:space="0" w:color="000000"/>
            </w:tcBorders>
            <w:vAlign w:val="center"/>
          </w:tcPr>
          <w:p w14:paraId="5A6BA568" w14:textId="77777777" w:rsidR="00947408" w:rsidRPr="006645DC" w:rsidRDefault="00947408" w:rsidP="007C5AA8">
            <w:pPr>
              <w:keepNext/>
              <w:keepLines/>
              <w:snapToGrid w:val="0"/>
              <w:spacing w:before="0" w:after="0"/>
              <w:jc w:val="right"/>
              <w:outlineLvl w:val="1"/>
              <w:rPr>
                <w:rFonts w:cs="Calibri"/>
                <w:lang w:val="en-GB"/>
              </w:rPr>
            </w:pPr>
            <w:bookmarkStart w:id="229" w:name="_Toc376198498"/>
            <w:r w:rsidRPr="006645DC">
              <w:rPr>
                <w:rFonts w:cs="Calibri"/>
                <w:lang w:val="en-GB"/>
              </w:rPr>
              <w:t>3 198.3</w:t>
            </w:r>
            <w:bookmarkEnd w:id="229"/>
          </w:p>
        </w:tc>
        <w:tc>
          <w:tcPr>
            <w:tcW w:w="1134" w:type="dxa"/>
            <w:tcBorders>
              <w:top w:val="single" w:sz="4" w:space="0" w:color="000000"/>
              <w:left w:val="single" w:sz="4" w:space="0" w:color="000000"/>
              <w:bottom w:val="single" w:sz="4" w:space="0" w:color="000000"/>
            </w:tcBorders>
            <w:vAlign w:val="center"/>
          </w:tcPr>
          <w:p w14:paraId="6EB56FC1" w14:textId="77777777" w:rsidR="00947408" w:rsidRPr="006645DC" w:rsidRDefault="00947408" w:rsidP="007C5AA8">
            <w:pPr>
              <w:keepNext/>
              <w:keepLines/>
              <w:snapToGrid w:val="0"/>
              <w:spacing w:before="0" w:after="0"/>
              <w:jc w:val="right"/>
              <w:outlineLvl w:val="1"/>
              <w:rPr>
                <w:rFonts w:cs="Calibri"/>
                <w:lang w:val="en-GB"/>
              </w:rPr>
            </w:pPr>
            <w:bookmarkStart w:id="230" w:name="_Toc376198499"/>
            <w:r w:rsidRPr="006645DC">
              <w:rPr>
                <w:rFonts w:cs="Calibri"/>
                <w:lang w:val="en-GB"/>
              </w:rPr>
              <w:t>1 562.8</w:t>
            </w:r>
            <w:bookmarkEnd w:id="230"/>
          </w:p>
        </w:tc>
        <w:tc>
          <w:tcPr>
            <w:tcW w:w="992" w:type="dxa"/>
            <w:tcBorders>
              <w:top w:val="single" w:sz="4" w:space="0" w:color="000000"/>
              <w:left w:val="single" w:sz="4" w:space="0" w:color="000000"/>
              <w:bottom w:val="single" w:sz="4" w:space="0" w:color="000000"/>
            </w:tcBorders>
            <w:vAlign w:val="center"/>
          </w:tcPr>
          <w:p w14:paraId="418D2B4F" w14:textId="77777777" w:rsidR="00947408" w:rsidRPr="006645DC" w:rsidRDefault="00947408" w:rsidP="007C5AA8">
            <w:pPr>
              <w:keepNext/>
              <w:keepLines/>
              <w:snapToGrid w:val="0"/>
              <w:spacing w:before="0" w:after="0"/>
              <w:jc w:val="right"/>
              <w:outlineLvl w:val="1"/>
              <w:rPr>
                <w:rFonts w:cs="Calibri"/>
                <w:lang w:val="en-GB"/>
              </w:rPr>
            </w:pPr>
            <w:bookmarkStart w:id="231" w:name="_Toc376198500"/>
            <w:r w:rsidRPr="006645DC">
              <w:rPr>
                <w:rFonts w:cs="Calibri"/>
                <w:lang w:val="en-GB"/>
              </w:rPr>
              <w:t>1 635.6</w:t>
            </w:r>
            <w:bookmarkEnd w:id="231"/>
          </w:p>
        </w:tc>
        <w:tc>
          <w:tcPr>
            <w:tcW w:w="993" w:type="dxa"/>
            <w:tcBorders>
              <w:top w:val="single" w:sz="4" w:space="0" w:color="000000"/>
              <w:left w:val="single" w:sz="4" w:space="0" w:color="000000"/>
              <w:bottom w:val="single" w:sz="4" w:space="0" w:color="000000"/>
            </w:tcBorders>
            <w:vAlign w:val="center"/>
          </w:tcPr>
          <w:p w14:paraId="5FC35AA0" w14:textId="77777777" w:rsidR="00947408" w:rsidRPr="006645DC" w:rsidRDefault="00947408" w:rsidP="007C5AA8">
            <w:pPr>
              <w:keepNext/>
              <w:keepLines/>
              <w:snapToGrid w:val="0"/>
              <w:spacing w:before="0" w:after="0"/>
              <w:jc w:val="right"/>
              <w:outlineLvl w:val="1"/>
              <w:rPr>
                <w:rFonts w:cs="Calibri"/>
                <w:lang w:val="en-GB"/>
              </w:rPr>
            </w:pPr>
            <w:bookmarkStart w:id="232" w:name="_Toc376198501"/>
            <w:r w:rsidRPr="006645DC">
              <w:rPr>
                <w:rFonts w:cs="Calibri"/>
                <w:lang w:val="en-GB"/>
              </w:rPr>
              <w:t>1 560.8</w:t>
            </w:r>
            <w:bookmarkEnd w:id="232"/>
          </w:p>
        </w:tc>
        <w:tc>
          <w:tcPr>
            <w:tcW w:w="1134" w:type="dxa"/>
            <w:tcBorders>
              <w:top w:val="single" w:sz="4" w:space="0" w:color="000000"/>
              <w:left w:val="single" w:sz="4" w:space="0" w:color="000000"/>
              <w:bottom w:val="single" w:sz="4" w:space="0" w:color="000000"/>
              <w:right w:val="single" w:sz="4" w:space="0" w:color="000000"/>
            </w:tcBorders>
            <w:vAlign w:val="center"/>
          </w:tcPr>
          <w:p w14:paraId="64789FAA" w14:textId="77777777" w:rsidR="00947408" w:rsidRPr="006645DC" w:rsidRDefault="00947408" w:rsidP="007C5AA8">
            <w:pPr>
              <w:keepNext/>
              <w:keepLines/>
              <w:snapToGrid w:val="0"/>
              <w:spacing w:before="0" w:after="0"/>
              <w:jc w:val="right"/>
              <w:outlineLvl w:val="1"/>
              <w:rPr>
                <w:rFonts w:cs="Calibri"/>
                <w:lang w:val="en-GB"/>
              </w:rPr>
            </w:pPr>
            <w:bookmarkStart w:id="233" w:name="_Toc376198502"/>
            <w:r w:rsidRPr="006645DC">
              <w:rPr>
                <w:rFonts w:cs="Calibri"/>
                <w:lang w:val="en-GB"/>
              </w:rPr>
              <w:t>1 637.5</w:t>
            </w:r>
            <w:bookmarkEnd w:id="233"/>
          </w:p>
        </w:tc>
      </w:tr>
      <w:tr w:rsidR="00947408" w:rsidRPr="006645DC" w14:paraId="621897D9" w14:textId="77777777" w:rsidTr="007C5AA8">
        <w:trPr>
          <w:jc w:val="center"/>
        </w:trPr>
        <w:tc>
          <w:tcPr>
            <w:tcW w:w="923" w:type="dxa"/>
            <w:tcBorders>
              <w:top w:val="single" w:sz="4" w:space="0" w:color="000000"/>
              <w:left w:val="single" w:sz="4" w:space="0" w:color="000000"/>
              <w:bottom w:val="single" w:sz="4" w:space="0" w:color="000000"/>
            </w:tcBorders>
          </w:tcPr>
          <w:p w14:paraId="39FDF74E" w14:textId="77777777" w:rsidR="00947408" w:rsidRPr="006645DC" w:rsidRDefault="00947408" w:rsidP="00997A4F">
            <w:pPr>
              <w:keepNext/>
              <w:keepLines/>
              <w:snapToGrid w:val="0"/>
              <w:spacing w:before="0" w:after="0"/>
              <w:outlineLvl w:val="1"/>
              <w:rPr>
                <w:rFonts w:cs="Calibri"/>
                <w:lang w:val="en-GB"/>
              </w:rPr>
            </w:pPr>
            <w:bookmarkStart w:id="234" w:name="_Toc376198503"/>
            <w:r w:rsidRPr="006645DC">
              <w:rPr>
                <w:rFonts w:cs="Calibri"/>
                <w:lang w:val="en-GB"/>
              </w:rPr>
              <w:t>2009</w:t>
            </w:r>
            <w:bookmarkEnd w:id="234"/>
          </w:p>
        </w:tc>
        <w:tc>
          <w:tcPr>
            <w:tcW w:w="1209" w:type="dxa"/>
            <w:tcBorders>
              <w:top w:val="single" w:sz="4" w:space="0" w:color="000000"/>
              <w:left w:val="single" w:sz="4" w:space="0" w:color="000000"/>
              <w:bottom w:val="single" w:sz="4" w:space="0" w:color="000000"/>
            </w:tcBorders>
            <w:vAlign w:val="center"/>
          </w:tcPr>
          <w:p w14:paraId="5F0546F9" w14:textId="77777777" w:rsidR="00947408" w:rsidRPr="006645DC" w:rsidRDefault="00947408" w:rsidP="007C5AA8">
            <w:pPr>
              <w:keepNext/>
              <w:keepLines/>
              <w:snapToGrid w:val="0"/>
              <w:spacing w:before="0" w:after="0"/>
              <w:jc w:val="right"/>
              <w:outlineLvl w:val="1"/>
              <w:rPr>
                <w:rFonts w:cs="Calibri"/>
                <w:lang w:val="en-GB"/>
              </w:rPr>
            </w:pPr>
            <w:bookmarkStart w:id="235" w:name="_Toc376198504"/>
            <w:r w:rsidRPr="006645DC">
              <w:rPr>
                <w:rFonts w:cs="Calibri"/>
                <w:lang w:val="en-GB"/>
              </w:rPr>
              <w:t>3 184.0</w:t>
            </w:r>
            <w:bookmarkEnd w:id="235"/>
          </w:p>
        </w:tc>
        <w:tc>
          <w:tcPr>
            <w:tcW w:w="1134" w:type="dxa"/>
            <w:tcBorders>
              <w:top w:val="single" w:sz="4" w:space="0" w:color="000000"/>
              <w:left w:val="single" w:sz="4" w:space="0" w:color="000000"/>
              <w:bottom w:val="single" w:sz="4" w:space="0" w:color="000000"/>
            </w:tcBorders>
            <w:vAlign w:val="center"/>
          </w:tcPr>
          <w:p w14:paraId="6880B4EB" w14:textId="77777777" w:rsidR="00947408" w:rsidRPr="006645DC" w:rsidRDefault="00947408" w:rsidP="007C5AA8">
            <w:pPr>
              <w:keepNext/>
              <w:keepLines/>
              <w:snapToGrid w:val="0"/>
              <w:spacing w:before="0" w:after="0"/>
              <w:jc w:val="right"/>
              <w:outlineLvl w:val="1"/>
              <w:rPr>
                <w:rFonts w:cs="Calibri"/>
                <w:lang w:val="en-GB"/>
              </w:rPr>
            </w:pPr>
            <w:bookmarkStart w:id="236" w:name="_Toc376198505"/>
            <w:r w:rsidRPr="006645DC">
              <w:rPr>
                <w:rFonts w:cs="Calibri"/>
                <w:lang w:val="en-GB"/>
              </w:rPr>
              <w:t>1 555.0</w:t>
            </w:r>
            <w:bookmarkEnd w:id="236"/>
          </w:p>
        </w:tc>
        <w:tc>
          <w:tcPr>
            <w:tcW w:w="992" w:type="dxa"/>
            <w:tcBorders>
              <w:top w:val="single" w:sz="4" w:space="0" w:color="000000"/>
              <w:left w:val="single" w:sz="4" w:space="0" w:color="000000"/>
              <w:bottom w:val="single" w:sz="4" w:space="0" w:color="000000"/>
            </w:tcBorders>
            <w:vAlign w:val="center"/>
          </w:tcPr>
          <w:p w14:paraId="2CA97BE1" w14:textId="77777777" w:rsidR="00947408" w:rsidRPr="006645DC" w:rsidRDefault="00947408" w:rsidP="007C5AA8">
            <w:pPr>
              <w:keepNext/>
              <w:keepLines/>
              <w:snapToGrid w:val="0"/>
              <w:spacing w:before="0" w:after="0"/>
              <w:jc w:val="right"/>
              <w:outlineLvl w:val="1"/>
              <w:rPr>
                <w:rFonts w:cs="Calibri"/>
                <w:lang w:val="en-GB"/>
              </w:rPr>
            </w:pPr>
            <w:bookmarkStart w:id="237" w:name="_Toc376198506"/>
            <w:r w:rsidRPr="006645DC">
              <w:rPr>
                <w:rFonts w:cs="Calibri"/>
                <w:lang w:val="en-GB"/>
              </w:rPr>
              <w:t>1 629.0</w:t>
            </w:r>
            <w:bookmarkEnd w:id="237"/>
          </w:p>
        </w:tc>
        <w:tc>
          <w:tcPr>
            <w:tcW w:w="993" w:type="dxa"/>
            <w:tcBorders>
              <w:top w:val="single" w:sz="4" w:space="0" w:color="000000"/>
              <w:left w:val="single" w:sz="4" w:space="0" w:color="000000"/>
              <w:bottom w:val="single" w:sz="4" w:space="0" w:color="000000"/>
            </w:tcBorders>
            <w:vAlign w:val="center"/>
          </w:tcPr>
          <w:p w14:paraId="7D023EC7" w14:textId="77777777" w:rsidR="00947408" w:rsidRPr="006645DC" w:rsidRDefault="00947408" w:rsidP="007C5AA8">
            <w:pPr>
              <w:keepNext/>
              <w:keepLines/>
              <w:snapToGrid w:val="0"/>
              <w:spacing w:before="0" w:after="0"/>
              <w:jc w:val="right"/>
              <w:outlineLvl w:val="1"/>
              <w:rPr>
                <w:rFonts w:cs="Calibri"/>
                <w:lang w:val="en-GB"/>
              </w:rPr>
            </w:pPr>
            <w:bookmarkStart w:id="238" w:name="_Toc376198507"/>
            <w:r w:rsidRPr="006645DC">
              <w:rPr>
                <w:rFonts w:cs="Calibri"/>
                <w:lang w:val="en-GB"/>
              </w:rPr>
              <w:t>1 559.2</w:t>
            </w:r>
            <w:bookmarkEnd w:id="238"/>
          </w:p>
        </w:tc>
        <w:tc>
          <w:tcPr>
            <w:tcW w:w="1134" w:type="dxa"/>
            <w:tcBorders>
              <w:top w:val="single" w:sz="4" w:space="0" w:color="000000"/>
              <w:left w:val="single" w:sz="4" w:space="0" w:color="000000"/>
              <w:bottom w:val="single" w:sz="4" w:space="0" w:color="000000"/>
              <w:right w:val="single" w:sz="4" w:space="0" w:color="000000"/>
            </w:tcBorders>
            <w:vAlign w:val="center"/>
          </w:tcPr>
          <w:p w14:paraId="5A2F428A" w14:textId="77777777" w:rsidR="00947408" w:rsidRPr="006645DC" w:rsidRDefault="00947408" w:rsidP="007C5AA8">
            <w:pPr>
              <w:keepNext/>
              <w:keepLines/>
              <w:snapToGrid w:val="0"/>
              <w:spacing w:before="0" w:after="0"/>
              <w:jc w:val="right"/>
              <w:outlineLvl w:val="1"/>
              <w:rPr>
                <w:rFonts w:cs="Calibri"/>
                <w:lang w:val="en-GB"/>
              </w:rPr>
            </w:pPr>
            <w:bookmarkStart w:id="239" w:name="_Toc376198508"/>
            <w:r w:rsidRPr="006645DC">
              <w:rPr>
                <w:rFonts w:cs="Calibri"/>
                <w:lang w:val="en-GB"/>
              </w:rPr>
              <w:t>1 624.8</w:t>
            </w:r>
            <w:bookmarkEnd w:id="239"/>
          </w:p>
        </w:tc>
      </w:tr>
      <w:tr w:rsidR="00947408" w:rsidRPr="006645DC" w14:paraId="5FB65544" w14:textId="77777777" w:rsidTr="007C5AA8">
        <w:trPr>
          <w:jc w:val="center"/>
        </w:trPr>
        <w:tc>
          <w:tcPr>
            <w:tcW w:w="923" w:type="dxa"/>
            <w:tcBorders>
              <w:top w:val="single" w:sz="4" w:space="0" w:color="000000"/>
              <w:left w:val="single" w:sz="4" w:space="0" w:color="000000"/>
              <w:bottom w:val="single" w:sz="4" w:space="0" w:color="000000"/>
            </w:tcBorders>
          </w:tcPr>
          <w:p w14:paraId="6486595D" w14:textId="77777777" w:rsidR="00947408" w:rsidRPr="006645DC" w:rsidRDefault="00947408" w:rsidP="00997A4F">
            <w:pPr>
              <w:keepNext/>
              <w:keepLines/>
              <w:snapToGrid w:val="0"/>
              <w:spacing w:before="0" w:after="0"/>
              <w:outlineLvl w:val="1"/>
              <w:rPr>
                <w:rFonts w:cs="Calibri"/>
                <w:lang w:val="en-GB"/>
              </w:rPr>
            </w:pPr>
            <w:bookmarkStart w:id="240" w:name="_Toc376198509"/>
            <w:r w:rsidRPr="006645DC">
              <w:rPr>
                <w:rFonts w:cs="Calibri"/>
                <w:lang w:val="en-GB"/>
              </w:rPr>
              <w:t>2010</w:t>
            </w:r>
            <w:bookmarkEnd w:id="240"/>
          </w:p>
        </w:tc>
        <w:tc>
          <w:tcPr>
            <w:tcW w:w="1209" w:type="dxa"/>
            <w:tcBorders>
              <w:top w:val="single" w:sz="4" w:space="0" w:color="000000"/>
              <w:left w:val="single" w:sz="4" w:space="0" w:color="000000"/>
              <w:bottom w:val="single" w:sz="4" w:space="0" w:color="000000"/>
            </w:tcBorders>
            <w:vAlign w:val="center"/>
          </w:tcPr>
          <w:p w14:paraId="111F3674" w14:textId="77777777" w:rsidR="00947408" w:rsidRPr="006645DC" w:rsidRDefault="00947408" w:rsidP="007C5AA8">
            <w:pPr>
              <w:keepNext/>
              <w:keepLines/>
              <w:snapToGrid w:val="0"/>
              <w:spacing w:before="0" w:after="0"/>
              <w:jc w:val="right"/>
              <w:outlineLvl w:val="1"/>
              <w:rPr>
                <w:rFonts w:cs="Calibri"/>
                <w:lang w:val="en-GB"/>
              </w:rPr>
            </w:pPr>
            <w:bookmarkStart w:id="241" w:name="_Toc376198510"/>
            <w:r w:rsidRPr="006645DC">
              <w:rPr>
                <w:rFonts w:cs="Calibri"/>
                <w:lang w:val="en-GB"/>
              </w:rPr>
              <w:t>3 169.7</w:t>
            </w:r>
            <w:bookmarkEnd w:id="241"/>
          </w:p>
        </w:tc>
        <w:tc>
          <w:tcPr>
            <w:tcW w:w="1134" w:type="dxa"/>
            <w:tcBorders>
              <w:top w:val="single" w:sz="4" w:space="0" w:color="000000"/>
              <w:left w:val="single" w:sz="4" w:space="0" w:color="000000"/>
              <w:bottom w:val="single" w:sz="4" w:space="0" w:color="000000"/>
            </w:tcBorders>
            <w:vAlign w:val="center"/>
          </w:tcPr>
          <w:p w14:paraId="7578C8AB" w14:textId="77777777" w:rsidR="00947408" w:rsidRPr="006645DC" w:rsidRDefault="00947408" w:rsidP="007C5AA8">
            <w:pPr>
              <w:keepNext/>
              <w:keepLines/>
              <w:snapToGrid w:val="0"/>
              <w:spacing w:before="0" w:after="0"/>
              <w:jc w:val="right"/>
              <w:outlineLvl w:val="1"/>
              <w:rPr>
                <w:rFonts w:cs="Calibri"/>
                <w:lang w:val="en-GB"/>
              </w:rPr>
            </w:pPr>
            <w:bookmarkStart w:id="242" w:name="_Toc376198511"/>
            <w:r w:rsidRPr="006645DC">
              <w:rPr>
                <w:rFonts w:cs="Calibri"/>
                <w:lang w:val="en-GB"/>
              </w:rPr>
              <w:t>1 547.8</w:t>
            </w:r>
            <w:bookmarkEnd w:id="242"/>
          </w:p>
        </w:tc>
        <w:tc>
          <w:tcPr>
            <w:tcW w:w="992" w:type="dxa"/>
            <w:tcBorders>
              <w:top w:val="single" w:sz="4" w:space="0" w:color="000000"/>
              <w:left w:val="single" w:sz="4" w:space="0" w:color="000000"/>
              <w:bottom w:val="single" w:sz="4" w:space="0" w:color="000000"/>
            </w:tcBorders>
            <w:vAlign w:val="center"/>
          </w:tcPr>
          <w:p w14:paraId="35B741BB" w14:textId="77777777" w:rsidR="00947408" w:rsidRPr="006645DC" w:rsidRDefault="00947408" w:rsidP="007C5AA8">
            <w:pPr>
              <w:keepNext/>
              <w:keepLines/>
              <w:snapToGrid w:val="0"/>
              <w:spacing w:before="0" w:after="0"/>
              <w:jc w:val="right"/>
              <w:outlineLvl w:val="1"/>
              <w:rPr>
                <w:rFonts w:cs="Calibri"/>
                <w:lang w:val="en-GB"/>
              </w:rPr>
            </w:pPr>
            <w:bookmarkStart w:id="243" w:name="_Toc376198512"/>
            <w:r w:rsidRPr="006645DC">
              <w:rPr>
                <w:rFonts w:cs="Calibri"/>
                <w:lang w:val="en-GB"/>
              </w:rPr>
              <w:t>1 622.0</w:t>
            </w:r>
            <w:bookmarkEnd w:id="243"/>
          </w:p>
        </w:tc>
        <w:tc>
          <w:tcPr>
            <w:tcW w:w="993" w:type="dxa"/>
            <w:tcBorders>
              <w:top w:val="single" w:sz="4" w:space="0" w:color="000000"/>
              <w:left w:val="single" w:sz="4" w:space="0" w:color="000000"/>
              <w:bottom w:val="single" w:sz="4" w:space="0" w:color="000000"/>
            </w:tcBorders>
            <w:vAlign w:val="center"/>
          </w:tcPr>
          <w:p w14:paraId="52617547" w14:textId="77777777" w:rsidR="00947408" w:rsidRPr="006645DC" w:rsidRDefault="00947408" w:rsidP="007C5AA8">
            <w:pPr>
              <w:keepNext/>
              <w:keepLines/>
              <w:snapToGrid w:val="0"/>
              <w:spacing w:before="0" w:after="0"/>
              <w:jc w:val="right"/>
              <w:outlineLvl w:val="1"/>
              <w:rPr>
                <w:rFonts w:cs="Calibri"/>
                <w:lang w:val="en-GB"/>
              </w:rPr>
            </w:pPr>
            <w:bookmarkStart w:id="244" w:name="_Toc376198513"/>
            <w:r w:rsidRPr="006645DC">
              <w:rPr>
                <w:rFonts w:cs="Calibri"/>
                <w:lang w:val="en-GB"/>
              </w:rPr>
              <w:t>1 555.9</w:t>
            </w:r>
            <w:bookmarkEnd w:id="244"/>
          </w:p>
        </w:tc>
        <w:tc>
          <w:tcPr>
            <w:tcW w:w="1134" w:type="dxa"/>
            <w:tcBorders>
              <w:top w:val="single" w:sz="4" w:space="0" w:color="000000"/>
              <w:left w:val="single" w:sz="4" w:space="0" w:color="000000"/>
              <w:bottom w:val="single" w:sz="4" w:space="0" w:color="000000"/>
              <w:right w:val="single" w:sz="4" w:space="0" w:color="000000"/>
            </w:tcBorders>
            <w:vAlign w:val="center"/>
          </w:tcPr>
          <w:p w14:paraId="7FDD1688" w14:textId="77777777" w:rsidR="00947408" w:rsidRPr="006645DC" w:rsidRDefault="00947408" w:rsidP="007C5AA8">
            <w:pPr>
              <w:keepNext/>
              <w:keepLines/>
              <w:snapToGrid w:val="0"/>
              <w:spacing w:before="0" w:after="0"/>
              <w:jc w:val="right"/>
              <w:outlineLvl w:val="1"/>
              <w:rPr>
                <w:rFonts w:cs="Calibri"/>
                <w:lang w:val="en-GB"/>
              </w:rPr>
            </w:pPr>
            <w:bookmarkStart w:id="245" w:name="_Toc376198514"/>
            <w:r w:rsidRPr="006645DC">
              <w:rPr>
                <w:rFonts w:cs="Calibri"/>
                <w:lang w:val="en-GB"/>
              </w:rPr>
              <w:t>1 613.9</w:t>
            </w:r>
            <w:bookmarkEnd w:id="245"/>
          </w:p>
        </w:tc>
      </w:tr>
      <w:tr w:rsidR="00947408" w:rsidRPr="006645DC" w14:paraId="269865B3" w14:textId="77777777" w:rsidTr="007C5AA8">
        <w:trPr>
          <w:jc w:val="center"/>
        </w:trPr>
        <w:tc>
          <w:tcPr>
            <w:tcW w:w="923" w:type="dxa"/>
            <w:tcBorders>
              <w:top w:val="single" w:sz="4" w:space="0" w:color="000000"/>
              <w:left w:val="single" w:sz="4" w:space="0" w:color="000000"/>
              <w:bottom w:val="single" w:sz="4" w:space="0" w:color="000000"/>
            </w:tcBorders>
          </w:tcPr>
          <w:p w14:paraId="70F20743" w14:textId="77777777" w:rsidR="00947408" w:rsidRPr="006645DC" w:rsidRDefault="00947408" w:rsidP="00997A4F">
            <w:pPr>
              <w:keepNext/>
              <w:keepLines/>
              <w:autoSpaceDE w:val="0"/>
              <w:autoSpaceDN w:val="0"/>
              <w:adjustRightInd w:val="0"/>
              <w:spacing w:before="0" w:after="0"/>
              <w:outlineLvl w:val="1"/>
              <w:rPr>
                <w:rFonts w:eastAsia="Times New Roman" w:cs="Calibri"/>
                <w:snapToGrid w:val="0"/>
                <w:color w:val="000000"/>
                <w:lang w:val="en-GB" w:eastAsia="ro-RO"/>
              </w:rPr>
            </w:pPr>
            <w:bookmarkStart w:id="246" w:name="_Toc376198515"/>
            <w:r w:rsidRPr="006645DC">
              <w:rPr>
                <w:rFonts w:eastAsia="Times New Roman" w:cs="Calibri"/>
                <w:snapToGrid w:val="0"/>
                <w:color w:val="000000"/>
                <w:lang w:val="en-GB" w:eastAsia="ro-RO"/>
              </w:rPr>
              <w:t>2011</w:t>
            </w:r>
            <w:bookmarkEnd w:id="246"/>
            <w:r w:rsidRPr="006645DC">
              <w:rPr>
                <w:rFonts w:eastAsia="Times New Roman" w:cs="Calibri"/>
                <w:snapToGrid w:val="0"/>
                <w:color w:val="000000"/>
                <w:lang w:val="en-GB" w:eastAsia="ro-RO"/>
              </w:rPr>
              <w:t xml:space="preserve"> </w:t>
            </w:r>
          </w:p>
        </w:tc>
        <w:tc>
          <w:tcPr>
            <w:tcW w:w="1209" w:type="dxa"/>
            <w:tcBorders>
              <w:top w:val="single" w:sz="4" w:space="0" w:color="000000"/>
              <w:left w:val="single" w:sz="4" w:space="0" w:color="000000"/>
              <w:bottom w:val="single" w:sz="4" w:space="0" w:color="000000"/>
            </w:tcBorders>
            <w:vAlign w:val="center"/>
          </w:tcPr>
          <w:p w14:paraId="100D9552"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47" w:name="_Toc376198516"/>
            <w:r w:rsidRPr="006645DC">
              <w:rPr>
                <w:rFonts w:eastAsia="Times New Roman" w:cs="Calibri"/>
                <w:snapToGrid w:val="0"/>
                <w:color w:val="000000"/>
                <w:lang w:val="en-GB" w:eastAsia="ro-RO"/>
              </w:rPr>
              <w:t>3 162.6</w:t>
            </w:r>
            <w:bookmarkEnd w:id="247"/>
          </w:p>
        </w:tc>
        <w:tc>
          <w:tcPr>
            <w:tcW w:w="1134" w:type="dxa"/>
            <w:tcBorders>
              <w:top w:val="single" w:sz="4" w:space="0" w:color="000000"/>
              <w:left w:val="single" w:sz="4" w:space="0" w:color="000000"/>
              <w:bottom w:val="single" w:sz="4" w:space="0" w:color="000000"/>
            </w:tcBorders>
            <w:vAlign w:val="center"/>
          </w:tcPr>
          <w:p w14:paraId="7426278E"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48" w:name="_Toc376198517"/>
            <w:r w:rsidRPr="006645DC">
              <w:rPr>
                <w:rFonts w:eastAsia="Times New Roman" w:cs="Calibri"/>
                <w:snapToGrid w:val="0"/>
                <w:color w:val="000000"/>
                <w:lang w:val="en-GB" w:eastAsia="ro-RO"/>
              </w:rPr>
              <w:t>1 544.0</w:t>
            </w:r>
            <w:bookmarkEnd w:id="248"/>
          </w:p>
        </w:tc>
        <w:tc>
          <w:tcPr>
            <w:tcW w:w="992" w:type="dxa"/>
            <w:tcBorders>
              <w:top w:val="single" w:sz="4" w:space="0" w:color="000000"/>
              <w:left w:val="single" w:sz="4" w:space="0" w:color="000000"/>
              <w:bottom w:val="single" w:sz="4" w:space="0" w:color="000000"/>
            </w:tcBorders>
            <w:vAlign w:val="center"/>
          </w:tcPr>
          <w:p w14:paraId="76C85856"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49" w:name="_Toc376198518"/>
            <w:r w:rsidRPr="006645DC">
              <w:rPr>
                <w:rFonts w:eastAsia="Times New Roman" w:cs="Calibri"/>
                <w:snapToGrid w:val="0"/>
                <w:color w:val="000000"/>
                <w:lang w:val="en-GB" w:eastAsia="ro-RO"/>
              </w:rPr>
              <w:t>1 618.6</w:t>
            </w:r>
            <w:bookmarkEnd w:id="249"/>
          </w:p>
        </w:tc>
        <w:tc>
          <w:tcPr>
            <w:tcW w:w="993" w:type="dxa"/>
            <w:tcBorders>
              <w:top w:val="single" w:sz="4" w:space="0" w:color="000000"/>
              <w:left w:val="single" w:sz="4" w:space="0" w:color="000000"/>
              <w:bottom w:val="single" w:sz="4" w:space="0" w:color="000000"/>
            </w:tcBorders>
            <w:vAlign w:val="center"/>
          </w:tcPr>
          <w:p w14:paraId="7EF1CEDA"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50" w:name="_Toc376198519"/>
            <w:r w:rsidRPr="006645DC">
              <w:rPr>
                <w:rFonts w:eastAsia="Times New Roman" w:cs="Calibri"/>
                <w:snapToGrid w:val="0"/>
                <w:color w:val="000000"/>
                <w:lang w:val="en-GB" w:eastAsia="ro-RO"/>
              </w:rPr>
              <w:t>1 553.0</w:t>
            </w:r>
            <w:bookmarkEnd w:id="250"/>
          </w:p>
        </w:tc>
        <w:tc>
          <w:tcPr>
            <w:tcW w:w="1134" w:type="dxa"/>
            <w:tcBorders>
              <w:top w:val="single" w:sz="4" w:space="0" w:color="000000"/>
              <w:left w:val="single" w:sz="4" w:space="0" w:color="000000"/>
              <w:bottom w:val="single" w:sz="4" w:space="0" w:color="000000"/>
              <w:right w:val="single" w:sz="4" w:space="0" w:color="000000"/>
            </w:tcBorders>
            <w:vAlign w:val="center"/>
          </w:tcPr>
          <w:p w14:paraId="1D998BE4"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51" w:name="_Toc376198520"/>
            <w:r w:rsidRPr="006645DC">
              <w:rPr>
                <w:rFonts w:eastAsia="Times New Roman" w:cs="Calibri"/>
                <w:snapToGrid w:val="0"/>
                <w:color w:val="000000"/>
                <w:lang w:val="en-GB" w:eastAsia="ro-RO"/>
              </w:rPr>
              <w:t>1 609.6</w:t>
            </w:r>
            <w:bookmarkEnd w:id="251"/>
          </w:p>
        </w:tc>
      </w:tr>
      <w:tr w:rsidR="00947408" w:rsidRPr="006645DC" w14:paraId="0258B8E0" w14:textId="77777777" w:rsidTr="00947408">
        <w:trPr>
          <w:jc w:val="center"/>
        </w:trPr>
        <w:tc>
          <w:tcPr>
            <w:tcW w:w="6385" w:type="dxa"/>
            <w:gridSpan w:val="6"/>
            <w:tcBorders>
              <w:top w:val="single" w:sz="4" w:space="0" w:color="000000"/>
              <w:left w:val="single" w:sz="4" w:space="0" w:color="000000"/>
              <w:bottom w:val="single" w:sz="4" w:space="0" w:color="000000"/>
              <w:right w:val="single" w:sz="4" w:space="0" w:color="000000"/>
            </w:tcBorders>
          </w:tcPr>
          <w:p w14:paraId="3F823C86" w14:textId="77777777" w:rsidR="00947408" w:rsidRPr="006645DC" w:rsidRDefault="00947408" w:rsidP="00947408">
            <w:pPr>
              <w:keepNext/>
              <w:keepLines/>
              <w:snapToGrid w:val="0"/>
              <w:spacing w:before="0" w:after="0" w:line="280" w:lineRule="auto"/>
              <w:ind w:left="757" w:hanging="360"/>
              <w:jc w:val="center"/>
              <w:outlineLvl w:val="1"/>
              <w:rPr>
                <w:rFonts w:cs="Calibri"/>
                <w:lang w:val="en-GB"/>
              </w:rPr>
            </w:pPr>
            <w:bookmarkStart w:id="252" w:name="_Toc376198521"/>
            <w:r w:rsidRPr="006645DC">
              <w:rPr>
                <w:rFonts w:cs="Calibri"/>
                <w:b/>
                <w:lang w:val="en-GB"/>
              </w:rPr>
              <w:t>Bulgarian Cross-border region</w:t>
            </w:r>
            <w:bookmarkEnd w:id="252"/>
          </w:p>
        </w:tc>
      </w:tr>
      <w:tr w:rsidR="00947408" w:rsidRPr="006645DC" w14:paraId="7F1C3F7D" w14:textId="77777777" w:rsidTr="007C5AA8">
        <w:trPr>
          <w:jc w:val="center"/>
        </w:trPr>
        <w:tc>
          <w:tcPr>
            <w:tcW w:w="923" w:type="dxa"/>
            <w:tcBorders>
              <w:top w:val="single" w:sz="4" w:space="0" w:color="000000"/>
              <w:left w:val="single" w:sz="4" w:space="0" w:color="000000"/>
              <w:bottom w:val="single" w:sz="4" w:space="0" w:color="000000"/>
            </w:tcBorders>
          </w:tcPr>
          <w:p w14:paraId="20B914D6" w14:textId="77777777" w:rsidR="00947408" w:rsidRPr="006645DC" w:rsidRDefault="00947408" w:rsidP="00997A4F">
            <w:pPr>
              <w:keepNext/>
              <w:keepLines/>
              <w:snapToGrid w:val="0"/>
              <w:spacing w:before="0" w:after="0"/>
              <w:outlineLvl w:val="1"/>
              <w:rPr>
                <w:rFonts w:cs="Calibri"/>
                <w:lang w:val="en-GB"/>
              </w:rPr>
            </w:pPr>
            <w:bookmarkStart w:id="253" w:name="_Toc376198522"/>
            <w:r w:rsidRPr="006645DC">
              <w:rPr>
                <w:rFonts w:cs="Calibri"/>
                <w:lang w:val="en-GB"/>
              </w:rPr>
              <w:t>2007</w:t>
            </w:r>
            <w:bookmarkEnd w:id="253"/>
          </w:p>
        </w:tc>
        <w:tc>
          <w:tcPr>
            <w:tcW w:w="1209" w:type="dxa"/>
            <w:tcBorders>
              <w:top w:val="single" w:sz="4" w:space="0" w:color="000000"/>
              <w:left w:val="single" w:sz="4" w:space="0" w:color="000000"/>
              <w:bottom w:val="single" w:sz="4" w:space="0" w:color="000000"/>
            </w:tcBorders>
            <w:vAlign w:val="center"/>
          </w:tcPr>
          <w:p w14:paraId="776116B4" w14:textId="77777777" w:rsidR="00947408" w:rsidRPr="006645DC" w:rsidRDefault="00947408" w:rsidP="007C5AA8">
            <w:pPr>
              <w:keepNext/>
              <w:keepLines/>
              <w:snapToGrid w:val="0"/>
              <w:spacing w:before="0" w:after="0"/>
              <w:jc w:val="right"/>
              <w:outlineLvl w:val="1"/>
              <w:rPr>
                <w:rFonts w:cs="Calibri"/>
                <w:lang w:val="en-GB"/>
              </w:rPr>
            </w:pPr>
            <w:bookmarkStart w:id="254" w:name="_Toc376198523"/>
            <w:r w:rsidRPr="006645DC">
              <w:rPr>
                <w:rFonts w:cs="Calibri"/>
                <w:lang w:val="en-GB"/>
              </w:rPr>
              <w:t>1 776.3</w:t>
            </w:r>
            <w:bookmarkEnd w:id="254"/>
          </w:p>
        </w:tc>
        <w:tc>
          <w:tcPr>
            <w:tcW w:w="1134" w:type="dxa"/>
            <w:tcBorders>
              <w:top w:val="single" w:sz="4" w:space="0" w:color="000000"/>
              <w:left w:val="single" w:sz="4" w:space="0" w:color="000000"/>
              <w:bottom w:val="single" w:sz="4" w:space="0" w:color="000000"/>
            </w:tcBorders>
            <w:vAlign w:val="center"/>
          </w:tcPr>
          <w:p w14:paraId="62B0FABD" w14:textId="77777777" w:rsidR="00947408" w:rsidRPr="006645DC" w:rsidRDefault="00947408" w:rsidP="007C5AA8">
            <w:pPr>
              <w:keepNext/>
              <w:keepLines/>
              <w:snapToGrid w:val="0"/>
              <w:spacing w:before="0" w:after="0"/>
              <w:jc w:val="right"/>
              <w:outlineLvl w:val="1"/>
              <w:rPr>
                <w:rFonts w:cs="Calibri"/>
                <w:lang w:val="en-GB"/>
              </w:rPr>
            </w:pPr>
            <w:bookmarkStart w:id="255" w:name="_Toc376198524"/>
            <w:r w:rsidRPr="006645DC">
              <w:rPr>
                <w:rFonts w:cs="Calibri"/>
                <w:lang w:val="en-GB"/>
              </w:rPr>
              <w:t>862.1</w:t>
            </w:r>
            <w:bookmarkEnd w:id="255"/>
          </w:p>
        </w:tc>
        <w:tc>
          <w:tcPr>
            <w:tcW w:w="992" w:type="dxa"/>
            <w:tcBorders>
              <w:top w:val="single" w:sz="4" w:space="0" w:color="000000"/>
              <w:left w:val="single" w:sz="4" w:space="0" w:color="000000"/>
              <w:bottom w:val="single" w:sz="4" w:space="0" w:color="000000"/>
            </w:tcBorders>
            <w:vAlign w:val="center"/>
          </w:tcPr>
          <w:p w14:paraId="3A900E89" w14:textId="77777777" w:rsidR="00947408" w:rsidRPr="006645DC" w:rsidRDefault="00947408" w:rsidP="007C5AA8">
            <w:pPr>
              <w:keepNext/>
              <w:keepLines/>
              <w:snapToGrid w:val="0"/>
              <w:spacing w:before="0" w:after="0"/>
              <w:jc w:val="right"/>
              <w:outlineLvl w:val="1"/>
              <w:rPr>
                <w:rFonts w:cs="Calibri"/>
                <w:lang w:val="en-GB"/>
              </w:rPr>
            </w:pPr>
            <w:bookmarkStart w:id="256" w:name="_Toc376198525"/>
            <w:r w:rsidRPr="006645DC">
              <w:rPr>
                <w:rFonts w:cs="Calibri"/>
                <w:lang w:val="en-GB"/>
              </w:rPr>
              <w:t>914.2</w:t>
            </w:r>
            <w:bookmarkEnd w:id="256"/>
          </w:p>
        </w:tc>
        <w:tc>
          <w:tcPr>
            <w:tcW w:w="993" w:type="dxa"/>
            <w:tcBorders>
              <w:top w:val="single" w:sz="4" w:space="0" w:color="000000"/>
              <w:left w:val="single" w:sz="4" w:space="0" w:color="000000"/>
              <w:bottom w:val="single" w:sz="4" w:space="0" w:color="000000"/>
            </w:tcBorders>
            <w:vAlign w:val="center"/>
          </w:tcPr>
          <w:p w14:paraId="438A6A7F" w14:textId="77777777" w:rsidR="00947408" w:rsidRPr="006645DC" w:rsidRDefault="00947408" w:rsidP="007C5AA8">
            <w:pPr>
              <w:keepNext/>
              <w:keepLines/>
              <w:snapToGrid w:val="0"/>
              <w:spacing w:before="0" w:after="0"/>
              <w:jc w:val="right"/>
              <w:outlineLvl w:val="1"/>
              <w:rPr>
                <w:rFonts w:cs="Calibri"/>
                <w:lang w:val="en-GB"/>
              </w:rPr>
            </w:pPr>
            <w:bookmarkStart w:id="257" w:name="_Toc376198526"/>
            <w:r w:rsidRPr="006645DC">
              <w:rPr>
                <w:rFonts w:cs="Calibri"/>
                <w:lang w:val="en-GB"/>
              </w:rPr>
              <w:t>1 110.5</w:t>
            </w:r>
            <w:bookmarkEnd w:id="257"/>
          </w:p>
        </w:tc>
        <w:tc>
          <w:tcPr>
            <w:tcW w:w="1134" w:type="dxa"/>
            <w:tcBorders>
              <w:top w:val="single" w:sz="4" w:space="0" w:color="000000"/>
              <w:left w:val="single" w:sz="4" w:space="0" w:color="000000"/>
              <w:bottom w:val="single" w:sz="4" w:space="0" w:color="000000"/>
              <w:right w:val="single" w:sz="4" w:space="0" w:color="000000"/>
            </w:tcBorders>
            <w:vAlign w:val="center"/>
          </w:tcPr>
          <w:p w14:paraId="302463FA" w14:textId="77777777" w:rsidR="00947408" w:rsidRPr="006645DC" w:rsidRDefault="00947408" w:rsidP="007C5AA8">
            <w:pPr>
              <w:keepNext/>
              <w:keepLines/>
              <w:snapToGrid w:val="0"/>
              <w:spacing w:before="0" w:after="0"/>
              <w:jc w:val="right"/>
              <w:outlineLvl w:val="1"/>
              <w:rPr>
                <w:rFonts w:cs="Calibri"/>
                <w:lang w:val="en-GB"/>
              </w:rPr>
            </w:pPr>
            <w:bookmarkStart w:id="258" w:name="_Toc376198527"/>
            <w:r w:rsidRPr="006645DC">
              <w:rPr>
                <w:rFonts w:cs="Calibri"/>
                <w:lang w:val="en-GB"/>
              </w:rPr>
              <w:t>665.7</w:t>
            </w:r>
            <w:bookmarkEnd w:id="258"/>
          </w:p>
        </w:tc>
      </w:tr>
      <w:tr w:rsidR="00947408" w:rsidRPr="006645DC" w14:paraId="4039AEED" w14:textId="77777777" w:rsidTr="007C5AA8">
        <w:trPr>
          <w:jc w:val="center"/>
        </w:trPr>
        <w:tc>
          <w:tcPr>
            <w:tcW w:w="923" w:type="dxa"/>
            <w:tcBorders>
              <w:top w:val="single" w:sz="4" w:space="0" w:color="000000"/>
              <w:left w:val="single" w:sz="4" w:space="0" w:color="000000"/>
              <w:bottom w:val="single" w:sz="4" w:space="0" w:color="000000"/>
            </w:tcBorders>
          </w:tcPr>
          <w:p w14:paraId="79BC9E29" w14:textId="77777777" w:rsidR="00947408" w:rsidRPr="006645DC" w:rsidRDefault="00947408" w:rsidP="00997A4F">
            <w:pPr>
              <w:keepNext/>
              <w:keepLines/>
              <w:snapToGrid w:val="0"/>
              <w:spacing w:before="0" w:after="0"/>
              <w:outlineLvl w:val="1"/>
              <w:rPr>
                <w:rFonts w:cs="Calibri"/>
                <w:lang w:val="en-GB"/>
              </w:rPr>
            </w:pPr>
            <w:bookmarkStart w:id="259" w:name="_Toc376198528"/>
            <w:r w:rsidRPr="006645DC">
              <w:rPr>
                <w:rFonts w:cs="Calibri"/>
                <w:lang w:val="en-GB"/>
              </w:rPr>
              <w:t>2008</w:t>
            </w:r>
            <w:bookmarkEnd w:id="259"/>
          </w:p>
        </w:tc>
        <w:tc>
          <w:tcPr>
            <w:tcW w:w="1209" w:type="dxa"/>
            <w:tcBorders>
              <w:top w:val="single" w:sz="4" w:space="0" w:color="000000"/>
              <w:left w:val="single" w:sz="4" w:space="0" w:color="000000"/>
              <w:bottom w:val="single" w:sz="4" w:space="0" w:color="000000"/>
            </w:tcBorders>
            <w:vAlign w:val="center"/>
          </w:tcPr>
          <w:p w14:paraId="540C7F8F" w14:textId="77777777" w:rsidR="00947408" w:rsidRPr="006645DC" w:rsidRDefault="00947408" w:rsidP="007C5AA8">
            <w:pPr>
              <w:keepNext/>
              <w:keepLines/>
              <w:snapToGrid w:val="0"/>
              <w:spacing w:before="0" w:after="0"/>
              <w:jc w:val="right"/>
              <w:outlineLvl w:val="1"/>
              <w:rPr>
                <w:rFonts w:cs="Calibri"/>
                <w:lang w:val="en-GB"/>
              </w:rPr>
            </w:pPr>
            <w:bookmarkStart w:id="260" w:name="_Toc376198529"/>
            <w:r w:rsidRPr="006645DC">
              <w:rPr>
                <w:rFonts w:cs="Calibri"/>
                <w:lang w:val="en-GB"/>
              </w:rPr>
              <w:t>1 756.4</w:t>
            </w:r>
            <w:bookmarkEnd w:id="260"/>
          </w:p>
        </w:tc>
        <w:tc>
          <w:tcPr>
            <w:tcW w:w="1134" w:type="dxa"/>
            <w:tcBorders>
              <w:top w:val="single" w:sz="4" w:space="0" w:color="000000"/>
              <w:left w:val="single" w:sz="4" w:space="0" w:color="000000"/>
              <w:bottom w:val="single" w:sz="4" w:space="0" w:color="000000"/>
            </w:tcBorders>
            <w:vAlign w:val="center"/>
          </w:tcPr>
          <w:p w14:paraId="7E8663BE" w14:textId="77777777" w:rsidR="00947408" w:rsidRPr="006645DC" w:rsidRDefault="00947408" w:rsidP="007C5AA8">
            <w:pPr>
              <w:keepNext/>
              <w:keepLines/>
              <w:snapToGrid w:val="0"/>
              <w:spacing w:before="0" w:after="0"/>
              <w:jc w:val="right"/>
              <w:outlineLvl w:val="1"/>
              <w:rPr>
                <w:rFonts w:cs="Calibri"/>
                <w:lang w:val="en-GB"/>
              </w:rPr>
            </w:pPr>
            <w:bookmarkStart w:id="261" w:name="_Toc376198530"/>
            <w:r w:rsidRPr="006645DC">
              <w:rPr>
                <w:rFonts w:cs="Calibri"/>
                <w:lang w:val="en-GB"/>
              </w:rPr>
              <w:t>851.6</w:t>
            </w:r>
            <w:bookmarkEnd w:id="261"/>
          </w:p>
        </w:tc>
        <w:tc>
          <w:tcPr>
            <w:tcW w:w="992" w:type="dxa"/>
            <w:tcBorders>
              <w:top w:val="single" w:sz="4" w:space="0" w:color="000000"/>
              <w:left w:val="single" w:sz="4" w:space="0" w:color="000000"/>
              <w:bottom w:val="single" w:sz="4" w:space="0" w:color="000000"/>
            </w:tcBorders>
            <w:vAlign w:val="center"/>
          </w:tcPr>
          <w:p w14:paraId="04AD6537" w14:textId="77777777" w:rsidR="00947408" w:rsidRPr="006645DC" w:rsidRDefault="00947408" w:rsidP="007C5AA8">
            <w:pPr>
              <w:keepNext/>
              <w:keepLines/>
              <w:snapToGrid w:val="0"/>
              <w:spacing w:before="0" w:after="0"/>
              <w:jc w:val="right"/>
              <w:outlineLvl w:val="1"/>
              <w:rPr>
                <w:rFonts w:cs="Calibri"/>
                <w:lang w:val="en-GB"/>
              </w:rPr>
            </w:pPr>
            <w:bookmarkStart w:id="262" w:name="_Toc376198531"/>
            <w:r w:rsidRPr="006645DC">
              <w:rPr>
                <w:rFonts w:cs="Calibri"/>
                <w:lang w:val="en-GB"/>
              </w:rPr>
              <w:t>904.8</w:t>
            </w:r>
            <w:bookmarkEnd w:id="262"/>
          </w:p>
        </w:tc>
        <w:tc>
          <w:tcPr>
            <w:tcW w:w="993" w:type="dxa"/>
            <w:tcBorders>
              <w:top w:val="single" w:sz="4" w:space="0" w:color="000000"/>
              <w:left w:val="single" w:sz="4" w:space="0" w:color="000000"/>
              <w:bottom w:val="single" w:sz="4" w:space="0" w:color="000000"/>
            </w:tcBorders>
            <w:vAlign w:val="center"/>
          </w:tcPr>
          <w:p w14:paraId="0B10A5C2" w14:textId="77777777" w:rsidR="00947408" w:rsidRPr="006645DC" w:rsidRDefault="00947408" w:rsidP="007C5AA8">
            <w:pPr>
              <w:keepNext/>
              <w:keepLines/>
              <w:snapToGrid w:val="0"/>
              <w:spacing w:before="0" w:after="0"/>
              <w:jc w:val="right"/>
              <w:outlineLvl w:val="1"/>
              <w:rPr>
                <w:rFonts w:cs="Calibri"/>
                <w:lang w:val="en-GB"/>
              </w:rPr>
            </w:pPr>
            <w:bookmarkStart w:id="263" w:name="_Toc376198532"/>
            <w:r w:rsidRPr="006645DC">
              <w:rPr>
                <w:rFonts w:cs="Calibri"/>
                <w:lang w:val="en-GB"/>
              </w:rPr>
              <w:t>1 106.6</w:t>
            </w:r>
            <w:bookmarkEnd w:id="263"/>
          </w:p>
        </w:tc>
        <w:tc>
          <w:tcPr>
            <w:tcW w:w="1134" w:type="dxa"/>
            <w:tcBorders>
              <w:top w:val="single" w:sz="4" w:space="0" w:color="000000"/>
              <w:left w:val="single" w:sz="4" w:space="0" w:color="000000"/>
              <w:bottom w:val="single" w:sz="4" w:space="0" w:color="000000"/>
              <w:right w:val="single" w:sz="4" w:space="0" w:color="000000"/>
            </w:tcBorders>
            <w:vAlign w:val="center"/>
          </w:tcPr>
          <w:p w14:paraId="18B3AE7D" w14:textId="77777777" w:rsidR="00947408" w:rsidRPr="006645DC" w:rsidRDefault="00947408" w:rsidP="007C5AA8">
            <w:pPr>
              <w:keepNext/>
              <w:keepLines/>
              <w:snapToGrid w:val="0"/>
              <w:spacing w:before="0" w:after="0"/>
              <w:jc w:val="right"/>
              <w:outlineLvl w:val="1"/>
              <w:rPr>
                <w:rFonts w:cs="Calibri"/>
                <w:lang w:val="en-GB"/>
              </w:rPr>
            </w:pPr>
            <w:bookmarkStart w:id="264" w:name="_Toc376198533"/>
            <w:r w:rsidRPr="006645DC">
              <w:rPr>
                <w:rFonts w:cs="Calibri"/>
                <w:lang w:val="en-GB"/>
              </w:rPr>
              <w:t>649.8</w:t>
            </w:r>
            <w:bookmarkEnd w:id="264"/>
          </w:p>
        </w:tc>
      </w:tr>
      <w:tr w:rsidR="00947408" w:rsidRPr="006645DC" w14:paraId="092E6C4C" w14:textId="77777777" w:rsidTr="007C5AA8">
        <w:trPr>
          <w:jc w:val="center"/>
        </w:trPr>
        <w:tc>
          <w:tcPr>
            <w:tcW w:w="923" w:type="dxa"/>
            <w:tcBorders>
              <w:top w:val="single" w:sz="4" w:space="0" w:color="000000"/>
              <w:left w:val="single" w:sz="4" w:space="0" w:color="000000"/>
              <w:bottom w:val="single" w:sz="4" w:space="0" w:color="000000"/>
            </w:tcBorders>
          </w:tcPr>
          <w:p w14:paraId="7FF898CE" w14:textId="77777777" w:rsidR="00947408" w:rsidRPr="006645DC" w:rsidRDefault="00947408" w:rsidP="00997A4F">
            <w:pPr>
              <w:keepNext/>
              <w:keepLines/>
              <w:snapToGrid w:val="0"/>
              <w:spacing w:before="0" w:after="0"/>
              <w:outlineLvl w:val="1"/>
              <w:rPr>
                <w:rFonts w:cs="Calibri"/>
                <w:lang w:val="en-GB"/>
              </w:rPr>
            </w:pPr>
            <w:bookmarkStart w:id="265" w:name="_Toc376198534"/>
            <w:r w:rsidRPr="006645DC">
              <w:rPr>
                <w:rFonts w:cs="Calibri"/>
                <w:lang w:val="en-GB"/>
              </w:rPr>
              <w:t>2009</w:t>
            </w:r>
            <w:bookmarkEnd w:id="265"/>
          </w:p>
        </w:tc>
        <w:tc>
          <w:tcPr>
            <w:tcW w:w="1209" w:type="dxa"/>
            <w:tcBorders>
              <w:top w:val="single" w:sz="4" w:space="0" w:color="000000"/>
              <w:left w:val="single" w:sz="4" w:space="0" w:color="000000"/>
              <w:bottom w:val="single" w:sz="4" w:space="0" w:color="000000"/>
            </w:tcBorders>
            <w:vAlign w:val="center"/>
          </w:tcPr>
          <w:p w14:paraId="7F0B0773" w14:textId="77777777" w:rsidR="00947408" w:rsidRPr="006645DC" w:rsidRDefault="00947408" w:rsidP="007C5AA8">
            <w:pPr>
              <w:keepNext/>
              <w:keepLines/>
              <w:snapToGrid w:val="0"/>
              <w:spacing w:before="0" w:after="0"/>
              <w:jc w:val="right"/>
              <w:outlineLvl w:val="1"/>
              <w:rPr>
                <w:rFonts w:cs="Calibri"/>
                <w:lang w:val="en-GB"/>
              </w:rPr>
            </w:pPr>
            <w:bookmarkStart w:id="266" w:name="_Toc376198535"/>
            <w:r w:rsidRPr="006645DC">
              <w:rPr>
                <w:rFonts w:cs="Calibri"/>
                <w:lang w:val="en-GB"/>
              </w:rPr>
              <w:t>1 736.0</w:t>
            </w:r>
            <w:bookmarkEnd w:id="266"/>
          </w:p>
        </w:tc>
        <w:tc>
          <w:tcPr>
            <w:tcW w:w="1134" w:type="dxa"/>
            <w:tcBorders>
              <w:top w:val="single" w:sz="4" w:space="0" w:color="000000"/>
              <w:left w:val="single" w:sz="4" w:space="0" w:color="000000"/>
              <w:bottom w:val="single" w:sz="4" w:space="0" w:color="000000"/>
            </w:tcBorders>
            <w:vAlign w:val="center"/>
          </w:tcPr>
          <w:p w14:paraId="6529C747" w14:textId="77777777" w:rsidR="00947408" w:rsidRPr="006645DC" w:rsidRDefault="00947408" w:rsidP="007C5AA8">
            <w:pPr>
              <w:keepNext/>
              <w:keepLines/>
              <w:snapToGrid w:val="0"/>
              <w:spacing w:before="0" w:after="0"/>
              <w:jc w:val="right"/>
              <w:outlineLvl w:val="1"/>
              <w:rPr>
                <w:rFonts w:cs="Calibri"/>
                <w:lang w:val="en-GB"/>
              </w:rPr>
            </w:pPr>
            <w:bookmarkStart w:id="267" w:name="_Toc376198536"/>
            <w:r w:rsidRPr="006645DC">
              <w:rPr>
                <w:rFonts w:cs="Calibri"/>
                <w:lang w:val="en-GB"/>
              </w:rPr>
              <w:t>841.1</w:t>
            </w:r>
            <w:bookmarkEnd w:id="267"/>
          </w:p>
        </w:tc>
        <w:tc>
          <w:tcPr>
            <w:tcW w:w="992" w:type="dxa"/>
            <w:tcBorders>
              <w:top w:val="single" w:sz="4" w:space="0" w:color="000000"/>
              <w:left w:val="single" w:sz="4" w:space="0" w:color="000000"/>
              <w:bottom w:val="single" w:sz="4" w:space="0" w:color="000000"/>
            </w:tcBorders>
            <w:vAlign w:val="center"/>
          </w:tcPr>
          <w:p w14:paraId="0ECEDC6B" w14:textId="77777777" w:rsidR="00947408" w:rsidRPr="006645DC" w:rsidRDefault="00947408" w:rsidP="007C5AA8">
            <w:pPr>
              <w:keepNext/>
              <w:keepLines/>
              <w:snapToGrid w:val="0"/>
              <w:spacing w:before="0" w:after="0"/>
              <w:jc w:val="right"/>
              <w:outlineLvl w:val="1"/>
              <w:rPr>
                <w:rFonts w:cs="Calibri"/>
                <w:lang w:val="en-GB"/>
              </w:rPr>
            </w:pPr>
            <w:bookmarkStart w:id="268" w:name="_Toc376198537"/>
            <w:r w:rsidRPr="006645DC">
              <w:rPr>
                <w:rFonts w:cs="Calibri"/>
                <w:lang w:val="en-GB"/>
              </w:rPr>
              <w:t>895.0</w:t>
            </w:r>
            <w:bookmarkEnd w:id="268"/>
          </w:p>
        </w:tc>
        <w:tc>
          <w:tcPr>
            <w:tcW w:w="993" w:type="dxa"/>
            <w:tcBorders>
              <w:top w:val="single" w:sz="4" w:space="0" w:color="000000"/>
              <w:left w:val="single" w:sz="4" w:space="0" w:color="000000"/>
              <w:bottom w:val="single" w:sz="4" w:space="0" w:color="000000"/>
            </w:tcBorders>
            <w:vAlign w:val="center"/>
          </w:tcPr>
          <w:p w14:paraId="30EA9E62" w14:textId="77777777" w:rsidR="00947408" w:rsidRPr="006645DC" w:rsidRDefault="00947408" w:rsidP="007C5AA8">
            <w:pPr>
              <w:keepNext/>
              <w:keepLines/>
              <w:snapToGrid w:val="0"/>
              <w:spacing w:before="0" w:after="0"/>
              <w:jc w:val="right"/>
              <w:outlineLvl w:val="1"/>
              <w:rPr>
                <w:rFonts w:cs="Calibri"/>
                <w:lang w:val="en-GB"/>
              </w:rPr>
            </w:pPr>
            <w:bookmarkStart w:id="269" w:name="_Toc376198538"/>
            <w:r w:rsidRPr="006645DC">
              <w:rPr>
                <w:rFonts w:cs="Calibri"/>
                <w:lang w:val="en-GB"/>
              </w:rPr>
              <w:t>1 097.9</w:t>
            </w:r>
            <w:bookmarkEnd w:id="269"/>
          </w:p>
        </w:tc>
        <w:tc>
          <w:tcPr>
            <w:tcW w:w="1134" w:type="dxa"/>
            <w:tcBorders>
              <w:top w:val="single" w:sz="4" w:space="0" w:color="000000"/>
              <w:left w:val="single" w:sz="4" w:space="0" w:color="000000"/>
              <w:bottom w:val="single" w:sz="4" w:space="0" w:color="000000"/>
              <w:right w:val="single" w:sz="4" w:space="0" w:color="000000"/>
            </w:tcBorders>
            <w:vAlign w:val="center"/>
          </w:tcPr>
          <w:p w14:paraId="33CAE135" w14:textId="77777777" w:rsidR="00947408" w:rsidRPr="006645DC" w:rsidRDefault="00947408" w:rsidP="007C5AA8">
            <w:pPr>
              <w:keepNext/>
              <w:keepLines/>
              <w:snapToGrid w:val="0"/>
              <w:spacing w:before="0" w:after="0"/>
              <w:jc w:val="right"/>
              <w:outlineLvl w:val="1"/>
              <w:rPr>
                <w:rFonts w:cs="Calibri"/>
                <w:lang w:val="en-GB"/>
              </w:rPr>
            </w:pPr>
            <w:bookmarkStart w:id="270" w:name="_Toc376198539"/>
            <w:r w:rsidRPr="006645DC">
              <w:rPr>
                <w:rFonts w:cs="Calibri"/>
                <w:lang w:val="en-GB"/>
              </w:rPr>
              <w:t>638.2</w:t>
            </w:r>
            <w:bookmarkEnd w:id="270"/>
          </w:p>
        </w:tc>
      </w:tr>
      <w:tr w:rsidR="00947408" w:rsidRPr="006645DC" w14:paraId="130924E8" w14:textId="77777777" w:rsidTr="007C5AA8">
        <w:trPr>
          <w:jc w:val="center"/>
        </w:trPr>
        <w:tc>
          <w:tcPr>
            <w:tcW w:w="923" w:type="dxa"/>
            <w:tcBorders>
              <w:top w:val="single" w:sz="4" w:space="0" w:color="000000"/>
              <w:left w:val="single" w:sz="4" w:space="0" w:color="000000"/>
              <w:bottom w:val="single" w:sz="4" w:space="0" w:color="000000"/>
            </w:tcBorders>
          </w:tcPr>
          <w:p w14:paraId="54FD625F" w14:textId="77777777" w:rsidR="00947408" w:rsidRPr="006645DC" w:rsidRDefault="00947408" w:rsidP="00997A4F">
            <w:pPr>
              <w:keepNext/>
              <w:keepLines/>
              <w:snapToGrid w:val="0"/>
              <w:spacing w:before="0" w:after="0"/>
              <w:outlineLvl w:val="1"/>
              <w:rPr>
                <w:rFonts w:cs="Calibri"/>
                <w:lang w:val="en-GB"/>
              </w:rPr>
            </w:pPr>
            <w:bookmarkStart w:id="271" w:name="_Toc376198540"/>
            <w:r w:rsidRPr="006645DC">
              <w:rPr>
                <w:rFonts w:cs="Calibri"/>
                <w:lang w:val="en-GB"/>
              </w:rPr>
              <w:t>2010</w:t>
            </w:r>
            <w:bookmarkEnd w:id="271"/>
          </w:p>
        </w:tc>
        <w:tc>
          <w:tcPr>
            <w:tcW w:w="1209" w:type="dxa"/>
            <w:tcBorders>
              <w:top w:val="single" w:sz="4" w:space="0" w:color="000000"/>
              <w:left w:val="single" w:sz="4" w:space="0" w:color="000000"/>
              <w:bottom w:val="single" w:sz="4" w:space="0" w:color="000000"/>
            </w:tcBorders>
            <w:vAlign w:val="center"/>
          </w:tcPr>
          <w:p w14:paraId="17B3AA49" w14:textId="77777777" w:rsidR="00947408" w:rsidRPr="006645DC" w:rsidRDefault="00947408" w:rsidP="007C5AA8">
            <w:pPr>
              <w:keepNext/>
              <w:keepLines/>
              <w:snapToGrid w:val="0"/>
              <w:spacing w:before="0" w:after="0"/>
              <w:jc w:val="right"/>
              <w:outlineLvl w:val="1"/>
              <w:rPr>
                <w:rFonts w:cs="Calibri"/>
                <w:lang w:val="en-GB"/>
              </w:rPr>
            </w:pPr>
            <w:bookmarkStart w:id="272" w:name="_Toc376198541"/>
            <w:r w:rsidRPr="006645DC">
              <w:rPr>
                <w:rFonts w:cs="Calibri"/>
                <w:lang w:val="en-GB"/>
              </w:rPr>
              <w:t>1 710.5</w:t>
            </w:r>
            <w:bookmarkEnd w:id="272"/>
          </w:p>
        </w:tc>
        <w:tc>
          <w:tcPr>
            <w:tcW w:w="1134" w:type="dxa"/>
            <w:tcBorders>
              <w:top w:val="single" w:sz="4" w:space="0" w:color="000000"/>
              <w:left w:val="single" w:sz="4" w:space="0" w:color="000000"/>
              <w:bottom w:val="single" w:sz="4" w:space="0" w:color="000000"/>
            </w:tcBorders>
            <w:vAlign w:val="center"/>
          </w:tcPr>
          <w:p w14:paraId="629868D7" w14:textId="77777777" w:rsidR="00947408" w:rsidRPr="006645DC" w:rsidRDefault="00947408" w:rsidP="007C5AA8">
            <w:pPr>
              <w:keepNext/>
              <w:keepLines/>
              <w:snapToGrid w:val="0"/>
              <w:spacing w:before="0" w:after="0"/>
              <w:jc w:val="right"/>
              <w:outlineLvl w:val="1"/>
              <w:rPr>
                <w:rFonts w:cs="Calibri"/>
                <w:lang w:val="en-GB"/>
              </w:rPr>
            </w:pPr>
            <w:bookmarkStart w:id="273" w:name="_Toc376198542"/>
            <w:r w:rsidRPr="006645DC">
              <w:rPr>
                <w:rFonts w:cs="Calibri"/>
                <w:lang w:val="en-GB"/>
              </w:rPr>
              <w:t>828.5</w:t>
            </w:r>
            <w:bookmarkEnd w:id="273"/>
          </w:p>
        </w:tc>
        <w:tc>
          <w:tcPr>
            <w:tcW w:w="992" w:type="dxa"/>
            <w:tcBorders>
              <w:top w:val="single" w:sz="4" w:space="0" w:color="000000"/>
              <w:left w:val="single" w:sz="4" w:space="0" w:color="000000"/>
              <w:bottom w:val="single" w:sz="4" w:space="0" w:color="000000"/>
            </w:tcBorders>
            <w:vAlign w:val="center"/>
          </w:tcPr>
          <w:p w14:paraId="0BFAF466" w14:textId="77777777" w:rsidR="00947408" w:rsidRPr="006645DC" w:rsidRDefault="00947408" w:rsidP="007C5AA8">
            <w:pPr>
              <w:keepNext/>
              <w:keepLines/>
              <w:snapToGrid w:val="0"/>
              <w:spacing w:before="0" w:after="0"/>
              <w:jc w:val="right"/>
              <w:outlineLvl w:val="1"/>
              <w:rPr>
                <w:rFonts w:cs="Calibri"/>
                <w:lang w:val="en-GB"/>
              </w:rPr>
            </w:pPr>
            <w:bookmarkStart w:id="274" w:name="_Toc376198543"/>
            <w:r w:rsidRPr="006645DC">
              <w:rPr>
                <w:rFonts w:cs="Calibri"/>
                <w:lang w:val="en-GB"/>
              </w:rPr>
              <w:t>882.0</w:t>
            </w:r>
            <w:bookmarkEnd w:id="274"/>
          </w:p>
        </w:tc>
        <w:tc>
          <w:tcPr>
            <w:tcW w:w="993" w:type="dxa"/>
            <w:tcBorders>
              <w:top w:val="single" w:sz="4" w:space="0" w:color="000000"/>
              <w:left w:val="single" w:sz="4" w:space="0" w:color="000000"/>
              <w:bottom w:val="single" w:sz="4" w:space="0" w:color="000000"/>
            </w:tcBorders>
            <w:vAlign w:val="center"/>
          </w:tcPr>
          <w:p w14:paraId="357E9CEF" w14:textId="77777777" w:rsidR="00947408" w:rsidRPr="006645DC" w:rsidRDefault="00947408" w:rsidP="007C5AA8">
            <w:pPr>
              <w:keepNext/>
              <w:keepLines/>
              <w:snapToGrid w:val="0"/>
              <w:spacing w:before="0" w:after="0"/>
              <w:jc w:val="right"/>
              <w:outlineLvl w:val="1"/>
              <w:rPr>
                <w:rFonts w:cs="Calibri"/>
                <w:lang w:val="en-GB"/>
              </w:rPr>
            </w:pPr>
            <w:bookmarkStart w:id="275" w:name="_Toc376198544"/>
            <w:r w:rsidRPr="006645DC">
              <w:rPr>
                <w:rFonts w:cs="Calibri"/>
                <w:lang w:val="en-GB"/>
              </w:rPr>
              <w:t>1 085.4</w:t>
            </w:r>
            <w:bookmarkEnd w:id="275"/>
          </w:p>
        </w:tc>
        <w:tc>
          <w:tcPr>
            <w:tcW w:w="1134" w:type="dxa"/>
            <w:tcBorders>
              <w:top w:val="single" w:sz="4" w:space="0" w:color="000000"/>
              <w:left w:val="single" w:sz="4" w:space="0" w:color="000000"/>
              <w:bottom w:val="single" w:sz="4" w:space="0" w:color="000000"/>
              <w:right w:val="single" w:sz="4" w:space="0" w:color="000000"/>
            </w:tcBorders>
            <w:vAlign w:val="center"/>
          </w:tcPr>
          <w:p w14:paraId="55575949" w14:textId="77777777" w:rsidR="00947408" w:rsidRPr="006645DC" w:rsidRDefault="00947408" w:rsidP="007C5AA8">
            <w:pPr>
              <w:keepNext/>
              <w:keepLines/>
              <w:snapToGrid w:val="0"/>
              <w:spacing w:before="0" w:after="0"/>
              <w:jc w:val="right"/>
              <w:outlineLvl w:val="1"/>
              <w:rPr>
                <w:rFonts w:cs="Calibri"/>
                <w:lang w:val="en-GB"/>
              </w:rPr>
            </w:pPr>
            <w:bookmarkStart w:id="276" w:name="_Toc376198545"/>
            <w:r w:rsidRPr="006645DC">
              <w:rPr>
                <w:rFonts w:cs="Calibri"/>
                <w:lang w:val="en-GB"/>
              </w:rPr>
              <w:t>625.1</w:t>
            </w:r>
            <w:bookmarkEnd w:id="276"/>
          </w:p>
        </w:tc>
      </w:tr>
      <w:tr w:rsidR="00947408" w:rsidRPr="006645DC" w14:paraId="452E6A06" w14:textId="77777777" w:rsidTr="007C5AA8">
        <w:trPr>
          <w:jc w:val="center"/>
        </w:trPr>
        <w:tc>
          <w:tcPr>
            <w:tcW w:w="923" w:type="dxa"/>
            <w:tcBorders>
              <w:top w:val="single" w:sz="4" w:space="0" w:color="000000"/>
              <w:left w:val="single" w:sz="4" w:space="0" w:color="000000"/>
              <w:bottom w:val="single" w:sz="4" w:space="0" w:color="000000"/>
            </w:tcBorders>
          </w:tcPr>
          <w:p w14:paraId="60D99486" w14:textId="77777777" w:rsidR="00947408" w:rsidRPr="006645DC" w:rsidRDefault="00947408" w:rsidP="00997A4F">
            <w:pPr>
              <w:keepNext/>
              <w:keepLines/>
              <w:autoSpaceDE w:val="0"/>
              <w:autoSpaceDN w:val="0"/>
              <w:adjustRightInd w:val="0"/>
              <w:spacing w:before="0" w:after="0"/>
              <w:outlineLvl w:val="1"/>
              <w:rPr>
                <w:rFonts w:eastAsia="Times New Roman" w:cs="Calibri"/>
                <w:snapToGrid w:val="0"/>
                <w:color w:val="000000"/>
                <w:lang w:val="en-GB" w:eastAsia="ro-RO"/>
              </w:rPr>
            </w:pPr>
            <w:bookmarkStart w:id="277" w:name="_Toc376198546"/>
            <w:r w:rsidRPr="006645DC">
              <w:rPr>
                <w:rFonts w:eastAsia="Times New Roman" w:cs="Calibri"/>
                <w:snapToGrid w:val="0"/>
                <w:color w:val="000000"/>
                <w:lang w:val="en-GB" w:eastAsia="ro-RO"/>
              </w:rPr>
              <w:t>2011</w:t>
            </w:r>
            <w:bookmarkEnd w:id="277"/>
            <w:r w:rsidRPr="006645DC">
              <w:rPr>
                <w:rFonts w:eastAsia="Times New Roman" w:cs="Calibri"/>
                <w:snapToGrid w:val="0"/>
                <w:color w:val="000000"/>
                <w:lang w:val="en-GB" w:eastAsia="ro-RO"/>
              </w:rPr>
              <w:t xml:space="preserve"> </w:t>
            </w:r>
          </w:p>
        </w:tc>
        <w:tc>
          <w:tcPr>
            <w:tcW w:w="1209" w:type="dxa"/>
            <w:tcBorders>
              <w:top w:val="single" w:sz="4" w:space="0" w:color="000000"/>
              <w:left w:val="single" w:sz="4" w:space="0" w:color="000000"/>
              <w:bottom w:val="single" w:sz="4" w:space="0" w:color="000000"/>
            </w:tcBorders>
            <w:vAlign w:val="center"/>
          </w:tcPr>
          <w:p w14:paraId="1623B405"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78" w:name="_Toc376198547"/>
            <w:r w:rsidRPr="006645DC">
              <w:rPr>
                <w:rFonts w:eastAsia="Times New Roman" w:cs="Calibri"/>
                <w:snapToGrid w:val="0"/>
                <w:color w:val="000000"/>
                <w:lang w:val="en-GB" w:eastAsia="ro-RO"/>
              </w:rPr>
              <w:t>1 617.2</w:t>
            </w:r>
            <w:bookmarkEnd w:id="278"/>
          </w:p>
        </w:tc>
        <w:tc>
          <w:tcPr>
            <w:tcW w:w="1134" w:type="dxa"/>
            <w:tcBorders>
              <w:top w:val="single" w:sz="4" w:space="0" w:color="000000"/>
              <w:left w:val="single" w:sz="4" w:space="0" w:color="000000"/>
              <w:bottom w:val="single" w:sz="4" w:space="0" w:color="000000"/>
            </w:tcBorders>
            <w:vAlign w:val="center"/>
          </w:tcPr>
          <w:p w14:paraId="72BDE766"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79" w:name="_Toc376198548"/>
            <w:r w:rsidRPr="006645DC">
              <w:rPr>
                <w:rFonts w:eastAsia="Times New Roman" w:cs="Calibri"/>
                <w:snapToGrid w:val="0"/>
                <w:color w:val="000000"/>
                <w:lang w:val="en-GB" w:eastAsia="ro-RO"/>
              </w:rPr>
              <w:t>791.7</w:t>
            </w:r>
            <w:bookmarkEnd w:id="279"/>
          </w:p>
        </w:tc>
        <w:tc>
          <w:tcPr>
            <w:tcW w:w="992" w:type="dxa"/>
            <w:tcBorders>
              <w:top w:val="single" w:sz="4" w:space="0" w:color="000000"/>
              <w:left w:val="single" w:sz="4" w:space="0" w:color="000000"/>
              <w:bottom w:val="single" w:sz="4" w:space="0" w:color="000000"/>
            </w:tcBorders>
            <w:vAlign w:val="center"/>
          </w:tcPr>
          <w:p w14:paraId="7A632E1C"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80" w:name="_Toc376198549"/>
            <w:r w:rsidRPr="006645DC">
              <w:rPr>
                <w:rFonts w:eastAsia="Times New Roman" w:cs="Calibri"/>
                <w:snapToGrid w:val="0"/>
                <w:color w:val="000000"/>
                <w:lang w:val="en-GB" w:eastAsia="ro-RO"/>
              </w:rPr>
              <w:t>825.5</w:t>
            </w:r>
            <w:bookmarkEnd w:id="280"/>
          </w:p>
        </w:tc>
        <w:tc>
          <w:tcPr>
            <w:tcW w:w="993" w:type="dxa"/>
            <w:tcBorders>
              <w:top w:val="single" w:sz="4" w:space="0" w:color="000000"/>
              <w:left w:val="single" w:sz="4" w:space="0" w:color="000000"/>
              <w:bottom w:val="single" w:sz="4" w:space="0" w:color="000000"/>
            </w:tcBorders>
            <w:vAlign w:val="center"/>
          </w:tcPr>
          <w:p w14:paraId="49ECE454"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81" w:name="_Toc376198550"/>
            <w:r w:rsidRPr="006645DC">
              <w:rPr>
                <w:rFonts w:eastAsia="Times New Roman" w:cs="Calibri"/>
                <w:snapToGrid w:val="0"/>
                <w:color w:val="000000"/>
                <w:lang w:val="en-GB" w:eastAsia="ro-RO"/>
              </w:rPr>
              <w:t>1 041.4</w:t>
            </w:r>
            <w:bookmarkEnd w:id="281"/>
          </w:p>
        </w:tc>
        <w:tc>
          <w:tcPr>
            <w:tcW w:w="1134" w:type="dxa"/>
            <w:tcBorders>
              <w:top w:val="single" w:sz="4" w:space="0" w:color="000000"/>
              <w:left w:val="single" w:sz="4" w:space="0" w:color="000000"/>
              <w:bottom w:val="single" w:sz="4" w:space="0" w:color="000000"/>
              <w:right w:val="single" w:sz="4" w:space="0" w:color="000000"/>
            </w:tcBorders>
            <w:vAlign w:val="center"/>
          </w:tcPr>
          <w:p w14:paraId="2000439C" w14:textId="77777777" w:rsidR="00947408" w:rsidRPr="006645DC" w:rsidRDefault="00947408" w:rsidP="007C5AA8">
            <w:pPr>
              <w:keepNext/>
              <w:keepLines/>
              <w:autoSpaceDE w:val="0"/>
              <w:autoSpaceDN w:val="0"/>
              <w:adjustRightInd w:val="0"/>
              <w:spacing w:before="0" w:after="0"/>
              <w:jc w:val="right"/>
              <w:outlineLvl w:val="1"/>
              <w:rPr>
                <w:rFonts w:eastAsia="Times New Roman" w:cs="Calibri"/>
                <w:snapToGrid w:val="0"/>
                <w:color w:val="000000"/>
                <w:lang w:val="en-GB" w:eastAsia="ro-RO"/>
              </w:rPr>
            </w:pPr>
            <w:bookmarkStart w:id="282" w:name="_Toc376198551"/>
            <w:r w:rsidRPr="006645DC">
              <w:rPr>
                <w:rFonts w:eastAsia="Times New Roman" w:cs="Calibri"/>
                <w:snapToGrid w:val="0"/>
                <w:color w:val="000000"/>
                <w:lang w:val="en-GB" w:eastAsia="ro-RO"/>
              </w:rPr>
              <w:t>575.8</w:t>
            </w:r>
            <w:bookmarkEnd w:id="282"/>
          </w:p>
        </w:tc>
      </w:tr>
    </w:tbl>
    <w:p w14:paraId="20A6446B" w14:textId="77777777" w:rsidR="00947408" w:rsidRPr="006645DC" w:rsidRDefault="00947408" w:rsidP="00947408">
      <w:pPr>
        <w:pStyle w:val="Caption"/>
        <w:rPr>
          <w:rFonts w:eastAsia="MS Gothic"/>
          <w:bCs/>
          <w:lang w:val="en-GB"/>
        </w:rPr>
      </w:pPr>
      <w:bookmarkStart w:id="283" w:name="_Toc391150111"/>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14</w:t>
      </w:r>
      <w:r w:rsidR="005979EB" w:rsidRPr="006645DC">
        <w:rPr>
          <w:lang w:val="en-GB"/>
        </w:rPr>
        <w:fldChar w:fldCharType="end"/>
      </w:r>
      <w:r w:rsidRPr="006645DC">
        <w:rPr>
          <w:lang w:val="en-GB"/>
        </w:rPr>
        <w:t xml:space="preserve"> - </w:t>
      </w:r>
      <w:r w:rsidRPr="006645DC">
        <w:rPr>
          <w:rFonts w:eastAsia="MS Gothic"/>
          <w:bCs/>
          <w:lang w:val="en-GB"/>
        </w:rPr>
        <w:t>Cross-border region population, by sex and environments by thousands of people - between 2007-2011</w:t>
      </w:r>
      <w:bookmarkEnd w:id="283"/>
    </w:p>
    <w:p w14:paraId="259B875A" w14:textId="77777777" w:rsidR="00947408" w:rsidRPr="006645DC" w:rsidRDefault="00947408" w:rsidP="00947408">
      <w:pPr>
        <w:pStyle w:val="Heading4"/>
        <w:rPr>
          <w:lang w:val="en-GB"/>
        </w:rPr>
      </w:pPr>
      <w:r w:rsidRPr="006645DC">
        <w:rPr>
          <w:lang w:val="en-GB"/>
        </w:rPr>
        <w:t xml:space="preserve"> (Source: The National Institute of Statistics – Romania, The National Institute of Statistics – Bulgaria)</w:t>
      </w:r>
    </w:p>
    <w:p w14:paraId="5AA4504D" w14:textId="77777777" w:rsidR="00947408" w:rsidRPr="006645DC" w:rsidRDefault="00947408" w:rsidP="00947408">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27"/>
        <w:gridCol w:w="1110"/>
        <w:gridCol w:w="3158"/>
        <w:gridCol w:w="1140"/>
      </w:tblGrid>
      <w:tr w:rsidR="00947408" w:rsidRPr="006645DC" w14:paraId="60F11CB6" w14:textId="77777777" w:rsidTr="007C5AA8">
        <w:trPr>
          <w:trHeight w:val="270"/>
          <w:jc w:val="center"/>
        </w:trPr>
        <w:tc>
          <w:tcPr>
            <w:tcW w:w="4437" w:type="dxa"/>
            <w:gridSpan w:val="2"/>
            <w:tcBorders>
              <w:top w:val="single" w:sz="4" w:space="0" w:color="auto"/>
              <w:left w:val="single" w:sz="4" w:space="0" w:color="auto"/>
              <w:bottom w:val="single" w:sz="4" w:space="0" w:color="auto"/>
              <w:right w:val="single" w:sz="4" w:space="0" w:color="auto"/>
            </w:tcBorders>
            <w:vAlign w:val="center"/>
            <w:hideMark/>
          </w:tcPr>
          <w:p w14:paraId="6CA9742F" w14:textId="77777777" w:rsidR="00947408" w:rsidRPr="006645DC" w:rsidRDefault="00947408" w:rsidP="007C5AA8">
            <w:pPr>
              <w:snapToGrid w:val="0"/>
              <w:spacing w:before="0" w:after="0" w:line="278" w:lineRule="auto"/>
              <w:jc w:val="center"/>
              <w:rPr>
                <w:lang w:val="en-GB"/>
              </w:rPr>
            </w:pPr>
            <w:r w:rsidRPr="006645DC">
              <w:rPr>
                <w:b/>
                <w:lang w:val="en-GB"/>
              </w:rPr>
              <w:t>Romanian Cross-border region</w:t>
            </w:r>
          </w:p>
        </w:tc>
        <w:tc>
          <w:tcPr>
            <w:tcW w:w="4298" w:type="dxa"/>
            <w:gridSpan w:val="2"/>
            <w:tcBorders>
              <w:top w:val="single" w:sz="4" w:space="0" w:color="auto"/>
              <w:left w:val="single" w:sz="4" w:space="0" w:color="auto"/>
              <w:bottom w:val="single" w:sz="4" w:space="0" w:color="auto"/>
              <w:right w:val="single" w:sz="4" w:space="0" w:color="auto"/>
            </w:tcBorders>
            <w:vAlign w:val="center"/>
            <w:hideMark/>
          </w:tcPr>
          <w:p w14:paraId="3BDB2397" w14:textId="77777777" w:rsidR="00947408" w:rsidRPr="006645DC" w:rsidRDefault="00947408" w:rsidP="007C5AA8">
            <w:pPr>
              <w:snapToGrid w:val="0"/>
              <w:spacing w:before="0" w:after="0"/>
              <w:jc w:val="center"/>
              <w:rPr>
                <w:b/>
                <w:lang w:val="en-GB"/>
              </w:rPr>
            </w:pPr>
            <w:r w:rsidRPr="006645DC">
              <w:rPr>
                <w:b/>
                <w:lang w:val="en-GB"/>
              </w:rPr>
              <w:t>Bulgarian Cross-border region</w:t>
            </w:r>
          </w:p>
        </w:tc>
      </w:tr>
      <w:tr w:rsidR="00947408" w:rsidRPr="006645DC" w14:paraId="064880FE" w14:textId="77777777" w:rsidTr="007C5AA8">
        <w:trPr>
          <w:trHeight w:val="270"/>
          <w:jc w:val="center"/>
        </w:trPr>
        <w:tc>
          <w:tcPr>
            <w:tcW w:w="3327" w:type="dxa"/>
            <w:tcBorders>
              <w:top w:val="single" w:sz="4" w:space="0" w:color="auto"/>
              <w:left w:val="single" w:sz="4" w:space="0" w:color="auto"/>
              <w:bottom w:val="single" w:sz="4" w:space="0" w:color="auto"/>
              <w:right w:val="single" w:sz="4" w:space="0" w:color="auto"/>
            </w:tcBorders>
            <w:vAlign w:val="center"/>
            <w:hideMark/>
          </w:tcPr>
          <w:p w14:paraId="1CE76F8D" w14:textId="77777777" w:rsidR="00947408" w:rsidRPr="006645DC" w:rsidRDefault="00947408" w:rsidP="007C5AA8">
            <w:pPr>
              <w:snapToGrid w:val="0"/>
              <w:spacing w:before="0" w:after="0"/>
              <w:jc w:val="center"/>
              <w:rPr>
                <w:b/>
                <w:lang w:val="en-GB"/>
              </w:rPr>
            </w:pPr>
            <w:r w:rsidRPr="006645DC">
              <w:rPr>
                <w:b/>
                <w:lang w:val="en-GB"/>
              </w:rPr>
              <w:t>Cross-border region population</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5AF2A3E" w14:textId="77777777" w:rsidR="00947408" w:rsidRPr="006645DC" w:rsidRDefault="00947408" w:rsidP="007C5AA8">
            <w:pPr>
              <w:keepNext/>
              <w:keepLines/>
              <w:autoSpaceDE w:val="0"/>
              <w:autoSpaceDN w:val="0"/>
              <w:adjustRightInd w:val="0"/>
              <w:spacing w:before="0" w:after="0" w:line="276" w:lineRule="auto"/>
              <w:jc w:val="center"/>
              <w:outlineLvl w:val="1"/>
              <w:rPr>
                <w:rFonts w:eastAsia="Times New Roman"/>
                <w:snapToGrid w:val="0"/>
                <w:color w:val="000000"/>
                <w:lang w:val="en-GB" w:eastAsia="ro-RO"/>
              </w:rPr>
            </w:pPr>
            <w:bookmarkStart w:id="284" w:name="_Toc376198552"/>
            <w:r w:rsidRPr="006645DC">
              <w:rPr>
                <w:rFonts w:eastAsia="Times New Roman"/>
                <w:snapToGrid w:val="0"/>
                <w:color w:val="000000"/>
                <w:lang w:val="en-GB" w:eastAsia="ro-RO"/>
              </w:rPr>
              <w:t>3,162,595</w:t>
            </w:r>
            <w:bookmarkEnd w:id="284"/>
          </w:p>
        </w:tc>
        <w:tc>
          <w:tcPr>
            <w:tcW w:w="3158" w:type="dxa"/>
            <w:tcBorders>
              <w:top w:val="single" w:sz="4" w:space="0" w:color="auto"/>
              <w:left w:val="single" w:sz="4" w:space="0" w:color="auto"/>
              <w:bottom w:val="single" w:sz="4" w:space="0" w:color="auto"/>
              <w:right w:val="single" w:sz="4" w:space="0" w:color="auto"/>
            </w:tcBorders>
            <w:vAlign w:val="center"/>
            <w:hideMark/>
          </w:tcPr>
          <w:p w14:paraId="5BF48B4D" w14:textId="77777777" w:rsidR="00947408" w:rsidRPr="006645DC" w:rsidRDefault="00947408" w:rsidP="007C5AA8">
            <w:pPr>
              <w:keepNext/>
              <w:keepLines/>
              <w:snapToGrid w:val="0"/>
              <w:spacing w:before="0" w:after="0"/>
              <w:jc w:val="center"/>
              <w:outlineLvl w:val="1"/>
              <w:rPr>
                <w:b/>
                <w:lang w:val="en-GB"/>
              </w:rPr>
            </w:pPr>
            <w:bookmarkStart w:id="285" w:name="_Toc376198553"/>
            <w:r w:rsidRPr="006645DC">
              <w:rPr>
                <w:b/>
                <w:lang w:val="en-GB"/>
              </w:rPr>
              <w:t>Cross-border region population</w:t>
            </w:r>
            <w:bookmarkEnd w:id="285"/>
          </w:p>
        </w:tc>
        <w:tc>
          <w:tcPr>
            <w:tcW w:w="1140" w:type="dxa"/>
            <w:tcBorders>
              <w:top w:val="single" w:sz="4" w:space="0" w:color="auto"/>
              <w:left w:val="single" w:sz="4" w:space="0" w:color="auto"/>
              <w:bottom w:val="single" w:sz="4" w:space="0" w:color="auto"/>
              <w:right w:val="single" w:sz="4" w:space="0" w:color="auto"/>
            </w:tcBorders>
            <w:vAlign w:val="center"/>
            <w:hideMark/>
          </w:tcPr>
          <w:p w14:paraId="4F90EFB3" w14:textId="77777777" w:rsidR="00947408" w:rsidRPr="006645DC" w:rsidRDefault="00947408" w:rsidP="007C5AA8">
            <w:pPr>
              <w:autoSpaceDE w:val="0"/>
              <w:autoSpaceDN w:val="0"/>
              <w:adjustRightInd w:val="0"/>
              <w:spacing w:before="0" w:after="0" w:line="276" w:lineRule="auto"/>
              <w:jc w:val="center"/>
              <w:rPr>
                <w:rFonts w:eastAsia="Times New Roman"/>
                <w:snapToGrid w:val="0"/>
                <w:color w:val="000000"/>
                <w:lang w:val="en-GB" w:eastAsia="ro-RO"/>
              </w:rPr>
            </w:pPr>
            <w:r w:rsidRPr="006645DC">
              <w:rPr>
                <w:rFonts w:eastAsia="Times New Roman"/>
                <w:snapToGrid w:val="0"/>
                <w:color w:val="000000"/>
                <w:lang w:val="en-GB" w:eastAsia="ro-RO"/>
              </w:rPr>
              <w:t>1,617,159</w:t>
            </w:r>
          </w:p>
        </w:tc>
      </w:tr>
      <w:tr w:rsidR="00947408" w:rsidRPr="006645DC" w14:paraId="714628FE" w14:textId="77777777" w:rsidTr="007C5AA8">
        <w:trPr>
          <w:trHeight w:val="270"/>
          <w:jc w:val="center"/>
        </w:trPr>
        <w:tc>
          <w:tcPr>
            <w:tcW w:w="3327" w:type="dxa"/>
            <w:tcBorders>
              <w:top w:val="single" w:sz="4" w:space="0" w:color="auto"/>
              <w:left w:val="single" w:sz="4" w:space="0" w:color="auto"/>
              <w:bottom w:val="single" w:sz="4" w:space="0" w:color="auto"/>
              <w:right w:val="single" w:sz="4" w:space="0" w:color="auto"/>
            </w:tcBorders>
            <w:vAlign w:val="center"/>
            <w:hideMark/>
          </w:tcPr>
          <w:p w14:paraId="26895762" w14:textId="77777777" w:rsidR="00947408" w:rsidRPr="006645DC" w:rsidRDefault="00947408" w:rsidP="00947408">
            <w:pPr>
              <w:snapToGrid w:val="0"/>
              <w:spacing w:before="0" w:after="0"/>
              <w:rPr>
                <w:lang w:val="en-GB"/>
              </w:rPr>
            </w:pPr>
            <w:r w:rsidRPr="006645DC">
              <w:rPr>
                <w:lang w:val="en-GB"/>
              </w:rPr>
              <w:t>Constanţa</w:t>
            </w:r>
          </w:p>
        </w:tc>
        <w:tc>
          <w:tcPr>
            <w:tcW w:w="1110" w:type="dxa"/>
            <w:tcBorders>
              <w:top w:val="single" w:sz="4" w:space="0" w:color="auto"/>
              <w:left w:val="single" w:sz="4" w:space="0" w:color="auto"/>
              <w:bottom w:val="single" w:sz="4" w:space="0" w:color="auto"/>
              <w:right w:val="single" w:sz="4" w:space="0" w:color="auto"/>
            </w:tcBorders>
            <w:vAlign w:val="center"/>
            <w:hideMark/>
          </w:tcPr>
          <w:p w14:paraId="7DEA0C89" w14:textId="77777777" w:rsidR="00947408" w:rsidRPr="006645DC" w:rsidRDefault="00947408" w:rsidP="007C5AA8">
            <w:pPr>
              <w:keepNext/>
              <w:keepLines/>
              <w:autoSpaceDE w:val="0"/>
              <w:autoSpaceDN w:val="0"/>
              <w:adjustRightInd w:val="0"/>
              <w:spacing w:before="0" w:after="0" w:line="276" w:lineRule="auto"/>
              <w:jc w:val="right"/>
              <w:outlineLvl w:val="1"/>
              <w:rPr>
                <w:rFonts w:eastAsia="Times New Roman"/>
                <w:snapToGrid w:val="0"/>
                <w:color w:val="000000"/>
                <w:lang w:val="en-GB" w:eastAsia="ro-RO"/>
              </w:rPr>
            </w:pPr>
            <w:bookmarkStart w:id="286" w:name="_Toc376198554"/>
            <w:r w:rsidRPr="006645DC">
              <w:rPr>
                <w:rFonts w:eastAsia="Times New Roman"/>
                <w:snapToGrid w:val="0"/>
                <w:color w:val="000000"/>
                <w:lang w:val="en-GB" w:eastAsia="ro-RO"/>
              </w:rPr>
              <w:t>724,671</w:t>
            </w:r>
            <w:bookmarkEnd w:id="286"/>
            <w:r w:rsidRPr="006645DC">
              <w:rPr>
                <w:rFonts w:eastAsia="Times New Roman"/>
                <w:snapToGrid w:val="0"/>
                <w:color w:val="000000"/>
                <w:lang w:val="en-GB" w:eastAsia="ro-RO"/>
              </w:rPr>
              <w:t xml:space="preserve"> </w:t>
            </w:r>
          </w:p>
        </w:tc>
        <w:tc>
          <w:tcPr>
            <w:tcW w:w="3158" w:type="dxa"/>
            <w:tcBorders>
              <w:top w:val="single" w:sz="4" w:space="0" w:color="auto"/>
              <w:left w:val="single" w:sz="4" w:space="0" w:color="auto"/>
              <w:bottom w:val="single" w:sz="4" w:space="0" w:color="auto"/>
              <w:right w:val="single" w:sz="4" w:space="0" w:color="auto"/>
            </w:tcBorders>
            <w:vAlign w:val="center"/>
            <w:hideMark/>
          </w:tcPr>
          <w:p w14:paraId="16EFDDFB" w14:textId="77777777" w:rsidR="00947408" w:rsidRPr="006645DC" w:rsidRDefault="00947408" w:rsidP="00997A4F">
            <w:pPr>
              <w:keepNext/>
              <w:keepLines/>
              <w:snapToGrid w:val="0"/>
              <w:spacing w:before="0" w:after="0"/>
              <w:outlineLvl w:val="1"/>
              <w:rPr>
                <w:lang w:val="en-GB"/>
              </w:rPr>
            </w:pPr>
            <w:bookmarkStart w:id="287" w:name="_Toc376198555"/>
            <w:r w:rsidRPr="006645DC">
              <w:rPr>
                <w:lang w:val="en-GB"/>
              </w:rPr>
              <w:t>Dobrich</w:t>
            </w:r>
            <w:bookmarkEnd w:id="287"/>
          </w:p>
        </w:tc>
        <w:tc>
          <w:tcPr>
            <w:tcW w:w="1140" w:type="dxa"/>
            <w:tcBorders>
              <w:top w:val="single" w:sz="4" w:space="0" w:color="auto"/>
              <w:left w:val="single" w:sz="4" w:space="0" w:color="auto"/>
              <w:bottom w:val="single" w:sz="4" w:space="0" w:color="auto"/>
              <w:right w:val="single" w:sz="4" w:space="0" w:color="auto"/>
            </w:tcBorders>
            <w:vAlign w:val="center"/>
            <w:hideMark/>
          </w:tcPr>
          <w:p w14:paraId="0B23A38E" w14:textId="77777777" w:rsidR="00947408" w:rsidRPr="006645DC" w:rsidRDefault="00947408" w:rsidP="007C5AA8">
            <w:pPr>
              <w:keepNext/>
              <w:keepLines/>
              <w:snapToGrid w:val="0"/>
              <w:spacing w:before="0" w:after="0"/>
              <w:jc w:val="right"/>
              <w:outlineLvl w:val="1"/>
              <w:rPr>
                <w:lang w:val="en-GB"/>
              </w:rPr>
            </w:pPr>
            <w:bookmarkStart w:id="288" w:name="_Toc376198556"/>
            <w:r w:rsidRPr="006645DC">
              <w:rPr>
                <w:lang w:val="en-GB"/>
              </w:rPr>
              <w:t>188,088</w:t>
            </w:r>
            <w:bookmarkEnd w:id="288"/>
          </w:p>
        </w:tc>
      </w:tr>
      <w:tr w:rsidR="00947408" w:rsidRPr="006645DC" w14:paraId="29F2BE58" w14:textId="77777777" w:rsidTr="007C5AA8">
        <w:trPr>
          <w:trHeight w:val="270"/>
          <w:jc w:val="center"/>
        </w:trPr>
        <w:tc>
          <w:tcPr>
            <w:tcW w:w="3327" w:type="dxa"/>
            <w:tcBorders>
              <w:top w:val="single" w:sz="4" w:space="0" w:color="auto"/>
              <w:left w:val="single" w:sz="4" w:space="0" w:color="auto"/>
              <w:bottom w:val="single" w:sz="4" w:space="0" w:color="auto"/>
              <w:right w:val="single" w:sz="4" w:space="0" w:color="auto"/>
            </w:tcBorders>
            <w:vAlign w:val="center"/>
            <w:hideMark/>
          </w:tcPr>
          <w:p w14:paraId="2B9F9122" w14:textId="77777777" w:rsidR="00947408" w:rsidRPr="006645DC" w:rsidRDefault="00947408" w:rsidP="00997A4F">
            <w:pPr>
              <w:keepNext/>
              <w:keepLines/>
              <w:snapToGrid w:val="0"/>
              <w:spacing w:before="0" w:after="0"/>
              <w:outlineLvl w:val="1"/>
              <w:rPr>
                <w:lang w:val="en-GB"/>
              </w:rPr>
            </w:pPr>
            <w:bookmarkStart w:id="289" w:name="_Toc376198557"/>
            <w:r w:rsidRPr="006645DC">
              <w:rPr>
                <w:lang w:val="en-GB"/>
              </w:rPr>
              <w:t>Călăraşi</w:t>
            </w:r>
            <w:bookmarkEnd w:id="289"/>
          </w:p>
        </w:tc>
        <w:tc>
          <w:tcPr>
            <w:tcW w:w="1110" w:type="dxa"/>
            <w:tcBorders>
              <w:top w:val="single" w:sz="4" w:space="0" w:color="auto"/>
              <w:left w:val="single" w:sz="4" w:space="0" w:color="auto"/>
              <w:bottom w:val="single" w:sz="4" w:space="0" w:color="auto"/>
              <w:right w:val="single" w:sz="4" w:space="0" w:color="auto"/>
            </w:tcBorders>
            <w:vAlign w:val="center"/>
            <w:hideMark/>
          </w:tcPr>
          <w:p w14:paraId="238F9EBE" w14:textId="77777777" w:rsidR="00947408" w:rsidRPr="006645DC" w:rsidRDefault="00947408" w:rsidP="007C5AA8">
            <w:pPr>
              <w:keepNext/>
              <w:keepLines/>
              <w:autoSpaceDE w:val="0"/>
              <w:autoSpaceDN w:val="0"/>
              <w:adjustRightInd w:val="0"/>
              <w:spacing w:before="0" w:after="0" w:line="276" w:lineRule="auto"/>
              <w:jc w:val="right"/>
              <w:outlineLvl w:val="1"/>
              <w:rPr>
                <w:rFonts w:eastAsia="Times New Roman"/>
                <w:snapToGrid w:val="0"/>
                <w:color w:val="000000"/>
                <w:lang w:val="en-GB" w:eastAsia="ro-RO"/>
              </w:rPr>
            </w:pPr>
            <w:bookmarkStart w:id="290" w:name="_Toc376198558"/>
            <w:r w:rsidRPr="006645DC">
              <w:rPr>
                <w:rFonts w:eastAsia="Times New Roman"/>
                <w:snapToGrid w:val="0"/>
                <w:color w:val="000000"/>
                <w:lang w:val="en-GB" w:eastAsia="ro-RO"/>
              </w:rPr>
              <w:t>311,474</w:t>
            </w:r>
            <w:bookmarkEnd w:id="290"/>
            <w:r w:rsidRPr="006645DC">
              <w:rPr>
                <w:rFonts w:eastAsia="Times New Roman"/>
                <w:snapToGrid w:val="0"/>
                <w:color w:val="000000"/>
                <w:lang w:val="en-GB" w:eastAsia="ro-RO"/>
              </w:rPr>
              <w:t xml:space="preserve"> </w:t>
            </w:r>
          </w:p>
        </w:tc>
        <w:tc>
          <w:tcPr>
            <w:tcW w:w="3158" w:type="dxa"/>
            <w:tcBorders>
              <w:top w:val="single" w:sz="4" w:space="0" w:color="auto"/>
              <w:left w:val="single" w:sz="4" w:space="0" w:color="auto"/>
              <w:bottom w:val="single" w:sz="4" w:space="0" w:color="auto"/>
              <w:right w:val="single" w:sz="4" w:space="0" w:color="auto"/>
            </w:tcBorders>
            <w:vAlign w:val="center"/>
            <w:hideMark/>
          </w:tcPr>
          <w:p w14:paraId="57C9AD3F" w14:textId="77777777" w:rsidR="00947408" w:rsidRPr="006645DC" w:rsidRDefault="00947408" w:rsidP="00997A4F">
            <w:pPr>
              <w:keepNext/>
              <w:keepLines/>
              <w:snapToGrid w:val="0"/>
              <w:spacing w:before="0" w:after="0"/>
              <w:outlineLvl w:val="1"/>
              <w:rPr>
                <w:lang w:val="en-GB"/>
              </w:rPr>
            </w:pPr>
            <w:bookmarkStart w:id="291" w:name="_Toc376198559"/>
            <w:r w:rsidRPr="006645DC">
              <w:rPr>
                <w:lang w:val="en-GB"/>
              </w:rPr>
              <w:t>Silistra</w:t>
            </w:r>
            <w:bookmarkEnd w:id="291"/>
          </w:p>
        </w:tc>
        <w:tc>
          <w:tcPr>
            <w:tcW w:w="1140" w:type="dxa"/>
            <w:tcBorders>
              <w:top w:val="single" w:sz="4" w:space="0" w:color="auto"/>
              <w:left w:val="single" w:sz="4" w:space="0" w:color="auto"/>
              <w:bottom w:val="single" w:sz="4" w:space="0" w:color="auto"/>
              <w:right w:val="single" w:sz="4" w:space="0" w:color="auto"/>
            </w:tcBorders>
            <w:vAlign w:val="center"/>
            <w:hideMark/>
          </w:tcPr>
          <w:p w14:paraId="6F083C00" w14:textId="77777777" w:rsidR="00947408" w:rsidRPr="006645DC" w:rsidRDefault="00947408" w:rsidP="007C5AA8">
            <w:pPr>
              <w:keepNext/>
              <w:keepLines/>
              <w:snapToGrid w:val="0"/>
              <w:spacing w:before="0" w:after="0"/>
              <w:jc w:val="right"/>
              <w:outlineLvl w:val="1"/>
              <w:rPr>
                <w:lang w:val="en-GB"/>
              </w:rPr>
            </w:pPr>
            <w:bookmarkStart w:id="292" w:name="_Toc376198560"/>
            <w:r w:rsidRPr="006645DC">
              <w:rPr>
                <w:lang w:val="en-GB"/>
              </w:rPr>
              <w:t>118,433</w:t>
            </w:r>
            <w:bookmarkEnd w:id="292"/>
          </w:p>
        </w:tc>
      </w:tr>
      <w:tr w:rsidR="00947408" w:rsidRPr="006645DC" w14:paraId="3BCC8631" w14:textId="77777777" w:rsidTr="007C5AA8">
        <w:trPr>
          <w:trHeight w:val="270"/>
          <w:jc w:val="center"/>
        </w:trPr>
        <w:tc>
          <w:tcPr>
            <w:tcW w:w="3327" w:type="dxa"/>
            <w:tcBorders>
              <w:top w:val="single" w:sz="4" w:space="0" w:color="auto"/>
              <w:left w:val="single" w:sz="4" w:space="0" w:color="auto"/>
              <w:bottom w:val="single" w:sz="4" w:space="0" w:color="auto"/>
              <w:right w:val="single" w:sz="4" w:space="0" w:color="auto"/>
            </w:tcBorders>
            <w:vAlign w:val="center"/>
            <w:hideMark/>
          </w:tcPr>
          <w:p w14:paraId="607CF0A3" w14:textId="77777777" w:rsidR="00947408" w:rsidRPr="006645DC" w:rsidRDefault="00947408" w:rsidP="00997A4F">
            <w:pPr>
              <w:keepNext/>
              <w:keepLines/>
              <w:snapToGrid w:val="0"/>
              <w:spacing w:before="0" w:after="0"/>
              <w:outlineLvl w:val="1"/>
              <w:rPr>
                <w:lang w:val="en-GB"/>
              </w:rPr>
            </w:pPr>
            <w:bookmarkStart w:id="293" w:name="_Toc376198561"/>
            <w:r w:rsidRPr="006645DC">
              <w:rPr>
                <w:lang w:val="en-GB"/>
              </w:rPr>
              <w:t>Giurgiu</w:t>
            </w:r>
            <w:bookmarkEnd w:id="293"/>
          </w:p>
        </w:tc>
        <w:tc>
          <w:tcPr>
            <w:tcW w:w="1110" w:type="dxa"/>
            <w:tcBorders>
              <w:top w:val="single" w:sz="4" w:space="0" w:color="auto"/>
              <w:left w:val="single" w:sz="4" w:space="0" w:color="auto"/>
              <w:bottom w:val="single" w:sz="4" w:space="0" w:color="auto"/>
              <w:right w:val="single" w:sz="4" w:space="0" w:color="auto"/>
            </w:tcBorders>
            <w:vAlign w:val="center"/>
            <w:hideMark/>
          </w:tcPr>
          <w:p w14:paraId="34287FAC" w14:textId="77777777" w:rsidR="00947408" w:rsidRPr="006645DC" w:rsidRDefault="00947408" w:rsidP="007C5AA8">
            <w:pPr>
              <w:keepNext/>
              <w:keepLines/>
              <w:autoSpaceDE w:val="0"/>
              <w:autoSpaceDN w:val="0"/>
              <w:adjustRightInd w:val="0"/>
              <w:spacing w:before="0" w:after="0" w:line="276" w:lineRule="auto"/>
              <w:jc w:val="right"/>
              <w:outlineLvl w:val="1"/>
              <w:rPr>
                <w:rFonts w:eastAsia="Times New Roman"/>
                <w:snapToGrid w:val="0"/>
                <w:color w:val="000000"/>
                <w:lang w:val="en-GB" w:eastAsia="ro-RO"/>
              </w:rPr>
            </w:pPr>
            <w:bookmarkStart w:id="294" w:name="_Toc376198562"/>
            <w:r w:rsidRPr="006645DC">
              <w:rPr>
                <w:rFonts w:eastAsia="Times New Roman"/>
                <w:snapToGrid w:val="0"/>
                <w:color w:val="000000"/>
                <w:lang w:val="en-GB" w:eastAsia="ro-RO"/>
              </w:rPr>
              <w:t>279,847</w:t>
            </w:r>
            <w:bookmarkEnd w:id="294"/>
          </w:p>
        </w:tc>
        <w:tc>
          <w:tcPr>
            <w:tcW w:w="3158" w:type="dxa"/>
            <w:tcBorders>
              <w:top w:val="single" w:sz="4" w:space="0" w:color="auto"/>
              <w:left w:val="single" w:sz="4" w:space="0" w:color="auto"/>
              <w:bottom w:val="single" w:sz="4" w:space="0" w:color="auto"/>
              <w:right w:val="single" w:sz="4" w:space="0" w:color="auto"/>
            </w:tcBorders>
            <w:vAlign w:val="center"/>
            <w:hideMark/>
          </w:tcPr>
          <w:p w14:paraId="10B6B6E3" w14:textId="77777777" w:rsidR="00947408" w:rsidRPr="006645DC" w:rsidRDefault="00947408" w:rsidP="00997A4F">
            <w:pPr>
              <w:keepNext/>
              <w:keepLines/>
              <w:snapToGrid w:val="0"/>
              <w:spacing w:before="0" w:after="0"/>
              <w:outlineLvl w:val="1"/>
              <w:rPr>
                <w:lang w:val="en-GB"/>
              </w:rPr>
            </w:pPr>
            <w:bookmarkStart w:id="295" w:name="_Toc376198563"/>
            <w:r w:rsidRPr="006645DC">
              <w:rPr>
                <w:lang w:val="en-GB"/>
              </w:rPr>
              <w:t>Ruse</w:t>
            </w:r>
            <w:bookmarkEnd w:id="295"/>
          </w:p>
        </w:tc>
        <w:tc>
          <w:tcPr>
            <w:tcW w:w="1140" w:type="dxa"/>
            <w:tcBorders>
              <w:top w:val="single" w:sz="4" w:space="0" w:color="auto"/>
              <w:left w:val="single" w:sz="4" w:space="0" w:color="auto"/>
              <w:bottom w:val="single" w:sz="4" w:space="0" w:color="auto"/>
              <w:right w:val="single" w:sz="4" w:space="0" w:color="auto"/>
            </w:tcBorders>
            <w:vAlign w:val="center"/>
            <w:hideMark/>
          </w:tcPr>
          <w:p w14:paraId="4C92EE4B" w14:textId="77777777" w:rsidR="00947408" w:rsidRPr="006645DC" w:rsidRDefault="00947408" w:rsidP="007C5AA8">
            <w:pPr>
              <w:keepNext/>
              <w:keepLines/>
              <w:snapToGrid w:val="0"/>
              <w:spacing w:before="0" w:after="0"/>
              <w:jc w:val="right"/>
              <w:outlineLvl w:val="1"/>
              <w:rPr>
                <w:lang w:val="en-GB"/>
              </w:rPr>
            </w:pPr>
            <w:bookmarkStart w:id="296" w:name="_Toc376198564"/>
            <w:r w:rsidRPr="006645DC">
              <w:rPr>
                <w:lang w:val="en-GB"/>
              </w:rPr>
              <w:t>233,767</w:t>
            </w:r>
            <w:bookmarkEnd w:id="296"/>
          </w:p>
        </w:tc>
      </w:tr>
      <w:tr w:rsidR="00947408" w:rsidRPr="006645DC" w14:paraId="678AAF0D" w14:textId="77777777" w:rsidTr="007C5AA8">
        <w:trPr>
          <w:trHeight w:val="270"/>
          <w:jc w:val="center"/>
        </w:trPr>
        <w:tc>
          <w:tcPr>
            <w:tcW w:w="3327" w:type="dxa"/>
            <w:tcBorders>
              <w:top w:val="single" w:sz="4" w:space="0" w:color="auto"/>
              <w:left w:val="single" w:sz="4" w:space="0" w:color="auto"/>
              <w:bottom w:val="single" w:sz="4" w:space="0" w:color="auto"/>
              <w:right w:val="single" w:sz="4" w:space="0" w:color="auto"/>
            </w:tcBorders>
            <w:vAlign w:val="center"/>
            <w:hideMark/>
          </w:tcPr>
          <w:p w14:paraId="3044E290" w14:textId="77777777" w:rsidR="00947408" w:rsidRPr="006645DC" w:rsidRDefault="00947408" w:rsidP="00997A4F">
            <w:pPr>
              <w:keepNext/>
              <w:keepLines/>
              <w:snapToGrid w:val="0"/>
              <w:spacing w:before="0" w:after="0"/>
              <w:outlineLvl w:val="1"/>
              <w:rPr>
                <w:lang w:val="en-GB"/>
              </w:rPr>
            </w:pPr>
            <w:bookmarkStart w:id="297" w:name="_Toc376198565"/>
            <w:r w:rsidRPr="006645DC">
              <w:rPr>
                <w:lang w:val="en-GB"/>
              </w:rPr>
              <w:t>Teleorman</w:t>
            </w:r>
            <w:bookmarkEnd w:id="297"/>
          </w:p>
        </w:tc>
        <w:tc>
          <w:tcPr>
            <w:tcW w:w="1110" w:type="dxa"/>
            <w:tcBorders>
              <w:top w:val="single" w:sz="4" w:space="0" w:color="auto"/>
              <w:left w:val="single" w:sz="4" w:space="0" w:color="auto"/>
              <w:bottom w:val="single" w:sz="4" w:space="0" w:color="auto"/>
              <w:right w:val="single" w:sz="4" w:space="0" w:color="auto"/>
            </w:tcBorders>
            <w:vAlign w:val="center"/>
            <w:hideMark/>
          </w:tcPr>
          <w:p w14:paraId="5DB48334" w14:textId="77777777" w:rsidR="00947408" w:rsidRPr="006645DC" w:rsidRDefault="00947408" w:rsidP="007C5AA8">
            <w:pPr>
              <w:keepNext/>
              <w:keepLines/>
              <w:autoSpaceDE w:val="0"/>
              <w:autoSpaceDN w:val="0"/>
              <w:adjustRightInd w:val="0"/>
              <w:spacing w:before="0" w:after="0" w:line="276" w:lineRule="auto"/>
              <w:jc w:val="right"/>
              <w:outlineLvl w:val="1"/>
              <w:rPr>
                <w:rFonts w:eastAsia="Times New Roman"/>
                <w:snapToGrid w:val="0"/>
                <w:color w:val="000000"/>
                <w:lang w:val="en-GB" w:eastAsia="ro-RO"/>
              </w:rPr>
            </w:pPr>
            <w:bookmarkStart w:id="298" w:name="_Toc376198566"/>
            <w:r w:rsidRPr="006645DC">
              <w:rPr>
                <w:rFonts w:eastAsia="Times New Roman"/>
                <w:snapToGrid w:val="0"/>
                <w:color w:val="000000"/>
                <w:lang w:val="en-GB" w:eastAsia="ro-RO"/>
              </w:rPr>
              <w:t>395,701</w:t>
            </w:r>
            <w:bookmarkEnd w:id="298"/>
            <w:r w:rsidRPr="006645DC">
              <w:rPr>
                <w:rFonts w:eastAsia="Times New Roman"/>
                <w:snapToGrid w:val="0"/>
                <w:color w:val="000000"/>
                <w:lang w:val="en-GB" w:eastAsia="ro-RO"/>
              </w:rPr>
              <w:t xml:space="preserve"> </w:t>
            </w:r>
          </w:p>
        </w:tc>
        <w:tc>
          <w:tcPr>
            <w:tcW w:w="3158" w:type="dxa"/>
            <w:tcBorders>
              <w:top w:val="single" w:sz="4" w:space="0" w:color="auto"/>
              <w:left w:val="single" w:sz="4" w:space="0" w:color="auto"/>
              <w:bottom w:val="single" w:sz="4" w:space="0" w:color="auto"/>
              <w:right w:val="single" w:sz="4" w:space="0" w:color="auto"/>
            </w:tcBorders>
            <w:vAlign w:val="center"/>
            <w:hideMark/>
          </w:tcPr>
          <w:p w14:paraId="711A5A5F" w14:textId="77777777" w:rsidR="00947408" w:rsidRPr="006645DC" w:rsidRDefault="00947408" w:rsidP="00997A4F">
            <w:pPr>
              <w:keepNext/>
              <w:keepLines/>
              <w:snapToGrid w:val="0"/>
              <w:spacing w:before="0" w:after="0"/>
              <w:outlineLvl w:val="1"/>
              <w:rPr>
                <w:lang w:val="en-GB"/>
              </w:rPr>
            </w:pPr>
            <w:bookmarkStart w:id="299" w:name="_Toc376198567"/>
            <w:r w:rsidRPr="006645DC">
              <w:rPr>
                <w:lang w:val="en-GB"/>
              </w:rPr>
              <w:t>Veliko Târnovo</w:t>
            </w:r>
            <w:bookmarkEnd w:id="299"/>
          </w:p>
        </w:tc>
        <w:tc>
          <w:tcPr>
            <w:tcW w:w="1140" w:type="dxa"/>
            <w:tcBorders>
              <w:top w:val="single" w:sz="4" w:space="0" w:color="auto"/>
              <w:left w:val="single" w:sz="4" w:space="0" w:color="auto"/>
              <w:bottom w:val="single" w:sz="4" w:space="0" w:color="auto"/>
              <w:right w:val="single" w:sz="4" w:space="0" w:color="auto"/>
            </w:tcBorders>
            <w:vAlign w:val="center"/>
            <w:hideMark/>
          </w:tcPr>
          <w:p w14:paraId="1B09F1B7" w14:textId="77777777" w:rsidR="00947408" w:rsidRPr="006645DC" w:rsidRDefault="00947408" w:rsidP="007C5AA8">
            <w:pPr>
              <w:keepNext/>
              <w:keepLines/>
              <w:snapToGrid w:val="0"/>
              <w:spacing w:before="0" w:after="0"/>
              <w:jc w:val="right"/>
              <w:outlineLvl w:val="1"/>
              <w:rPr>
                <w:lang w:val="en-GB"/>
              </w:rPr>
            </w:pPr>
            <w:bookmarkStart w:id="300" w:name="_Toc376198568"/>
            <w:r w:rsidRPr="006645DC">
              <w:rPr>
                <w:lang w:val="en-GB"/>
              </w:rPr>
              <w:t>256,279</w:t>
            </w:r>
            <w:bookmarkEnd w:id="300"/>
          </w:p>
        </w:tc>
      </w:tr>
      <w:tr w:rsidR="00947408" w:rsidRPr="006645DC" w14:paraId="3E775134" w14:textId="77777777" w:rsidTr="007C5AA8">
        <w:trPr>
          <w:trHeight w:val="304"/>
          <w:jc w:val="center"/>
        </w:trPr>
        <w:tc>
          <w:tcPr>
            <w:tcW w:w="3327" w:type="dxa"/>
            <w:tcBorders>
              <w:top w:val="single" w:sz="4" w:space="0" w:color="auto"/>
              <w:left w:val="single" w:sz="4" w:space="0" w:color="auto"/>
              <w:bottom w:val="single" w:sz="4" w:space="0" w:color="auto"/>
              <w:right w:val="single" w:sz="4" w:space="0" w:color="auto"/>
            </w:tcBorders>
            <w:vAlign w:val="center"/>
            <w:hideMark/>
          </w:tcPr>
          <w:p w14:paraId="4E6A810E" w14:textId="77777777" w:rsidR="00947408" w:rsidRPr="006645DC" w:rsidRDefault="00947408" w:rsidP="00997A4F">
            <w:pPr>
              <w:keepNext/>
              <w:keepLines/>
              <w:snapToGrid w:val="0"/>
              <w:spacing w:before="0" w:after="0"/>
              <w:outlineLvl w:val="1"/>
              <w:rPr>
                <w:lang w:val="en-GB"/>
              </w:rPr>
            </w:pPr>
            <w:bookmarkStart w:id="301" w:name="_Toc376198569"/>
            <w:r w:rsidRPr="006645DC">
              <w:rPr>
                <w:lang w:val="en-GB"/>
              </w:rPr>
              <w:t>Dolj</w:t>
            </w:r>
            <w:bookmarkEnd w:id="301"/>
          </w:p>
        </w:tc>
        <w:tc>
          <w:tcPr>
            <w:tcW w:w="1110" w:type="dxa"/>
            <w:tcBorders>
              <w:top w:val="single" w:sz="4" w:space="0" w:color="auto"/>
              <w:left w:val="single" w:sz="4" w:space="0" w:color="auto"/>
              <w:bottom w:val="single" w:sz="4" w:space="0" w:color="auto"/>
              <w:right w:val="single" w:sz="4" w:space="0" w:color="auto"/>
            </w:tcBorders>
            <w:vAlign w:val="center"/>
            <w:hideMark/>
          </w:tcPr>
          <w:p w14:paraId="66E5CF2C" w14:textId="77777777" w:rsidR="00947408" w:rsidRPr="006645DC" w:rsidRDefault="00947408" w:rsidP="007C5AA8">
            <w:pPr>
              <w:keepNext/>
              <w:keepLines/>
              <w:autoSpaceDE w:val="0"/>
              <w:autoSpaceDN w:val="0"/>
              <w:adjustRightInd w:val="0"/>
              <w:spacing w:before="0" w:after="0" w:line="276" w:lineRule="auto"/>
              <w:jc w:val="right"/>
              <w:outlineLvl w:val="1"/>
              <w:rPr>
                <w:rFonts w:eastAsia="Times New Roman"/>
                <w:snapToGrid w:val="0"/>
                <w:color w:val="000000"/>
                <w:lang w:val="en-GB" w:eastAsia="ro-RO"/>
              </w:rPr>
            </w:pPr>
            <w:bookmarkStart w:id="302" w:name="_Toc376198570"/>
            <w:r w:rsidRPr="006645DC">
              <w:rPr>
                <w:rFonts w:eastAsia="Times New Roman"/>
                <w:snapToGrid w:val="0"/>
                <w:color w:val="000000"/>
                <w:lang w:val="en-GB" w:eastAsia="ro-RO"/>
              </w:rPr>
              <w:t>700,431</w:t>
            </w:r>
            <w:bookmarkEnd w:id="302"/>
            <w:r w:rsidRPr="006645DC">
              <w:rPr>
                <w:rFonts w:eastAsia="Times New Roman"/>
                <w:snapToGrid w:val="0"/>
                <w:color w:val="000000"/>
                <w:lang w:val="en-GB" w:eastAsia="ro-RO"/>
              </w:rPr>
              <w:t xml:space="preserve"> </w:t>
            </w:r>
          </w:p>
        </w:tc>
        <w:tc>
          <w:tcPr>
            <w:tcW w:w="3158" w:type="dxa"/>
            <w:tcBorders>
              <w:top w:val="single" w:sz="4" w:space="0" w:color="auto"/>
              <w:left w:val="single" w:sz="4" w:space="0" w:color="auto"/>
              <w:bottom w:val="single" w:sz="4" w:space="0" w:color="auto"/>
              <w:right w:val="single" w:sz="4" w:space="0" w:color="auto"/>
            </w:tcBorders>
            <w:vAlign w:val="center"/>
            <w:hideMark/>
          </w:tcPr>
          <w:p w14:paraId="1949CA11" w14:textId="77777777" w:rsidR="00947408" w:rsidRPr="006645DC" w:rsidRDefault="00947408" w:rsidP="00997A4F">
            <w:pPr>
              <w:keepNext/>
              <w:keepLines/>
              <w:snapToGrid w:val="0"/>
              <w:spacing w:before="0" w:after="0"/>
              <w:outlineLvl w:val="1"/>
              <w:rPr>
                <w:lang w:val="en-GB"/>
              </w:rPr>
            </w:pPr>
            <w:bookmarkStart w:id="303" w:name="_Toc376198571"/>
            <w:r w:rsidRPr="006645DC">
              <w:rPr>
                <w:lang w:val="en-GB"/>
              </w:rPr>
              <w:t>Pleven</w:t>
            </w:r>
            <w:bookmarkEnd w:id="303"/>
          </w:p>
        </w:tc>
        <w:tc>
          <w:tcPr>
            <w:tcW w:w="1140" w:type="dxa"/>
            <w:tcBorders>
              <w:top w:val="single" w:sz="4" w:space="0" w:color="auto"/>
              <w:left w:val="single" w:sz="4" w:space="0" w:color="auto"/>
              <w:bottom w:val="single" w:sz="4" w:space="0" w:color="auto"/>
              <w:right w:val="single" w:sz="4" w:space="0" w:color="auto"/>
            </w:tcBorders>
            <w:vAlign w:val="center"/>
            <w:hideMark/>
          </w:tcPr>
          <w:p w14:paraId="3ED9A40D" w14:textId="77777777" w:rsidR="00947408" w:rsidRPr="006645DC" w:rsidRDefault="00947408" w:rsidP="007C5AA8">
            <w:pPr>
              <w:keepNext/>
              <w:keepLines/>
              <w:snapToGrid w:val="0"/>
              <w:spacing w:before="0" w:after="0"/>
              <w:jc w:val="right"/>
              <w:outlineLvl w:val="1"/>
              <w:rPr>
                <w:lang w:val="en-GB"/>
              </w:rPr>
            </w:pPr>
            <w:bookmarkStart w:id="304" w:name="_Toc376198572"/>
            <w:r w:rsidRPr="006645DC">
              <w:rPr>
                <w:lang w:val="en-GB"/>
              </w:rPr>
              <w:t>266,865</w:t>
            </w:r>
            <w:bookmarkEnd w:id="304"/>
          </w:p>
        </w:tc>
      </w:tr>
      <w:tr w:rsidR="00947408" w:rsidRPr="006645DC" w14:paraId="1838FECC" w14:textId="77777777" w:rsidTr="007C5AA8">
        <w:trPr>
          <w:trHeight w:val="270"/>
          <w:jc w:val="center"/>
        </w:trPr>
        <w:tc>
          <w:tcPr>
            <w:tcW w:w="3327" w:type="dxa"/>
            <w:tcBorders>
              <w:top w:val="single" w:sz="4" w:space="0" w:color="auto"/>
              <w:left w:val="single" w:sz="4" w:space="0" w:color="auto"/>
              <w:bottom w:val="single" w:sz="4" w:space="0" w:color="auto"/>
              <w:right w:val="single" w:sz="4" w:space="0" w:color="auto"/>
            </w:tcBorders>
            <w:vAlign w:val="center"/>
            <w:hideMark/>
          </w:tcPr>
          <w:p w14:paraId="02730080" w14:textId="77777777" w:rsidR="00947408" w:rsidRPr="006645DC" w:rsidRDefault="00947408" w:rsidP="00997A4F">
            <w:pPr>
              <w:keepNext/>
              <w:keepLines/>
              <w:snapToGrid w:val="0"/>
              <w:spacing w:before="0" w:after="0"/>
              <w:outlineLvl w:val="1"/>
              <w:rPr>
                <w:lang w:val="en-GB"/>
              </w:rPr>
            </w:pPr>
            <w:bookmarkStart w:id="305" w:name="_Toc376198573"/>
            <w:r w:rsidRPr="006645DC">
              <w:rPr>
                <w:lang w:val="en-GB"/>
              </w:rPr>
              <w:t>Mehedinţi</w:t>
            </w:r>
            <w:bookmarkEnd w:id="305"/>
          </w:p>
        </w:tc>
        <w:tc>
          <w:tcPr>
            <w:tcW w:w="1110" w:type="dxa"/>
            <w:tcBorders>
              <w:top w:val="single" w:sz="4" w:space="0" w:color="auto"/>
              <w:left w:val="single" w:sz="4" w:space="0" w:color="auto"/>
              <w:bottom w:val="single" w:sz="4" w:space="0" w:color="auto"/>
              <w:right w:val="single" w:sz="4" w:space="0" w:color="auto"/>
            </w:tcBorders>
            <w:vAlign w:val="center"/>
            <w:hideMark/>
          </w:tcPr>
          <w:p w14:paraId="10E6E25B" w14:textId="77777777" w:rsidR="00947408" w:rsidRPr="006645DC" w:rsidRDefault="00947408" w:rsidP="007C5AA8">
            <w:pPr>
              <w:keepNext/>
              <w:keepLines/>
              <w:snapToGrid w:val="0"/>
              <w:spacing w:before="0" w:after="0"/>
              <w:jc w:val="right"/>
              <w:outlineLvl w:val="1"/>
              <w:rPr>
                <w:lang w:val="en-GB"/>
              </w:rPr>
            </w:pPr>
            <w:bookmarkStart w:id="306" w:name="_Toc376198574"/>
            <w:r w:rsidRPr="006645DC">
              <w:rPr>
                <w:lang w:val="en-GB"/>
              </w:rPr>
              <w:t>290,137</w:t>
            </w:r>
            <w:bookmarkEnd w:id="306"/>
          </w:p>
        </w:tc>
        <w:tc>
          <w:tcPr>
            <w:tcW w:w="3158" w:type="dxa"/>
            <w:tcBorders>
              <w:top w:val="single" w:sz="4" w:space="0" w:color="auto"/>
              <w:left w:val="single" w:sz="4" w:space="0" w:color="auto"/>
              <w:bottom w:val="single" w:sz="4" w:space="0" w:color="auto"/>
              <w:right w:val="single" w:sz="4" w:space="0" w:color="auto"/>
            </w:tcBorders>
            <w:vAlign w:val="center"/>
            <w:hideMark/>
          </w:tcPr>
          <w:p w14:paraId="048664DA" w14:textId="77777777" w:rsidR="00947408" w:rsidRPr="006645DC" w:rsidRDefault="00947408" w:rsidP="00997A4F">
            <w:pPr>
              <w:keepNext/>
              <w:keepLines/>
              <w:snapToGrid w:val="0"/>
              <w:spacing w:before="0" w:after="0"/>
              <w:outlineLvl w:val="1"/>
              <w:rPr>
                <w:lang w:val="en-GB"/>
              </w:rPr>
            </w:pPr>
            <w:bookmarkStart w:id="307" w:name="_Toc376198575"/>
            <w:r w:rsidRPr="006645DC">
              <w:rPr>
                <w:lang w:val="en-GB"/>
              </w:rPr>
              <w:t>Vratsa</w:t>
            </w:r>
            <w:bookmarkEnd w:id="307"/>
          </w:p>
        </w:tc>
        <w:tc>
          <w:tcPr>
            <w:tcW w:w="1140" w:type="dxa"/>
            <w:tcBorders>
              <w:top w:val="single" w:sz="4" w:space="0" w:color="auto"/>
              <w:left w:val="single" w:sz="4" w:space="0" w:color="auto"/>
              <w:bottom w:val="single" w:sz="4" w:space="0" w:color="auto"/>
              <w:right w:val="single" w:sz="4" w:space="0" w:color="auto"/>
            </w:tcBorders>
            <w:vAlign w:val="center"/>
            <w:hideMark/>
          </w:tcPr>
          <w:p w14:paraId="32D7B49F" w14:textId="77777777" w:rsidR="00947408" w:rsidRPr="006645DC" w:rsidRDefault="00947408" w:rsidP="007C5AA8">
            <w:pPr>
              <w:keepNext/>
              <w:keepLines/>
              <w:snapToGrid w:val="0"/>
              <w:spacing w:before="0" w:after="0"/>
              <w:jc w:val="right"/>
              <w:outlineLvl w:val="1"/>
              <w:rPr>
                <w:lang w:val="en-GB"/>
              </w:rPr>
            </w:pPr>
            <w:bookmarkStart w:id="308" w:name="_Toc376198576"/>
            <w:r w:rsidRPr="006645DC">
              <w:rPr>
                <w:lang w:val="en-GB"/>
              </w:rPr>
              <w:t>184,662</w:t>
            </w:r>
            <w:bookmarkEnd w:id="308"/>
          </w:p>
        </w:tc>
      </w:tr>
      <w:tr w:rsidR="00947408" w:rsidRPr="006645DC" w14:paraId="4786CA86" w14:textId="77777777" w:rsidTr="007C5AA8">
        <w:trPr>
          <w:trHeight w:val="270"/>
          <w:jc w:val="center"/>
        </w:trPr>
        <w:tc>
          <w:tcPr>
            <w:tcW w:w="3327" w:type="dxa"/>
            <w:tcBorders>
              <w:top w:val="single" w:sz="4" w:space="0" w:color="auto"/>
              <w:left w:val="single" w:sz="4" w:space="0" w:color="auto"/>
              <w:bottom w:val="single" w:sz="4" w:space="0" w:color="auto"/>
              <w:right w:val="single" w:sz="4" w:space="0" w:color="auto"/>
            </w:tcBorders>
            <w:vAlign w:val="center"/>
            <w:hideMark/>
          </w:tcPr>
          <w:p w14:paraId="5D939314" w14:textId="77777777" w:rsidR="00947408" w:rsidRPr="006645DC" w:rsidRDefault="00947408" w:rsidP="00997A4F">
            <w:pPr>
              <w:keepNext/>
              <w:keepLines/>
              <w:snapToGrid w:val="0"/>
              <w:spacing w:before="0" w:after="0"/>
              <w:outlineLvl w:val="1"/>
              <w:rPr>
                <w:lang w:val="en-GB"/>
              </w:rPr>
            </w:pPr>
            <w:bookmarkStart w:id="309" w:name="_Toc376198577"/>
            <w:r w:rsidRPr="006645DC">
              <w:rPr>
                <w:lang w:val="en-GB"/>
              </w:rPr>
              <w:t>Olt</w:t>
            </w:r>
            <w:bookmarkEnd w:id="309"/>
          </w:p>
        </w:tc>
        <w:tc>
          <w:tcPr>
            <w:tcW w:w="1110" w:type="dxa"/>
            <w:tcBorders>
              <w:top w:val="single" w:sz="4" w:space="0" w:color="auto"/>
              <w:left w:val="single" w:sz="4" w:space="0" w:color="auto"/>
              <w:bottom w:val="single" w:sz="4" w:space="0" w:color="auto"/>
              <w:right w:val="single" w:sz="4" w:space="0" w:color="auto"/>
            </w:tcBorders>
            <w:vAlign w:val="center"/>
            <w:hideMark/>
          </w:tcPr>
          <w:p w14:paraId="017E3E3C" w14:textId="77777777" w:rsidR="00947408" w:rsidRPr="006645DC" w:rsidRDefault="00947408" w:rsidP="007C5AA8">
            <w:pPr>
              <w:keepNext/>
              <w:keepLines/>
              <w:snapToGrid w:val="0"/>
              <w:spacing w:before="0" w:after="0"/>
              <w:jc w:val="right"/>
              <w:outlineLvl w:val="1"/>
              <w:rPr>
                <w:lang w:val="en-GB"/>
              </w:rPr>
            </w:pPr>
            <w:bookmarkStart w:id="310" w:name="_Toc376198578"/>
            <w:r w:rsidRPr="006645DC">
              <w:rPr>
                <w:lang w:val="en-GB"/>
              </w:rPr>
              <w:t>460,334</w:t>
            </w:r>
            <w:bookmarkEnd w:id="310"/>
          </w:p>
        </w:tc>
        <w:tc>
          <w:tcPr>
            <w:tcW w:w="3158" w:type="dxa"/>
            <w:tcBorders>
              <w:top w:val="single" w:sz="4" w:space="0" w:color="auto"/>
              <w:left w:val="single" w:sz="4" w:space="0" w:color="auto"/>
              <w:bottom w:val="single" w:sz="4" w:space="0" w:color="auto"/>
              <w:right w:val="single" w:sz="4" w:space="0" w:color="auto"/>
            </w:tcBorders>
            <w:vAlign w:val="center"/>
            <w:hideMark/>
          </w:tcPr>
          <w:p w14:paraId="632640B6" w14:textId="77777777" w:rsidR="00947408" w:rsidRPr="006645DC" w:rsidRDefault="00947408" w:rsidP="00997A4F">
            <w:pPr>
              <w:keepNext/>
              <w:keepLines/>
              <w:snapToGrid w:val="0"/>
              <w:spacing w:before="0" w:after="0"/>
              <w:outlineLvl w:val="1"/>
              <w:rPr>
                <w:lang w:val="en-GB"/>
              </w:rPr>
            </w:pPr>
            <w:bookmarkStart w:id="311" w:name="_Toc376198579"/>
            <w:r w:rsidRPr="006645DC">
              <w:rPr>
                <w:lang w:val="en-GB"/>
              </w:rPr>
              <w:t>Montana</w:t>
            </w:r>
            <w:bookmarkEnd w:id="311"/>
          </w:p>
        </w:tc>
        <w:tc>
          <w:tcPr>
            <w:tcW w:w="1140" w:type="dxa"/>
            <w:tcBorders>
              <w:top w:val="single" w:sz="4" w:space="0" w:color="auto"/>
              <w:left w:val="single" w:sz="4" w:space="0" w:color="auto"/>
              <w:bottom w:val="single" w:sz="4" w:space="0" w:color="auto"/>
              <w:right w:val="single" w:sz="4" w:space="0" w:color="auto"/>
            </w:tcBorders>
            <w:vAlign w:val="center"/>
            <w:hideMark/>
          </w:tcPr>
          <w:p w14:paraId="4D8D79CF" w14:textId="77777777" w:rsidR="00947408" w:rsidRPr="006645DC" w:rsidRDefault="00947408" w:rsidP="007C5AA8">
            <w:pPr>
              <w:keepNext/>
              <w:keepLines/>
              <w:snapToGrid w:val="0"/>
              <w:spacing w:before="0" w:after="0"/>
              <w:jc w:val="right"/>
              <w:outlineLvl w:val="1"/>
              <w:rPr>
                <w:lang w:val="en-GB"/>
              </w:rPr>
            </w:pPr>
            <w:bookmarkStart w:id="312" w:name="_Toc376198580"/>
            <w:r w:rsidRPr="006645DC">
              <w:rPr>
                <w:lang w:val="en-GB"/>
              </w:rPr>
              <w:t>145,984</w:t>
            </w:r>
            <w:bookmarkEnd w:id="312"/>
          </w:p>
        </w:tc>
      </w:tr>
      <w:tr w:rsidR="00947408" w:rsidRPr="006645DC" w14:paraId="56F66925" w14:textId="77777777" w:rsidTr="007C5AA8">
        <w:trPr>
          <w:trHeight w:val="270"/>
          <w:jc w:val="center"/>
        </w:trPr>
        <w:tc>
          <w:tcPr>
            <w:tcW w:w="3327" w:type="dxa"/>
            <w:tcBorders>
              <w:top w:val="single" w:sz="4" w:space="0" w:color="auto"/>
              <w:left w:val="single" w:sz="4" w:space="0" w:color="auto"/>
              <w:bottom w:val="single" w:sz="4" w:space="0" w:color="auto"/>
              <w:right w:val="single" w:sz="4" w:space="0" w:color="auto"/>
            </w:tcBorders>
            <w:vAlign w:val="center"/>
            <w:hideMark/>
          </w:tcPr>
          <w:p w14:paraId="191445BB" w14:textId="77777777" w:rsidR="00947408" w:rsidRPr="006645DC" w:rsidRDefault="00947408" w:rsidP="00947408">
            <w:pPr>
              <w:keepNext/>
              <w:keepLines/>
              <w:snapToGrid w:val="0"/>
              <w:spacing w:before="0" w:after="0"/>
              <w:ind w:left="757" w:hanging="360"/>
              <w:outlineLvl w:val="1"/>
              <w:rPr>
                <w:lang w:val="en-GB"/>
              </w:rPr>
            </w:pPr>
            <w:r w:rsidRPr="006645DC">
              <w:rPr>
                <w:lang w:val="en-GB"/>
              </w:rPr>
              <w:t> </w:t>
            </w:r>
          </w:p>
        </w:tc>
        <w:tc>
          <w:tcPr>
            <w:tcW w:w="1110" w:type="dxa"/>
            <w:tcBorders>
              <w:top w:val="single" w:sz="4" w:space="0" w:color="auto"/>
              <w:left w:val="single" w:sz="4" w:space="0" w:color="auto"/>
              <w:bottom w:val="single" w:sz="4" w:space="0" w:color="auto"/>
              <w:right w:val="single" w:sz="4" w:space="0" w:color="auto"/>
            </w:tcBorders>
            <w:vAlign w:val="center"/>
            <w:hideMark/>
          </w:tcPr>
          <w:p w14:paraId="39C3E29D" w14:textId="77777777" w:rsidR="00947408" w:rsidRPr="006645DC" w:rsidRDefault="00947408" w:rsidP="007C5AA8">
            <w:pPr>
              <w:keepNext/>
              <w:keepLines/>
              <w:snapToGrid w:val="0"/>
              <w:spacing w:before="0" w:after="0"/>
              <w:ind w:left="757" w:hanging="360"/>
              <w:jc w:val="right"/>
              <w:outlineLvl w:val="1"/>
              <w:rPr>
                <w:lang w:val="en-GB"/>
              </w:rPr>
            </w:pPr>
            <w:r w:rsidRPr="006645DC">
              <w:rPr>
                <w:lang w:val="en-GB"/>
              </w:rPr>
              <w:t> </w:t>
            </w:r>
          </w:p>
        </w:tc>
        <w:tc>
          <w:tcPr>
            <w:tcW w:w="3158" w:type="dxa"/>
            <w:tcBorders>
              <w:top w:val="single" w:sz="4" w:space="0" w:color="auto"/>
              <w:left w:val="single" w:sz="4" w:space="0" w:color="auto"/>
              <w:bottom w:val="single" w:sz="4" w:space="0" w:color="auto"/>
              <w:right w:val="single" w:sz="4" w:space="0" w:color="auto"/>
            </w:tcBorders>
            <w:vAlign w:val="center"/>
            <w:hideMark/>
          </w:tcPr>
          <w:p w14:paraId="2AD9660C" w14:textId="77777777" w:rsidR="00947408" w:rsidRPr="006645DC" w:rsidRDefault="00947408" w:rsidP="00997A4F">
            <w:pPr>
              <w:keepNext/>
              <w:keepLines/>
              <w:snapToGrid w:val="0"/>
              <w:spacing w:before="0" w:after="0"/>
              <w:outlineLvl w:val="1"/>
              <w:rPr>
                <w:lang w:val="en-GB"/>
              </w:rPr>
            </w:pPr>
            <w:bookmarkStart w:id="313" w:name="_Toc376198581"/>
            <w:r w:rsidRPr="006645DC">
              <w:rPr>
                <w:lang w:val="en-GB"/>
              </w:rPr>
              <w:t>Vidin</w:t>
            </w:r>
            <w:bookmarkEnd w:id="313"/>
          </w:p>
        </w:tc>
        <w:tc>
          <w:tcPr>
            <w:tcW w:w="1140" w:type="dxa"/>
            <w:tcBorders>
              <w:top w:val="single" w:sz="4" w:space="0" w:color="auto"/>
              <w:left w:val="single" w:sz="4" w:space="0" w:color="auto"/>
              <w:bottom w:val="single" w:sz="4" w:space="0" w:color="auto"/>
              <w:right w:val="single" w:sz="4" w:space="0" w:color="auto"/>
            </w:tcBorders>
            <w:vAlign w:val="center"/>
            <w:hideMark/>
          </w:tcPr>
          <w:p w14:paraId="712C98FF" w14:textId="77777777" w:rsidR="00947408" w:rsidRPr="006645DC" w:rsidRDefault="00947408" w:rsidP="007C5AA8">
            <w:pPr>
              <w:keepNext/>
              <w:keepLines/>
              <w:snapToGrid w:val="0"/>
              <w:spacing w:before="0" w:after="0"/>
              <w:jc w:val="right"/>
              <w:outlineLvl w:val="1"/>
              <w:rPr>
                <w:lang w:val="en-GB"/>
              </w:rPr>
            </w:pPr>
            <w:bookmarkStart w:id="314" w:name="_Toc376198582"/>
            <w:r w:rsidRPr="006645DC">
              <w:rPr>
                <w:lang w:val="en-GB"/>
              </w:rPr>
              <w:t>99,481</w:t>
            </w:r>
            <w:bookmarkEnd w:id="314"/>
          </w:p>
        </w:tc>
      </w:tr>
    </w:tbl>
    <w:p w14:paraId="462C89AE" w14:textId="77777777" w:rsidR="00947408" w:rsidRPr="006645DC" w:rsidRDefault="00947408" w:rsidP="00947408">
      <w:pPr>
        <w:pStyle w:val="Caption"/>
        <w:rPr>
          <w:rFonts w:eastAsia="MS Gothic"/>
          <w:bCs/>
          <w:lang w:val="en-GB"/>
        </w:rPr>
      </w:pPr>
      <w:bookmarkStart w:id="315" w:name="_Toc391150112"/>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15</w:t>
      </w:r>
      <w:r w:rsidR="005979EB" w:rsidRPr="006645DC">
        <w:rPr>
          <w:lang w:val="en-GB"/>
        </w:rPr>
        <w:fldChar w:fldCharType="end"/>
      </w:r>
      <w:r w:rsidRPr="006645DC">
        <w:rPr>
          <w:lang w:val="en-GB"/>
        </w:rPr>
        <w:t xml:space="preserve"> - </w:t>
      </w:r>
      <w:r w:rsidRPr="006645DC">
        <w:rPr>
          <w:rFonts w:eastAsia="MS Gothic"/>
          <w:bCs/>
          <w:lang w:val="en-GB"/>
        </w:rPr>
        <w:t>Cross-border region population by districts in 2011</w:t>
      </w:r>
      <w:bookmarkEnd w:id="315"/>
    </w:p>
    <w:p w14:paraId="35AABEDD" w14:textId="77777777" w:rsidR="00947408" w:rsidRPr="006645DC" w:rsidRDefault="00947408" w:rsidP="00947408">
      <w:pPr>
        <w:pStyle w:val="Heading4"/>
        <w:rPr>
          <w:lang w:val="en-GB"/>
        </w:rPr>
      </w:pPr>
      <w:r w:rsidRPr="006645DC">
        <w:rPr>
          <w:lang w:val="en-GB"/>
        </w:rPr>
        <w:t>source: The National Institute of Statistics – Romania, The National Institute of Statistics – Bulgaria</w:t>
      </w:r>
    </w:p>
    <w:p w14:paraId="7268F847" w14:textId="77777777" w:rsidR="00A22A46" w:rsidRPr="006645DC" w:rsidRDefault="00A22A46" w:rsidP="00947408">
      <w:pPr>
        <w:rPr>
          <w:lang w:val="en-GB"/>
        </w:rPr>
      </w:pPr>
    </w:p>
    <w:p w14:paraId="4009AD62" w14:textId="77777777" w:rsidR="00947408" w:rsidRPr="006645DC" w:rsidRDefault="00947408" w:rsidP="00947408">
      <w:pPr>
        <w:rPr>
          <w:lang w:val="en-GB"/>
        </w:rPr>
      </w:pPr>
      <w:r w:rsidRPr="006645DC">
        <w:rPr>
          <w:lang w:val="en-GB"/>
        </w:rPr>
        <w:t xml:space="preserve">The data above indicates an accelerated decline in population levels on both sides of the Danube. </w:t>
      </w:r>
    </w:p>
    <w:p w14:paraId="4E4D7087" w14:textId="77777777" w:rsidR="00947408" w:rsidRPr="006645DC" w:rsidRDefault="00947408" w:rsidP="00947408">
      <w:pPr>
        <w:rPr>
          <w:lang w:val="en-GB"/>
        </w:rPr>
      </w:pPr>
      <w:r w:rsidRPr="006645DC">
        <w:rPr>
          <w:lang w:val="en-GB"/>
        </w:rPr>
        <w:lastRenderedPageBreak/>
        <w:t xml:space="preserve">In 2011, the population recorded in the cross-border region was of 4779.8 thousand, of which 3162.6 thousand (66%) in Romania and 1617.2 thousand (34%) in Bulgaria.  </w:t>
      </w:r>
    </w:p>
    <w:p w14:paraId="0BE2C26A" w14:textId="77777777" w:rsidR="00333CBE" w:rsidRPr="006645DC" w:rsidRDefault="00333CBE" w:rsidP="00333CBE">
      <w:pPr>
        <w:pStyle w:val="BodyText"/>
        <w:rPr>
          <w:rStyle w:val="longtext"/>
          <w:rFonts w:ascii="Calibri" w:hAnsi="Calibri" w:cs="Times New Roman"/>
          <w:lang w:val="en-GB"/>
        </w:rPr>
      </w:pPr>
    </w:p>
    <w:p w14:paraId="1549080B" w14:textId="77777777" w:rsidR="00BF306C" w:rsidRPr="006645DC" w:rsidRDefault="00BF306C" w:rsidP="00BF306C">
      <w:pPr>
        <w:pStyle w:val="BodyText"/>
        <w:jc w:val="center"/>
        <w:rPr>
          <w:rFonts w:ascii="Calibri" w:hAnsi="Calibri" w:cs="Times New Roman"/>
          <w:snapToGrid/>
          <w:lang w:val="en-GB" w:eastAsia="fr-FR"/>
        </w:rPr>
      </w:pPr>
    </w:p>
    <w:p w14:paraId="2DC655EE" w14:textId="77777777" w:rsidR="00947408" w:rsidRPr="006645DC" w:rsidRDefault="00AA4C82" w:rsidP="00BF306C">
      <w:pPr>
        <w:pStyle w:val="BodyText"/>
        <w:jc w:val="center"/>
        <w:rPr>
          <w:rStyle w:val="longtext"/>
          <w:rFonts w:ascii="Calibri" w:hAnsi="Calibri" w:cs="Times New Roman"/>
          <w:lang w:val="en-GB"/>
        </w:rPr>
      </w:pPr>
      <w:r w:rsidRPr="006645DC">
        <w:rPr>
          <w:rFonts w:ascii="Calibri" w:hAnsi="Calibri" w:cs="Times New Roman"/>
          <w:noProof/>
          <w:snapToGrid/>
          <w:lang w:val="bg-BG" w:eastAsia="bg-BG"/>
        </w:rPr>
        <w:drawing>
          <wp:inline distT="0" distB="0" distL="0" distR="0" wp14:anchorId="3931FDD5" wp14:editId="4DE3A081">
            <wp:extent cx="6115050" cy="3514725"/>
            <wp:effectExtent l="19050" t="0" r="0" b="0"/>
            <wp:docPr id="48" name="Picture 83" descr="Description: C:\Documents and Settings\Office\Desktop\AO en cours\2013\MDRAP_consultanta elaborare prog coop transf Ro-Bg\Raport 2_Territorial analysis\harti 2 12 20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Description: C:\Documents and Settings\Office\Desktop\AO en cours\2013\MDRAP_consultanta elaborare prog coop transf Ro-Bg\Raport 2_Territorial analysis\harti 2 12 20134.jpg"/>
                    <pic:cNvPicPr>
                      <a:picLocks noChangeAspect="1" noChangeArrowheads="1"/>
                    </pic:cNvPicPr>
                  </pic:nvPicPr>
                  <pic:blipFill>
                    <a:blip r:embed="rId78"/>
                    <a:srcRect/>
                    <a:stretch>
                      <a:fillRect/>
                    </a:stretch>
                  </pic:blipFill>
                  <pic:spPr bwMode="auto">
                    <a:xfrm>
                      <a:off x="0" y="0"/>
                      <a:ext cx="6115050" cy="3514725"/>
                    </a:xfrm>
                    <a:prstGeom prst="rect">
                      <a:avLst/>
                    </a:prstGeom>
                    <a:noFill/>
                    <a:ln w="9525">
                      <a:noFill/>
                      <a:miter lim="800000"/>
                      <a:headEnd/>
                      <a:tailEnd/>
                    </a:ln>
                  </pic:spPr>
                </pic:pic>
              </a:graphicData>
            </a:graphic>
          </wp:inline>
        </w:drawing>
      </w:r>
    </w:p>
    <w:p w14:paraId="2CDB4D53" w14:textId="77777777" w:rsidR="00333CBE" w:rsidRPr="006645DC" w:rsidRDefault="00333CBE" w:rsidP="00333CBE">
      <w:pPr>
        <w:pStyle w:val="BodyText"/>
        <w:jc w:val="center"/>
        <w:rPr>
          <w:rStyle w:val="longtext"/>
          <w:rFonts w:ascii="Calibri" w:hAnsi="Calibri" w:cs="Times New Roman"/>
          <w:lang w:val="en-GB"/>
        </w:rPr>
      </w:pPr>
    </w:p>
    <w:p w14:paraId="74323607" w14:textId="77777777" w:rsidR="00333CBE" w:rsidRPr="006645DC" w:rsidRDefault="00947408" w:rsidP="00947408">
      <w:pPr>
        <w:pStyle w:val="Caption"/>
        <w:rPr>
          <w:rStyle w:val="longtext"/>
          <w:rFonts w:cs="Times New Roman"/>
          <w:i w:val="0"/>
          <w:lang w:val="en-GB"/>
        </w:rPr>
      </w:pPr>
      <w:bookmarkStart w:id="316" w:name="_Toc391150018"/>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14</w:t>
      </w:r>
      <w:r w:rsidR="005979EB" w:rsidRPr="006645DC">
        <w:rPr>
          <w:lang w:val="en-GB"/>
        </w:rPr>
        <w:fldChar w:fldCharType="end"/>
      </w:r>
      <w:r w:rsidRPr="006645DC">
        <w:rPr>
          <w:lang w:val="en-GB"/>
        </w:rPr>
        <w:t xml:space="preserve"> - </w:t>
      </w:r>
      <w:r w:rsidR="00333CBE" w:rsidRPr="006645DC">
        <w:rPr>
          <w:lang w:val="en-GB"/>
        </w:rPr>
        <w:t>Population change during 2001-201</w:t>
      </w:r>
      <w:r w:rsidR="00EC6938" w:rsidRPr="006645DC">
        <w:rPr>
          <w:lang w:val="en-GB"/>
        </w:rPr>
        <w:t>0</w:t>
      </w:r>
      <w:r w:rsidR="00BF306C" w:rsidRPr="006645DC">
        <w:rPr>
          <w:lang w:val="en-GB"/>
        </w:rPr>
        <w:t xml:space="preserve"> (%)</w:t>
      </w:r>
      <w:bookmarkEnd w:id="316"/>
    </w:p>
    <w:p w14:paraId="454F9252" w14:textId="77777777" w:rsidR="00333CBE" w:rsidRPr="006645DC" w:rsidRDefault="00333CBE" w:rsidP="00333CBE">
      <w:pPr>
        <w:pStyle w:val="Heading4"/>
        <w:rPr>
          <w:lang w:val="en-GB"/>
        </w:rPr>
      </w:pPr>
      <w:r w:rsidRPr="006645DC">
        <w:rPr>
          <w:rStyle w:val="longtext"/>
          <w:lang w:val="en-GB"/>
        </w:rPr>
        <w:t>Source: ESPON the TerrEvi Project, 2012</w:t>
      </w:r>
      <w:r w:rsidR="00BF306C" w:rsidRPr="006645DC">
        <w:rPr>
          <w:rStyle w:val="longtext"/>
          <w:lang w:val="en-GB"/>
        </w:rPr>
        <w:t>, Détente Consultants</w:t>
      </w:r>
    </w:p>
    <w:p w14:paraId="18AD1D4C" w14:textId="77777777" w:rsidR="00333CBE" w:rsidRPr="006645DC" w:rsidRDefault="00333CBE" w:rsidP="00333CBE">
      <w:pPr>
        <w:pStyle w:val="BodyText"/>
        <w:rPr>
          <w:rStyle w:val="longtext"/>
          <w:rFonts w:ascii="Calibri" w:hAnsi="Calibri" w:cs="Times New Roman"/>
          <w:lang w:val="en-GB"/>
        </w:rPr>
      </w:pPr>
    </w:p>
    <w:p w14:paraId="4449A75A" w14:textId="77777777" w:rsidR="00333CBE" w:rsidRPr="006645DC" w:rsidRDefault="00333CBE" w:rsidP="00333CBE">
      <w:pPr>
        <w:pStyle w:val="BodyText"/>
        <w:rPr>
          <w:rFonts w:ascii="Calibri" w:hAnsi="Calibri" w:cs="Times New Roman"/>
          <w:lang w:val="en-GB"/>
        </w:rPr>
      </w:pPr>
    </w:p>
    <w:p w14:paraId="58A6111E" w14:textId="77777777" w:rsidR="008E2B43" w:rsidRPr="006645DC" w:rsidRDefault="008E2B43" w:rsidP="008E2B43">
      <w:pPr>
        <w:rPr>
          <w:lang w:val="en-GB"/>
        </w:rPr>
      </w:pPr>
      <w:r w:rsidRPr="006645DC">
        <w:rPr>
          <w:lang w:val="en-GB"/>
        </w:rPr>
        <w:t xml:space="preserve">According to the preliminary ESPON TerrEvi report, Romania and Bulgaria fall within the exodynamic demographic profile of former communist countries, generating working emigrants. The differences at a NUTS 3 level are generated by the demographic behaviour of the dwelling system, as predominantly rural units are the most affected by emigration (Vidin, Vratsa and Pleven in Bulgaria and Teleorman and Olt in Romania). The map above indicates the gravity of the phenomenon in the Romania-Bulgaria cross-border region: it was one of the most compact regions of de-population in the last decade in the whole EU-27.   </w:t>
      </w:r>
    </w:p>
    <w:p w14:paraId="75EB9B8A" w14:textId="77777777" w:rsidR="00A22A46" w:rsidRPr="006645DC" w:rsidRDefault="00A22A46" w:rsidP="00493A72">
      <w:pPr>
        <w:jc w:val="center"/>
        <w:rPr>
          <w:lang w:val="en-GB" w:eastAsia="fr-FR"/>
        </w:rPr>
      </w:pPr>
    </w:p>
    <w:p w14:paraId="6ABAEFB2" w14:textId="77777777" w:rsidR="00493A72" w:rsidRPr="006645DC" w:rsidRDefault="00AA4C82" w:rsidP="00493A72">
      <w:pPr>
        <w:jc w:val="center"/>
        <w:rPr>
          <w:lang w:val="en-GB"/>
        </w:rPr>
      </w:pPr>
      <w:r w:rsidRPr="006645DC">
        <w:rPr>
          <w:noProof/>
          <w:lang w:val="bg-BG" w:eastAsia="bg-BG"/>
        </w:rPr>
        <w:lastRenderedPageBreak/>
        <w:drawing>
          <wp:inline distT="0" distB="0" distL="0" distR="0" wp14:anchorId="309163AF" wp14:editId="21B1D6AA">
            <wp:extent cx="5581325" cy="2826328"/>
            <wp:effectExtent l="0" t="0" r="635" b="0"/>
            <wp:docPr id="49" name="Picture 67" descr="Description: C:\Documents and Settings\Office\Local Settings\Temporary Internet Files\Content.Word\harti 29 11 201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escription: C:\Documents and Settings\Office\Local Settings\Temporary Internet Files\Content.Word\harti 29 11 201313.jpg"/>
                    <pic:cNvPicPr>
                      <a:picLocks noChangeAspect="1" noChangeArrowheads="1"/>
                    </pic:cNvPicPr>
                  </pic:nvPicPr>
                  <pic:blipFill>
                    <a:blip r:embed="rId79"/>
                    <a:srcRect/>
                    <a:stretch>
                      <a:fillRect/>
                    </a:stretch>
                  </pic:blipFill>
                  <pic:spPr bwMode="auto">
                    <a:xfrm>
                      <a:off x="0" y="0"/>
                      <a:ext cx="5600700" cy="2836139"/>
                    </a:xfrm>
                    <a:prstGeom prst="rect">
                      <a:avLst/>
                    </a:prstGeom>
                    <a:noFill/>
                    <a:ln w="9525">
                      <a:noFill/>
                      <a:miter lim="800000"/>
                      <a:headEnd/>
                      <a:tailEnd/>
                    </a:ln>
                  </pic:spPr>
                </pic:pic>
              </a:graphicData>
            </a:graphic>
          </wp:inline>
        </w:drawing>
      </w:r>
    </w:p>
    <w:p w14:paraId="208A7587" w14:textId="77777777" w:rsidR="00493A72" w:rsidRPr="006645DC" w:rsidRDefault="00A22A46" w:rsidP="00A22A46">
      <w:pPr>
        <w:pStyle w:val="Caption"/>
        <w:rPr>
          <w:lang w:val="en-GB"/>
        </w:rPr>
      </w:pPr>
      <w:bookmarkStart w:id="317" w:name="_Toc391150019"/>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15</w:t>
      </w:r>
      <w:r w:rsidR="005979EB" w:rsidRPr="006645DC">
        <w:rPr>
          <w:lang w:val="en-GB"/>
        </w:rPr>
        <w:fldChar w:fldCharType="end"/>
      </w:r>
      <w:r w:rsidRPr="006645DC">
        <w:rPr>
          <w:lang w:val="en-GB"/>
        </w:rPr>
        <w:t xml:space="preserve"> - </w:t>
      </w:r>
      <w:r w:rsidR="00493A72" w:rsidRPr="006645DC">
        <w:rPr>
          <w:lang w:val="en-GB"/>
        </w:rPr>
        <w:t>Rate of decrease of resident population over 2005-2012 period (%)</w:t>
      </w:r>
      <w:bookmarkEnd w:id="317"/>
    </w:p>
    <w:p w14:paraId="7ACB8B2A" w14:textId="77777777" w:rsidR="00493A72" w:rsidRPr="00021461" w:rsidRDefault="00AE6879" w:rsidP="00A22A46">
      <w:pPr>
        <w:pStyle w:val="Heading4"/>
        <w:rPr>
          <w:lang w:val="it-IT"/>
        </w:rPr>
      </w:pPr>
      <w:r w:rsidRPr="00021461">
        <w:rPr>
          <w:lang w:val="it-IT"/>
        </w:rPr>
        <w:t>Source: INS Romania, NSI Bulgaria, Detente Consultants</w:t>
      </w:r>
    </w:p>
    <w:p w14:paraId="6DA6C344" w14:textId="77777777" w:rsidR="00A22A46" w:rsidRPr="00021461" w:rsidRDefault="00A22A46" w:rsidP="00A22A46">
      <w:pPr>
        <w:jc w:val="center"/>
        <w:rPr>
          <w:lang w:val="it-IT" w:eastAsia="fr-FR"/>
        </w:rPr>
      </w:pPr>
    </w:p>
    <w:p w14:paraId="319DEF08" w14:textId="77777777" w:rsidR="00A22A46" w:rsidRPr="006645DC" w:rsidRDefault="00AA4C82" w:rsidP="00A22A46">
      <w:pPr>
        <w:jc w:val="center"/>
        <w:rPr>
          <w:lang w:val="en-GB"/>
        </w:rPr>
      </w:pPr>
      <w:r w:rsidRPr="006645DC">
        <w:rPr>
          <w:noProof/>
          <w:lang w:val="bg-BG" w:eastAsia="bg-BG"/>
        </w:rPr>
        <w:drawing>
          <wp:inline distT="0" distB="0" distL="0" distR="0" wp14:anchorId="18560D97" wp14:editId="0C1BD027">
            <wp:extent cx="5673541" cy="2885704"/>
            <wp:effectExtent l="0" t="0" r="3810" b="0"/>
            <wp:docPr id="50" name="Picture 69" descr="Description: C:\Documents and Settings\Office\Desktop\AO en cours\2013\MDRAP_consultanta elaborare prog coop transf Ro-Bg\Raport 2_Territorial analysis\Draft Final_Territorial Analysis\Harti 29 11 2013\New folder\harti 29 11 2013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escription: C:\Documents and Settings\Office\Desktop\AO en cours\2013\MDRAP_consultanta elaborare prog coop transf Ro-Bg\Raport 2_Territorial analysis\Draft Final_Territorial Analysis\Harti 29 11 2013\New folder\harti 29 11 201314.jpg"/>
                    <pic:cNvPicPr>
                      <a:picLocks noChangeAspect="1" noChangeArrowheads="1"/>
                    </pic:cNvPicPr>
                  </pic:nvPicPr>
                  <pic:blipFill>
                    <a:blip r:embed="rId80"/>
                    <a:srcRect/>
                    <a:stretch>
                      <a:fillRect/>
                    </a:stretch>
                  </pic:blipFill>
                  <pic:spPr bwMode="auto">
                    <a:xfrm>
                      <a:off x="0" y="0"/>
                      <a:ext cx="5676900" cy="2887413"/>
                    </a:xfrm>
                    <a:prstGeom prst="rect">
                      <a:avLst/>
                    </a:prstGeom>
                    <a:noFill/>
                    <a:ln w="9525">
                      <a:noFill/>
                      <a:miter lim="800000"/>
                      <a:headEnd/>
                      <a:tailEnd/>
                    </a:ln>
                  </pic:spPr>
                </pic:pic>
              </a:graphicData>
            </a:graphic>
          </wp:inline>
        </w:drawing>
      </w:r>
    </w:p>
    <w:p w14:paraId="12E7CBF8" w14:textId="77777777" w:rsidR="00A22A46" w:rsidRPr="006645DC" w:rsidRDefault="00BF306C" w:rsidP="00BF306C">
      <w:pPr>
        <w:pStyle w:val="Caption"/>
        <w:rPr>
          <w:lang w:val="en-GB"/>
        </w:rPr>
      </w:pPr>
      <w:bookmarkStart w:id="318" w:name="_Toc391150020"/>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16</w:t>
      </w:r>
      <w:r w:rsidR="005979EB" w:rsidRPr="006645DC">
        <w:rPr>
          <w:lang w:val="en-GB"/>
        </w:rPr>
        <w:fldChar w:fldCharType="end"/>
      </w:r>
      <w:r w:rsidRPr="006645DC">
        <w:rPr>
          <w:lang w:val="en-GB"/>
        </w:rPr>
        <w:t xml:space="preserve"> - </w:t>
      </w:r>
      <w:r w:rsidR="00A22A46" w:rsidRPr="006645DC">
        <w:rPr>
          <w:lang w:val="en-GB"/>
        </w:rPr>
        <w:t>Rate of decrease of resident population over 2005-2012 period, rural area (%)</w:t>
      </w:r>
      <w:bookmarkEnd w:id="318"/>
    </w:p>
    <w:p w14:paraId="61889633" w14:textId="77777777" w:rsidR="00A22A46" w:rsidRPr="00021461" w:rsidRDefault="00AE6879" w:rsidP="00A22A46">
      <w:pPr>
        <w:pStyle w:val="Heading4"/>
        <w:rPr>
          <w:lang w:val="it-IT"/>
        </w:rPr>
      </w:pPr>
      <w:r w:rsidRPr="00021461">
        <w:rPr>
          <w:lang w:val="it-IT"/>
        </w:rPr>
        <w:t>Source: INS Romania, NSI Bulgaria, Detente Consultants</w:t>
      </w:r>
    </w:p>
    <w:p w14:paraId="4FF709B4" w14:textId="77777777" w:rsidR="00A22A46" w:rsidRPr="00021461" w:rsidRDefault="00A22A46" w:rsidP="008E2B43">
      <w:pPr>
        <w:rPr>
          <w:lang w:val="it-IT"/>
        </w:rPr>
      </w:pPr>
    </w:p>
    <w:p w14:paraId="533C1CCD" w14:textId="77777777" w:rsidR="008E2B43" w:rsidRPr="006645DC" w:rsidRDefault="008E2B43" w:rsidP="008E2B43">
      <w:pPr>
        <w:rPr>
          <w:lang w:val="en-GB"/>
        </w:rPr>
      </w:pPr>
      <w:r w:rsidRPr="006645DC">
        <w:rPr>
          <w:lang w:val="en-GB"/>
        </w:rPr>
        <w:lastRenderedPageBreak/>
        <w:t>In the Cross Border region, the population decreased over the last 5 years by 113 thousand persons, 54 thousand persons in the Romanian region and by 59 thousand persons in the Bulgarian one. This evolution had an impact on the workforce availability in the two countries and implicitly in the cross-border region, impact that is also reflected in the regional dynamics of the population in 2009/2010.</w:t>
      </w:r>
    </w:p>
    <w:p w14:paraId="4429B937" w14:textId="77777777" w:rsidR="008E2B43" w:rsidRPr="006645DC" w:rsidRDefault="008E2B43" w:rsidP="008E2B43">
      <w:pPr>
        <w:rPr>
          <w:lang w:val="en-GB"/>
        </w:rPr>
      </w:pPr>
      <w:r w:rsidRPr="006645DC">
        <w:rPr>
          <w:lang w:val="en-GB"/>
        </w:rPr>
        <w:t xml:space="preserve">The highest population density is recorded in the districts of Constanţa for Romania and Pleven for Bulgaria 102.3 and 62.8 inhabitants per square km respectively; contrasting with the districts of Mehedinţi and Vidin with 59 and 36 inhabitants per square km respectively. At the same time, the urban/rural population distribution in counties/districts with important urban centres such as Constanţa and Ruse (70% urban population) is significantly different than the one in low-developed counties/districts such as Giurgiu and Silistra with 31% and 45% of urban population. </w:t>
      </w:r>
    </w:p>
    <w:p w14:paraId="0FB35D88" w14:textId="77777777" w:rsidR="00A22A46" w:rsidRPr="006645DC" w:rsidRDefault="00A22A46" w:rsidP="00A22A46">
      <w:pPr>
        <w:jc w:val="center"/>
        <w:rPr>
          <w:lang w:val="en-GB"/>
        </w:rPr>
      </w:pPr>
    </w:p>
    <w:p w14:paraId="6F17E91E" w14:textId="77777777" w:rsidR="00A22A46" w:rsidRPr="006645DC" w:rsidRDefault="00A22A46" w:rsidP="00A22A46">
      <w:pPr>
        <w:jc w:val="center"/>
        <w:rPr>
          <w:lang w:val="en-GB"/>
        </w:rPr>
      </w:pPr>
    </w:p>
    <w:p w14:paraId="03572561" w14:textId="77777777" w:rsidR="00A22A46" w:rsidRPr="006645DC" w:rsidRDefault="00AA4C82" w:rsidP="00A22A46">
      <w:pPr>
        <w:jc w:val="center"/>
        <w:rPr>
          <w:lang w:val="en-GB"/>
        </w:rPr>
      </w:pPr>
      <w:r w:rsidRPr="006645DC">
        <w:rPr>
          <w:noProof/>
          <w:lang w:val="bg-BG" w:eastAsia="bg-BG"/>
        </w:rPr>
        <w:drawing>
          <wp:inline distT="0" distB="0" distL="0" distR="0" wp14:anchorId="0E0B8AF9" wp14:editId="6BDF2F72">
            <wp:extent cx="5438775" cy="3276600"/>
            <wp:effectExtent l="19050" t="0" r="9525" b="0"/>
            <wp:docPr id="51" name="Picture 68" descr="Description: C:\Documents and Settings\Office\Desktop\AO en cours\2013\MDRAP_consultanta elaborare prog coop transf Ro-Bg\Raport 2_Territorial analysis\Draft Final_Territorial Analysis\Harti 29 11 2013\New folder\harti 29 11 201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Description: C:\Documents and Settings\Office\Desktop\AO en cours\2013\MDRAP_consultanta elaborare prog coop transf Ro-Bg\Raport 2_Territorial analysis\Draft Final_Territorial Analysis\Harti 29 11 2013\New folder\harti 29 11 201315.jpg"/>
                    <pic:cNvPicPr>
                      <a:picLocks noChangeAspect="1" noChangeArrowheads="1"/>
                    </pic:cNvPicPr>
                  </pic:nvPicPr>
                  <pic:blipFill>
                    <a:blip r:embed="rId81"/>
                    <a:srcRect/>
                    <a:stretch>
                      <a:fillRect/>
                    </a:stretch>
                  </pic:blipFill>
                  <pic:spPr bwMode="auto">
                    <a:xfrm>
                      <a:off x="0" y="0"/>
                      <a:ext cx="5438775" cy="3276600"/>
                    </a:xfrm>
                    <a:prstGeom prst="rect">
                      <a:avLst/>
                    </a:prstGeom>
                    <a:noFill/>
                    <a:ln w="9525">
                      <a:noFill/>
                      <a:miter lim="800000"/>
                      <a:headEnd/>
                      <a:tailEnd/>
                    </a:ln>
                  </pic:spPr>
                </pic:pic>
              </a:graphicData>
            </a:graphic>
          </wp:inline>
        </w:drawing>
      </w:r>
    </w:p>
    <w:p w14:paraId="4141A8EB" w14:textId="77777777" w:rsidR="00A22A46" w:rsidRPr="006645DC" w:rsidRDefault="00A22A46" w:rsidP="00A22A46">
      <w:pPr>
        <w:pStyle w:val="Caption"/>
        <w:rPr>
          <w:lang w:val="en-GB" w:eastAsia="fr-FR"/>
        </w:rPr>
      </w:pPr>
      <w:bookmarkStart w:id="319" w:name="_Toc391150021"/>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17</w:t>
      </w:r>
      <w:r w:rsidR="005979EB" w:rsidRPr="006645DC">
        <w:rPr>
          <w:lang w:val="en-GB"/>
        </w:rPr>
        <w:fldChar w:fldCharType="end"/>
      </w:r>
      <w:r w:rsidRPr="006645DC">
        <w:rPr>
          <w:lang w:val="en-GB"/>
        </w:rPr>
        <w:t xml:space="preserve"> - </w:t>
      </w:r>
      <w:r w:rsidRPr="006645DC">
        <w:rPr>
          <w:lang w:val="en-GB" w:eastAsia="fr-FR"/>
        </w:rPr>
        <w:t>Population density (2012) – inh/km²</w:t>
      </w:r>
      <w:bookmarkEnd w:id="319"/>
    </w:p>
    <w:p w14:paraId="0EFA1F6F" w14:textId="77777777" w:rsidR="00A22A46" w:rsidRPr="00021461" w:rsidRDefault="00AE6879" w:rsidP="00A22A46">
      <w:pPr>
        <w:pStyle w:val="Heading4"/>
        <w:rPr>
          <w:lang w:val="it-IT"/>
        </w:rPr>
      </w:pPr>
      <w:r w:rsidRPr="00021461">
        <w:rPr>
          <w:lang w:val="it-IT"/>
        </w:rPr>
        <w:t>Source: INS Romania, NSI Bulgaria, Detente Consultants</w:t>
      </w:r>
    </w:p>
    <w:p w14:paraId="2C94938E" w14:textId="77777777" w:rsidR="008E2B43" w:rsidRPr="006645DC" w:rsidRDefault="008E2B43" w:rsidP="008E2B43">
      <w:pPr>
        <w:rPr>
          <w:lang w:val="en-GB"/>
        </w:rPr>
      </w:pPr>
      <w:r w:rsidRPr="006645DC">
        <w:rPr>
          <w:lang w:val="en-GB"/>
        </w:rPr>
        <w:t xml:space="preserve">The difference in the population distribution between the counties with main urban centres and the others indicates that these urban centres are population attractors for the region. According to the TerrEvi ESPON project, the demographic changes on the Romanian side are less accentuated in the counties where great urban centres are located (Dolj-Craiova city, Constanta – Constanta city).  On the Bulgarian side, however, the population decrease is continuous and unaffected by the existence of main urban centres in the districts. </w:t>
      </w:r>
    </w:p>
    <w:p w14:paraId="24964FB5" w14:textId="6E20A122" w:rsidR="00F35E83" w:rsidRPr="006645DC" w:rsidRDefault="008E2B43" w:rsidP="008E2B43">
      <w:pPr>
        <w:rPr>
          <w:lang w:val="en-GB"/>
        </w:rPr>
      </w:pPr>
      <w:r w:rsidRPr="006645DC">
        <w:rPr>
          <w:lang w:val="en-GB"/>
        </w:rPr>
        <w:lastRenderedPageBreak/>
        <w:t>Decreases were also registered in the average number of people per household at the level of all the NUTS 3 units that</w:t>
      </w:r>
      <w:r w:rsidR="00240617">
        <w:rPr>
          <w:lang w:val="en-GB"/>
        </w:rPr>
        <w:t xml:space="preserve"> form the cross-border region. </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0"/>
        <w:gridCol w:w="795"/>
        <w:gridCol w:w="823"/>
        <w:gridCol w:w="2033"/>
        <w:gridCol w:w="925"/>
        <w:gridCol w:w="829"/>
      </w:tblGrid>
      <w:tr w:rsidR="008E2B43" w:rsidRPr="006645DC" w14:paraId="74B268BF" w14:textId="77777777" w:rsidTr="00BC027E">
        <w:trPr>
          <w:trHeight w:val="270"/>
          <w:jc w:val="center"/>
        </w:trPr>
        <w:tc>
          <w:tcPr>
            <w:tcW w:w="3300" w:type="dxa"/>
            <w:vAlign w:val="center"/>
          </w:tcPr>
          <w:p w14:paraId="357C96DE" w14:textId="77777777" w:rsidR="008E2B43" w:rsidRPr="006645DC" w:rsidRDefault="008E2B43" w:rsidP="00BC027E">
            <w:pPr>
              <w:spacing w:before="0" w:after="0" w:line="280" w:lineRule="auto"/>
              <w:jc w:val="center"/>
              <w:rPr>
                <w:rFonts w:cs="Calibri"/>
                <w:lang w:val="en-GB"/>
              </w:rPr>
            </w:pPr>
            <w:r w:rsidRPr="006645DC">
              <w:rPr>
                <w:rFonts w:cs="Calibri"/>
                <w:b/>
                <w:lang w:val="en-GB"/>
              </w:rPr>
              <w:t>Romanian Cross-border region</w:t>
            </w:r>
          </w:p>
        </w:tc>
        <w:tc>
          <w:tcPr>
            <w:tcW w:w="795" w:type="dxa"/>
            <w:vAlign w:val="center"/>
          </w:tcPr>
          <w:p w14:paraId="07B485E6" w14:textId="77777777" w:rsidR="008E2B43" w:rsidRPr="006645DC" w:rsidRDefault="008E2B43" w:rsidP="00BC027E">
            <w:pPr>
              <w:spacing w:before="0" w:after="0"/>
              <w:jc w:val="center"/>
              <w:rPr>
                <w:rFonts w:cs="Calibri"/>
                <w:b/>
                <w:lang w:val="en-GB"/>
              </w:rPr>
            </w:pPr>
            <w:r w:rsidRPr="006645DC">
              <w:rPr>
                <w:rFonts w:cs="Calibri"/>
                <w:b/>
                <w:lang w:val="en-GB"/>
              </w:rPr>
              <w:t>2002</w:t>
            </w:r>
          </w:p>
        </w:tc>
        <w:tc>
          <w:tcPr>
            <w:tcW w:w="823" w:type="dxa"/>
            <w:vAlign w:val="center"/>
          </w:tcPr>
          <w:p w14:paraId="3381900A" w14:textId="77777777" w:rsidR="008E2B43" w:rsidRPr="006645DC" w:rsidRDefault="008E2B43" w:rsidP="00BC027E">
            <w:pPr>
              <w:spacing w:before="0" w:after="0"/>
              <w:jc w:val="center"/>
              <w:rPr>
                <w:rFonts w:cs="Calibri"/>
                <w:b/>
                <w:lang w:val="en-GB"/>
              </w:rPr>
            </w:pPr>
            <w:r w:rsidRPr="006645DC">
              <w:rPr>
                <w:rFonts w:cs="Calibri"/>
                <w:b/>
                <w:lang w:val="en-GB"/>
              </w:rPr>
              <w:t>2011</w:t>
            </w:r>
          </w:p>
        </w:tc>
        <w:tc>
          <w:tcPr>
            <w:tcW w:w="2033" w:type="dxa"/>
            <w:vAlign w:val="center"/>
          </w:tcPr>
          <w:p w14:paraId="0C7F8E0D" w14:textId="77777777" w:rsidR="008E2B43" w:rsidRPr="006645DC" w:rsidRDefault="008E2B43" w:rsidP="00BC027E">
            <w:pPr>
              <w:spacing w:before="0" w:after="0" w:line="280" w:lineRule="auto"/>
              <w:jc w:val="center"/>
              <w:rPr>
                <w:rFonts w:cs="Calibri"/>
                <w:lang w:val="en-GB"/>
              </w:rPr>
            </w:pPr>
            <w:r w:rsidRPr="006645DC">
              <w:rPr>
                <w:rFonts w:cs="Calibri"/>
                <w:b/>
                <w:lang w:val="en-GB"/>
              </w:rPr>
              <w:t>Bulgarian Cross-border region</w:t>
            </w:r>
          </w:p>
        </w:tc>
        <w:tc>
          <w:tcPr>
            <w:tcW w:w="925" w:type="dxa"/>
            <w:vAlign w:val="center"/>
          </w:tcPr>
          <w:p w14:paraId="147947F7" w14:textId="77777777" w:rsidR="008E2B43" w:rsidRPr="006645DC" w:rsidRDefault="008E2B43" w:rsidP="00BC027E">
            <w:pPr>
              <w:spacing w:before="0" w:after="0"/>
              <w:jc w:val="center"/>
              <w:rPr>
                <w:rFonts w:cs="Calibri"/>
                <w:b/>
                <w:lang w:val="en-GB"/>
              </w:rPr>
            </w:pPr>
            <w:r w:rsidRPr="006645DC">
              <w:rPr>
                <w:rFonts w:cs="Calibri"/>
                <w:b/>
                <w:lang w:val="en-GB"/>
              </w:rPr>
              <w:t>2001</w:t>
            </w:r>
          </w:p>
        </w:tc>
        <w:tc>
          <w:tcPr>
            <w:tcW w:w="829" w:type="dxa"/>
            <w:vAlign w:val="center"/>
          </w:tcPr>
          <w:p w14:paraId="0BCA8DE6" w14:textId="77777777" w:rsidR="008E2B43" w:rsidRPr="006645DC" w:rsidRDefault="008E2B43" w:rsidP="00BC027E">
            <w:pPr>
              <w:spacing w:before="0" w:after="0"/>
              <w:jc w:val="center"/>
              <w:rPr>
                <w:rFonts w:cs="Calibri"/>
                <w:b/>
                <w:lang w:val="en-GB"/>
              </w:rPr>
            </w:pPr>
            <w:r w:rsidRPr="006645DC">
              <w:rPr>
                <w:rFonts w:cs="Calibri"/>
                <w:b/>
                <w:lang w:val="en-GB"/>
              </w:rPr>
              <w:t>2011</w:t>
            </w:r>
          </w:p>
        </w:tc>
      </w:tr>
      <w:tr w:rsidR="008E2B43" w:rsidRPr="006645DC" w14:paraId="0D538DFF" w14:textId="77777777" w:rsidTr="00A14E7C">
        <w:trPr>
          <w:trHeight w:val="270"/>
          <w:jc w:val="center"/>
        </w:trPr>
        <w:tc>
          <w:tcPr>
            <w:tcW w:w="3300" w:type="dxa"/>
            <w:vAlign w:val="center"/>
          </w:tcPr>
          <w:p w14:paraId="7B69706D" w14:textId="77777777" w:rsidR="008E2B43" w:rsidRPr="006645DC" w:rsidRDefault="008E2B43" w:rsidP="008E2B43">
            <w:pPr>
              <w:spacing w:before="0" w:after="0" w:line="280" w:lineRule="auto"/>
              <w:rPr>
                <w:rFonts w:cs="Calibri"/>
                <w:lang w:val="en-GB"/>
              </w:rPr>
            </w:pPr>
            <w:r w:rsidRPr="006645DC">
              <w:rPr>
                <w:rFonts w:cs="Calibri"/>
                <w:lang w:val="en-GB"/>
              </w:rPr>
              <w:t>Constanţa</w:t>
            </w:r>
          </w:p>
        </w:tc>
        <w:tc>
          <w:tcPr>
            <w:tcW w:w="795" w:type="dxa"/>
            <w:noWrap/>
            <w:vAlign w:val="bottom"/>
          </w:tcPr>
          <w:p w14:paraId="170B0E58" w14:textId="77777777" w:rsidR="008E2B43" w:rsidRPr="006645DC" w:rsidRDefault="008E2B43" w:rsidP="00997A4F">
            <w:pPr>
              <w:keepNext/>
              <w:keepLines/>
              <w:spacing w:before="0" w:after="0"/>
              <w:outlineLvl w:val="1"/>
              <w:rPr>
                <w:rFonts w:cs="Calibri"/>
                <w:lang w:val="en-GB"/>
              </w:rPr>
            </w:pPr>
            <w:bookmarkStart w:id="320" w:name="_Toc376198583"/>
            <w:r w:rsidRPr="006645DC">
              <w:rPr>
                <w:rFonts w:cs="Calibri"/>
                <w:lang w:val="en-GB"/>
              </w:rPr>
              <w:t>3.0</w:t>
            </w:r>
            <w:bookmarkEnd w:id="320"/>
          </w:p>
        </w:tc>
        <w:tc>
          <w:tcPr>
            <w:tcW w:w="823" w:type="dxa"/>
            <w:vAlign w:val="bottom"/>
          </w:tcPr>
          <w:p w14:paraId="1E320C7B" w14:textId="77777777" w:rsidR="008E2B43" w:rsidRPr="006645DC" w:rsidRDefault="008E2B43" w:rsidP="00997A4F">
            <w:pPr>
              <w:keepNext/>
              <w:keepLines/>
              <w:spacing w:before="0" w:after="0"/>
              <w:outlineLvl w:val="1"/>
              <w:rPr>
                <w:rFonts w:cs="Calibri"/>
                <w:lang w:val="en-GB"/>
              </w:rPr>
            </w:pPr>
            <w:bookmarkStart w:id="321" w:name="_Toc376198584"/>
            <w:r w:rsidRPr="006645DC">
              <w:rPr>
                <w:rFonts w:cs="Calibri"/>
                <w:lang w:val="en-GB"/>
              </w:rPr>
              <w:t>2.8</w:t>
            </w:r>
            <w:bookmarkEnd w:id="321"/>
          </w:p>
        </w:tc>
        <w:tc>
          <w:tcPr>
            <w:tcW w:w="2033" w:type="dxa"/>
            <w:vAlign w:val="bottom"/>
          </w:tcPr>
          <w:p w14:paraId="01157B3E" w14:textId="77777777" w:rsidR="008E2B43" w:rsidRPr="006645DC" w:rsidRDefault="008E2B43" w:rsidP="00997A4F">
            <w:pPr>
              <w:keepNext/>
              <w:keepLines/>
              <w:spacing w:before="0" w:after="0" w:line="280" w:lineRule="auto"/>
              <w:outlineLvl w:val="1"/>
              <w:rPr>
                <w:rFonts w:cs="Calibri"/>
                <w:lang w:val="en-GB"/>
              </w:rPr>
            </w:pPr>
            <w:bookmarkStart w:id="322" w:name="_Toc376198585"/>
            <w:r w:rsidRPr="006645DC">
              <w:rPr>
                <w:rFonts w:cs="Calibri"/>
                <w:lang w:val="en-GB"/>
              </w:rPr>
              <w:t>Dobrich</w:t>
            </w:r>
            <w:bookmarkEnd w:id="322"/>
          </w:p>
        </w:tc>
        <w:tc>
          <w:tcPr>
            <w:tcW w:w="925" w:type="dxa"/>
            <w:noWrap/>
            <w:vAlign w:val="bottom"/>
          </w:tcPr>
          <w:p w14:paraId="3025A19D" w14:textId="77777777" w:rsidR="008E2B43" w:rsidRPr="006645DC" w:rsidRDefault="008E2B43" w:rsidP="00997A4F">
            <w:pPr>
              <w:keepNext/>
              <w:keepLines/>
              <w:spacing w:before="0" w:after="0"/>
              <w:outlineLvl w:val="1"/>
              <w:rPr>
                <w:rFonts w:cs="Calibri"/>
                <w:lang w:val="en-GB"/>
              </w:rPr>
            </w:pPr>
            <w:bookmarkStart w:id="323" w:name="_Toc376198586"/>
            <w:r w:rsidRPr="006645DC">
              <w:rPr>
                <w:rFonts w:cs="Calibri"/>
                <w:lang w:val="en-GB"/>
              </w:rPr>
              <w:t>2.8</w:t>
            </w:r>
            <w:bookmarkEnd w:id="323"/>
          </w:p>
        </w:tc>
        <w:tc>
          <w:tcPr>
            <w:tcW w:w="829" w:type="dxa"/>
            <w:vAlign w:val="bottom"/>
          </w:tcPr>
          <w:p w14:paraId="2EB5BE55" w14:textId="77777777" w:rsidR="008E2B43" w:rsidRPr="006645DC" w:rsidRDefault="008E2B43" w:rsidP="00997A4F">
            <w:pPr>
              <w:keepNext/>
              <w:keepLines/>
              <w:spacing w:before="0" w:after="0"/>
              <w:outlineLvl w:val="1"/>
              <w:rPr>
                <w:rFonts w:cs="Calibri"/>
                <w:lang w:val="en-GB"/>
              </w:rPr>
            </w:pPr>
            <w:bookmarkStart w:id="324" w:name="_Toc376198587"/>
            <w:r w:rsidRPr="006645DC">
              <w:rPr>
                <w:rFonts w:cs="Calibri"/>
                <w:lang w:val="en-GB"/>
              </w:rPr>
              <w:t>1.8</w:t>
            </w:r>
            <w:bookmarkEnd w:id="324"/>
          </w:p>
        </w:tc>
      </w:tr>
      <w:tr w:rsidR="008E2B43" w:rsidRPr="006645DC" w14:paraId="27376AB0" w14:textId="77777777" w:rsidTr="00A14E7C">
        <w:trPr>
          <w:trHeight w:val="270"/>
          <w:jc w:val="center"/>
        </w:trPr>
        <w:tc>
          <w:tcPr>
            <w:tcW w:w="3300" w:type="dxa"/>
            <w:vAlign w:val="center"/>
          </w:tcPr>
          <w:p w14:paraId="597B39ED" w14:textId="77777777" w:rsidR="008E2B43" w:rsidRPr="006645DC" w:rsidRDefault="008E2B43" w:rsidP="00997A4F">
            <w:pPr>
              <w:keepNext/>
              <w:keepLines/>
              <w:spacing w:before="0" w:after="0"/>
              <w:outlineLvl w:val="1"/>
              <w:rPr>
                <w:rFonts w:cs="Calibri"/>
                <w:lang w:val="en-GB"/>
              </w:rPr>
            </w:pPr>
            <w:bookmarkStart w:id="325" w:name="_Toc376198588"/>
            <w:r w:rsidRPr="006645DC">
              <w:rPr>
                <w:rFonts w:cs="Calibri"/>
                <w:lang w:val="en-GB"/>
              </w:rPr>
              <w:t>Călăraşi</w:t>
            </w:r>
            <w:bookmarkEnd w:id="325"/>
          </w:p>
        </w:tc>
        <w:tc>
          <w:tcPr>
            <w:tcW w:w="795" w:type="dxa"/>
            <w:noWrap/>
            <w:vAlign w:val="bottom"/>
          </w:tcPr>
          <w:p w14:paraId="676A29D3" w14:textId="77777777" w:rsidR="008E2B43" w:rsidRPr="006645DC" w:rsidRDefault="008E2B43" w:rsidP="00997A4F">
            <w:pPr>
              <w:keepNext/>
              <w:keepLines/>
              <w:spacing w:before="0" w:after="0"/>
              <w:outlineLvl w:val="1"/>
              <w:rPr>
                <w:rFonts w:cs="Calibri"/>
                <w:lang w:val="en-GB"/>
              </w:rPr>
            </w:pPr>
            <w:bookmarkStart w:id="326" w:name="_Toc376198589"/>
            <w:r w:rsidRPr="006645DC">
              <w:rPr>
                <w:rFonts w:cs="Calibri"/>
                <w:lang w:val="en-GB"/>
              </w:rPr>
              <w:t>3.1</w:t>
            </w:r>
            <w:bookmarkEnd w:id="326"/>
          </w:p>
        </w:tc>
        <w:tc>
          <w:tcPr>
            <w:tcW w:w="823" w:type="dxa"/>
            <w:vAlign w:val="bottom"/>
          </w:tcPr>
          <w:p w14:paraId="6ED37B63" w14:textId="77777777" w:rsidR="008E2B43" w:rsidRPr="006645DC" w:rsidRDefault="008E2B43" w:rsidP="00997A4F">
            <w:pPr>
              <w:keepNext/>
              <w:keepLines/>
              <w:spacing w:before="0" w:after="0"/>
              <w:outlineLvl w:val="1"/>
              <w:rPr>
                <w:rFonts w:cs="Calibri"/>
                <w:lang w:val="en-GB"/>
              </w:rPr>
            </w:pPr>
            <w:bookmarkStart w:id="327" w:name="_Toc376198590"/>
            <w:r w:rsidRPr="006645DC">
              <w:rPr>
                <w:rFonts w:cs="Calibri"/>
                <w:lang w:val="en-GB"/>
              </w:rPr>
              <w:t>2.9</w:t>
            </w:r>
            <w:bookmarkEnd w:id="327"/>
          </w:p>
        </w:tc>
        <w:tc>
          <w:tcPr>
            <w:tcW w:w="2033" w:type="dxa"/>
            <w:vAlign w:val="bottom"/>
          </w:tcPr>
          <w:p w14:paraId="423168D8" w14:textId="77777777" w:rsidR="008E2B43" w:rsidRPr="006645DC" w:rsidRDefault="008E2B43" w:rsidP="00997A4F">
            <w:pPr>
              <w:keepNext/>
              <w:keepLines/>
              <w:spacing w:before="0" w:after="0"/>
              <w:outlineLvl w:val="1"/>
              <w:rPr>
                <w:rFonts w:cs="Calibri"/>
                <w:lang w:val="en-GB"/>
              </w:rPr>
            </w:pPr>
            <w:bookmarkStart w:id="328" w:name="_Toc376198591"/>
            <w:r w:rsidRPr="006645DC">
              <w:rPr>
                <w:rFonts w:cs="Calibri"/>
                <w:lang w:val="en-GB"/>
              </w:rPr>
              <w:t>Silistra</w:t>
            </w:r>
            <w:bookmarkEnd w:id="328"/>
          </w:p>
        </w:tc>
        <w:tc>
          <w:tcPr>
            <w:tcW w:w="925" w:type="dxa"/>
            <w:noWrap/>
            <w:vAlign w:val="bottom"/>
          </w:tcPr>
          <w:p w14:paraId="7C900540" w14:textId="77777777" w:rsidR="008E2B43" w:rsidRPr="006645DC" w:rsidRDefault="008E2B43" w:rsidP="00997A4F">
            <w:pPr>
              <w:keepNext/>
              <w:keepLines/>
              <w:spacing w:before="0" w:after="0"/>
              <w:outlineLvl w:val="1"/>
              <w:rPr>
                <w:rFonts w:cs="Calibri"/>
                <w:lang w:val="en-GB"/>
              </w:rPr>
            </w:pPr>
            <w:bookmarkStart w:id="329" w:name="_Toc376198592"/>
            <w:r w:rsidRPr="006645DC">
              <w:rPr>
                <w:rFonts w:cs="Calibri"/>
                <w:lang w:val="en-GB"/>
              </w:rPr>
              <w:t>2.9</w:t>
            </w:r>
            <w:bookmarkEnd w:id="329"/>
          </w:p>
        </w:tc>
        <w:tc>
          <w:tcPr>
            <w:tcW w:w="829" w:type="dxa"/>
            <w:vAlign w:val="bottom"/>
          </w:tcPr>
          <w:p w14:paraId="3C265FD6" w14:textId="77777777" w:rsidR="008E2B43" w:rsidRPr="006645DC" w:rsidRDefault="008E2B43" w:rsidP="00997A4F">
            <w:pPr>
              <w:keepNext/>
              <w:keepLines/>
              <w:spacing w:before="0" w:after="0"/>
              <w:outlineLvl w:val="1"/>
              <w:rPr>
                <w:rFonts w:cs="Calibri"/>
                <w:lang w:val="en-GB"/>
              </w:rPr>
            </w:pPr>
            <w:bookmarkStart w:id="330" w:name="_Toc376198593"/>
            <w:r w:rsidRPr="006645DC">
              <w:rPr>
                <w:rFonts w:cs="Calibri"/>
                <w:lang w:val="en-GB"/>
              </w:rPr>
              <w:t>2.0</w:t>
            </w:r>
            <w:bookmarkEnd w:id="330"/>
          </w:p>
        </w:tc>
      </w:tr>
      <w:tr w:rsidR="008E2B43" w:rsidRPr="006645DC" w14:paraId="14ED1AA1" w14:textId="77777777" w:rsidTr="00A14E7C">
        <w:trPr>
          <w:trHeight w:val="270"/>
          <w:jc w:val="center"/>
        </w:trPr>
        <w:tc>
          <w:tcPr>
            <w:tcW w:w="3300" w:type="dxa"/>
            <w:vAlign w:val="center"/>
          </w:tcPr>
          <w:p w14:paraId="1404A287" w14:textId="77777777" w:rsidR="008E2B43" w:rsidRPr="006645DC" w:rsidRDefault="008E2B43" w:rsidP="00997A4F">
            <w:pPr>
              <w:keepNext/>
              <w:keepLines/>
              <w:spacing w:before="0" w:after="0"/>
              <w:outlineLvl w:val="1"/>
              <w:rPr>
                <w:rFonts w:cs="Calibri"/>
                <w:lang w:val="en-GB"/>
              </w:rPr>
            </w:pPr>
            <w:bookmarkStart w:id="331" w:name="_Toc376198594"/>
            <w:r w:rsidRPr="006645DC">
              <w:rPr>
                <w:rFonts w:cs="Calibri"/>
                <w:lang w:val="en-GB"/>
              </w:rPr>
              <w:t>Giurgiu</w:t>
            </w:r>
            <w:bookmarkEnd w:id="331"/>
          </w:p>
        </w:tc>
        <w:tc>
          <w:tcPr>
            <w:tcW w:w="795" w:type="dxa"/>
            <w:noWrap/>
            <w:vAlign w:val="bottom"/>
          </w:tcPr>
          <w:p w14:paraId="10DBDE8D" w14:textId="77777777" w:rsidR="008E2B43" w:rsidRPr="006645DC" w:rsidRDefault="008E2B43" w:rsidP="00997A4F">
            <w:pPr>
              <w:keepNext/>
              <w:keepLines/>
              <w:spacing w:before="0" w:after="0"/>
              <w:outlineLvl w:val="1"/>
              <w:rPr>
                <w:rFonts w:cs="Calibri"/>
                <w:lang w:val="en-GB"/>
              </w:rPr>
            </w:pPr>
            <w:bookmarkStart w:id="332" w:name="_Toc376198595"/>
            <w:r w:rsidRPr="006645DC">
              <w:rPr>
                <w:rFonts w:cs="Calibri"/>
                <w:lang w:val="en-GB"/>
              </w:rPr>
              <w:t>3.0</w:t>
            </w:r>
            <w:bookmarkEnd w:id="332"/>
          </w:p>
        </w:tc>
        <w:tc>
          <w:tcPr>
            <w:tcW w:w="823" w:type="dxa"/>
            <w:vAlign w:val="bottom"/>
          </w:tcPr>
          <w:p w14:paraId="5DF581F7" w14:textId="77777777" w:rsidR="008E2B43" w:rsidRPr="006645DC" w:rsidRDefault="008E2B43" w:rsidP="00997A4F">
            <w:pPr>
              <w:keepNext/>
              <w:keepLines/>
              <w:spacing w:before="0" w:after="0"/>
              <w:outlineLvl w:val="1"/>
              <w:rPr>
                <w:rFonts w:cs="Calibri"/>
                <w:lang w:val="en-GB"/>
              </w:rPr>
            </w:pPr>
            <w:bookmarkStart w:id="333" w:name="_Toc376198596"/>
            <w:r w:rsidRPr="006645DC">
              <w:rPr>
                <w:rFonts w:cs="Calibri"/>
                <w:lang w:val="en-GB"/>
              </w:rPr>
              <w:t>2.9</w:t>
            </w:r>
            <w:bookmarkEnd w:id="333"/>
          </w:p>
        </w:tc>
        <w:tc>
          <w:tcPr>
            <w:tcW w:w="2033" w:type="dxa"/>
            <w:vAlign w:val="bottom"/>
          </w:tcPr>
          <w:p w14:paraId="2E87CA28" w14:textId="77777777" w:rsidR="008E2B43" w:rsidRPr="006645DC" w:rsidRDefault="008E2B43" w:rsidP="00997A4F">
            <w:pPr>
              <w:keepNext/>
              <w:keepLines/>
              <w:spacing w:before="0" w:after="0"/>
              <w:outlineLvl w:val="1"/>
              <w:rPr>
                <w:rFonts w:cs="Calibri"/>
                <w:lang w:val="en-GB"/>
              </w:rPr>
            </w:pPr>
            <w:bookmarkStart w:id="334" w:name="_Toc376198597"/>
            <w:r w:rsidRPr="006645DC">
              <w:rPr>
                <w:rFonts w:cs="Calibri"/>
                <w:lang w:val="en-GB"/>
              </w:rPr>
              <w:t>Ruse</w:t>
            </w:r>
            <w:bookmarkEnd w:id="334"/>
          </w:p>
        </w:tc>
        <w:tc>
          <w:tcPr>
            <w:tcW w:w="925" w:type="dxa"/>
            <w:noWrap/>
            <w:vAlign w:val="bottom"/>
          </w:tcPr>
          <w:p w14:paraId="2A6329D0" w14:textId="77777777" w:rsidR="008E2B43" w:rsidRPr="006645DC" w:rsidRDefault="008E2B43" w:rsidP="00997A4F">
            <w:pPr>
              <w:keepNext/>
              <w:keepLines/>
              <w:spacing w:before="0" w:after="0"/>
              <w:outlineLvl w:val="1"/>
              <w:rPr>
                <w:rFonts w:cs="Calibri"/>
                <w:lang w:val="en-GB"/>
              </w:rPr>
            </w:pPr>
            <w:bookmarkStart w:id="335" w:name="_Toc376198598"/>
            <w:r w:rsidRPr="006645DC">
              <w:rPr>
                <w:rFonts w:cs="Calibri"/>
                <w:lang w:val="en-GB"/>
              </w:rPr>
              <w:t>2.7</w:t>
            </w:r>
            <w:bookmarkEnd w:id="335"/>
          </w:p>
        </w:tc>
        <w:tc>
          <w:tcPr>
            <w:tcW w:w="829" w:type="dxa"/>
            <w:vAlign w:val="bottom"/>
          </w:tcPr>
          <w:p w14:paraId="3947DCC4" w14:textId="77777777" w:rsidR="008E2B43" w:rsidRPr="006645DC" w:rsidRDefault="008E2B43" w:rsidP="00997A4F">
            <w:pPr>
              <w:keepNext/>
              <w:keepLines/>
              <w:spacing w:before="0" w:after="0"/>
              <w:outlineLvl w:val="1"/>
              <w:rPr>
                <w:rFonts w:cs="Calibri"/>
                <w:lang w:val="en-GB"/>
              </w:rPr>
            </w:pPr>
            <w:bookmarkStart w:id="336" w:name="_Toc376198599"/>
            <w:r w:rsidRPr="006645DC">
              <w:rPr>
                <w:rFonts w:cs="Calibri"/>
                <w:lang w:val="en-GB"/>
              </w:rPr>
              <w:t>1.8</w:t>
            </w:r>
            <w:bookmarkEnd w:id="336"/>
          </w:p>
        </w:tc>
      </w:tr>
      <w:tr w:rsidR="008E2B43" w:rsidRPr="006645DC" w14:paraId="46CFB7FF" w14:textId="77777777" w:rsidTr="00A14E7C">
        <w:trPr>
          <w:trHeight w:val="270"/>
          <w:jc w:val="center"/>
        </w:trPr>
        <w:tc>
          <w:tcPr>
            <w:tcW w:w="3300" w:type="dxa"/>
            <w:vAlign w:val="center"/>
          </w:tcPr>
          <w:p w14:paraId="67235AA4" w14:textId="77777777" w:rsidR="008E2B43" w:rsidRPr="006645DC" w:rsidRDefault="008E2B43" w:rsidP="00997A4F">
            <w:pPr>
              <w:keepNext/>
              <w:keepLines/>
              <w:spacing w:before="0" w:after="0"/>
              <w:outlineLvl w:val="1"/>
              <w:rPr>
                <w:rFonts w:cs="Calibri"/>
                <w:lang w:val="en-GB"/>
              </w:rPr>
            </w:pPr>
            <w:bookmarkStart w:id="337" w:name="_Toc376198600"/>
            <w:r w:rsidRPr="006645DC">
              <w:rPr>
                <w:rFonts w:cs="Calibri"/>
                <w:lang w:val="en-GB"/>
              </w:rPr>
              <w:t>Teleorman</w:t>
            </w:r>
            <w:bookmarkEnd w:id="337"/>
          </w:p>
        </w:tc>
        <w:tc>
          <w:tcPr>
            <w:tcW w:w="795" w:type="dxa"/>
            <w:noWrap/>
            <w:vAlign w:val="bottom"/>
          </w:tcPr>
          <w:p w14:paraId="525942B5" w14:textId="77777777" w:rsidR="008E2B43" w:rsidRPr="006645DC" w:rsidRDefault="008E2B43" w:rsidP="00997A4F">
            <w:pPr>
              <w:keepNext/>
              <w:keepLines/>
              <w:spacing w:before="0" w:after="0"/>
              <w:outlineLvl w:val="1"/>
              <w:rPr>
                <w:rFonts w:cs="Calibri"/>
                <w:lang w:val="en-GB"/>
              </w:rPr>
            </w:pPr>
            <w:bookmarkStart w:id="338" w:name="_Toc376198601"/>
            <w:r w:rsidRPr="006645DC">
              <w:rPr>
                <w:rFonts w:cs="Calibri"/>
                <w:lang w:val="en-GB"/>
              </w:rPr>
              <w:t>3.0</w:t>
            </w:r>
            <w:bookmarkEnd w:id="338"/>
          </w:p>
        </w:tc>
        <w:tc>
          <w:tcPr>
            <w:tcW w:w="823" w:type="dxa"/>
            <w:vAlign w:val="bottom"/>
          </w:tcPr>
          <w:p w14:paraId="456100A1" w14:textId="77777777" w:rsidR="008E2B43" w:rsidRPr="006645DC" w:rsidRDefault="008E2B43" w:rsidP="00997A4F">
            <w:pPr>
              <w:keepNext/>
              <w:keepLines/>
              <w:spacing w:before="0" w:after="0"/>
              <w:outlineLvl w:val="1"/>
              <w:rPr>
                <w:rFonts w:cs="Calibri"/>
                <w:lang w:val="en-GB"/>
              </w:rPr>
            </w:pPr>
            <w:bookmarkStart w:id="339" w:name="_Toc376198602"/>
            <w:r w:rsidRPr="006645DC">
              <w:rPr>
                <w:rFonts w:cs="Calibri"/>
                <w:lang w:val="en-GB"/>
              </w:rPr>
              <w:t>2.7</w:t>
            </w:r>
            <w:bookmarkEnd w:id="339"/>
          </w:p>
        </w:tc>
        <w:tc>
          <w:tcPr>
            <w:tcW w:w="2033" w:type="dxa"/>
            <w:vAlign w:val="bottom"/>
          </w:tcPr>
          <w:p w14:paraId="35620964" w14:textId="77777777" w:rsidR="008E2B43" w:rsidRPr="006645DC" w:rsidRDefault="008E2B43" w:rsidP="00997A4F">
            <w:pPr>
              <w:keepNext/>
              <w:keepLines/>
              <w:spacing w:before="0" w:after="0"/>
              <w:outlineLvl w:val="1"/>
              <w:rPr>
                <w:rFonts w:cs="Calibri"/>
                <w:lang w:val="en-GB"/>
              </w:rPr>
            </w:pPr>
            <w:bookmarkStart w:id="340" w:name="_Toc376198603"/>
            <w:r w:rsidRPr="006645DC">
              <w:rPr>
                <w:rFonts w:cs="Calibri"/>
                <w:lang w:val="en-GB"/>
              </w:rPr>
              <w:t>Veliko Târnovo</w:t>
            </w:r>
            <w:bookmarkEnd w:id="340"/>
          </w:p>
        </w:tc>
        <w:tc>
          <w:tcPr>
            <w:tcW w:w="925" w:type="dxa"/>
            <w:noWrap/>
            <w:vAlign w:val="bottom"/>
          </w:tcPr>
          <w:p w14:paraId="0D0F0032" w14:textId="77777777" w:rsidR="008E2B43" w:rsidRPr="006645DC" w:rsidRDefault="008E2B43" w:rsidP="00997A4F">
            <w:pPr>
              <w:keepNext/>
              <w:keepLines/>
              <w:spacing w:before="0" w:after="0"/>
              <w:outlineLvl w:val="1"/>
              <w:rPr>
                <w:rFonts w:cs="Calibri"/>
                <w:lang w:val="en-GB"/>
              </w:rPr>
            </w:pPr>
            <w:bookmarkStart w:id="341" w:name="_Toc376198604"/>
            <w:r w:rsidRPr="006645DC">
              <w:rPr>
                <w:rFonts w:cs="Calibri"/>
                <w:lang w:val="en-GB"/>
              </w:rPr>
              <w:t>2.6</w:t>
            </w:r>
            <w:bookmarkEnd w:id="341"/>
          </w:p>
        </w:tc>
        <w:tc>
          <w:tcPr>
            <w:tcW w:w="829" w:type="dxa"/>
            <w:vAlign w:val="bottom"/>
          </w:tcPr>
          <w:p w14:paraId="138740DA" w14:textId="77777777" w:rsidR="008E2B43" w:rsidRPr="006645DC" w:rsidRDefault="008E2B43" w:rsidP="00997A4F">
            <w:pPr>
              <w:keepNext/>
              <w:keepLines/>
              <w:spacing w:before="0" w:after="0"/>
              <w:outlineLvl w:val="1"/>
              <w:rPr>
                <w:rFonts w:cs="Calibri"/>
                <w:lang w:val="en-GB"/>
              </w:rPr>
            </w:pPr>
            <w:bookmarkStart w:id="342" w:name="_Toc376198605"/>
            <w:r w:rsidRPr="006645DC">
              <w:rPr>
                <w:rFonts w:cs="Calibri"/>
                <w:lang w:val="en-GB"/>
              </w:rPr>
              <w:t>1.7</w:t>
            </w:r>
            <w:bookmarkEnd w:id="342"/>
          </w:p>
        </w:tc>
      </w:tr>
      <w:tr w:rsidR="008E2B43" w:rsidRPr="006645DC" w14:paraId="37A19587" w14:textId="77777777" w:rsidTr="00A14E7C">
        <w:trPr>
          <w:trHeight w:val="304"/>
          <w:jc w:val="center"/>
        </w:trPr>
        <w:tc>
          <w:tcPr>
            <w:tcW w:w="3300" w:type="dxa"/>
            <w:vAlign w:val="center"/>
          </w:tcPr>
          <w:p w14:paraId="29D29272" w14:textId="77777777" w:rsidR="008E2B43" w:rsidRPr="006645DC" w:rsidRDefault="008E2B43" w:rsidP="00997A4F">
            <w:pPr>
              <w:keepNext/>
              <w:keepLines/>
              <w:spacing w:before="0" w:after="0"/>
              <w:outlineLvl w:val="1"/>
              <w:rPr>
                <w:rFonts w:cs="Calibri"/>
                <w:lang w:val="en-GB"/>
              </w:rPr>
            </w:pPr>
            <w:bookmarkStart w:id="343" w:name="_Toc376198606"/>
            <w:r w:rsidRPr="006645DC">
              <w:rPr>
                <w:rFonts w:cs="Calibri"/>
                <w:lang w:val="en-GB"/>
              </w:rPr>
              <w:t>Dolj</w:t>
            </w:r>
            <w:bookmarkEnd w:id="343"/>
          </w:p>
        </w:tc>
        <w:tc>
          <w:tcPr>
            <w:tcW w:w="795" w:type="dxa"/>
            <w:noWrap/>
            <w:vAlign w:val="bottom"/>
          </w:tcPr>
          <w:p w14:paraId="0E48ECF8" w14:textId="77777777" w:rsidR="008E2B43" w:rsidRPr="006645DC" w:rsidRDefault="008E2B43" w:rsidP="00997A4F">
            <w:pPr>
              <w:keepNext/>
              <w:keepLines/>
              <w:spacing w:before="0" w:after="0"/>
              <w:outlineLvl w:val="1"/>
              <w:rPr>
                <w:rFonts w:cs="Calibri"/>
                <w:lang w:val="en-GB"/>
              </w:rPr>
            </w:pPr>
            <w:bookmarkStart w:id="344" w:name="_Toc376198607"/>
            <w:r w:rsidRPr="006645DC">
              <w:rPr>
                <w:rFonts w:cs="Calibri"/>
                <w:lang w:val="en-GB"/>
              </w:rPr>
              <w:t>3.0</w:t>
            </w:r>
            <w:bookmarkEnd w:id="344"/>
          </w:p>
        </w:tc>
        <w:tc>
          <w:tcPr>
            <w:tcW w:w="823" w:type="dxa"/>
            <w:vAlign w:val="bottom"/>
          </w:tcPr>
          <w:p w14:paraId="1EB7997F" w14:textId="77777777" w:rsidR="008E2B43" w:rsidRPr="006645DC" w:rsidRDefault="008E2B43" w:rsidP="00997A4F">
            <w:pPr>
              <w:keepNext/>
              <w:keepLines/>
              <w:spacing w:before="0" w:after="0"/>
              <w:outlineLvl w:val="1"/>
              <w:rPr>
                <w:rFonts w:cs="Calibri"/>
                <w:lang w:val="en-GB"/>
              </w:rPr>
            </w:pPr>
            <w:bookmarkStart w:id="345" w:name="_Toc376198608"/>
            <w:r w:rsidRPr="006645DC">
              <w:rPr>
                <w:rFonts w:cs="Calibri"/>
                <w:lang w:val="en-GB"/>
              </w:rPr>
              <w:t>2.8</w:t>
            </w:r>
            <w:bookmarkEnd w:id="345"/>
          </w:p>
        </w:tc>
        <w:tc>
          <w:tcPr>
            <w:tcW w:w="2033" w:type="dxa"/>
            <w:vAlign w:val="bottom"/>
          </w:tcPr>
          <w:p w14:paraId="048867D8" w14:textId="77777777" w:rsidR="008E2B43" w:rsidRPr="006645DC" w:rsidRDefault="008E2B43" w:rsidP="00997A4F">
            <w:pPr>
              <w:keepNext/>
              <w:keepLines/>
              <w:spacing w:before="0" w:after="0"/>
              <w:outlineLvl w:val="1"/>
              <w:rPr>
                <w:rFonts w:cs="Calibri"/>
                <w:lang w:val="en-GB"/>
              </w:rPr>
            </w:pPr>
            <w:bookmarkStart w:id="346" w:name="_Toc376198609"/>
            <w:r w:rsidRPr="006645DC">
              <w:rPr>
                <w:rFonts w:cs="Calibri"/>
                <w:lang w:val="en-GB"/>
              </w:rPr>
              <w:t>Pleven</w:t>
            </w:r>
            <w:bookmarkEnd w:id="346"/>
          </w:p>
        </w:tc>
        <w:tc>
          <w:tcPr>
            <w:tcW w:w="925" w:type="dxa"/>
            <w:noWrap/>
            <w:vAlign w:val="bottom"/>
          </w:tcPr>
          <w:p w14:paraId="0004809F" w14:textId="77777777" w:rsidR="008E2B43" w:rsidRPr="006645DC" w:rsidRDefault="008E2B43" w:rsidP="00997A4F">
            <w:pPr>
              <w:keepNext/>
              <w:keepLines/>
              <w:spacing w:before="0" w:after="0"/>
              <w:outlineLvl w:val="1"/>
              <w:rPr>
                <w:rFonts w:cs="Calibri"/>
                <w:lang w:val="en-GB"/>
              </w:rPr>
            </w:pPr>
            <w:bookmarkStart w:id="347" w:name="_Toc376198610"/>
            <w:r w:rsidRPr="006645DC">
              <w:rPr>
                <w:rFonts w:cs="Calibri"/>
                <w:lang w:val="en-GB"/>
              </w:rPr>
              <w:t>2.7</w:t>
            </w:r>
            <w:bookmarkEnd w:id="347"/>
          </w:p>
        </w:tc>
        <w:tc>
          <w:tcPr>
            <w:tcW w:w="829" w:type="dxa"/>
            <w:vAlign w:val="bottom"/>
          </w:tcPr>
          <w:p w14:paraId="47C6FB40" w14:textId="77777777" w:rsidR="008E2B43" w:rsidRPr="006645DC" w:rsidRDefault="008E2B43" w:rsidP="00997A4F">
            <w:pPr>
              <w:keepNext/>
              <w:keepLines/>
              <w:spacing w:before="0" w:after="0"/>
              <w:outlineLvl w:val="1"/>
              <w:rPr>
                <w:rFonts w:cs="Calibri"/>
                <w:lang w:val="en-GB"/>
              </w:rPr>
            </w:pPr>
            <w:bookmarkStart w:id="348" w:name="_Toc376198611"/>
            <w:r w:rsidRPr="006645DC">
              <w:rPr>
                <w:rFonts w:cs="Calibri"/>
                <w:lang w:val="en-GB"/>
              </w:rPr>
              <w:t>1.8</w:t>
            </w:r>
            <w:bookmarkEnd w:id="348"/>
          </w:p>
        </w:tc>
      </w:tr>
      <w:tr w:rsidR="008E2B43" w:rsidRPr="006645DC" w14:paraId="38B3D744" w14:textId="77777777" w:rsidTr="00A14E7C">
        <w:trPr>
          <w:trHeight w:val="270"/>
          <w:jc w:val="center"/>
        </w:trPr>
        <w:tc>
          <w:tcPr>
            <w:tcW w:w="3300" w:type="dxa"/>
            <w:vAlign w:val="center"/>
          </w:tcPr>
          <w:p w14:paraId="4CF22420" w14:textId="77777777" w:rsidR="008E2B43" w:rsidRPr="006645DC" w:rsidRDefault="008E2B43" w:rsidP="00997A4F">
            <w:pPr>
              <w:keepNext/>
              <w:keepLines/>
              <w:spacing w:before="0" w:after="0"/>
              <w:outlineLvl w:val="1"/>
              <w:rPr>
                <w:rFonts w:cs="Calibri"/>
                <w:lang w:val="en-GB"/>
              </w:rPr>
            </w:pPr>
            <w:bookmarkStart w:id="349" w:name="_Toc376198612"/>
            <w:r w:rsidRPr="006645DC">
              <w:rPr>
                <w:rFonts w:cs="Calibri"/>
                <w:lang w:val="en-GB"/>
              </w:rPr>
              <w:t>Mehedinţi</w:t>
            </w:r>
            <w:bookmarkEnd w:id="349"/>
          </w:p>
        </w:tc>
        <w:tc>
          <w:tcPr>
            <w:tcW w:w="795" w:type="dxa"/>
            <w:noWrap/>
            <w:vAlign w:val="bottom"/>
          </w:tcPr>
          <w:p w14:paraId="0060AF6E" w14:textId="77777777" w:rsidR="008E2B43" w:rsidRPr="006645DC" w:rsidRDefault="008E2B43" w:rsidP="00997A4F">
            <w:pPr>
              <w:keepNext/>
              <w:keepLines/>
              <w:spacing w:before="0" w:after="0"/>
              <w:outlineLvl w:val="1"/>
              <w:rPr>
                <w:rFonts w:cs="Calibri"/>
                <w:lang w:val="en-GB"/>
              </w:rPr>
            </w:pPr>
            <w:bookmarkStart w:id="350" w:name="_Toc376198613"/>
            <w:r w:rsidRPr="006645DC">
              <w:rPr>
                <w:rFonts w:cs="Calibri"/>
                <w:lang w:val="en-GB"/>
              </w:rPr>
              <w:t>2.9</w:t>
            </w:r>
            <w:bookmarkEnd w:id="350"/>
          </w:p>
        </w:tc>
        <w:tc>
          <w:tcPr>
            <w:tcW w:w="823" w:type="dxa"/>
            <w:vAlign w:val="bottom"/>
          </w:tcPr>
          <w:p w14:paraId="1836AD3C" w14:textId="77777777" w:rsidR="008E2B43" w:rsidRPr="006645DC" w:rsidRDefault="008E2B43" w:rsidP="00997A4F">
            <w:pPr>
              <w:keepNext/>
              <w:keepLines/>
              <w:spacing w:before="0" w:after="0"/>
              <w:outlineLvl w:val="1"/>
              <w:rPr>
                <w:rFonts w:cs="Calibri"/>
                <w:lang w:val="en-GB"/>
              </w:rPr>
            </w:pPr>
            <w:bookmarkStart w:id="351" w:name="_Toc376198614"/>
            <w:r w:rsidRPr="006645DC">
              <w:rPr>
                <w:rFonts w:cs="Calibri"/>
                <w:lang w:val="en-GB"/>
              </w:rPr>
              <w:t>2.6</w:t>
            </w:r>
            <w:bookmarkEnd w:id="351"/>
          </w:p>
        </w:tc>
        <w:tc>
          <w:tcPr>
            <w:tcW w:w="2033" w:type="dxa"/>
            <w:vAlign w:val="bottom"/>
          </w:tcPr>
          <w:p w14:paraId="04A098F7" w14:textId="77777777" w:rsidR="008E2B43" w:rsidRPr="006645DC" w:rsidRDefault="008E2B43" w:rsidP="00997A4F">
            <w:pPr>
              <w:keepNext/>
              <w:keepLines/>
              <w:spacing w:before="0" w:after="0"/>
              <w:outlineLvl w:val="1"/>
              <w:rPr>
                <w:rFonts w:cs="Calibri"/>
                <w:lang w:val="en-GB"/>
              </w:rPr>
            </w:pPr>
            <w:bookmarkStart w:id="352" w:name="_Toc376198615"/>
            <w:r w:rsidRPr="006645DC">
              <w:rPr>
                <w:rFonts w:cs="Calibri"/>
                <w:lang w:val="en-GB"/>
              </w:rPr>
              <w:t>Vratsa</w:t>
            </w:r>
            <w:bookmarkEnd w:id="352"/>
          </w:p>
        </w:tc>
        <w:tc>
          <w:tcPr>
            <w:tcW w:w="925" w:type="dxa"/>
            <w:noWrap/>
            <w:vAlign w:val="bottom"/>
          </w:tcPr>
          <w:p w14:paraId="2018E620" w14:textId="77777777" w:rsidR="008E2B43" w:rsidRPr="006645DC" w:rsidRDefault="008E2B43" w:rsidP="00997A4F">
            <w:pPr>
              <w:keepNext/>
              <w:keepLines/>
              <w:spacing w:before="0" w:after="0"/>
              <w:outlineLvl w:val="1"/>
              <w:rPr>
                <w:rFonts w:cs="Calibri"/>
                <w:lang w:val="en-GB"/>
              </w:rPr>
            </w:pPr>
            <w:bookmarkStart w:id="353" w:name="_Toc376198616"/>
            <w:r w:rsidRPr="006645DC">
              <w:rPr>
                <w:rFonts w:cs="Calibri"/>
                <w:lang w:val="en-GB"/>
              </w:rPr>
              <w:t>2.7</w:t>
            </w:r>
            <w:bookmarkEnd w:id="353"/>
          </w:p>
        </w:tc>
        <w:tc>
          <w:tcPr>
            <w:tcW w:w="829" w:type="dxa"/>
            <w:vAlign w:val="bottom"/>
          </w:tcPr>
          <w:p w14:paraId="76410D9B" w14:textId="77777777" w:rsidR="008E2B43" w:rsidRPr="006645DC" w:rsidRDefault="008E2B43" w:rsidP="00997A4F">
            <w:pPr>
              <w:keepNext/>
              <w:keepLines/>
              <w:spacing w:before="0" w:after="0"/>
              <w:outlineLvl w:val="1"/>
              <w:rPr>
                <w:rFonts w:cs="Calibri"/>
                <w:lang w:val="en-GB"/>
              </w:rPr>
            </w:pPr>
            <w:bookmarkStart w:id="354" w:name="_Toc376198617"/>
            <w:r w:rsidRPr="006645DC">
              <w:rPr>
                <w:rFonts w:cs="Calibri"/>
                <w:lang w:val="en-GB"/>
              </w:rPr>
              <w:t>1.9</w:t>
            </w:r>
            <w:bookmarkEnd w:id="354"/>
          </w:p>
        </w:tc>
      </w:tr>
      <w:tr w:rsidR="008E2B43" w:rsidRPr="006645DC" w14:paraId="316C6C74" w14:textId="77777777" w:rsidTr="00A14E7C">
        <w:trPr>
          <w:trHeight w:val="270"/>
          <w:jc w:val="center"/>
        </w:trPr>
        <w:tc>
          <w:tcPr>
            <w:tcW w:w="3300" w:type="dxa"/>
            <w:vAlign w:val="center"/>
          </w:tcPr>
          <w:p w14:paraId="66560B2A" w14:textId="77777777" w:rsidR="008E2B43" w:rsidRPr="006645DC" w:rsidRDefault="008E2B43" w:rsidP="00997A4F">
            <w:pPr>
              <w:keepNext/>
              <w:keepLines/>
              <w:spacing w:before="0" w:after="0"/>
              <w:outlineLvl w:val="1"/>
              <w:rPr>
                <w:rFonts w:cs="Calibri"/>
                <w:lang w:val="en-GB"/>
              </w:rPr>
            </w:pPr>
            <w:bookmarkStart w:id="355" w:name="_Toc376198618"/>
            <w:r w:rsidRPr="006645DC">
              <w:rPr>
                <w:rFonts w:cs="Calibri"/>
                <w:lang w:val="en-GB"/>
              </w:rPr>
              <w:t>Olt</w:t>
            </w:r>
            <w:bookmarkEnd w:id="355"/>
          </w:p>
        </w:tc>
        <w:tc>
          <w:tcPr>
            <w:tcW w:w="795" w:type="dxa"/>
            <w:noWrap/>
            <w:vAlign w:val="bottom"/>
          </w:tcPr>
          <w:p w14:paraId="0DF744B2" w14:textId="77777777" w:rsidR="008E2B43" w:rsidRPr="006645DC" w:rsidRDefault="008E2B43" w:rsidP="00997A4F">
            <w:pPr>
              <w:keepNext/>
              <w:keepLines/>
              <w:spacing w:before="0" w:after="0"/>
              <w:outlineLvl w:val="1"/>
              <w:rPr>
                <w:rFonts w:cs="Calibri"/>
                <w:lang w:val="en-GB"/>
              </w:rPr>
            </w:pPr>
            <w:bookmarkStart w:id="356" w:name="_Toc376198619"/>
            <w:r w:rsidRPr="006645DC">
              <w:rPr>
                <w:rFonts w:cs="Calibri"/>
                <w:lang w:val="en-GB"/>
              </w:rPr>
              <w:t>3.0</w:t>
            </w:r>
            <w:bookmarkEnd w:id="356"/>
          </w:p>
        </w:tc>
        <w:tc>
          <w:tcPr>
            <w:tcW w:w="823" w:type="dxa"/>
            <w:vAlign w:val="bottom"/>
          </w:tcPr>
          <w:p w14:paraId="62130C7F" w14:textId="77777777" w:rsidR="008E2B43" w:rsidRPr="006645DC" w:rsidRDefault="008E2B43" w:rsidP="00997A4F">
            <w:pPr>
              <w:keepNext/>
              <w:keepLines/>
              <w:spacing w:before="0" w:after="0"/>
              <w:outlineLvl w:val="1"/>
              <w:rPr>
                <w:rFonts w:cs="Calibri"/>
                <w:lang w:val="en-GB"/>
              </w:rPr>
            </w:pPr>
            <w:bookmarkStart w:id="357" w:name="_Toc376198620"/>
            <w:r w:rsidRPr="006645DC">
              <w:rPr>
                <w:rFonts w:cs="Calibri"/>
                <w:lang w:val="en-GB"/>
              </w:rPr>
              <w:t>2.8</w:t>
            </w:r>
            <w:bookmarkEnd w:id="357"/>
          </w:p>
        </w:tc>
        <w:tc>
          <w:tcPr>
            <w:tcW w:w="2033" w:type="dxa"/>
            <w:vAlign w:val="bottom"/>
          </w:tcPr>
          <w:p w14:paraId="0FD347F2" w14:textId="77777777" w:rsidR="008E2B43" w:rsidRPr="006645DC" w:rsidRDefault="008E2B43" w:rsidP="00997A4F">
            <w:pPr>
              <w:keepNext/>
              <w:keepLines/>
              <w:spacing w:before="0" w:after="0"/>
              <w:outlineLvl w:val="1"/>
              <w:rPr>
                <w:rFonts w:cs="Calibri"/>
                <w:lang w:val="en-GB"/>
              </w:rPr>
            </w:pPr>
            <w:bookmarkStart w:id="358" w:name="_Toc376198621"/>
            <w:r w:rsidRPr="006645DC">
              <w:rPr>
                <w:rFonts w:cs="Calibri"/>
                <w:lang w:val="en-GB"/>
              </w:rPr>
              <w:t>Montana</w:t>
            </w:r>
            <w:bookmarkEnd w:id="358"/>
          </w:p>
        </w:tc>
        <w:tc>
          <w:tcPr>
            <w:tcW w:w="925" w:type="dxa"/>
            <w:noWrap/>
            <w:vAlign w:val="bottom"/>
          </w:tcPr>
          <w:p w14:paraId="377BC04B" w14:textId="77777777" w:rsidR="008E2B43" w:rsidRPr="006645DC" w:rsidRDefault="008E2B43" w:rsidP="00997A4F">
            <w:pPr>
              <w:keepNext/>
              <w:keepLines/>
              <w:spacing w:before="0" w:after="0"/>
              <w:outlineLvl w:val="1"/>
              <w:rPr>
                <w:rFonts w:cs="Calibri"/>
                <w:lang w:val="en-GB"/>
              </w:rPr>
            </w:pPr>
            <w:bookmarkStart w:id="359" w:name="_Toc376198622"/>
            <w:r w:rsidRPr="006645DC">
              <w:rPr>
                <w:rFonts w:cs="Calibri"/>
                <w:lang w:val="en-GB"/>
              </w:rPr>
              <w:t>2.5</w:t>
            </w:r>
            <w:bookmarkEnd w:id="359"/>
          </w:p>
        </w:tc>
        <w:tc>
          <w:tcPr>
            <w:tcW w:w="829" w:type="dxa"/>
            <w:vAlign w:val="bottom"/>
          </w:tcPr>
          <w:p w14:paraId="218CCBA0" w14:textId="77777777" w:rsidR="008E2B43" w:rsidRPr="006645DC" w:rsidRDefault="008E2B43" w:rsidP="00997A4F">
            <w:pPr>
              <w:keepNext/>
              <w:keepLines/>
              <w:spacing w:before="0" w:after="0"/>
              <w:outlineLvl w:val="1"/>
              <w:rPr>
                <w:rFonts w:cs="Calibri"/>
                <w:lang w:val="en-GB"/>
              </w:rPr>
            </w:pPr>
            <w:bookmarkStart w:id="360" w:name="_Toc376198623"/>
            <w:r w:rsidRPr="006645DC">
              <w:rPr>
                <w:rFonts w:cs="Calibri"/>
                <w:lang w:val="en-GB"/>
              </w:rPr>
              <w:t>1.6</w:t>
            </w:r>
            <w:bookmarkEnd w:id="360"/>
          </w:p>
        </w:tc>
      </w:tr>
      <w:tr w:rsidR="008E2B43" w:rsidRPr="006645DC" w14:paraId="457F42FA" w14:textId="77777777" w:rsidTr="00A14E7C">
        <w:trPr>
          <w:trHeight w:val="270"/>
          <w:jc w:val="center"/>
        </w:trPr>
        <w:tc>
          <w:tcPr>
            <w:tcW w:w="3300" w:type="dxa"/>
            <w:noWrap/>
            <w:vAlign w:val="bottom"/>
          </w:tcPr>
          <w:p w14:paraId="278961E1" w14:textId="77777777" w:rsidR="008E2B43" w:rsidRPr="006645DC" w:rsidRDefault="008E2B43" w:rsidP="008E2B43">
            <w:pPr>
              <w:keepNext/>
              <w:keepLines/>
              <w:spacing w:before="0" w:after="0"/>
              <w:ind w:left="757" w:hanging="360"/>
              <w:outlineLvl w:val="1"/>
              <w:rPr>
                <w:rFonts w:cs="Calibri"/>
                <w:lang w:val="en-GB"/>
              </w:rPr>
            </w:pPr>
            <w:r w:rsidRPr="006645DC">
              <w:rPr>
                <w:rFonts w:cs="Calibri"/>
                <w:lang w:val="en-GB"/>
              </w:rPr>
              <w:t> </w:t>
            </w:r>
          </w:p>
        </w:tc>
        <w:tc>
          <w:tcPr>
            <w:tcW w:w="1618" w:type="dxa"/>
            <w:gridSpan w:val="2"/>
            <w:noWrap/>
            <w:vAlign w:val="bottom"/>
          </w:tcPr>
          <w:p w14:paraId="5C7CB001" w14:textId="77777777" w:rsidR="008E2B43" w:rsidRPr="006645DC" w:rsidRDefault="008E2B43" w:rsidP="008E2B43">
            <w:pPr>
              <w:keepNext/>
              <w:keepLines/>
              <w:spacing w:before="0" w:after="0"/>
              <w:ind w:left="757" w:hanging="360"/>
              <w:outlineLvl w:val="1"/>
              <w:rPr>
                <w:rFonts w:cs="Calibri"/>
                <w:lang w:val="en-GB"/>
              </w:rPr>
            </w:pPr>
            <w:r w:rsidRPr="006645DC">
              <w:rPr>
                <w:rFonts w:cs="Calibri"/>
                <w:lang w:val="en-GB"/>
              </w:rPr>
              <w:t> </w:t>
            </w:r>
          </w:p>
        </w:tc>
        <w:tc>
          <w:tcPr>
            <w:tcW w:w="2033" w:type="dxa"/>
            <w:vAlign w:val="bottom"/>
          </w:tcPr>
          <w:p w14:paraId="36790A34" w14:textId="77777777" w:rsidR="008E2B43" w:rsidRPr="006645DC" w:rsidRDefault="008E2B43" w:rsidP="00997A4F">
            <w:pPr>
              <w:keepNext/>
              <w:keepLines/>
              <w:spacing w:before="0" w:after="0"/>
              <w:outlineLvl w:val="1"/>
              <w:rPr>
                <w:rFonts w:cs="Calibri"/>
                <w:lang w:val="en-GB"/>
              </w:rPr>
            </w:pPr>
            <w:bookmarkStart w:id="361" w:name="_Toc376198624"/>
            <w:r w:rsidRPr="006645DC">
              <w:rPr>
                <w:rFonts w:cs="Calibri"/>
                <w:lang w:val="en-GB"/>
              </w:rPr>
              <w:t>Vidin</w:t>
            </w:r>
            <w:bookmarkEnd w:id="361"/>
          </w:p>
        </w:tc>
        <w:tc>
          <w:tcPr>
            <w:tcW w:w="925" w:type="dxa"/>
            <w:noWrap/>
            <w:vAlign w:val="bottom"/>
          </w:tcPr>
          <w:p w14:paraId="5C893FAF" w14:textId="77777777" w:rsidR="008E2B43" w:rsidRPr="006645DC" w:rsidRDefault="008E2B43" w:rsidP="00997A4F">
            <w:pPr>
              <w:keepNext/>
              <w:keepLines/>
              <w:spacing w:before="0" w:after="0"/>
              <w:outlineLvl w:val="1"/>
              <w:rPr>
                <w:rFonts w:cs="Calibri"/>
                <w:lang w:val="en-GB"/>
              </w:rPr>
            </w:pPr>
            <w:bookmarkStart w:id="362" w:name="_Toc376198625"/>
            <w:r w:rsidRPr="006645DC">
              <w:rPr>
                <w:rFonts w:cs="Calibri"/>
                <w:lang w:val="en-GB"/>
              </w:rPr>
              <w:t>2.6</w:t>
            </w:r>
            <w:bookmarkEnd w:id="362"/>
          </w:p>
        </w:tc>
        <w:tc>
          <w:tcPr>
            <w:tcW w:w="829" w:type="dxa"/>
            <w:vAlign w:val="bottom"/>
          </w:tcPr>
          <w:p w14:paraId="185D11C4" w14:textId="77777777" w:rsidR="008E2B43" w:rsidRPr="006645DC" w:rsidRDefault="008E2B43" w:rsidP="00997A4F">
            <w:pPr>
              <w:keepNext/>
              <w:keepLines/>
              <w:spacing w:before="0" w:after="0"/>
              <w:outlineLvl w:val="1"/>
              <w:rPr>
                <w:rFonts w:cs="Calibri"/>
                <w:lang w:val="en-GB"/>
              </w:rPr>
            </w:pPr>
            <w:bookmarkStart w:id="363" w:name="_Toc376198626"/>
            <w:r w:rsidRPr="006645DC">
              <w:rPr>
                <w:rFonts w:cs="Calibri"/>
                <w:lang w:val="en-GB"/>
              </w:rPr>
              <w:t>1.5</w:t>
            </w:r>
            <w:bookmarkEnd w:id="363"/>
          </w:p>
        </w:tc>
      </w:tr>
    </w:tbl>
    <w:p w14:paraId="3E394231" w14:textId="77777777" w:rsidR="00EC6938" w:rsidRPr="006645DC" w:rsidRDefault="00EC6938" w:rsidP="00EC6938">
      <w:pPr>
        <w:pStyle w:val="Caption"/>
        <w:rPr>
          <w:lang w:val="en-GB"/>
        </w:rPr>
      </w:pPr>
      <w:bookmarkStart w:id="364" w:name="_Toc391150113"/>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16</w:t>
      </w:r>
      <w:r w:rsidR="005979EB" w:rsidRPr="006645DC">
        <w:rPr>
          <w:lang w:val="en-GB"/>
        </w:rPr>
        <w:fldChar w:fldCharType="end"/>
      </w:r>
      <w:r w:rsidRPr="006645DC">
        <w:rPr>
          <w:lang w:val="en-GB"/>
        </w:rPr>
        <w:t xml:space="preserve"> - Average household size in the cross-border area, by districts, in 2001 and 2011</w:t>
      </w:r>
      <w:bookmarkEnd w:id="364"/>
    </w:p>
    <w:p w14:paraId="35AD35AE" w14:textId="77777777" w:rsidR="008E2B43" w:rsidRPr="006645DC" w:rsidRDefault="008E2B43" w:rsidP="008E2B43">
      <w:pPr>
        <w:pStyle w:val="Heading4"/>
        <w:rPr>
          <w:lang w:val="en-GB"/>
        </w:rPr>
      </w:pPr>
      <w:r w:rsidRPr="006645DC">
        <w:rPr>
          <w:lang w:val="en-GB"/>
        </w:rPr>
        <w:t xml:space="preserve">Source: Spatial </w:t>
      </w:r>
      <w:r w:rsidR="009750BD" w:rsidRPr="006645DC">
        <w:rPr>
          <w:lang w:val="en-GB"/>
        </w:rPr>
        <w:t>P</w:t>
      </w:r>
      <w:r w:rsidRPr="006645DC">
        <w:rPr>
          <w:lang w:val="en-GB"/>
        </w:rPr>
        <w:t>roject 2013</w:t>
      </w:r>
    </w:p>
    <w:p w14:paraId="50F132EB" w14:textId="77777777" w:rsidR="00333CBE" w:rsidRPr="006645DC" w:rsidRDefault="00333CBE" w:rsidP="00333CBE">
      <w:pPr>
        <w:rPr>
          <w:lang w:val="en-GB"/>
        </w:rPr>
      </w:pPr>
    </w:p>
    <w:p w14:paraId="503B51FD" w14:textId="77777777" w:rsidR="00333CBE" w:rsidRPr="006645DC" w:rsidRDefault="00333CBE" w:rsidP="00333CBE">
      <w:pPr>
        <w:pStyle w:val="Heading2"/>
        <w:rPr>
          <w:lang w:val="en-GB"/>
        </w:rPr>
      </w:pPr>
      <w:bookmarkStart w:id="365" w:name="_Toc376198627"/>
      <w:bookmarkStart w:id="366" w:name="_Toc254543782"/>
      <w:bookmarkStart w:id="367" w:name="_Toc391150175"/>
      <w:r w:rsidRPr="006645DC">
        <w:rPr>
          <w:lang w:val="en-GB"/>
        </w:rPr>
        <w:t>Ageing population/life expectancy</w:t>
      </w:r>
      <w:bookmarkEnd w:id="365"/>
      <w:bookmarkEnd w:id="366"/>
      <w:bookmarkEnd w:id="367"/>
    </w:p>
    <w:p w14:paraId="0EC530FA" w14:textId="77777777" w:rsidR="008E2B43" w:rsidRPr="006645DC" w:rsidRDefault="008E2B43" w:rsidP="008E2B43">
      <w:pPr>
        <w:rPr>
          <w:lang w:val="en-GB"/>
        </w:rPr>
      </w:pPr>
      <w:r w:rsidRPr="006645DC">
        <w:rPr>
          <w:lang w:val="en-GB"/>
        </w:rPr>
        <w:t>One of the main issue in the demographic change process of the cross-border area is the ageing of population, a phenomenon that is a long-time trend and seems set to continue</w:t>
      </w:r>
      <w:r w:rsidRPr="006645DC">
        <w:rPr>
          <w:vertAlign w:val="superscript"/>
          <w:lang w:val="en-GB"/>
        </w:rPr>
        <w:footnoteReference w:id="18"/>
      </w:r>
      <w:r w:rsidRPr="006645DC">
        <w:rPr>
          <w:lang w:val="en-GB"/>
        </w:rPr>
        <w:t xml:space="preserve">, especially given the migration pattern and indicators like life expectancy and fertility rate. </w:t>
      </w:r>
    </w:p>
    <w:p w14:paraId="3DF4A709" w14:textId="77777777" w:rsidR="008E2B43" w:rsidRPr="006645DC" w:rsidRDefault="008E2B43" w:rsidP="008E2B43">
      <w:pPr>
        <w:rPr>
          <w:lang w:val="en-GB"/>
        </w:rPr>
      </w:pPr>
      <w:r w:rsidRPr="006645DC">
        <w:rPr>
          <w:lang w:val="en-GB"/>
        </w:rPr>
        <w:t>The population ageing process is mainly due to the decrease in birth rates, which has led to a decrease in the young population and in the life expectancy. The differences of the population structure by age are visible in a territorial profile, being caused by the phenomenon of demographic change and population migration, at the same time it was noticed that the the older population is more important in rural regions than in urban ones.</w:t>
      </w:r>
    </w:p>
    <w:p w14:paraId="6DB8D14B" w14:textId="77777777" w:rsidR="008E2B43" w:rsidRPr="006645DC" w:rsidRDefault="008E2B43" w:rsidP="008E2B43">
      <w:pPr>
        <w:rPr>
          <w:b/>
          <w:lang w:val="en-GB"/>
        </w:rPr>
      </w:pPr>
      <w:r w:rsidRPr="006645DC">
        <w:rPr>
          <w:lang w:val="en-GB"/>
        </w:rPr>
        <w:t>In 2010 there were 46 young people per 100 adults on the Romanian territory in the cross-border region, and 49 young people per 100 adults on the Bulgarian territory.</w:t>
      </w:r>
    </w:p>
    <w:p w14:paraId="66421FF5" w14:textId="77777777" w:rsidR="008E2B43" w:rsidRPr="006645DC" w:rsidRDefault="008E2B43" w:rsidP="008E2B43">
      <w:pPr>
        <w:rPr>
          <w:lang w:val="en-GB"/>
        </w:rPr>
      </w:pPr>
      <w:r w:rsidRPr="006645DC">
        <w:rPr>
          <w:lang w:val="en-GB"/>
        </w:rPr>
        <w:t xml:space="preserve">As compared to 2007, we can notice the increase of the share of population aged 65 years old and over in the cross-border region, which represents, in 2011, more than 16.6% in the Romanian region and 21.2% in the Bulgarian one. At the same time, the share of the 0-14 years old population decreases every year. In 2011, in the Romanian counties, the young population represented 14.5%, while in the </w:t>
      </w:r>
      <w:r w:rsidRPr="006645DC">
        <w:rPr>
          <w:lang w:val="en-GB"/>
        </w:rPr>
        <w:lastRenderedPageBreak/>
        <w:t xml:space="preserve">Bulgarian districts it was only 13%. Adult population (15-64 years), in both cross border areas, represents 70% of the total population. </w:t>
      </w:r>
    </w:p>
    <w:p w14:paraId="11D0E1A2" w14:textId="77777777" w:rsidR="008E2B43" w:rsidRPr="006645DC" w:rsidRDefault="008E2B43" w:rsidP="008E2B43">
      <w:pPr>
        <w:rPr>
          <w:lang w:val="en-GB"/>
        </w:rPr>
      </w:pPr>
      <w:r w:rsidRPr="006645DC">
        <w:rPr>
          <w:lang w:val="en-GB"/>
        </w:rPr>
        <w:t xml:space="preserve">Differences in the age structure of the population are especially visible on a regional profile, determined by the territorial variation of demographic phenomena and the migration movements of the population. The „youngest” areas, with a share of over 14% of the population aged 0-14 years old (also areas with the highest birth rates) were Calarasi and Pleven, while the share of Teleorman and Veliko Târnovo is under 13%. The counties of Giurgiu and Teleorman recorded a high percentage of older population, over 18.0%, and the Vidin district a percentage of 25.9%. Compared to 2007, the share of population aged 65 years old and over has increased, in 2011, in the entire cross-border region. The population structure by ages and residential area confirms the fact that the demographic ageing process is more pronounced in the rural areas. </w:t>
      </w:r>
    </w:p>
    <w:p w14:paraId="156CBF59" w14:textId="77777777" w:rsidR="008E2B43" w:rsidRPr="006645DC" w:rsidRDefault="008E2B43" w:rsidP="008E2B43">
      <w:pPr>
        <w:suppressAutoHyphens/>
        <w:jc w:val="center"/>
        <w:rPr>
          <w:rFonts w:eastAsia="Times New Roman"/>
          <w:i/>
          <w:snapToGrid w:val="0"/>
          <w:lang w:val="en-GB" w:eastAsia="ro-RO"/>
        </w:rPr>
      </w:pPr>
    </w:p>
    <w:p w14:paraId="07F5755A" w14:textId="77777777" w:rsidR="00F70FE1" w:rsidRPr="006645DC" w:rsidRDefault="00AA4C82" w:rsidP="00B3336F">
      <w:pPr>
        <w:suppressAutoHyphens/>
        <w:jc w:val="center"/>
        <w:rPr>
          <w:rFonts w:eastAsia="Times New Roman"/>
          <w:snapToGrid w:val="0"/>
          <w:lang w:val="en-GB" w:eastAsia="ro-RO"/>
        </w:rPr>
      </w:pPr>
      <w:r w:rsidRPr="006645DC">
        <w:rPr>
          <w:rFonts w:eastAsia="Times New Roman"/>
          <w:noProof/>
          <w:lang w:val="bg-BG" w:eastAsia="bg-BG"/>
        </w:rPr>
        <w:drawing>
          <wp:inline distT="0" distB="0" distL="0" distR="0" wp14:anchorId="6C2C2312" wp14:editId="744A50B6">
            <wp:extent cx="5495925" cy="3209925"/>
            <wp:effectExtent l="0" t="0" r="0" b="0"/>
            <wp:docPr id="52" name="Chart 2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6EA3C420" w14:textId="77777777" w:rsidR="008E2B43" w:rsidRPr="006645DC" w:rsidRDefault="008E2B43" w:rsidP="008E2B43">
      <w:pPr>
        <w:pStyle w:val="Caption"/>
        <w:rPr>
          <w:rFonts w:eastAsia="MS Gothic"/>
          <w:b/>
          <w:lang w:val="en-GB"/>
        </w:rPr>
      </w:pPr>
      <w:bookmarkStart w:id="368" w:name="_Toc391150077"/>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28</w:t>
      </w:r>
      <w:r w:rsidR="005979EB" w:rsidRPr="006645DC">
        <w:rPr>
          <w:lang w:val="en-GB"/>
        </w:rPr>
        <w:fldChar w:fldCharType="end"/>
      </w:r>
      <w:r w:rsidRPr="006645DC">
        <w:rPr>
          <w:lang w:val="en-GB"/>
        </w:rPr>
        <w:t xml:space="preserve"> - </w:t>
      </w:r>
      <w:r w:rsidR="00B3336F" w:rsidRPr="006645DC">
        <w:rPr>
          <w:rFonts w:eastAsia="MS Gothic"/>
          <w:lang w:val="en-GB"/>
        </w:rPr>
        <w:t>The percentage of senior</w:t>
      </w:r>
      <w:r w:rsidRPr="006645DC">
        <w:rPr>
          <w:rFonts w:eastAsia="MS Gothic"/>
          <w:lang w:val="en-GB"/>
        </w:rPr>
        <w:t xml:space="preserve"> population in the Ro-Bg cross-border region by districts and counties in 2011</w:t>
      </w:r>
      <w:bookmarkEnd w:id="368"/>
    </w:p>
    <w:p w14:paraId="1BA7F5F0" w14:textId="77777777" w:rsidR="008E2B43" w:rsidRPr="006645DC" w:rsidRDefault="008E2B43" w:rsidP="008E2B43">
      <w:pPr>
        <w:keepNext/>
        <w:keepLines/>
        <w:jc w:val="right"/>
        <w:outlineLvl w:val="3"/>
        <w:rPr>
          <w:rFonts w:eastAsia="MS Gothic"/>
          <w:b/>
          <w:bCs/>
          <w:i/>
          <w:iCs/>
          <w:sz w:val="18"/>
          <w:lang w:val="en-GB"/>
        </w:rPr>
      </w:pPr>
      <w:r w:rsidRPr="006645DC">
        <w:rPr>
          <w:rFonts w:eastAsia="MS Gothic"/>
          <w:bCs/>
          <w:i/>
          <w:iCs/>
          <w:sz w:val="18"/>
          <w:lang w:val="en-GB"/>
        </w:rPr>
        <w:t>Source: The National Institute of Statistics – Romania, The National Institute of Statistics – Bulgaria</w:t>
      </w:r>
    </w:p>
    <w:p w14:paraId="1592CAD6" w14:textId="77777777" w:rsidR="008E2B43" w:rsidRPr="006645DC" w:rsidRDefault="008E2B43" w:rsidP="008E2B43">
      <w:pPr>
        <w:suppressAutoHyphens/>
        <w:rPr>
          <w:rFonts w:eastAsia="Times New Roman"/>
          <w:snapToGrid w:val="0"/>
          <w:lang w:val="en-GB" w:eastAsia="ro-RO"/>
        </w:rPr>
      </w:pPr>
    </w:p>
    <w:p w14:paraId="26FBE9DE" w14:textId="74D28EE2" w:rsidR="008E2B43" w:rsidRPr="00240617" w:rsidRDefault="008E2B43" w:rsidP="00240617">
      <w:pPr>
        <w:rPr>
          <w:lang w:val="en-GB"/>
        </w:rPr>
      </w:pPr>
      <w:r w:rsidRPr="006645DC">
        <w:rPr>
          <w:lang w:val="en-GB"/>
        </w:rPr>
        <w:t xml:space="preserve">The ageing population trend plays a major role in the future forecasting process, with implications in various domains (increased costs for public finances: pensions, social assistance, health, education etc.). The tendency is proven by the low level of the negative natural growth (especially in the North-Western and Northern regions in Bulgaria) and the high death rates and internal migration rates.  </w:t>
      </w:r>
    </w:p>
    <w:p w14:paraId="2947BA46" w14:textId="77777777" w:rsidR="00BF2097" w:rsidRPr="006645DC" w:rsidRDefault="00BF2097" w:rsidP="008E2B43">
      <w:pPr>
        <w:suppressAutoHyphens/>
        <w:jc w:val="center"/>
        <w:rPr>
          <w:rFonts w:eastAsia="Times New Roman"/>
          <w:lang w:val="en-GB" w:eastAsia="fr-FR"/>
        </w:rPr>
      </w:pPr>
    </w:p>
    <w:p w14:paraId="3FC1D3FD" w14:textId="77777777" w:rsidR="008E2B43" w:rsidRPr="006645DC" w:rsidRDefault="00AA4C82" w:rsidP="008E2B43">
      <w:pPr>
        <w:suppressAutoHyphens/>
        <w:jc w:val="center"/>
        <w:rPr>
          <w:rFonts w:eastAsia="Times New Roman"/>
          <w:snapToGrid w:val="0"/>
          <w:lang w:val="en-GB" w:eastAsia="ro-RO"/>
        </w:rPr>
      </w:pPr>
      <w:r w:rsidRPr="006645DC">
        <w:rPr>
          <w:rFonts w:eastAsia="Times New Roman"/>
          <w:noProof/>
          <w:lang w:val="bg-BG" w:eastAsia="bg-BG"/>
        </w:rPr>
        <w:drawing>
          <wp:inline distT="0" distB="0" distL="0" distR="0" wp14:anchorId="62075AF7" wp14:editId="69A61532">
            <wp:extent cx="5818909" cy="3503221"/>
            <wp:effectExtent l="0" t="0" r="0" b="2540"/>
            <wp:docPr id="53" name="Picture 75" descr="Description: C:\Documents and Settings\Office\Desktop\AO en cours\2013\MDRAP_consultanta elaborare prog coop transf Ro-Bg\Raport 2_Territorial analysis\harti 2 12 20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escription: C:\Documents and Settings\Office\Desktop\AO en cours\2013\MDRAP_consultanta elaborare prog coop transf Ro-Bg\Raport 2_Territorial analysis\harti 2 12 20133.jpg"/>
                    <pic:cNvPicPr>
                      <a:picLocks noChangeAspect="1" noChangeArrowheads="1"/>
                    </pic:cNvPicPr>
                  </pic:nvPicPr>
                  <pic:blipFill>
                    <a:blip r:embed="rId83"/>
                    <a:srcRect/>
                    <a:stretch>
                      <a:fillRect/>
                    </a:stretch>
                  </pic:blipFill>
                  <pic:spPr bwMode="auto">
                    <a:xfrm>
                      <a:off x="0" y="0"/>
                      <a:ext cx="5829300" cy="3509477"/>
                    </a:xfrm>
                    <a:prstGeom prst="rect">
                      <a:avLst/>
                    </a:prstGeom>
                    <a:noFill/>
                    <a:ln w="9525">
                      <a:noFill/>
                      <a:miter lim="800000"/>
                      <a:headEnd/>
                      <a:tailEnd/>
                    </a:ln>
                  </pic:spPr>
                </pic:pic>
              </a:graphicData>
            </a:graphic>
          </wp:inline>
        </w:drawing>
      </w:r>
    </w:p>
    <w:p w14:paraId="09EE7278" w14:textId="77777777" w:rsidR="008E2B43" w:rsidRPr="006645DC" w:rsidRDefault="008E2B43" w:rsidP="008E2B43">
      <w:pPr>
        <w:pStyle w:val="Caption"/>
        <w:rPr>
          <w:rFonts w:eastAsia="MS Gothic"/>
          <w:lang w:val="en-GB"/>
        </w:rPr>
      </w:pPr>
      <w:bookmarkStart w:id="369" w:name="_Toc391150022"/>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18</w:t>
      </w:r>
      <w:r w:rsidR="005979EB" w:rsidRPr="006645DC">
        <w:rPr>
          <w:lang w:val="en-GB"/>
        </w:rPr>
        <w:fldChar w:fldCharType="end"/>
      </w:r>
      <w:r w:rsidRPr="006645DC">
        <w:rPr>
          <w:lang w:val="en-GB"/>
        </w:rPr>
        <w:t xml:space="preserve"> - </w:t>
      </w:r>
      <w:r w:rsidRPr="006645DC">
        <w:rPr>
          <w:rFonts w:eastAsia="MS Gothic"/>
          <w:lang w:val="en-GB"/>
        </w:rPr>
        <w:t>The share of population aged 65 years and over from total population (2010)</w:t>
      </w:r>
      <w:bookmarkEnd w:id="369"/>
    </w:p>
    <w:p w14:paraId="1BAA2C1B" w14:textId="77777777" w:rsidR="008E2B43" w:rsidRPr="006645DC" w:rsidRDefault="00AE6879" w:rsidP="008E2B43">
      <w:pPr>
        <w:keepNext/>
        <w:keepLines/>
        <w:jc w:val="right"/>
        <w:outlineLvl w:val="3"/>
        <w:rPr>
          <w:rFonts w:eastAsia="MS Gothic"/>
          <w:bCs/>
          <w:i/>
          <w:iCs/>
          <w:sz w:val="18"/>
          <w:lang w:val="en-GB"/>
        </w:rPr>
      </w:pPr>
      <w:r w:rsidRPr="006645DC">
        <w:rPr>
          <w:rFonts w:eastAsia="MS Gothic"/>
          <w:bCs/>
          <w:i/>
          <w:iCs/>
          <w:sz w:val="18"/>
          <w:lang w:val="en-GB"/>
        </w:rPr>
        <w:t>Source: ESPON the TerrEvi Project, 2012, Détente Consultants</w:t>
      </w:r>
    </w:p>
    <w:p w14:paraId="6A6AB85C" w14:textId="77777777" w:rsidR="008E2B43" w:rsidRPr="006645DC" w:rsidRDefault="008E2B43" w:rsidP="008E2B43">
      <w:pPr>
        <w:suppressAutoHyphens/>
        <w:rPr>
          <w:rFonts w:eastAsia="Times New Roman"/>
          <w:snapToGrid w:val="0"/>
          <w:lang w:val="en-GB" w:eastAsia="ro-RO"/>
        </w:rPr>
      </w:pPr>
    </w:p>
    <w:p w14:paraId="1B2F963D" w14:textId="77777777" w:rsidR="008E2B43" w:rsidRPr="006645DC" w:rsidRDefault="008E2B43" w:rsidP="003B52C5">
      <w:pPr>
        <w:pStyle w:val="Heading2"/>
        <w:rPr>
          <w:lang w:val="en-GB"/>
        </w:rPr>
      </w:pPr>
      <w:bookmarkStart w:id="370" w:name="_Toc376198628"/>
      <w:bookmarkStart w:id="371" w:name="_Toc254543783"/>
      <w:bookmarkStart w:id="372" w:name="_Toc391150176"/>
      <w:r w:rsidRPr="006645DC">
        <w:rPr>
          <w:lang w:val="en-GB"/>
        </w:rPr>
        <w:t>Natural movement</w:t>
      </w:r>
      <w:bookmarkEnd w:id="370"/>
      <w:bookmarkEnd w:id="371"/>
      <w:bookmarkEnd w:id="372"/>
    </w:p>
    <w:p w14:paraId="0BA35C75" w14:textId="77777777" w:rsidR="008E2B43" w:rsidRPr="006645DC" w:rsidRDefault="008E2B43" w:rsidP="008E2B43">
      <w:pPr>
        <w:rPr>
          <w:bCs/>
          <w:lang w:val="en-GB"/>
        </w:rPr>
      </w:pPr>
      <w:r w:rsidRPr="006645DC">
        <w:rPr>
          <w:lang w:val="en-GB"/>
        </w:rPr>
        <w:t>In 2011, the birth rate in the Romanian and Bulgarian cross border region has decreased slightly, as compared to former years, reaching 8.4 and 8.7, respectively, live births for 1000 inhabitants. In the Romanian area, the birth rate varied between 10.0‰ (Constanţa District) and 7.2‰ (Teleorman District), while in the Bulgarian area, the rate varies between 9.8‰ (Dobric District) and 7.5‰ (Vidin District).</w:t>
      </w:r>
    </w:p>
    <w:p w14:paraId="151EB41F" w14:textId="77777777" w:rsidR="008E2B43" w:rsidRPr="006645DC" w:rsidRDefault="008E2B43" w:rsidP="008E2B43">
      <w:pPr>
        <w:rPr>
          <w:lang w:val="en-GB"/>
        </w:rPr>
      </w:pPr>
    </w:p>
    <w:p w14:paraId="55F0C4E7" w14:textId="77777777" w:rsidR="00EC6938" w:rsidRPr="006645DC" w:rsidRDefault="00AA4C82" w:rsidP="008E2B43">
      <w:pPr>
        <w:spacing w:line="280" w:lineRule="auto"/>
        <w:jc w:val="center"/>
        <w:rPr>
          <w:lang w:val="en-GB" w:eastAsia="fr-FR"/>
        </w:rPr>
      </w:pPr>
      <w:r w:rsidRPr="006645DC">
        <w:rPr>
          <w:noProof/>
          <w:lang w:val="bg-BG" w:eastAsia="bg-BG"/>
        </w:rPr>
        <w:lastRenderedPageBreak/>
        <w:drawing>
          <wp:inline distT="0" distB="0" distL="0" distR="0" wp14:anchorId="6E906259" wp14:editId="3419D1AA">
            <wp:extent cx="4248150" cy="2286000"/>
            <wp:effectExtent l="19050" t="0" r="0" b="0"/>
            <wp:docPr id="54"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4"/>
                    <a:srcRect/>
                    <a:stretch>
                      <a:fillRect/>
                    </a:stretch>
                  </pic:blipFill>
                  <pic:spPr bwMode="auto">
                    <a:xfrm>
                      <a:off x="0" y="0"/>
                      <a:ext cx="4248150" cy="2286000"/>
                    </a:xfrm>
                    <a:prstGeom prst="rect">
                      <a:avLst/>
                    </a:prstGeom>
                    <a:noFill/>
                    <a:ln w="9525">
                      <a:noFill/>
                      <a:miter lim="800000"/>
                      <a:headEnd/>
                      <a:tailEnd/>
                    </a:ln>
                  </pic:spPr>
                </pic:pic>
              </a:graphicData>
            </a:graphic>
          </wp:inline>
        </w:drawing>
      </w:r>
    </w:p>
    <w:p w14:paraId="10BEC23D" w14:textId="77777777" w:rsidR="008E2B43" w:rsidRPr="006645DC" w:rsidRDefault="008E2B43" w:rsidP="008E2B43">
      <w:pPr>
        <w:pStyle w:val="Caption"/>
        <w:rPr>
          <w:rFonts w:eastAsia="MS Gothic"/>
          <w:lang w:val="en-GB"/>
        </w:rPr>
      </w:pPr>
      <w:bookmarkStart w:id="373" w:name="_Toc391150078"/>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29</w:t>
      </w:r>
      <w:r w:rsidR="005979EB" w:rsidRPr="006645DC">
        <w:rPr>
          <w:lang w:val="en-GB"/>
        </w:rPr>
        <w:fldChar w:fldCharType="end"/>
      </w:r>
      <w:r w:rsidRPr="006645DC">
        <w:rPr>
          <w:lang w:val="en-GB"/>
        </w:rPr>
        <w:t xml:space="preserve"> - </w:t>
      </w:r>
      <w:r w:rsidRPr="006645DC">
        <w:rPr>
          <w:rFonts w:eastAsia="MS Gothic"/>
          <w:lang w:val="en-GB"/>
        </w:rPr>
        <w:t>Birth rate for cross-border region between 2007-2010</w:t>
      </w:r>
      <w:bookmarkEnd w:id="373"/>
    </w:p>
    <w:p w14:paraId="012E5C5B" w14:textId="77777777" w:rsidR="008E2B43" w:rsidRPr="006645DC" w:rsidRDefault="00EC6938" w:rsidP="008E2B43">
      <w:pPr>
        <w:keepNext/>
        <w:keepLines/>
        <w:jc w:val="right"/>
        <w:outlineLvl w:val="3"/>
        <w:rPr>
          <w:rFonts w:eastAsia="MS Gothic"/>
          <w:b/>
          <w:bCs/>
          <w:i/>
          <w:iCs/>
          <w:sz w:val="18"/>
          <w:lang w:val="en-GB"/>
        </w:rPr>
      </w:pPr>
      <w:r w:rsidRPr="006645DC">
        <w:rPr>
          <w:rFonts w:eastAsia="MS Gothic"/>
          <w:bCs/>
          <w:i/>
          <w:iCs/>
          <w:sz w:val="18"/>
          <w:lang w:val="en-GB"/>
        </w:rPr>
        <w:t>S</w:t>
      </w:r>
      <w:r w:rsidR="008E2B43" w:rsidRPr="006645DC">
        <w:rPr>
          <w:rFonts w:eastAsia="MS Gothic"/>
          <w:bCs/>
          <w:i/>
          <w:iCs/>
          <w:sz w:val="18"/>
          <w:lang w:val="en-GB"/>
        </w:rPr>
        <w:t>ource: The National Institute of Statistics – Romania, The National Institute of Statistics – Bulgaria</w:t>
      </w:r>
    </w:p>
    <w:p w14:paraId="6A99B964" w14:textId="77777777" w:rsidR="008E2B43" w:rsidRPr="006645DC" w:rsidRDefault="008E2B43" w:rsidP="008E2B43">
      <w:pPr>
        <w:jc w:val="center"/>
        <w:rPr>
          <w:b/>
          <w:lang w:val="en-GB"/>
        </w:rPr>
      </w:pPr>
    </w:p>
    <w:p w14:paraId="266A2339" w14:textId="77777777" w:rsidR="008E2B43" w:rsidRPr="006645DC" w:rsidRDefault="00AA4C82" w:rsidP="008E2B43">
      <w:pPr>
        <w:suppressAutoHyphens/>
        <w:jc w:val="center"/>
        <w:rPr>
          <w:rFonts w:eastAsia="Times New Roman"/>
          <w:b/>
          <w:snapToGrid w:val="0"/>
          <w:lang w:val="en-GB" w:eastAsia="ro-RO"/>
        </w:rPr>
      </w:pPr>
      <w:r w:rsidRPr="006645DC">
        <w:rPr>
          <w:noProof/>
          <w:lang w:val="bg-BG" w:eastAsia="bg-BG"/>
        </w:rPr>
        <w:drawing>
          <wp:inline distT="0" distB="0" distL="0" distR="0" wp14:anchorId="5D8D3ECC" wp14:editId="0EAF025C">
            <wp:extent cx="5895975" cy="3305175"/>
            <wp:effectExtent l="19050" t="0" r="9525" b="0"/>
            <wp:docPr id="55" name="Picture 252" descr="Description: C:\Documents and Settings\Office\Local Settings\Temporary Internet Files\Content.Word\harti 29 11 201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Description: C:\Documents and Settings\Office\Local Settings\Temporary Internet Files\Content.Word\harti 29 11 201316.jpg"/>
                    <pic:cNvPicPr>
                      <a:picLocks noChangeAspect="1" noChangeArrowheads="1"/>
                    </pic:cNvPicPr>
                  </pic:nvPicPr>
                  <pic:blipFill>
                    <a:blip r:embed="rId85"/>
                    <a:srcRect/>
                    <a:stretch>
                      <a:fillRect/>
                    </a:stretch>
                  </pic:blipFill>
                  <pic:spPr bwMode="auto">
                    <a:xfrm>
                      <a:off x="0" y="0"/>
                      <a:ext cx="5895975" cy="3305175"/>
                    </a:xfrm>
                    <a:prstGeom prst="rect">
                      <a:avLst/>
                    </a:prstGeom>
                    <a:noFill/>
                    <a:ln w="9525">
                      <a:noFill/>
                      <a:miter lim="800000"/>
                      <a:headEnd/>
                      <a:tailEnd/>
                    </a:ln>
                  </pic:spPr>
                </pic:pic>
              </a:graphicData>
            </a:graphic>
          </wp:inline>
        </w:drawing>
      </w:r>
    </w:p>
    <w:p w14:paraId="50D6043E" w14:textId="77777777" w:rsidR="008E2B43" w:rsidRPr="006645DC" w:rsidRDefault="008E2B43" w:rsidP="008E2B43">
      <w:pPr>
        <w:pStyle w:val="Caption"/>
        <w:rPr>
          <w:rFonts w:eastAsia="MS Gothic"/>
          <w:b/>
          <w:lang w:val="en-GB"/>
        </w:rPr>
      </w:pPr>
      <w:bookmarkStart w:id="374" w:name="_Toc391150023"/>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19</w:t>
      </w:r>
      <w:r w:rsidR="005979EB" w:rsidRPr="006645DC">
        <w:rPr>
          <w:lang w:val="en-GB"/>
        </w:rPr>
        <w:fldChar w:fldCharType="end"/>
      </w:r>
      <w:r w:rsidRPr="006645DC">
        <w:rPr>
          <w:lang w:val="en-GB"/>
        </w:rPr>
        <w:t xml:space="preserve"> - </w:t>
      </w:r>
      <w:r w:rsidRPr="006645DC">
        <w:rPr>
          <w:rFonts w:eastAsia="MS Gothic"/>
          <w:lang w:val="en-GB"/>
        </w:rPr>
        <w:t>Birth rate for cross-border region in 2011</w:t>
      </w:r>
      <w:bookmarkEnd w:id="374"/>
    </w:p>
    <w:p w14:paraId="3D6DA3C1" w14:textId="77777777" w:rsidR="008E2B43" w:rsidRPr="006645DC" w:rsidRDefault="008E2B43" w:rsidP="008E2B43">
      <w:pPr>
        <w:keepNext/>
        <w:keepLines/>
        <w:jc w:val="right"/>
        <w:outlineLvl w:val="3"/>
        <w:rPr>
          <w:rFonts w:eastAsia="MS Gothic"/>
          <w:bCs/>
          <w:i/>
          <w:iCs/>
          <w:sz w:val="18"/>
          <w:lang w:val="en-GB"/>
        </w:rPr>
      </w:pPr>
      <w:r w:rsidRPr="006645DC">
        <w:rPr>
          <w:rFonts w:eastAsia="MS Gothic"/>
          <w:bCs/>
          <w:i/>
          <w:iCs/>
          <w:sz w:val="18"/>
          <w:lang w:val="en-GB"/>
        </w:rPr>
        <w:t>Source: EVOLUTION Project</w:t>
      </w:r>
      <w:r w:rsidR="00DF2276" w:rsidRPr="006645DC">
        <w:rPr>
          <w:rFonts w:eastAsia="MS Gothic"/>
          <w:bCs/>
          <w:i/>
          <w:iCs/>
          <w:sz w:val="18"/>
          <w:lang w:val="en-GB"/>
        </w:rPr>
        <w:t>, Détente Consultants</w:t>
      </w:r>
    </w:p>
    <w:p w14:paraId="322FE5CD" w14:textId="77777777" w:rsidR="008E2B43" w:rsidRPr="006645DC" w:rsidRDefault="008E2B43" w:rsidP="002F7E49">
      <w:pPr>
        <w:jc w:val="center"/>
        <w:rPr>
          <w:lang w:val="en-GB"/>
        </w:rPr>
      </w:pPr>
    </w:p>
    <w:p w14:paraId="728FB645" w14:textId="77777777" w:rsidR="002F7E49" w:rsidRPr="006645DC" w:rsidRDefault="002F7E49" w:rsidP="002F7E49">
      <w:pPr>
        <w:jc w:val="center"/>
        <w:rPr>
          <w:lang w:val="en-GB" w:eastAsia="fr-FR"/>
        </w:rPr>
      </w:pPr>
    </w:p>
    <w:p w14:paraId="0E507C3E" w14:textId="77777777" w:rsidR="002F7E49" w:rsidRPr="006645DC" w:rsidRDefault="00AA4C82" w:rsidP="002F7E49">
      <w:pPr>
        <w:jc w:val="center"/>
        <w:rPr>
          <w:lang w:val="en-GB"/>
        </w:rPr>
      </w:pPr>
      <w:r w:rsidRPr="006645DC">
        <w:rPr>
          <w:noProof/>
          <w:lang w:val="bg-BG" w:eastAsia="bg-BG"/>
        </w:rPr>
        <w:drawing>
          <wp:inline distT="0" distB="0" distL="0" distR="0" wp14:anchorId="6AFA4CA0" wp14:editId="1F5A81B9">
            <wp:extent cx="5734050" cy="3476625"/>
            <wp:effectExtent l="19050" t="0" r="0" b="0"/>
            <wp:docPr id="56" name="Picture 70" descr="Description: C:\Documents and Settings\Office\Desktop\AO en cours\2013\MDRAP_consultanta elaborare prog coop transf Ro-Bg\Raport 2_Territorial analysis\Draft Final_Territorial Analysis\Harti 29 11 2013\New folder\harti 29 11 201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escription: C:\Documents and Settings\Office\Desktop\AO en cours\2013\MDRAP_consultanta elaborare prog coop transf Ro-Bg\Raport 2_Territorial analysis\Draft Final_Territorial Analysis\Harti 29 11 2013\New folder\harti 29 11 201317.jpg"/>
                    <pic:cNvPicPr>
                      <a:picLocks noChangeAspect="1" noChangeArrowheads="1"/>
                    </pic:cNvPicPr>
                  </pic:nvPicPr>
                  <pic:blipFill>
                    <a:blip r:embed="rId86"/>
                    <a:srcRect/>
                    <a:stretch>
                      <a:fillRect/>
                    </a:stretch>
                  </pic:blipFill>
                  <pic:spPr bwMode="auto">
                    <a:xfrm>
                      <a:off x="0" y="0"/>
                      <a:ext cx="5734050" cy="3476625"/>
                    </a:xfrm>
                    <a:prstGeom prst="rect">
                      <a:avLst/>
                    </a:prstGeom>
                    <a:noFill/>
                    <a:ln w="9525">
                      <a:noFill/>
                      <a:miter lim="800000"/>
                      <a:headEnd/>
                      <a:tailEnd/>
                    </a:ln>
                  </pic:spPr>
                </pic:pic>
              </a:graphicData>
            </a:graphic>
          </wp:inline>
        </w:drawing>
      </w:r>
    </w:p>
    <w:p w14:paraId="40BAFDB6" w14:textId="77777777" w:rsidR="002F7E49" w:rsidRPr="006645DC" w:rsidRDefault="002F7E49" w:rsidP="002F7E49">
      <w:pPr>
        <w:pStyle w:val="Caption"/>
        <w:rPr>
          <w:rFonts w:eastAsia="MS Gothic"/>
          <w:b/>
          <w:lang w:val="en-GB"/>
        </w:rPr>
      </w:pPr>
      <w:bookmarkStart w:id="375" w:name="_Toc391150024"/>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20</w:t>
      </w:r>
      <w:r w:rsidR="005979EB" w:rsidRPr="006645DC">
        <w:rPr>
          <w:lang w:val="en-GB"/>
        </w:rPr>
        <w:fldChar w:fldCharType="end"/>
      </w:r>
      <w:r w:rsidRPr="006645DC">
        <w:rPr>
          <w:lang w:val="en-GB"/>
        </w:rPr>
        <w:t xml:space="preserve"> - </w:t>
      </w:r>
      <w:r w:rsidRPr="006645DC">
        <w:rPr>
          <w:rFonts w:eastAsia="MS Gothic"/>
          <w:lang w:val="en-GB"/>
        </w:rPr>
        <w:t>Birth rate ROBG area vs. EU 28 average, 2011 (%)</w:t>
      </w:r>
      <w:bookmarkEnd w:id="375"/>
    </w:p>
    <w:p w14:paraId="60A408E1" w14:textId="77777777" w:rsidR="002F7E49" w:rsidRPr="006645DC" w:rsidRDefault="002F7E49" w:rsidP="002F7E49">
      <w:pPr>
        <w:keepNext/>
        <w:keepLines/>
        <w:jc w:val="right"/>
        <w:outlineLvl w:val="3"/>
        <w:rPr>
          <w:rFonts w:eastAsia="MS Gothic"/>
          <w:bCs/>
          <w:i/>
          <w:iCs/>
          <w:sz w:val="18"/>
          <w:lang w:val="en-GB"/>
        </w:rPr>
      </w:pPr>
      <w:r w:rsidRPr="006645DC">
        <w:rPr>
          <w:rFonts w:eastAsia="MS Gothic"/>
          <w:bCs/>
          <w:i/>
          <w:iCs/>
          <w:sz w:val="18"/>
          <w:lang w:val="en-GB"/>
        </w:rPr>
        <w:t>Source: EVOLUTION Project, Détente Consultants</w:t>
      </w:r>
    </w:p>
    <w:p w14:paraId="0FF590CF" w14:textId="77777777" w:rsidR="008E2B43" w:rsidRPr="006645DC" w:rsidRDefault="008E2B43" w:rsidP="008E2B43">
      <w:pPr>
        <w:rPr>
          <w:lang w:val="en-GB"/>
        </w:rPr>
      </w:pPr>
    </w:p>
    <w:tbl>
      <w:tblPr>
        <w:tblW w:w="0" w:type="auto"/>
        <w:jc w:val="center"/>
        <w:tblLayout w:type="fixed"/>
        <w:tblLook w:val="0000" w:firstRow="0" w:lastRow="0" w:firstColumn="0" w:lastColumn="0" w:noHBand="0" w:noVBand="0"/>
      </w:tblPr>
      <w:tblGrid>
        <w:gridCol w:w="1418"/>
        <w:gridCol w:w="1134"/>
        <w:gridCol w:w="1843"/>
        <w:gridCol w:w="1275"/>
      </w:tblGrid>
      <w:tr w:rsidR="008E2B43" w:rsidRPr="006645DC" w14:paraId="10595A5A" w14:textId="77777777" w:rsidTr="00BC027E">
        <w:trPr>
          <w:trHeight w:val="270"/>
          <w:jc w:val="center"/>
        </w:trPr>
        <w:tc>
          <w:tcPr>
            <w:tcW w:w="2552" w:type="dxa"/>
            <w:gridSpan w:val="2"/>
            <w:tcBorders>
              <w:top w:val="single" w:sz="4" w:space="0" w:color="000000"/>
              <w:left w:val="single" w:sz="4" w:space="0" w:color="000000"/>
              <w:bottom w:val="single" w:sz="4" w:space="0" w:color="000000"/>
            </w:tcBorders>
            <w:vAlign w:val="center"/>
          </w:tcPr>
          <w:p w14:paraId="5AC10C58" w14:textId="77777777" w:rsidR="008E2B43" w:rsidRPr="006645DC" w:rsidRDefault="008E2B43" w:rsidP="00BC027E">
            <w:pPr>
              <w:snapToGrid w:val="0"/>
              <w:spacing w:before="0" w:after="0" w:line="280" w:lineRule="auto"/>
              <w:jc w:val="center"/>
              <w:rPr>
                <w:lang w:val="en-GB"/>
              </w:rPr>
            </w:pPr>
            <w:r w:rsidRPr="006645DC">
              <w:rPr>
                <w:b/>
                <w:lang w:val="en-GB"/>
              </w:rPr>
              <w:t>Romanian cross-border region</w:t>
            </w:r>
          </w:p>
        </w:tc>
        <w:tc>
          <w:tcPr>
            <w:tcW w:w="3118" w:type="dxa"/>
            <w:gridSpan w:val="2"/>
            <w:tcBorders>
              <w:top w:val="single" w:sz="4" w:space="0" w:color="000000"/>
              <w:left w:val="single" w:sz="4" w:space="0" w:color="000000"/>
              <w:bottom w:val="single" w:sz="4" w:space="0" w:color="000000"/>
              <w:right w:val="single" w:sz="4" w:space="0" w:color="000000"/>
            </w:tcBorders>
            <w:vAlign w:val="center"/>
          </w:tcPr>
          <w:p w14:paraId="3B03802F" w14:textId="77777777" w:rsidR="008E2B43" w:rsidRPr="006645DC" w:rsidRDefault="008E2B43" w:rsidP="00BC027E">
            <w:pPr>
              <w:snapToGrid w:val="0"/>
              <w:spacing w:before="0" w:after="0"/>
              <w:jc w:val="center"/>
              <w:rPr>
                <w:b/>
                <w:lang w:val="en-GB"/>
              </w:rPr>
            </w:pPr>
            <w:r w:rsidRPr="006645DC">
              <w:rPr>
                <w:b/>
                <w:lang w:val="en-GB"/>
              </w:rPr>
              <w:t>Bulgarian cross-border region</w:t>
            </w:r>
          </w:p>
        </w:tc>
      </w:tr>
      <w:tr w:rsidR="008E2B43" w:rsidRPr="006645DC" w14:paraId="46F35FD4" w14:textId="77777777" w:rsidTr="00A14E7C">
        <w:trPr>
          <w:trHeight w:val="270"/>
          <w:jc w:val="center"/>
        </w:trPr>
        <w:tc>
          <w:tcPr>
            <w:tcW w:w="1418" w:type="dxa"/>
            <w:tcBorders>
              <w:left w:val="single" w:sz="4" w:space="0" w:color="000000"/>
              <w:bottom w:val="single" w:sz="4" w:space="0" w:color="000000"/>
            </w:tcBorders>
            <w:vAlign w:val="center"/>
          </w:tcPr>
          <w:p w14:paraId="4EEBE8EA" w14:textId="77777777" w:rsidR="008E2B43" w:rsidRPr="006645DC" w:rsidRDefault="008E2B43" w:rsidP="008E2B43">
            <w:pPr>
              <w:snapToGrid w:val="0"/>
              <w:spacing w:before="0" w:after="0"/>
              <w:rPr>
                <w:lang w:val="en-GB"/>
              </w:rPr>
            </w:pPr>
            <w:r w:rsidRPr="006645DC">
              <w:rPr>
                <w:lang w:val="en-GB"/>
              </w:rPr>
              <w:t>Constanţa</w:t>
            </w:r>
          </w:p>
        </w:tc>
        <w:tc>
          <w:tcPr>
            <w:tcW w:w="1134" w:type="dxa"/>
            <w:tcBorders>
              <w:left w:val="single" w:sz="4" w:space="0" w:color="000000"/>
              <w:bottom w:val="single" w:sz="4" w:space="0" w:color="000000"/>
            </w:tcBorders>
            <w:vAlign w:val="bottom"/>
          </w:tcPr>
          <w:p w14:paraId="4B533804" w14:textId="77777777" w:rsidR="008E2B43" w:rsidRPr="006645DC" w:rsidRDefault="008E2B43" w:rsidP="00BC027E">
            <w:pPr>
              <w:keepNext/>
              <w:keepLines/>
              <w:snapToGrid w:val="0"/>
              <w:spacing w:before="0" w:after="0"/>
              <w:outlineLvl w:val="1"/>
              <w:rPr>
                <w:lang w:val="en-GB"/>
              </w:rPr>
            </w:pPr>
            <w:bookmarkStart w:id="376" w:name="_Toc376198629"/>
            <w:r w:rsidRPr="006645DC">
              <w:rPr>
                <w:lang w:val="en-GB"/>
              </w:rPr>
              <w:t>10</w:t>
            </w:r>
            <w:bookmarkEnd w:id="376"/>
          </w:p>
        </w:tc>
        <w:tc>
          <w:tcPr>
            <w:tcW w:w="1843" w:type="dxa"/>
            <w:tcBorders>
              <w:left w:val="single" w:sz="4" w:space="0" w:color="000000"/>
              <w:bottom w:val="single" w:sz="4" w:space="0" w:color="000000"/>
            </w:tcBorders>
            <w:vAlign w:val="bottom"/>
          </w:tcPr>
          <w:p w14:paraId="5298D794" w14:textId="77777777" w:rsidR="008E2B43" w:rsidRPr="006645DC" w:rsidRDefault="008E2B43" w:rsidP="00BC027E">
            <w:pPr>
              <w:keepNext/>
              <w:keepLines/>
              <w:snapToGrid w:val="0"/>
              <w:spacing w:before="0" w:after="0"/>
              <w:outlineLvl w:val="1"/>
              <w:rPr>
                <w:lang w:val="en-GB"/>
              </w:rPr>
            </w:pPr>
            <w:bookmarkStart w:id="377" w:name="_Toc376198630"/>
            <w:r w:rsidRPr="006645DC">
              <w:rPr>
                <w:lang w:val="en-GB"/>
              </w:rPr>
              <w:t>Dobrich</w:t>
            </w:r>
            <w:bookmarkEnd w:id="377"/>
          </w:p>
        </w:tc>
        <w:tc>
          <w:tcPr>
            <w:tcW w:w="1275" w:type="dxa"/>
            <w:tcBorders>
              <w:left w:val="single" w:sz="4" w:space="0" w:color="000000"/>
              <w:bottom w:val="single" w:sz="4" w:space="0" w:color="000000"/>
              <w:right w:val="single" w:sz="4" w:space="0" w:color="000000"/>
            </w:tcBorders>
            <w:vAlign w:val="bottom"/>
          </w:tcPr>
          <w:p w14:paraId="4C9338B5" w14:textId="77777777" w:rsidR="008E2B43" w:rsidRPr="006645DC" w:rsidRDefault="008E2B43" w:rsidP="00BC027E">
            <w:pPr>
              <w:snapToGrid w:val="0"/>
              <w:spacing w:before="0" w:after="0"/>
              <w:rPr>
                <w:lang w:val="en-GB"/>
              </w:rPr>
            </w:pPr>
            <w:r w:rsidRPr="006645DC">
              <w:rPr>
                <w:lang w:val="en-GB"/>
              </w:rPr>
              <w:t>9.8</w:t>
            </w:r>
          </w:p>
        </w:tc>
      </w:tr>
      <w:tr w:rsidR="008E2B43" w:rsidRPr="006645DC" w14:paraId="09323F3F" w14:textId="77777777" w:rsidTr="00A14E7C">
        <w:trPr>
          <w:trHeight w:val="270"/>
          <w:jc w:val="center"/>
        </w:trPr>
        <w:tc>
          <w:tcPr>
            <w:tcW w:w="1418" w:type="dxa"/>
            <w:tcBorders>
              <w:left w:val="single" w:sz="4" w:space="0" w:color="000000"/>
              <w:bottom w:val="single" w:sz="4" w:space="0" w:color="000000"/>
            </w:tcBorders>
            <w:vAlign w:val="center"/>
          </w:tcPr>
          <w:p w14:paraId="01B02D53" w14:textId="77777777" w:rsidR="008E2B43" w:rsidRPr="006645DC" w:rsidRDefault="008E2B43" w:rsidP="008E2B43">
            <w:pPr>
              <w:snapToGrid w:val="0"/>
              <w:spacing w:before="0" w:after="0"/>
              <w:rPr>
                <w:lang w:val="en-GB"/>
              </w:rPr>
            </w:pPr>
            <w:r w:rsidRPr="006645DC">
              <w:rPr>
                <w:lang w:val="en-GB"/>
              </w:rPr>
              <w:t>Călăraşi</w:t>
            </w:r>
          </w:p>
        </w:tc>
        <w:tc>
          <w:tcPr>
            <w:tcW w:w="1134" w:type="dxa"/>
            <w:tcBorders>
              <w:left w:val="single" w:sz="4" w:space="0" w:color="000000"/>
              <w:bottom w:val="single" w:sz="4" w:space="0" w:color="000000"/>
            </w:tcBorders>
            <w:vAlign w:val="bottom"/>
          </w:tcPr>
          <w:p w14:paraId="5EC76C71" w14:textId="77777777" w:rsidR="008E2B43" w:rsidRPr="006645DC" w:rsidRDefault="008E2B43" w:rsidP="00BC027E">
            <w:pPr>
              <w:keepNext/>
              <w:keepLines/>
              <w:snapToGrid w:val="0"/>
              <w:spacing w:before="0" w:after="0"/>
              <w:outlineLvl w:val="1"/>
              <w:rPr>
                <w:lang w:val="en-GB"/>
              </w:rPr>
            </w:pPr>
            <w:bookmarkStart w:id="378" w:name="_Toc376198631"/>
            <w:r w:rsidRPr="006645DC">
              <w:rPr>
                <w:lang w:val="en-GB"/>
              </w:rPr>
              <w:t>9.7</w:t>
            </w:r>
            <w:bookmarkEnd w:id="378"/>
          </w:p>
        </w:tc>
        <w:tc>
          <w:tcPr>
            <w:tcW w:w="1843" w:type="dxa"/>
            <w:tcBorders>
              <w:left w:val="single" w:sz="4" w:space="0" w:color="000000"/>
              <w:bottom w:val="single" w:sz="4" w:space="0" w:color="000000"/>
            </w:tcBorders>
            <w:vAlign w:val="bottom"/>
          </w:tcPr>
          <w:p w14:paraId="23981A19" w14:textId="77777777" w:rsidR="008E2B43" w:rsidRPr="006645DC" w:rsidRDefault="008E2B43" w:rsidP="00BC027E">
            <w:pPr>
              <w:keepNext/>
              <w:keepLines/>
              <w:snapToGrid w:val="0"/>
              <w:spacing w:before="0" w:after="0"/>
              <w:outlineLvl w:val="1"/>
              <w:rPr>
                <w:lang w:val="en-GB"/>
              </w:rPr>
            </w:pPr>
            <w:bookmarkStart w:id="379" w:name="_Toc376198632"/>
            <w:r w:rsidRPr="006645DC">
              <w:rPr>
                <w:lang w:val="en-GB"/>
              </w:rPr>
              <w:t>Silistra</w:t>
            </w:r>
            <w:bookmarkEnd w:id="379"/>
          </w:p>
        </w:tc>
        <w:tc>
          <w:tcPr>
            <w:tcW w:w="1275" w:type="dxa"/>
            <w:tcBorders>
              <w:left w:val="single" w:sz="4" w:space="0" w:color="000000"/>
              <w:bottom w:val="single" w:sz="4" w:space="0" w:color="000000"/>
              <w:right w:val="single" w:sz="4" w:space="0" w:color="000000"/>
            </w:tcBorders>
            <w:vAlign w:val="bottom"/>
          </w:tcPr>
          <w:p w14:paraId="1D2E02E8" w14:textId="77777777" w:rsidR="008E2B43" w:rsidRPr="006645DC" w:rsidRDefault="008E2B43" w:rsidP="00BC027E">
            <w:pPr>
              <w:keepNext/>
              <w:keepLines/>
              <w:snapToGrid w:val="0"/>
              <w:spacing w:before="0" w:after="0"/>
              <w:outlineLvl w:val="1"/>
              <w:rPr>
                <w:lang w:val="en-GB"/>
              </w:rPr>
            </w:pPr>
            <w:bookmarkStart w:id="380" w:name="_Toc376198633"/>
            <w:r w:rsidRPr="006645DC">
              <w:rPr>
                <w:lang w:val="en-GB"/>
              </w:rPr>
              <w:t>8.8</w:t>
            </w:r>
            <w:bookmarkEnd w:id="380"/>
          </w:p>
        </w:tc>
      </w:tr>
      <w:tr w:rsidR="008E2B43" w:rsidRPr="006645DC" w14:paraId="392188C4" w14:textId="77777777" w:rsidTr="00A14E7C">
        <w:trPr>
          <w:trHeight w:val="270"/>
          <w:jc w:val="center"/>
        </w:trPr>
        <w:tc>
          <w:tcPr>
            <w:tcW w:w="1418" w:type="dxa"/>
            <w:tcBorders>
              <w:left w:val="single" w:sz="4" w:space="0" w:color="000000"/>
              <w:bottom w:val="single" w:sz="4" w:space="0" w:color="000000"/>
            </w:tcBorders>
            <w:vAlign w:val="center"/>
          </w:tcPr>
          <w:p w14:paraId="67B119DE" w14:textId="77777777" w:rsidR="008E2B43" w:rsidRPr="006645DC" w:rsidRDefault="008E2B43" w:rsidP="00BC027E">
            <w:pPr>
              <w:keepNext/>
              <w:keepLines/>
              <w:snapToGrid w:val="0"/>
              <w:spacing w:before="0" w:after="0"/>
              <w:outlineLvl w:val="1"/>
              <w:rPr>
                <w:lang w:val="en-GB"/>
              </w:rPr>
            </w:pPr>
            <w:bookmarkStart w:id="381" w:name="_Toc376198634"/>
            <w:r w:rsidRPr="006645DC">
              <w:rPr>
                <w:lang w:val="en-GB"/>
              </w:rPr>
              <w:t>Giurgiu</w:t>
            </w:r>
            <w:bookmarkEnd w:id="381"/>
          </w:p>
        </w:tc>
        <w:tc>
          <w:tcPr>
            <w:tcW w:w="1134" w:type="dxa"/>
            <w:tcBorders>
              <w:left w:val="single" w:sz="4" w:space="0" w:color="000000"/>
              <w:bottom w:val="single" w:sz="4" w:space="0" w:color="000000"/>
            </w:tcBorders>
            <w:vAlign w:val="bottom"/>
          </w:tcPr>
          <w:p w14:paraId="103A4C84" w14:textId="77777777" w:rsidR="008E2B43" w:rsidRPr="006645DC" w:rsidRDefault="008E2B43" w:rsidP="00BC027E">
            <w:pPr>
              <w:keepNext/>
              <w:keepLines/>
              <w:snapToGrid w:val="0"/>
              <w:spacing w:before="0" w:after="0"/>
              <w:outlineLvl w:val="1"/>
              <w:rPr>
                <w:lang w:val="en-GB"/>
              </w:rPr>
            </w:pPr>
            <w:bookmarkStart w:id="382" w:name="_Toc376198635"/>
            <w:r w:rsidRPr="006645DC">
              <w:rPr>
                <w:lang w:val="en-GB"/>
              </w:rPr>
              <w:t>9.4</w:t>
            </w:r>
            <w:bookmarkEnd w:id="382"/>
          </w:p>
        </w:tc>
        <w:tc>
          <w:tcPr>
            <w:tcW w:w="1843" w:type="dxa"/>
            <w:tcBorders>
              <w:left w:val="single" w:sz="4" w:space="0" w:color="000000"/>
              <w:bottom w:val="single" w:sz="4" w:space="0" w:color="000000"/>
            </w:tcBorders>
            <w:vAlign w:val="bottom"/>
          </w:tcPr>
          <w:p w14:paraId="279628E4" w14:textId="77777777" w:rsidR="008E2B43" w:rsidRPr="006645DC" w:rsidRDefault="008E2B43" w:rsidP="00BC027E">
            <w:pPr>
              <w:keepNext/>
              <w:keepLines/>
              <w:snapToGrid w:val="0"/>
              <w:spacing w:before="0" w:after="0"/>
              <w:outlineLvl w:val="1"/>
              <w:rPr>
                <w:lang w:val="en-GB"/>
              </w:rPr>
            </w:pPr>
            <w:bookmarkStart w:id="383" w:name="_Toc376198636"/>
            <w:r w:rsidRPr="006645DC">
              <w:rPr>
                <w:lang w:val="en-GB"/>
              </w:rPr>
              <w:t>Vidin</w:t>
            </w:r>
            <w:bookmarkEnd w:id="383"/>
          </w:p>
        </w:tc>
        <w:tc>
          <w:tcPr>
            <w:tcW w:w="1275" w:type="dxa"/>
            <w:tcBorders>
              <w:left w:val="single" w:sz="4" w:space="0" w:color="000000"/>
              <w:bottom w:val="single" w:sz="4" w:space="0" w:color="000000"/>
              <w:right w:val="single" w:sz="4" w:space="0" w:color="000000"/>
            </w:tcBorders>
            <w:vAlign w:val="bottom"/>
          </w:tcPr>
          <w:p w14:paraId="46AB6A80" w14:textId="77777777" w:rsidR="008E2B43" w:rsidRPr="006645DC" w:rsidRDefault="008E2B43" w:rsidP="00BC027E">
            <w:pPr>
              <w:keepNext/>
              <w:keepLines/>
              <w:snapToGrid w:val="0"/>
              <w:spacing w:before="0" w:after="0"/>
              <w:outlineLvl w:val="1"/>
              <w:rPr>
                <w:lang w:val="en-GB"/>
              </w:rPr>
            </w:pPr>
            <w:bookmarkStart w:id="384" w:name="_Toc376198637"/>
            <w:r w:rsidRPr="006645DC">
              <w:rPr>
                <w:lang w:val="en-GB"/>
              </w:rPr>
              <w:t>7.5</w:t>
            </w:r>
            <w:bookmarkEnd w:id="384"/>
          </w:p>
        </w:tc>
      </w:tr>
      <w:tr w:rsidR="008E2B43" w:rsidRPr="006645DC" w14:paraId="10BF6EAA" w14:textId="77777777" w:rsidTr="00A14E7C">
        <w:trPr>
          <w:trHeight w:val="270"/>
          <w:jc w:val="center"/>
        </w:trPr>
        <w:tc>
          <w:tcPr>
            <w:tcW w:w="1418" w:type="dxa"/>
            <w:tcBorders>
              <w:left w:val="single" w:sz="4" w:space="0" w:color="000000"/>
              <w:bottom w:val="single" w:sz="4" w:space="0" w:color="000000"/>
            </w:tcBorders>
            <w:vAlign w:val="center"/>
          </w:tcPr>
          <w:p w14:paraId="56889FFE" w14:textId="77777777" w:rsidR="008E2B43" w:rsidRPr="006645DC" w:rsidRDefault="008E2B43" w:rsidP="00BC027E">
            <w:pPr>
              <w:keepNext/>
              <w:keepLines/>
              <w:snapToGrid w:val="0"/>
              <w:spacing w:before="0" w:after="0"/>
              <w:outlineLvl w:val="1"/>
              <w:rPr>
                <w:lang w:val="en-GB"/>
              </w:rPr>
            </w:pPr>
            <w:bookmarkStart w:id="385" w:name="_Toc376198638"/>
            <w:r w:rsidRPr="006645DC">
              <w:rPr>
                <w:lang w:val="en-GB"/>
              </w:rPr>
              <w:t>Teleorman</w:t>
            </w:r>
            <w:bookmarkEnd w:id="385"/>
          </w:p>
        </w:tc>
        <w:tc>
          <w:tcPr>
            <w:tcW w:w="1134" w:type="dxa"/>
            <w:tcBorders>
              <w:left w:val="single" w:sz="4" w:space="0" w:color="000000"/>
              <w:bottom w:val="single" w:sz="4" w:space="0" w:color="000000"/>
            </w:tcBorders>
            <w:vAlign w:val="bottom"/>
          </w:tcPr>
          <w:p w14:paraId="526EB67A" w14:textId="77777777" w:rsidR="008E2B43" w:rsidRPr="006645DC" w:rsidRDefault="008E2B43" w:rsidP="00BC027E">
            <w:pPr>
              <w:keepNext/>
              <w:keepLines/>
              <w:snapToGrid w:val="0"/>
              <w:spacing w:before="0" w:after="0"/>
              <w:outlineLvl w:val="1"/>
              <w:rPr>
                <w:lang w:val="en-GB"/>
              </w:rPr>
            </w:pPr>
            <w:bookmarkStart w:id="386" w:name="_Toc376198639"/>
            <w:r w:rsidRPr="006645DC">
              <w:rPr>
                <w:lang w:val="en-GB"/>
              </w:rPr>
              <w:t>7.2</w:t>
            </w:r>
            <w:bookmarkEnd w:id="386"/>
          </w:p>
        </w:tc>
        <w:tc>
          <w:tcPr>
            <w:tcW w:w="1843" w:type="dxa"/>
            <w:tcBorders>
              <w:left w:val="single" w:sz="4" w:space="0" w:color="000000"/>
              <w:bottom w:val="single" w:sz="4" w:space="0" w:color="000000"/>
            </w:tcBorders>
            <w:vAlign w:val="bottom"/>
          </w:tcPr>
          <w:p w14:paraId="7C5B530A" w14:textId="77777777" w:rsidR="008E2B43" w:rsidRPr="006645DC" w:rsidRDefault="008E2B43" w:rsidP="00BC027E">
            <w:pPr>
              <w:keepNext/>
              <w:keepLines/>
              <w:snapToGrid w:val="0"/>
              <w:spacing w:before="0" w:after="0"/>
              <w:outlineLvl w:val="1"/>
              <w:rPr>
                <w:lang w:val="en-GB"/>
              </w:rPr>
            </w:pPr>
            <w:bookmarkStart w:id="387" w:name="_Toc376198640"/>
            <w:r w:rsidRPr="006645DC">
              <w:rPr>
                <w:lang w:val="en-GB"/>
              </w:rPr>
              <w:t>Ruse</w:t>
            </w:r>
            <w:bookmarkEnd w:id="387"/>
          </w:p>
        </w:tc>
        <w:tc>
          <w:tcPr>
            <w:tcW w:w="1275" w:type="dxa"/>
            <w:tcBorders>
              <w:left w:val="single" w:sz="4" w:space="0" w:color="000000"/>
              <w:bottom w:val="single" w:sz="4" w:space="0" w:color="000000"/>
              <w:right w:val="single" w:sz="4" w:space="0" w:color="000000"/>
            </w:tcBorders>
            <w:vAlign w:val="bottom"/>
          </w:tcPr>
          <w:p w14:paraId="568D95FA" w14:textId="77777777" w:rsidR="008E2B43" w:rsidRPr="006645DC" w:rsidRDefault="008E2B43" w:rsidP="00BC027E">
            <w:pPr>
              <w:keepNext/>
              <w:keepLines/>
              <w:snapToGrid w:val="0"/>
              <w:spacing w:before="0" w:after="0"/>
              <w:outlineLvl w:val="1"/>
              <w:rPr>
                <w:lang w:val="en-GB"/>
              </w:rPr>
            </w:pPr>
            <w:bookmarkStart w:id="388" w:name="_Toc376198641"/>
            <w:r w:rsidRPr="006645DC">
              <w:rPr>
                <w:lang w:val="en-GB"/>
              </w:rPr>
              <w:t>7.9</w:t>
            </w:r>
            <w:bookmarkEnd w:id="388"/>
          </w:p>
        </w:tc>
      </w:tr>
      <w:tr w:rsidR="008E2B43" w:rsidRPr="006645DC" w14:paraId="4FF3D634" w14:textId="77777777" w:rsidTr="00A14E7C">
        <w:trPr>
          <w:trHeight w:val="304"/>
          <w:jc w:val="center"/>
        </w:trPr>
        <w:tc>
          <w:tcPr>
            <w:tcW w:w="1418" w:type="dxa"/>
            <w:tcBorders>
              <w:left w:val="single" w:sz="4" w:space="0" w:color="000000"/>
              <w:bottom w:val="single" w:sz="4" w:space="0" w:color="000000"/>
            </w:tcBorders>
            <w:vAlign w:val="center"/>
          </w:tcPr>
          <w:p w14:paraId="1B05373E" w14:textId="77777777" w:rsidR="008E2B43" w:rsidRPr="006645DC" w:rsidRDefault="008E2B43" w:rsidP="00BC027E">
            <w:pPr>
              <w:keepNext/>
              <w:keepLines/>
              <w:snapToGrid w:val="0"/>
              <w:spacing w:before="0" w:after="0"/>
              <w:outlineLvl w:val="1"/>
              <w:rPr>
                <w:lang w:val="en-GB"/>
              </w:rPr>
            </w:pPr>
            <w:bookmarkStart w:id="389" w:name="_Toc376198642"/>
            <w:r w:rsidRPr="006645DC">
              <w:rPr>
                <w:lang w:val="en-GB"/>
              </w:rPr>
              <w:t>Dolj</w:t>
            </w:r>
            <w:bookmarkEnd w:id="389"/>
          </w:p>
        </w:tc>
        <w:tc>
          <w:tcPr>
            <w:tcW w:w="1134" w:type="dxa"/>
            <w:tcBorders>
              <w:left w:val="single" w:sz="4" w:space="0" w:color="000000"/>
              <w:bottom w:val="single" w:sz="4" w:space="0" w:color="000000"/>
            </w:tcBorders>
            <w:vAlign w:val="bottom"/>
          </w:tcPr>
          <w:p w14:paraId="322503F1" w14:textId="77777777" w:rsidR="008E2B43" w:rsidRPr="006645DC" w:rsidRDefault="008E2B43" w:rsidP="00BC027E">
            <w:pPr>
              <w:keepNext/>
              <w:keepLines/>
              <w:snapToGrid w:val="0"/>
              <w:spacing w:before="0" w:after="0"/>
              <w:outlineLvl w:val="1"/>
              <w:rPr>
                <w:lang w:val="en-GB"/>
              </w:rPr>
            </w:pPr>
            <w:bookmarkStart w:id="390" w:name="_Toc376198643"/>
            <w:r w:rsidRPr="006645DC">
              <w:rPr>
                <w:lang w:val="en-GB"/>
              </w:rPr>
              <w:t>8.3</w:t>
            </w:r>
            <w:bookmarkEnd w:id="390"/>
          </w:p>
        </w:tc>
        <w:tc>
          <w:tcPr>
            <w:tcW w:w="1843" w:type="dxa"/>
            <w:tcBorders>
              <w:left w:val="single" w:sz="4" w:space="0" w:color="000000"/>
              <w:bottom w:val="single" w:sz="4" w:space="0" w:color="000000"/>
            </w:tcBorders>
            <w:vAlign w:val="bottom"/>
          </w:tcPr>
          <w:p w14:paraId="5114F3CA" w14:textId="77777777" w:rsidR="008E2B43" w:rsidRPr="006645DC" w:rsidRDefault="008E2B43" w:rsidP="00BC027E">
            <w:pPr>
              <w:keepNext/>
              <w:keepLines/>
              <w:snapToGrid w:val="0"/>
              <w:spacing w:before="0" w:after="0"/>
              <w:outlineLvl w:val="1"/>
              <w:rPr>
                <w:lang w:val="en-GB"/>
              </w:rPr>
            </w:pPr>
            <w:bookmarkStart w:id="391" w:name="_Toc376198644"/>
            <w:r w:rsidRPr="006645DC">
              <w:rPr>
                <w:lang w:val="en-GB"/>
              </w:rPr>
              <w:t>Veliko Târnovo</w:t>
            </w:r>
            <w:bookmarkEnd w:id="391"/>
          </w:p>
        </w:tc>
        <w:tc>
          <w:tcPr>
            <w:tcW w:w="1275" w:type="dxa"/>
            <w:tcBorders>
              <w:left w:val="single" w:sz="4" w:space="0" w:color="000000"/>
              <w:bottom w:val="single" w:sz="4" w:space="0" w:color="000000"/>
              <w:right w:val="single" w:sz="4" w:space="0" w:color="000000"/>
            </w:tcBorders>
            <w:vAlign w:val="bottom"/>
          </w:tcPr>
          <w:p w14:paraId="2BD971EA" w14:textId="77777777" w:rsidR="008E2B43" w:rsidRPr="006645DC" w:rsidRDefault="008E2B43" w:rsidP="00BC027E">
            <w:pPr>
              <w:keepNext/>
              <w:keepLines/>
              <w:snapToGrid w:val="0"/>
              <w:spacing w:before="0" w:after="0"/>
              <w:outlineLvl w:val="1"/>
              <w:rPr>
                <w:lang w:val="en-GB"/>
              </w:rPr>
            </w:pPr>
            <w:bookmarkStart w:id="392" w:name="_Toc376198645"/>
            <w:r w:rsidRPr="006645DC">
              <w:rPr>
                <w:lang w:val="en-GB"/>
              </w:rPr>
              <w:t>8.9</w:t>
            </w:r>
            <w:bookmarkEnd w:id="392"/>
          </w:p>
        </w:tc>
      </w:tr>
      <w:tr w:rsidR="008E2B43" w:rsidRPr="006645DC" w14:paraId="1F614BC8" w14:textId="77777777" w:rsidTr="00A14E7C">
        <w:trPr>
          <w:trHeight w:val="270"/>
          <w:jc w:val="center"/>
        </w:trPr>
        <w:tc>
          <w:tcPr>
            <w:tcW w:w="1418" w:type="dxa"/>
            <w:tcBorders>
              <w:left w:val="single" w:sz="4" w:space="0" w:color="000000"/>
              <w:bottom w:val="single" w:sz="4" w:space="0" w:color="000000"/>
            </w:tcBorders>
            <w:vAlign w:val="center"/>
          </w:tcPr>
          <w:p w14:paraId="586D6B92" w14:textId="77777777" w:rsidR="008E2B43" w:rsidRPr="006645DC" w:rsidRDefault="008E2B43" w:rsidP="00BC027E">
            <w:pPr>
              <w:keepNext/>
              <w:keepLines/>
              <w:snapToGrid w:val="0"/>
              <w:spacing w:before="0" w:after="0"/>
              <w:outlineLvl w:val="1"/>
              <w:rPr>
                <w:lang w:val="en-GB"/>
              </w:rPr>
            </w:pPr>
            <w:bookmarkStart w:id="393" w:name="_Toc376198646"/>
            <w:r w:rsidRPr="006645DC">
              <w:rPr>
                <w:lang w:val="en-GB"/>
              </w:rPr>
              <w:t>Mehedinţi</w:t>
            </w:r>
            <w:bookmarkEnd w:id="393"/>
          </w:p>
        </w:tc>
        <w:tc>
          <w:tcPr>
            <w:tcW w:w="1134" w:type="dxa"/>
            <w:tcBorders>
              <w:left w:val="single" w:sz="4" w:space="0" w:color="000000"/>
              <w:bottom w:val="single" w:sz="4" w:space="0" w:color="000000"/>
            </w:tcBorders>
            <w:vAlign w:val="bottom"/>
          </w:tcPr>
          <w:p w14:paraId="78C4A258" w14:textId="77777777" w:rsidR="008E2B43" w:rsidRPr="006645DC" w:rsidRDefault="008E2B43" w:rsidP="00BC027E">
            <w:pPr>
              <w:keepNext/>
              <w:keepLines/>
              <w:snapToGrid w:val="0"/>
              <w:spacing w:before="0" w:after="0"/>
              <w:outlineLvl w:val="1"/>
              <w:rPr>
                <w:lang w:val="en-GB"/>
              </w:rPr>
            </w:pPr>
            <w:bookmarkStart w:id="394" w:name="_Toc376198647"/>
            <w:r w:rsidRPr="006645DC">
              <w:rPr>
                <w:lang w:val="en-GB"/>
              </w:rPr>
              <w:t>8.6</w:t>
            </w:r>
            <w:bookmarkEnd w:id="394"/>
          </w:p>
        </w:tc>
        <w:tc>
          <w:tcPr>
            <w:tcW w:w="1843" w:type="dxa"/>
            <w:tcBorders>
              <w:left w:val="single" w:sz="4" w:space="0" w:color="000000"/>
              <w:bottom w:val="single" w:sz="4" w:space="0" w:color="000000"/>
            </w:tcBorders>
            <w:vAlign w:val="bottom"/>
          </w:tcPr>
          <w:p w14:paraId="2A94EFCC" w14:textId="77777777" w:rsidR="008E2B43" w:rsidRPr="006645DC" w:rsidRDefault="008E2B43" w:rsidP="00BC027E">
            <w:pPr>
              <w:keepNext/>
              <w:keepLines/>
              <w:snapToGrid w:val="0"/>
              <w:spacing w:before="0" w:after="0"/>
              <w:outlineLvl w:val="1"/>
              <w:rPr>
                <w:lang w:val="en-GB"/>
              </w:rPr>
            </w:pPr>
            <w:bookmarkStart w:id="395" w:name="_Toc376198648"/>
            <w:r w:rsidRPr="006645DC">
              <w:rPr>
                <w:lang w:val="en-GB"/>
              </w:rPr>
              <w:t>Pleven</w:t>
            </w:r>
            <w:bookmarkEnd w:id="395"/>
          </w:p>
        </w:tc>
        <w:tc>
          <w:tcPr>
            <w:tcW w:w="1275" w:type="dxa"/>
            <w:tcBorders>
              <w:left w:val="single" w:sz="4" w:space="0" w:color="000000"/>
              <w:bottom w:val="single" w:sz="4" w:space="0" w:color="000000"/>
              <w:right w:val="single" w:sz="4" w:space="0" w:color="000000"/>
            </w:tcBorders>
            <w:vAlign w:val="bottom"/>
          </w:tcPr>
          <w:p w14:paraId="2EC03941" w14:textId="77777777" w:rsidR="008E2B43" w:rsidRPr="006645DC" w:rsidRDefault="008E2B43" w:rsidP="00BC027E">
            <w:pPr>
              <w:keepNext/>
              <w:keepLines/>
              <w:snapToGrid w:val="0"/>
              <w:spacing w:before="0" w:after="0"/>
              <w:outlineLvl w:val="1"/>
              <w:rPr>
                <w:lang w:val="en-GB"/>
              </w:rPr>
            </w:pPr>
            <w:bookmarkStart w:id="396" w:name="_Toc376198649"/>
            <w:r w:rsidRPr="006645DC">
              <w:rPr>
                <w:lang w:val="en-GB"/>
              </w:rPr>
              <w:t>8.9</w:t>
            </w:r>
            <w:bookmarkEnd w:id="396"/>
          </w:p>
        </w:tc>
      </w:tr>
      <w:tr w:rsidR="008E2B43" w:rsidRPr="006645DC" w14:paraId="3DD4923D" w14:textId="77777777" w:rsidTr="00A14E7C">
        <w:trPr>
          <w:trHeight w:val="270"/>
          <w:jc w:val="center"/>
        </w:trPr>
        <w:tc>
          <w:tcPr>
            <w:tcW w:w="1418" w:type="dxa"/>
            <w:tcBorders>
              <w:top w:val="single" w:sz="4" w:space="0" w:color="000000"/>
              <w:left w:val="single" w:sz="4" w:space="0" w:color="000000"/>
              <w:bottom w:val="single" w:sz="4" w:space="0" w:color="000000"/>
            </w:tcBorders>
            <w:vAlign w:val="center"/>
          </w:tcPr>
          <w:p w14:paraId="72A4F0F9" w14:textId="77777777" w:rsidR="008E2B43" w:rsidRPr="006645DC" w:rsidRDefault="008E2B43" w:rsidP="00BC027E">
            <w:pPr>
              <w:keepNext/>
              <w:keepLines/>
              <w:snapToGrid w:val="0"/>
              <w:spacing w:before="0" w:after="0"/>
              <w:outlineLvl w:val="1"/>
              <w:rPr>
                <w:lang w:val="en-GB"/>
              </w:rPr>
            </w:pPr>
            <w:bookmarkStart w:id="397" w:name="_Toc376198650"/>
            <w:r w:rsidRPr="006645DC">
              <w:rPr>
                <w:lang w:val="en-GB"/>
              </w:rPr>
              <w:t>Olt</w:t>
            </w:r>
            <w:bookmarkEnd w:id="397"/>
          </w:p>
        </w:tc>
        <w:tc>
          <w:tcPr>
            <w:tcW w:w="1134" w:type="dxa"/>
            <w:tcBorders>
              <w:top w:val="single" w:sz="4" w:space="0" w:color="000000"/>
              <w:left w:val="single" w:sz="4" w:space="0" w:color="000000"/>
              <w:bottom w:val="single" w:sz="4" w:space="0" w:color="000000"/>
            </w:tcBorders>
            <w:vAlign w:val="bottom"/>
          </w:tcPr>
          <w:p w14:paraId="3CBD7EF0" w14:textId="77777777" w:rsidR="008E2B43" w:rsidRPr="006645DC" w:rsidRDefault="008E2B43" w:rsidP="00BC027E">
            <w:pPr>
              <w:keepNext/>
              <w:keepLines/>
              <w:snapToGrid w:val="0"/>
              <w:spacing w:before="0" w:after="0"/>
              <w:outlineLvl w:val="1"/>
              <w:rPr>
                <w:lang w:val="en-GB"/>
              </w:rPr>
            </w:pPr>
            <w:bookmarkStart w:id="398" w:name="_Toc376198651"/>
            <w:r w:rsidRPr="006645DC">
              <w:rPr>
                <w:lang w:val="en-GB"/>
              </w:rPr>
              <w:t>7.3</w:t>
            </w:r>
            <w:bookmarkEnd w:id="398"/>
          </w:p>
        </w:tc>
        <w:tc>
          <w:tcPr>
            <w:tcW w:w="1843" w:type="dxa"/>
            <w:tcBorders>
              <w:left w:val="single" w:sz="4" w:space="0" w:color="000000"/>
              <w:bottom w:val="single" w:sz="4" w:space="0" w:color="000000"/>
            </w:tcBorders>
            <w:vAlign w:val="bottom"/>
          </w:tcPr>
          <w:p w14:paraId="4CBB880A" w14:textId="77777777" w:rsidR="008E2B43" w:rsidRPr="006645DC" w:rsidRDefault="008E2B43" w:rsidP="00BC027E">
            <w:pPr>
              <w:keepNext/>
              <w:keepLines/>
              <w:snapToGrid w:val="0"/>
              <w:spacing w:before="0" w:after="0"/>
              <w:outlineLvl w:val="1"/>
              <w:rPr>
                <w:lang w:val="en-GB"/>
              </w:rPr>
            </w:pPr>
            <w:bookmarkStart w:id="399" w:name="_Toc376198652"/>
            <w:r w:rsidRPr="006645DC">
              <w:rPr>
                <w:lang w:val="en-GB"/>
              </w:rPr>
              <w:t>Vratsa</w:t>
            </w:r>
            <w:bookmarkEnd w:id="399"/>
          </w:p>
        </w:tc>
        <w:tc>
          <w:tcPr>
            <w:tcW w:w="1275" w:type="dxa"/>
            <w:tcBorders>
              <w:left w:val="single" w:sz="4" w:space="0" w:color="000000"/>
              <w:bottom w:val="single" w:sz="4" w:space="0" w:color="000000"/>
              <w:right w:val="single" w:sz="4" w:space="0" w:color="000000"/>
            </w:tcBorders>
            <w:vAlign w:val="bottom"/>
          </w:tcPr>
          <w:p w14:paraId="515ED314" w14:textId="77777777" w:rsidR="008E2B43" w:rsidRPr="006645DC" w:rsidRDefault="008E2B43" w:rsidP="00BC027E">
            <w:pPr>
              <w:keepNext/>
              <w:keepLines/>
              <w:snapToGrid w:val="0"/>
              <w:spacing w:before="0" w:after="0"/>
              <w:outlineLvl w:val="1"/>
              <w:rPr>
                <w:lang w:val="en-GB"/>
              </w:rPr>
            </w:pPr>
            <w:bookmarkStart w:id="400" w:name="_Toc376198653"/>
            <w:r w:rsidRPr="006645DC">
              <w:rPr>
                <w:lang w:val="en-GB"/>
              </w:rPr>
              <w:t>8.6</w:t>
            </w:r>
            <w:bookmarkEnd w:id="400"/>
          </w:p>
        </w:tc>
      </w:tr>
      <w:tr w:rsidR="008E2B43" w:rsidRPr="006645DC" w14:paraId="072FA15D" w14:textId="77777777" w:rsidTr="00A14E7C">
        <w:trPr>
          <w:trHeight w:val="270"/>
          <w:jc w:val="center"/>
        </w:trPr>
        <w:tc>
          <w:tcPr>
            <w:tcW w:w="1418" w:type="dxa"/>
            <w:tcBorders>
              <w:top w:val="single" w:sz="4" w:space="0" w:color="000000"/>
            </w:tcBorders>
            <w:vAlign w:val="bottom"/>
          </w:tcPr>
          <w:p w14:paraId="1EFAFE30" w14:textId="77777777" w:rsidR="008E2B43" w:rsidRPr="006645DC" w:rsidRDefault="008E2B43" w:rsidP="008E2B43">
            <w:pPr>
              <w:keepNext/>
              <w:keepLines/>
              <w:snapToGrid w:val="0"/>
              <w:spacing w:before="0" w:after="0"/>
              <w:ind w:left="757" w:hanging="360"/>
              <w:outlineLvl w:val="1"/>
              <w:rPr>
                <w:lang w:val="en-GB"/>
              </w:rPr>
            </w:pPr>
            <w:r w:rsidRPr="006645DC">
              <w:rPr>
                <w:lang w:val="en-GB"/>
              </w:rPr>
              <w:t> </w:t>
            </w:r>
          </w:p>
        </w:tc>
        <w:tc>
          <w:tcPr>
            <w:tcW w:w="1134" w:type="dxa"/>
            <w:tcBorders>
              <w:top w:val="single" w:sz="4" w:space="0" w:color="000000"/>
            </w:tcBorders>
            <w:vAlign w:val="bottom"/>
          </w:tcPr>
          <w:p w14:paraId="1DF62A9E" w14:textId="77777777" w:rsidR="008E2B43" w:rsidRPr="006645DC" w:rsidRDefault="008E2B43" w:rsidP="008E2B43">
            <w:pPr>
              <w:keepNext/>
              <w:keepLines/>
              <w:snapToGrid w:val="0"/>
              <w:spacing w:before="0" w:after="0"/>
              <w:ind w:left="757" w:hanging="360"/>
              <w:outlineLvl w:val="1"/>
              <w:rPr>
                <w:lang w:val="en-GB"/>
              </w:rPr>
            </w:pPr>
            <w:r w:rsidRPr="006645DC">
              <w:rPr>
                <w:lang w:val="en-GB"/>
              </w:rPr>
              <w:t> </w:t>
            </w:r>
          </w:p>
        </w:tc>
        <w:tc>
          <w:tcPr>
            <w:tcW w:w="1843" w:type="dxa"/>
            <w:tcBorders>
              <w:top w:val="single" w:sz="4" w:space="0" w:color="000000"/>
              <w:left w:val="single" w:sz="4" w:space="0" w:color="000000"/>
              <w:bottom w:val="single" w:sz="4" w:space="0" w:color="000000"/>
            </w:tcBorders>
            <w:vAlign w:val="bottom"/>
          </w:tcPr>
          <w:p w14:paraId="07CDA533" w14:textId="77777777" w:rsidR="008E2B43" w:rsidRPr="006645DC" w:rsidRDefault="008E2B43" w:rsidP="00BC027E">
            <w:pPr>
              <w:keepNext/>
              <w:keepLines/>
              <w:snapToGrid w:val="0"/>
              <w:spacing w:before="0" w:after="0"/>
              <w:outlineLvl w:val="1"/>
              <w:rPr>
                <w:lang w:val="en-GB"/>
              </w:rPr>
            </w:pPr>
            <w:bookmarkStart w:id="401" w:name="_Toc376198654"/>
            <w:r w:rsidRPr="006645DC">
              <w:rPr>
                <w:lang w:val="en-GB"/>
              </w:rPr>
              <w:t>Montana</w:t>
            </w:r>
            <w:bookmarkEnd w:id="401"/>
          </w:p>
        </w:tc>
        <w:tc>
          <w:tcPr>
            <w:tcW w:w="1275" w:type="dxa"/>
            <w:tcBorders>
              <w:left w:val="single" w:sz="4" w:space="0" w:color="000000"/>
              <w:bottom w:val="single" w:sz="4" w:space="0" w:color="000000"/>
              <w:right w:val="single" w:sz="4" w:space="0" w:color="000000"/>
            </w:tcBorders>
            <w:vAlign w:val="bottom"/>
          </w:tcPr>
          <w:p w14:paraId="77475909" w14:textId="77777777" w:rsidR="008E2B43" w:rsidRPr="006645DC" w:rsidRDefault="008E2B43" w:rsidP="00BC027E">
            <w:pPr>
              <w:keepNext/>
              <w:keepLines/>
              <w:snapToGrid w:val="0"/>
              <w:spacing w:before="0" w:after="0"/>
              <w:outlineLvl w:val="1"/>
              <w:rPr>
                <w:lang w:val="en-GB"/>
              </w:rPr>
            </w:pPr>
            <w:bookmarkStart w:id="402" w:name="_Toc376198655"/>
            <w:r w:rsidRPr="006645DC">
              <w:rPr>
                <w:lang w:val="en-GB"/>
              </w:rPr>
              <w:t>8.6</w:t>
            </w:r>
            <w:bookmarkEnd w:id="402"/>
          </w:p>
        </w:tc>
      </w:tr>
    </w:tbl>
    <w:p w14:paraId="494E2043" w14:textId="77777777" w:rsidR="008E2B43" w:rsidRPr="006645DC" w:rsidRDefault="008E2B43" w:rsidP="008E2B43">
      <w:pPr>
        <w:pStyle w:val="Caption"/>
        <w:rPr>
          <w:rFonts w:eastAsia="MS Gothic"/>
          <w:lang w:val="en-GB"/>
        </w:rPr>
      </w:pPr>
      <w:bookmarkStart w:id="403" w:name="_Toc391150114"/>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17</w:t>
      </w:r>
      <w:r w:rsidR="005979EB" w:rsidRPr="006645DC">
        <w:rPr>
          <w:lang w:val="en-GB"/>
        </w:rPr>
        <w:fldChar w:fldCharType="end"/>
      </w:r>
      <w:r w:rsidRPr="006645DC">
        <w:rPr>
          <w:lang w:val="en-GB"/>
        </w:rPr>
        <w:t xml:space="preserve"> - </w:t>
      </w:r>
      <w:r w:rsidRPr="006645DC">
        <w:rPr>
          <w:rFonts w:eastAsia="MS Gothic"/>
          <w:lang w:val="en-GB"/>
        </w:rPr>
        <w:t>Birth rate in the cross-border region, by districts in 2011 (‰)</w:t>
      </w:r>
      <w:bookmarkEnd w:id="403"/>
    </w:p>
    <w:p w14:paraId="55387C03" w14:textId="77777777" w:rsidR="008E2B43" w:rsidRPr="006645DC" w:rsidRDefault="00EC6938" w:rsidP="008E2B43">
      <w:pPr>
        <w:keepNext/>
        <w:keepLines/>
        <w:jc w:val="right"/>
        <w:outlineLvl w:val="3"/>
        <w:rPr>
          <w:rFonts w:eastAsia="MS Gothic"/>
          <w:bCs/>
          <w:i/>
          <w:iCs/>
          <w:sz w:val="18"/>
          <w:lang w:val="en-GB"/>
        </w:rPr>
      </w:pPr>
      <w:r w:rsidRPr="006645DC">
        <w:rPr>
          <w:rFonts w:eastAsia="MS Gothic"/>
          <w:bCs/>
          <w:i/>
          <w:iCs/>
          <w:sz w:val="18"/>
          <w:lang w:val="en-GB"/>
        </w:rPr>
        <w:t>S</w:t>
      </w:r>
      <w:r w:rsidR="008E2B43" w:rsidRPr="006645DC">
        <w:rPr>
          <w:rFonts w:eastAsia="MS Gothic"/>
          <w:bCs/>
          <w:i/>
          <w:iCs/>
          <w:sz w:val="18"/>
          <w:lang w:val="en-GB"/>
        </w:rPr>
        <w:t>ource: The National Institute of Statistics – Romania, The National Institute of Statistics – Bulgaria</w:t>
      </w:r>
    </w:p>
    <w:p w14:paraId="72FA587A" w14:textId="77777777" w:rsidR="008E2B43" w:rsidRPr="006645DC" w:rsidRDefault="008E2B43" w:rsidP="008E2B43">
      <w:pPr>
        <w:rPr>
          <w:lang w:val="en-GB"/>
        </w:rPr>
      </w:pPr>
    </w:p>
    <w:p w14:paraId="092134EA" w14:textId="77777777" w:rsidR="008E2B43" w:rsidRPr="006645DC" w:rsidRDefault="008E2B43" w:rsidP="008E2B43">
      <w:pPr>
        <w:rPr>
          <w:lang w:val="en-GB"/>
        </w:rPr>
      </w:pPr>
      <w:r w:rsidRPr="006645DC">
        <w:rPr>
          <w:lang w:val="en-GB"/>
        </w:rPr>
        <w:lastRenderedPageBreak/>
        <w:t xml:space="preserve">The death rate per 1 000 people, a second component of population decrease, remained high both in Romania and in Bulgaria compared to the EU average of 9.6 in 2011. The trend won’t decrease during the next years if we consider the low birth rate and the continuous migration. </w:t>
      </w:r>
    </w:p>
    <w:p w14:paraId="59F79A65" w14:textId="77777777" w:rsidR="008E2B43" w:rsidRPr="006645DC" w:rsidRDefault="00AA4C82" w:rsidP="003B52C5">
      <w:pPr>
        <w:suppressAutoHyphens/>
        <w:jc w:val="center"/>
        <w:rPr>
          <w:rFonts w:eastAsia="Times New Roman"/>
          <w:i/>
          <w:snapToGrid w:val="0"/>
          <w:lang w:val="en-GB" w:eastAsia="ro-RO"/>
        </w:rPr>
      </w:pPr>
      <w:r w:rsidRPr="006645DC">
        <w:rPr>
          <w:rFonts w:ascii="Times New Roman" w:eastAsia="Times New Roman" w:hAnsi="Times New Roman"/>
          <w:noProof/>
          <w:lang w:val="bg-BG" w:eastAsia="bg-BG"/>
        </w:rPr>
        <w:drawing>
          <wp:inline distT="0" distB="0" distL="0" distR="0" wp14:anchorId="6E2F69C0" wp14:editId="2BF8D8E5">
            <wp:extent cx="5153025" cy="1781175"/>
            <wp:effectExtent l="0" t="0" r="0" b="0"/>
            <wp:docPr id="57" name="Chart 18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0AEB0709" w14:textId="77777777" w:rsidR="008E2B43" w:rsidRPr="006645DC" w:rsidRDefault="00A24688" w:rsidP="00A24688">
      <w:pPr>
        <w:pStyle w:val="Caption"/>
        <w:rPr>
          <w:rFonts w:eastAsia="MS Gothic"/>
          <w:b/>
          <w:lang w:val="en-GB"/>
        </w:rPr>
      </w:pPr>
      <w:bookmarkStart w:id="404" w:name="_Toc391150079"/>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30</w:t>
      </w:r>
      <w:r w:rsidR="005979EB" w:rsidRPr="006645DC">
        <w:rPr>
          <w:lang w:val="en-GB"/>
        </w:rPr>
        <w:fldChar w:fldCharType="end"/>
      </w:r>
      <w:r w:rsidRPr="006645DC">
        <w:rPr>
          <w:lang w:val="en-GB"/>
        </w:rPr>
        <w:t xml:space="preserve"> - </w:t>
      </w:r>
      <w:r w:rsidR="008E2B43" w:rsidRPr="006645DC">
        <w:rPr>
          <w:rFonts w:eastAsia="MS Gothic"/>
          <w:lang w:val="en-GB"/>
        </w:rPr>
        <w:t>Overall death rate for the cross-border region between 2007-2010 (‰)</w:t>
      </w:r>
      <w:bookmarkEnd w:id="404"/>
    </w:p>
    <w:p w14:paraId="47B09690" w14:textId="3667BEFF" w:rsidR="002F7E49" w:rsidRPr="00240617" w:rsidRDefault="00EC6938" w:rsidP="00240617">
      <w:pPr>
        <w:keepNext/>
        <w:keepLines/>
        <w:jc w:val="right"/>
        <w:outlineLvl w:val="3"/>
        <w:rPr>
          <w:rFonts w:eastAsia="MS Gothic"/>
          <w:bCs/>
          <w:i/>
          <w:iCs/>
          <w:sz w:val="18"/>
          <w:lang w:val="en-GB"/>
        </w:rPr>
      </w:pPr>
      <w:r w:rsidRPr="006645DC">
        <w:rPr>
          <w:rFonts w:eastAsia="MS Gothic"/>
          <w:bCs/>
          <w:i/>
          <w:iCs/>
          <w:sz w:val="18"/>
          <w:lang w:val="en-GB"/>
        </w:rPr>
        <w:t>S</w:t>
      </w:r>
      <w:r w:rsidR="008E2B43" w:rsidRPr="006645DC">
        <w:rPr>
          <w:rFonts w:eastAsia="MS Gothic"/>
          <w:bCs/>
          <w:i/>
          <w:iCs/>
          <w:sz w:val="18"/>
          <w:lang w:val="en-GB"/>
        </w:rPr>
        <w:t>ource: The National Inst</w:t>
      </w:r>
      <w:r w:rsidR="002F7E49" w:rsidRPr="006645DC">
        <w:rPr>
          <w:rFonts w:eastAsia="MS Gothic"/>
          <w:bCs/>
          <w:i/>
          <w:iCs/>
          <w:sz w:val="18"/>
          <w:lang w:val="en-GB"/>
        </w:rPr>
        <w:t>itute of Statistics – Romania, t</w:t>
      </w:r>
      <w:r w:rsidR="008E2B43" w:rsidRPr="006645DC">
        <w:rPr>
          <w:rFonts w:eastAsia="MS Gothic"/>
          <w:bCs/>
          <w:i/>
          <w:iCs/>
          <w:sz w:val="18"/>
          <w:lang w:val="en-GB"/>
        </w:rPr>
        <w:t>he National Ins</w:t>
      </w:r>
      <w:r w:rsidR="00240617">
        <w:rPr>
          <w:rFonts w:eastAsia="MS Gothic"/>
          <w:bCs/>
          <w:i/>
          <w:iCs/>
          <w:sz w:val="18"/>
          <w:lang w:val="en-GB"/>
        </w:rPr>
        <w:t>titute of Statistics – Bulgaria</w:t>
      </w:r>
    </w:p>
    <w:p w14:paraId="5C8CDD64" w14:textId="77777777" w:rsidR="008E2B43" w:rsidRPr="006645DC" w:rsidRDefault="008E2B43" w:rsidP="00A24688">
      <w:pPr>
        <w:rPr>
          <w:i/>
          <w:lang w:val="en-GB"/>
        </w:rPr>
      </w:pPr>
      <w:r w:rsidRPr="006645DC">
        <w:rPr>
          <w:lang w:val="en-GB"/>
        </w:rPr>
        <w:t xml:space="preserve">In 2011, both in the Romanian and in the Bulgarian cross-border region, the overall death rate per 1000 inhabitants was of 14.0 and 17.3, respectively. Rural areas such as Teleorman and Vidin had the highest levels of mortality, 17.3‰ and 22.7‰, in Romanian and Bulgarian cross border area respectively. </w:t>
      </w:r>
    </w:p>
    <w:p w14:paraId="23161F52" w14:textId="77777777" w:rsidR="008E2B43" w:rsidRPr="006645DC" w:rsidRDefault="00AA4C82" w:rsidP="008E2B43">
      <w:pPr>
        <w:suppressAutoHyphens/>
        <w:jc w:val="center"/>
        <w:rPr>
          <w:rFonts w:eastAsia="Times New Roman"/>
          <w:b/>
          <w:snapToGrid w:val="0"/>
          <w:lang w:val="en-GB" w:eastAsia="ro-RO"/>
        </w:rPr>
      </w:pPr>
      <w:r w:rsidRPr="006645DC">
        <w:rPr>
          <w:noProof/>
          <w:lang w:val="bg-BG" w:eastAsia="bg-BG"/>
        </w:rPr>
        <w:drawing>
          <wp:inline distT="0" distB="0" distL="0" distR="0" wp14:anchorId="04A5A3A2" wp14:editId="5564B5BD">
            <wp:extent cx="5937662" cy="2812852"/>
            <wp:effectExtent l="0" t="0" r="6350" b="6985"/>
            <wp:docPr id="58" name="Picture 250" descr="Description: C:\Documents and Settings\Office\Local Settings\Temporary Internet Files\Content.Word\harti 29 11 201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Description: C:\Documents and Settings\Office\Local Settings\Temporary Internet Files\Content.Word\harti 29 11 201318.jpg"/>
                    <pic:cNvPicPr>
                      <a:picLocks noChangeAspect="1" noChangeArrowheads="1"/>
                    </pic:cNvPicPr>
                  </pic:nvPicPr>
                  <pic:blipFill>
                    <a:blip r:embed="rId88"/>
                    <a:srcRect/>
                    <a:stretch>
                      <a:fillRect/>
                    </a:stretch>
                  </pic:blipFill>
                  <pic:spPr bwMode="auto">
                    <a:xfrm>
                      <a:off x="0" y="0"/>
                      <a:ext cx="5943600" cy="2815665"/>
                    </a:xfrm>
                    <a:prstGeom prst="rect">
                      <a:avLst/>
                    </a:prstGeom>
                    <a:noFill/>
                    <a:ln w="9525">
                      <a:noFill/>
                      <a:miter lim="800000"/>
                      <a:headEnd/>
                      <a:tailEnd/>
                    </a:ln>
                  </pic:spPr>
                </pic:pic>
              </a:graphicData>
            </a:graphic>
          </wp:inline>
        </w:drawing>
      </w:r>
    </w:p>
    <w:p w14:paraId="22BC4609" w14:textId="77777777" w:rsidR="008E2B43" w:rsidRPr="006645DC" w:rsidRDefault="00A24688" w:rsidP="00A24688">
      <w:pPr>
        <w:pStyle w:val="Caption"/>
        <w:rPr>
          <w:rFonts w:eastAsia="MS Gothic"/>
          <w:lang w:val="en-GB"/>
        </w:rPr>
      </w:pPr>
      <w:bookmarkStart w:id="405" w:name="_Toc391150025"/>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21</w:t>
      </w:r>
      <w:r w:rsidR="005979EB" w:rsidRPr="006645DC">
        <w:rPr>
          <w:lang w:val="en-GB"/>
        </w:rPr>
        <w:fldChar w:fldCharType="end"/>
      </w:r>
      <w:r w:rsidRPr="006645DC">
        <w:rPr>
          <w:lang w:val="en-GB"/>
        </w:rPr>
        <w:t xml:space="preserve"> - </w:t>
      </w:r>
      <w:r w:rsidR="002F7E49" w:rsidRPr="006645DC">
        <w:rPr>
          <w:lang w:val="en-GB"/>
        </w:rPr>
        <w:t>D</w:t>
      </w:r>
      <w:r w:rsidR="008E2B43" w:rsidRPr="006645DC">
        <w:rPr>
          <w:rFonts w:eastAsia="MS Gothic"/>
          <w:lang w:val="en-GB"/>
        </w:rPr>
        <w:t>eath rate for the cross-border region in 2011</w:t>
      </w:r>
      <w:r w:rsidR="00F85B56" w:rsidRPr="006645DC">
        <w:rPr>
          <w:rFonts w:eastAsia="MS Gothic"/>
          <w:b/>
          <w:lang w:val="en-GB"/>
        </w:rPr>
        <w:t>(‰)</w:t>
      </w:r>
      <w:bookmarkEnd w:id="405"/>
    </w:p>
    <w:p w14:paraId="2BD7986B" w14:textId="77777777" w:rsidR="008E2B43" w:rsidRPr="006645DC" w:rsidRDefault="008E2B43" w:rsidP="008E2B43">
      <w:pPr>
        <w:keepNext/>
        <w:keepLines/>
        <w:jc w:val="right"/>
        <w:outlineLvl w:val="3"/>
        <w:rPr>
          <w:rFonts w:eastAsia="MS Gothic"/>
          <w:b/>
          <w:bCs/>
          <w:i/>
          <w:iCs/>
          <w:sz w:val="18"/>
          <w:lang w:val="en-GB"/>
        </w:rPr>
      </w:pPr>
      <w:r w:rsidRPr="006645DC">
        <w:rPr>
          <w:rFonts w:eastAsia="MS Gothic"/>
          <w:bCs/>
          <w:i/>
          <w:iCs/>
          <w:sz w:val="18"/>
          <w:lang w:val="en-GB"/>
        </w:rPr>
        <w:t>Source: EVOLUTION Project</w:t>
      </w:r>
      <w:r w:rsidR="00B3336F" w:rsidRPr="006645DC">
        <w:rPr>
          <w:rFonts w:eastAsia="MS Gothic"/>
          <w:bCs/>
          <w:i/>
          <w:iCs/>
          <w:sz w:val="18"/>
          <w:lang w:val="en-GB"/>
        </w:rPr>
        <w:t>, Détente Consultants</w:t>
      </w:r>
    </w:p>
    <w:p w14:paraId="08FF0FD9" w14:textId="77777777" w:rsidR="008E2B43" w:rsidRPr="006645DC" w:rsidRDefault="008E2B43" w:rsidP="008E2B43">
      <w:pPr>
        <w:autoSpaceDE w:val="0"/>
        <w:autoSpaceDN w:val="0"/>
        <w:adjustRightInd w:val="0"/>
        <w:rPr>
          <w:rFonts w:eastAsia="Times New Roman"/>
          <w:snapToGrid w:val="0"/>
          <w:color w:val="000000"/>
          <w:lang w:val="en-GB" w:eastAsia="ro-RO"/>
        </w:rPr>
      </w:pPr>
    </w:p>
    <w:p w14:paraId="3C0FBC8B" w14:textId="77777777" w:rsidR="008E2B43" w:rsidRPr="006645DC" w:rsidRDefault="008E2B43" w:rsidP="00A24688">
      <w:pPr>
        <w:rPr>
          <w:lang w:val="en-GB"/>
        </w:rPr>
      </w:pPr>
      <w:r w:rsidRPr="006645DC">
        <w:rPr>
          <w:lang w:val="en-GB"/>
        </w:rPr>
        <w:lastRenderedPageBreak/>
        <w:t xml:space="preserve">The average life expectancy is an important indicator that gives information on the standard of living and the quality of life in a given territorial area. It is an aggregated indicator that includes aspects like the healthcare standards that are present in the region, the accessibility of healthcare services and facilities, the level of physical activity, the health risk factors such as tobacco and alcohol consumption, the general awareness of the components of a healthy diet, etc. The life expectancy at birth recorded over the last years, for both countries, was of over 73 years, showing an increase from the previous period. Women (77 years) have in average a longer lifespan, by over 7 years than men (70 years). Nevertheless, these figures are some of the lowest in the EU and are even lower than the one recorded in the Central and Eastern European countries that entered in the EU in 2004. The life expectancy at birth in the cross-border region is not very different than the national ones. The low overall averages in this respect illustrate the difficult socio-economic transition in the entire cross border region.  </w:t>
      </w:r>
    </w:p>
    <w:p w14:paraId="42C0E9A0" w14:textId="77777777" w:rsidR="008E2B43" w:rsidRPr="006645DC" w:rsidRDefault="008E2B43" w:rsidP="00A24688">
      <w:pPr>
        <w:rPr>
          <w:lang w:val="en-GB"/>
        </w:rPr>
      </w:pPr>
      <w:r w:rsidRPr="006645DC">
        <w:rPr>
          <w:lang w:val="en-GB"/>
        </w:rPr>
        <w:t xml:space="preserve">Moreover, the lifespan difference between women and men (under 7 years in older EU Member States) is similar to other Central and Eastern EU Member States like Poland and indicates the differences in healthcare risk factors and in the gender social roles, functions and cultural perception between Western European societies and Eastern European ones.  </w:t>
      </w:r>
    </w:p>
    <w:p w14:paraId="7DCF83C0" w14:textId="77777777" w:rsidR="008E2B43" w:rsidRPr="006645DC" w:rsidRDefault="008E2B43" w:rsidP="00A24688">
      <w:pPr>
        <w:rPr>
          <w:lang w:val="en-GB"/>
        </w:rPr>
      </w:pPr>
      <w:r w:rsidRPr="006645DC">
        <w:rPr>
          <w:lang w:val="en-GB"/>
        </w:rPr>
        <w:t>Ruse (73.79 years) and Pleven (73.47 years) recorded life expectancy levels that were close to the national values. For the Romanian counties, Constanta (72.76 years) and Dolj (72.83 years) reached the highest values. The most important contribution to the increase in life expectancy at birth was a decrease of mortality in adult and older ages and, to a smaller extent, in young ages. We can notice that mortality by age is considerably lower in the generations born after 1989, as compared to mortality at the same age in generations born before 1990. Access to family planning services and the decreasing proportion of unwanted children have had beneficial effects on the health of children born after 1989.</w:t>
      </w:r>
    </w:p>
    <w:p w14:paraId="1CFE5AC8" w14:textId="77777777" w:rsidR="008E2B43" w:rsidRPr="006645DC" w:rsidRDefault="008E2B43" w:rsidP="00A24688">
      <w:pPr>
        <w:rPr>
          <w:b/>
          <w:color w:val="31849B"/>
          <w:lang w:val="en-GB"/>
        </w:rPr>
      </w:pPr>
      <w:r w:rsidRPr="006645DC">
        <w:rPr>
          <w:lang w:val="en-GB"/>
        </w:rPr>
        <w:t>The decrease in the number of deaths in the first year of life is indicated by the decrease in infant mortality, both in the Romanian and in the Bulgarian regions, which recorded, in 2010, values of 11.0‰ and 9.9‰, respectively. In 2011, the highest levels of infant mortality were recorded in the districts of Mehedinţi (16.1‰) and Silistra (10.6‰).</w:t>
      </w:r>
    </w:p>
    <w:p w14:paraId="64ED7236" w14:textId="77777777" w:rsidR="008E2B43" w:rsidRPr="006645DC" w:rsidRDefault="008E2B43" w:rsidP="00A24688">
      <w:pPr>
        <w:rPr>
          <w:lang w:val="en-GB"/>
        </w:rPr>
      </w:pPr>
      <w:r w:rsidRPr="006645DC">
        <w:rPr>
          <w:lang w:val="en-GB"/>
        </w:rPr>
        <w:t xml:space="preserve">The concomitant birth rate decrease and death rate increased have caused, over the last four years, a constant decrease of the Cross Border population, with variations between -12 thousand and -15 thousand people. The natural increase ratios have decreased accordingly, from -4.3 people per 1000 inhabitants (in 2007) to -4.6 people per 1000 inhabitants (in 2011) in the Romanian counties. In the Bulgarian districts, these ratios varied around the value of -8 people per 1000 inhabitants. Therefore, all the Cross Border counties and districts recorded negative natural growth values with Teleorman and Vidin being the areas with the highest ones. </w:t>
      </w:r>
    </w:p>
    <w:p w14:paraId="04436D5E" w14:textId="77777777" w:rsidR="008E2B43" w:rsidRPr="006645DC" w:rsidRDefault="008E2B43" w:rsidP="003B52C5">
      <w:pPr>
        <w:pStyle w:val="Heading2"/>
        <w:rPr>
          <w:lang w:val="en-GB"/>
        </w:rPr>
      </w:pPr>
      <w:bookmarkStart w:id="406" w:name="_Toc376198656"/>
      <w:bookmarkStart w:id="407" w:name="_Toc254543784"/>
      <w:bookmarkStart w:id="408" w:name="_Toc391150177"/>
      <w:r w:rsidRPr="006645DC">
        <w:rPr>
          <w:lang w:val="en-GB"/>
        </w:rPr>
        <w:t>Fertility rate</w:t>
      </w:r>
      <w:bookmarkEnd w:id="406"/>
      <w:bookmarkEnd w:id="407"/>
      <w:bookmarkEnd w:id="408"/>
    </w:p>
    <w:p w14:paraId="5B8EE909" w14:textId="06C8D3BE" w:rsidR="00F35E83" w:rsidRPr="006645DC" w:rsidRDefault="008E2B43" w:rsidP="00A24688">
      <w:pPr>
        <w:rPr>
          <w:lang w:val="en-GB"/>
        </w:rPr>
      </w:pPr>
      <w:r w:rsidRPr="006645DC">
        <w:rPr>
          <w:lang w:val="en-GB"/>
        </w:rPr>
        <w:t xml:space="preserve">After plummeting in the 90s, at the end of Communism (due to economic transition but also to the end of demographic policies like abortion prohibition), the fertility rate started to slightly increase at the end of the 2000-2010 decade, mainly due to better economic conditions (robust economic growth in that period in both countries) and to the lowering infant mortality rates. These national trends were also </w:t>
      </w:r>
      <w:r w:rsidRPr="006645DC">
        <w:rPr>
          <w:lang w:val="en-GB"/>
        </w:rPr>
        <w:lastRenderedPageBreak/>
        <w:t>registered in the cross-border counties of Romania. Nevertheless, with the onset of the economic crisis and the recession, the fertility rate began to decrease again in a quick manner. This can be seen in the ta</w:t>
      </w:r>
      <w:r w:rsidR="00240617">
        <w:rPr>
          <w:lang w:val="en-GB"/>
        </w:rPr>
        <w:t xml:space="preserve">ble below.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530"/>
        <w:gridCol w:w="1531"/>
        <w:gridCol w:w="1531"/>
        <w:gridCol w:w="1531"/>
        <w:gridCol w:w="1531"/>
      </w:tblGrid>
      <w:tr w:rsidR="008E2B43" w:rsidRPr="006645DC" w14:paraId="1D3D8745" w14:textId="77777777" w:rsidTr="00393EB7">
        <w:trPr>
          <w:trHeight w:val="300"/>
          <w:jc w:val="center"/>
        </w:trPr>
        <w:tc>
          <w:tcPr>
            <w:tcW w:w="1922" w:type="dxa"/>
            <w:vMerge w:val="restart"/>
            <w:shd w:val="clear" w:color="auto" w:fill="auto"/>
            <w:vAlign w:val="center"/>
            <w:hideMark/>
          </w:tcPr>
          <w:p w14:paraId="7C273705" w14:textId="321839AD" w:rsidR="008E2B43" w:rsidRPr="006645DC" w:rsidRDefault="00625139" w:rsidP="00393EB7">
            <w:pPr>
              <w:spacing w:before="0" w:after="0"/>
              <w:rPr>
                <w:rFonts w:cs="Calibri"/>
                <w:b/>
                <w:bCs/>
                <w:lang w:val="en-GB"/>
              </w:rPr>
            </w:pPr>
            <w:r w:rsidRPr="006645DC">
              <w:rPr>
                <w:rFonts w:cs="Calibri"/>
                <w:b/>
                <w:bCs/>
                <w:lang w:val="en-GB"/>
              </w:rPr>
              <w:t>County</w:t>
            </w:r>
          </w:p>
        </w:tc>
        <w:tc>
          <w:tcPr>
            <w:tcW w:w="1530" w:type="dxa"/>
            <w:shd w:val="clear" w:color="auto" w:fill="auto"/>
            <w:vAlign w:val="center"/>
            <w:hideMark/>
          </w:tcPr>
          <w:p w14:paraId="0776B507" w14:textId="77777777" w:rsidR="008E2B43" w:rsidRPr="006645DC" w:rsidRDefault="008E2B43" w:rsidP="00393EB7">
            <w:pPr>
              <w:keepNext/>
              <w:keepLines/>
              <w:spacing w:before="0" w:after="0"/>
              <w:ind w:left="757" w:hanging="360"/>
              <w:jc w:val="center"/>
              <w:outlineLvl w:val="1"/>
              <w:rPr>
                <w:rFonts w:cs="Calibri"/>
                <w:b/>
                <w:bCs/>
                <w:lang w:val="en-GB"/>
              </w:rPr>
            </w:pPr>
            <w:bookmarkStart w:id="409" w:name="_Toc376198657"/>
            <w:r w:rsidRPr="006645DC">
              <w:rPr>
                <w:rFonts w:cs="Calibri"/>
                <w:b/>
                <w:bCs/>
                <w:lang w:val="en-GB"/>
              </w:rPr>
              <w:t>1990</w:t>
            </w:r>
            <w:bookmarkEnd w:id="409"/>
          </w:p>
        </w:tc>
        <w:tc>
          <w:tcPr>
            <w:tcW w:w="1531" w:type="dxa"/>
            <w:shd w:val="clear" w:color="auto" w:fill="auto"/>
            <w:vAlign w:val="center"/>
            <w:hideMark/>
          </w:tcPr>
          <w:p w14:paraId="700B8AE8" w14:textId="77777777" w:rsidR="008E2B43" w:rsidRPr="006645DC" w:rsidRDefault="008E2B43" w:rsidP="00393EB7">
            <w:pPr>
              <w:keepNext/>
              <w:keepLines/>
              <w:spacing w:before="0" w:after="0"/>
              <w:ind w:left="757" w:hanging="360"/>
              <w:jc w:val="center"/>
              <w:outlineLvl w:val="1"/>
              <w:rPr>
                <w:rFonts w:cs="Calibri"/>
                <w:b/>
                <w:bCs/>
                <w:lang w:val="en-GB"/>
              </w:rPr>
            </w:pPr>
            <w:bookmarkStart w:id="410" w:name="_Toc376198658"/>
            <w:r w:rsidRPr="006645DC">
              <w:rPr>
                <w:rFonts w:cs="Calibri"/>
                <w:b/>
                <w:bCs/>
                <w:lang w:val="en-GB"/>
              </w:rPr>
              <w:t>2008</w:t>
            </w:r>
            <w:bookmarkEnd w:id="410"/>
          </w:p>
        </w:tc>
        <w:tc>
          <w:tcPr>
            <w:tcW w:w="1531" w:type="dxa"/>
            <w:shd w:val="clear" w:color="auto" w:fill="auto"/>
            <w:vAlign w:val="center"/>
            <w:hideMark/>
          </w:tcPr>
          <w:p w14:paraId="05DCDD6C" w14:textId="77777777" w:rsidR="008E2B43" w:rsidRPr="006645DC" w:rsidRDefault="008E2B43" w:rsidP="00393EB7">
            <w:pPr>
              <w:spacing w:before="0" w:after="0"/>
              <w:jc w:val="center"/>
              <w:rPr>
                <w:rFonts w:cs="Calibri"/>
                <w:b/>
                <w:bCs/>
                <w:lang w:val="en-GB"/>
              </w:rPr>
            </w:pPr>
            <w:r w:rsidRPr="006645DC">
              <w:rPr>
                <w:rFonts w:cs="Calibri"/>
                <w:b/>
                <w:bCs/>
                <w:lang w:val="en-GB"/>
              </w:rPr>
              <w:t>2009</w:t>
            </w:r>
          </w:p>
        </w:tc>
        <w:tc>
          <w:tcPr>
            <w:tcW w:w="1531" w:type="dxa"/>
            <w:shd w:val="clear" w:color="auto" w:fill="auto"/>
            <w:vAlign w:val="center"/>
            <w:hideMark/>
          </w:tcPr>
          <w:p w14:paraId="05272485" w14:textId="77777777" w:rsidR="008E2B43" w:rsidRPr="006645DC" w:rsidRDefault="008E2B43" w:rsidP="00393EB7">
            <w:pPr>
              <w:spacing w:before="0" w:after="0"/>
              <w:jc w:val="center"/>
              <w:rPr>
                <w:rFonts w:cs="Calibri"/>
                <w:b/>
                <w:bCs/>
                <w:lang w:val="en-GB"/>
              </w:rPr>
            </w:pPr>
            <w:r w:rsidRPr="006645DC">
              <w:rPr>
                <w:rFonts w:cs="Calibri"/>
                <w:b/>
                <w:bCs/>
                <w:lang w:val="en-GB"/>
              </w:rPr>
              <w:t>2010</w:t>
            </w:r>
          </w:p>
        </w:tc>
        <w:tc>
          <w:tcPr>
            <w:tcW w:w="1531" w:type="dxa"/>
            <w:shd w:val="clear" w:color="auto" w:fill="auto"/>
            <w:vAlign w:val="center"/>
            <w:hideMark/>
          </w:tcPr>
          <w:p w14:paraId="49B0C334" w14:textId="77777777" w:rsidR="008E2B43" w:rsidRPr="006645DC" w:rsidRDefault="008E2B43" w:rsidP="00393EB7">
            <w:pPr>
              <w:spacing w:before="0" w:after="0"/>
              <w:jc w:val="center"/>
              <w:rPr>
                <w:rFonts w:cs="Calibri"/>
                <w:b/>
                <w:bCs/>
                <w:lang w:val="en-GB"/>
              </w:rPr>
            </w:pPr>
            <w:r w:rsidRPr="006645DC">
              <w:rPr>
                <w:rFonts w:cs="Calibri"/>
                <w:b/>
                <w:bCs/>
                <w:lang w:val="en-GB"/>
              </w:rPr>
              <w:t>2011</w:t>
            </w:r>
          </w:p>
        </w:tc>
      </w:tr>
      <w:tr w:rsidR="008E2B43" w:rsidRPr="006645DC" w14:paraId="2C13FD7B" w14:textId="77777777" w:rsidTr="00393EB7">
        <w:trPr>
          <w:trHeight w:val="503"/>
          <w:jc w:val="center"/>
        </w:trPr>
        <w:tc>
          <w:tcPr>
            <w:tcW w:w="1922" w:type="dxa"/>
            <w:vMerge/>
            <w:shd w:val="clear" w:color="auto" w:fill="auto"/>
            <w:vAlign w:val="center"/>
            <w:hideMark/>
          </w:tcPr>
          <w:p w14:paraId="5C7B32B0" w14:textId="77777777" w:rsidR="008E2B43" w:rsidRPr="006645DC" w:rsidRDefault="008E2B43" w:rsidP="00393EB7">
            <w:pPr>
              <w:spacing w:before="0" w:after="0"/>
              <w:rPr>
                <w:rFonts w:cs="Calibri"/>
                <w:b/>
                <w:bCs/>
                <w:lang w:val="en-GB"/>
              </w:rPr>
            </w:pPr>
          </w:p>
        </w:tc>
        <w:tc>
          <w:tcPr>
            <w:tcW w:w="7654" w:type="dxa"/>
            <w:gridSpan w:val="5"/>
            <w:shd w:val="clear" w:color="auto" w:fill="auto"/>
            <w:vAlign w:val="center"/>
            <w:hideMark/>
          </w:tcPr>
          <w:p w14:paraId="7D5474DB" w14:textId="77777777" w:rsidR="008E2B43" w:rsidRPr="006645DC" w:rsidRDefault="008E2B43" w:rsidP="00393EB7">
            <w:pPr>
              <w:keepNext/>
              <w:keepLines/>
              <w:spacing w:before="0" w:after="0"/>
              <w:ind w:left="757" w:hanging="360"/>
              <w:jc w:val="center"/>
              <w:outlineLvl w:val="1"/>
              <w:rPr>
                <w:rFonts w:cs="Calibri"/>
                <w:b/>
                <w:bCs/>
                <w:lang w:val="en-GB"/>
              </w:rPr>
            </w:pPr>
            <w:bookmarkStart w:id="411" w:name="_Toc376198659"/>
            <w:r w:rsidRPr="006645DC">
              <w:rPr>
                <w:rFonts w:cs="Calibri"/>
                <w:b/>
                <w:bCs/>
                <w:lang w:val="en-GB"/>
              </w:rPr>
              <w:t>Number of born alive children per 1000 women at fertile age</w:t>
            </w:r>
            <w:bookmarkEnd w:id="411"/>
          </w:p>
        </w:tc>
      </w:tr>
      <w:tr w:rsidR="008E2B43" w:rsidRPr="006645DC" w14:paraId="666296CA" w14:textId="77777777" w:rsidTr="00393EB7">
        <w:trPr>
          <w:trHeight w:val="300"/>
          <w:jc w:val="center"/>
        </w:trPr>
        <w:tc>
          <w:tcPr>
            <w:tcW w:w="1922" w:type="dxa"/>
            <w:shd w:val="clear" w:color="auto" w:fill="auto"/>
            <w:vAlign w:val="center"/>
            <w:hideMark/>
          </w:tcPr>
          <w:p w14:paraId="15F01E58" w14:textId="77777777" w:rsidR="008E2B43" w:rsidRPr="006645DC" w:rsidRDefault="008E2B43" w:rsidP="00393EB7">
            <w:pPr>
              <w:keepNext/>
              <w:keepLines/>
              <w:spacing w:before="0" w:after="0"/>
              <w:outlineLvl w:val="1"/>
              <w:rPr>
                <w:rFonts w:cs="Calibri"/>
                <w:b/>
                <w:bCs/>
                <w:lang w:val="en-GB"/>
              </w:rPr>
            </w:pPr>
            <w:bookmarkStart w:id="412" w:name="_Toc376198660"/>
            <w:r w:rsidRPr="006645DC">
              <w:rPr>
                <w:rFonts w:cs="Calibri"/>
                <w:b/>
                <w:bCs/>
                <w:lang w:val="en-GB"/>
              </w:rPr>
              <w:t>Romanian average</w:t>
            </w:r>
            <w:bookmarkEnd w:id="412"/>
          </w:p>
        </w:tc>
        <w:tc>
          <w:tcPr>
            <w:tcW w:w="1530" w:type="dxa"/>
            <w:shd w:val="clear" w:color="auto" w:fill="auto"/>
            <w:vAlign w:val="center"/>
            <w:hideMark/>
          </w:tcPr>
          <w:p w14:paraId="37C8D476" w14:textId="77777777" w:rsidR="008E2B43" w:rsidRPr="006645DC" w:rsidRDefault="008E2B43" w:rsidP="00393EB7">
            <w:pPr>
              <w:keepNext/>
              <w:keepLines/>
              <w:spacing w:before="0" w:after="0"/>
              <w:ind w:left="757" w:hanging="360"/>
              <w:jc w:val="right"/>
              <w:outlineLvl w:val="1"/>
              <w:rPr>
                <w:rFonts w:cs="Calibri"/>
                <w:b/>
                <w:lang w:val="en-GB"/>
              </w:rPr>
            </w:pPr>
            <w:bookmarkStart w:id="413" w:name="_Toc376198661"/>
            <w:r w:rsidRPr="006645DC">
              <w:rPr>
                <w:rFonts w:cs="Calibri"/>
                <w:b/>
                <w:lang w:val="en-GB"/>
              </w:rPr>
              <w:t>56,2</w:t>
            </w:r>
            <w:bookmarkEnd w:id="413"/>
          </w:p>
        </w:tc>
        <w:tc>
          <w:tcPr>
            <w:tcW w:w="1531" w:type="dxa"/>
            <w:shd w:val="clear" w:color="auto" w:fill="auto"/>
            <w:vAlign w:val="center"/>
            <w:hideMark/>
          </w:tcPr>
          <w:p w14:paraId="2E8B7914" w14:textId="77777777" w:rsidR="008E2B43" w:rsidRPr="006645DC" w:rsidRDefault="008E2B43" w:rsidP="00393EB7">
            <w:pPr>
              <w:keepNext/>
              <w:keepLines/>
              <w:spacing w:before="0" w:after="0"/>
              <w:ind w:left="757" w:hanging="360"/>
              <w:jc w:val="right"/>
              <w:outlineLvl w:val="1"/>
              <w:rPr>
                <w:rFonts w:cs="Calibri"/>
                <w:b/>
                <w:u w:val="single"/>
                <w:lang w:val="en-GB"/>
              </w:rPr>
            </w:pPr>
            <w:bookmarkStart w:id="414" w:name="_Toc376198662"/>
            <w:r w:rsidRPr="006645DC">
              <w:rPr>
                <w:rFonts w:cs="Calibri"/>
                <w:b/>
                <w:u w:val="single"/>
                <w:lang w:val="en-GB"/>
              </w:rPr>
              <w:t>40,6</w:t>
            </w:r>
            <w:bookmarkEnd w:id="414"/>
          </w:p>
        </w:tc>
        <w:tc>
          <w:tcPr>
            <w:tcW w:w="1531" w:type="dxa"/>
            <w:shd w:val="clear" w:color="auto" w:fill="auto"/>
            <w:vAlign w:val="center"/>
            <w:hideMark/>
          </w:tcPr>
          <w:p w14:paraId="37B0AF4F" w14:textId="77777777" w:rsidR="008E2B43" w:rsidRPr="006645DC" w:rsidRDefault="008E2B43" w:rsidP="00393EB7">
            <w:pPr>
              <w:keepNext/>
              <w:keepLines/>
              <w:spacing w:before="0" w:after="0"/>
              <w:ind w:left="757" w:hanging="360"/>
              <w:jc w:val="right"/>
              <w:outlineLvl w:val="1"/>
              <w:rPr>
                <w:rFonts w:cs="Calibri"/>
                <w:b/>
                <w:u w:val="single"/>
                <w:lang w:val="en-GB"/>
              </w:rPr>
            </w:pPr>
            <w:bookmarkStart w:id="415" w:name="_Toc376198663"/>
            <w:r w:rsidRPr="006645DC">
              <w:rPr>
                <w:rFonts w:cs="Calibri"/>
                <w:b/>
                <w:u w:val="single"/>
                <w:lang w:val="en-GB"/>
              </w:rPr>
              <w:t>41</w:t>
            </w:r>
            <w:bookmarkEnd w:id="415"/>
          </w:p>
        </w:tc>
        <w:tc>
          <w:tcPr>
            <w:tcW w:w="1531" w:type="dxa"/>
            <w:shd w:val="clear" w:color="auto" w:fill="auto"/>
            <w:vAlign w:val="center"/>
            <w:hideMark/>
          </w:tcPr>
          <w:p w14:paraId="104248A3" w14:textId="77777777" w:rsidR="008E2B43" w:rsidRPr="006645DC" w:rsidRDefault="008E2B43" w:rsidP="00393EB7">
            <w:pPr>
              <w:keepNext/>
              <w:keepLines/>
              <w:spacing w:before="0" w:after="0"/>
              <w:ind w:left="757" w:hanging="360"/>
              <w:jc w:val="right"/>
              <w:outlineLvl w:val="1"/>
              <w:rPr>
                <w:rFonts w:cs="Calibri"/>
                <w:b/>
                <w:u w:val="single"/>
                <w:lang w:val="en-GB"/>
              </w:rPr>
            </w:pPr>
            <w:bookmarkStart w:id="416" w:name="_Toc376198664"/>
            <w:r w:rsidRPr="006645DC">
              <w:rPr>
                <w:rFonts w:cs="Calibri"/>
                <w:b/>
                <w:u w:val="single"/>
                <w:lang w:val="en-GB"/>
              </w:rPr>
              <w:t>39,4</w:t>
            </w:r>
            <w:bookmarkEnd w:id="416"/>
          </w:p>
        </w:tc>
        <w:tc>
          <w:tcPr>
            <w:tcW w:w="1531" w:type="dxa"/>
            <w:shd w:val="clear" w:color="auto" w:fill="auto"/>
            <w:vAlign w:val="center"/>
            <w:hideMark/>
          </w:tcPr>
          <w:p w14:paraId="59E94E02" w14:textId="77777777" w:rsidR="008E2B43" w:rsidRPr="006645DC" w:rsidRDefault="008E2B43" w:rsidP="00393EB7">
            <w:pPr>
              <w:keepNext/>
              <w:keepLines/>
              <w:spacing w:before="0" w:after="0"/>
              <w:ind w:left="757" w:hanging="360"/>
              <w:jc w:val="right"/>
              <w:outlineLvl w:val="1"/>
              <w:rPr>
                <w:rFonts w:cs="Calibri"/>
                <w:b/>
                <w:u w:val="single"/>
                <w:lang w:val="en-GB"/>
              </w:rPr>
            </w:pPr>
            <w:bookmarkStart w:id="417" w:name="_Toc376198665"/>
            <w:r w:rsidRPr="006645DC">
              <w:rPr>
                <w:rFonts w:cs="Calibri"/>
                <w:b/>
                <w:u w:val="single"/>
                <w:lang w:val="en-GB"/>
              </w:rPr>
              <w:t>36,6</w:t>
            </w:r>
            <w:bookmarkEnd w:id="417"/>
          </w:p>
        </w:tc>
      </w:tr>
      <w:tr w:rsidR="008E2B43" w:rsidRPr="006645DC" w14:paraId="4F50B6F5" w14:textId="77777777" w:rsidTr="00393EB7">
        <w:trPr>
          <w:trHeight w:val="300"/>
          <w:jc w:val="center"/>
        </w:trPr>
        <w:tc>
          <w:tcPr>
            <w:tcW w:w="1922" w:type="dxa"/>
            <w:shd w:val="clear" w:color="auto" w:fill="auto"/>
            <w:vAlign w:val="center"/>
            <w:hideMark/>
          </w:tcPr>
          <w:p w14:paraId="6F3FAB15" w14:textId="77777777" w:rsidR="008E2B43" w:rsidRPr="006645DC" w:rsidRDefault="008E2B43" w:rsidP="00393EB7">
            <w:pPr>
              <w:keepNext/>
              <w:keepLines/>
              <w:spacing w:before="0" w:after="0"/>
              <w:outlineLvl w:val="1"/>
              <w:rPr>
                <w:rFonts w:cs="Calibri"/>
                <w:bCs/>
                <w:lang w:val="en-GB"/>
              </w:rPr>
            </w:pPr>
            <w:bookmarkStart w:id="418" w:name="_Toc376198666"/>
            <w:r w:rsidRPr="006645DC">
              <w:rPr>
                <w:rFonts w:cs="Calibri"/>
                <w:bCs/>
                <w:lang w:val="en-GB"/>
              </w:rPr>
              <w:t>Constanta</w:t>
            </w:r>
            <w:bookmarkEnd w:id="418"/>
          </w:p>
        </w:tc>
        <w:tc>
          <w:tcPr>
            <w:tcW w:w="1530" w:type="dxa"/>
            <w:shd w:val="clear" w:color="auto" w:fill="auto"/>
            <w:vAlign w:val="center"/>
            <w:hideMark/>
          </w:tcPr>
          <w:p w14:paraId="78932D73" w14:textId="77777777" w:rsidR="008E2B43" w:rsidRPr="006645DC" w:rsidRDefault="008E2B43" w:rsidP="00393EB7">
            <w:pPr>
              <w:keepNext/>
              <w:keepLines/>
              <w:spacing w:before="0" w:after="0"/>
              <w:ind w:left="757" w:hanging="360"/>
              <w:jc w:val="right"/>
              <w:outlineLvl w:val="1"/>
              <w:rPr>
                <w:rFonts w:cs="Calibri"/>
                <w:lang w:val="en-GB"/>
              </w:rPr>
            </w:pPr>
            <w:bookmarkStart w:id="419" w:name="_Toc376198667"/>
            <w:r w:rsidRPr="006645DC">
              <w:rPr>
                <w:rFonts w:cs="Calibri"/>
                <w:lang w:val="en-GB"/>
              </w:rPr>
              <w:t>52,8</w:t>
            </w:r>
            <w:bookmarkEnd w:id="419"/>
          </w:p>
        </w:tc>
        <w:tc>
          <w:tcPr>
            <w:tcW w:w="1531" w:type="dxa"/>
            <w:shd w:val="clear" w:color="auto" w:fill="auto"/>
            <w:vAlign w:val="center"/>
            <w:hideMark/>
          </w:tcPr>
          <w:p w14:paraId="4143997A"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20" w:name="_Toc376198668"/>
            <w:r w:rsidRPr="006645DC">
              <w:rPr>
                <w:rFonts w:cs="Calibri"/>
                <w:u w:val="single"/>
                <w:lang w:val="en-GB"/>
              </w:rPr>
              <w:t>43,5</w:t>
            </w:r>
            <w:bookmarkEnd w:id="420"/>
          </w:p>
        </w:tc>
        <w:tc>
          <w:tcPr>
            <w:tcW w:w="1531" w:type="dxa"/>
            <w:shd w:val="clear" w:color="auto" w:fill="auto"/>
            <w:vAlign w:val="center"/>
            <w:hideMark/>
          </w:tcPr>
          <w:p w14:paraId="5963AB2B"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21" w:name="_Toc376198669"/>
            <w:r w:rsidRPr="006645DC">
              <w:rPr>
                <w:rFonts w:cs="Calibri"/>
                <w:u w:val="single"/>
                <w:lang w:val="en-GB"/>
              </w:rPr>
              <w:t>44,1</w:t>
            </w:r>
            <w:bookmarkEnd w:id="421"/>
          </w:p>
        </w:tc>
        <w:tc>
          <w:tcPr>
            <w:tcW w:w="1531" w:type="dxa"/>
            <w:shd w:val="clear" w:color="auto" w:fill="auto"/>
            <w:vAlign w:val="center"/>
            <w:hideMark/>
          </w:tcPr>
          <w:p w14:paraId="5FAA8642"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22" w:name="_Toc376198670"/>
            <w:r w:rsidRPr="006645DC">
              <w:rPr>
                <w:rFonts w:cs="Calibri"/>
                <w:u w:val="single"/>
                <w:lang w:val="en-GB"/>
              </w:rPr>
              <w:t>43,2</w:t>
            </w:r>
            <w:bookmarkEnd w:id="422"/>
          </w:p>
        </w:tc>
        <w:tc>
          <w:tcPr>
            <w:tcW w:w="1531" w:type="dxa"/>
            <w:shd w:val="clear" w:color="auto" w:fill="auto"/>
            <w:vAlign w:val="center"/>
            <w:hideMark/>
          </w:tcPr>
          <w:p w14:paraId="2BED7290"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23" w:name="_Toc376198671"/>
            <w:r w:rsidRPr="006645DC">
              <w:rPr>
                <w:rFonts w:cs="Calibri"/>
                <w:u w:val="single"/>
                <w:lang w:val="en-GB"/>
              </w:rPr>
              <w:t>38,8</w:t>
            </w:r>
            <w:bookmarkEnd w:id="423"/>
          </w:p>
        </w:tc>
      </w:tr>
      <w:tr w:rsidR="008E2B43" w:rsidRPr="006645DC" w14:paraId="71751FAD" w14:textId="77777777" w:rsidTr="00393EB7">
        <w:trPr>
          <w:trHeight w:val="300"/>
          <w:jc w:val="center"/>
        </w:trPr>
        <w:tc>
          <w:tcPr>
            <w:tcW w:w="1922" w:type="dxa"/>
            <w:shd w:val="clear" w:color="auto" w:fill="auto"/>
            <w:vAlign w:val="center"/>
            <w:hideMark/>
          </w:tcPr>
          <w:p w14:paraId="6687BB21" w14:textId="77777777" w:rsidR="008E2B43" w:rsidRPr="006645DC" w:rsidRDefault="008E2B43" w:rsidP="00393EB7">
            <w:pPr>
              <w:keepNext/>
              <w:keepLines/>
              <w:spacing w:before="0" w:after="0"/>
              <w:outlineLvl w:val="1"/>
              <w:rPr>
                <w:rFonts w:cs="Calibri"/>
                <w:bCs/>
                <w:lang w:val="en-GB"/>
              </w:rPr>
            </w:pPr>
            <w:bookmarkStart w:id="424" w:name="_Toc376198672"/>
            <w:r w:rsidRPr="006645DC">
              <w:rPr>
                <w:rFonts w:cs="Calibri"/>
                <w:bCs/>
                <w:lang w:val="en-GB"/>
              </w:rPr>
              <w:t>Calarasi</w:t>
            </w:r>
            <w:bookmarkEnd w:id="424"/>
          </w:p>
        </w:tc>
        <w:tc>
          <w:tcPr>
            <w:tcW w:w="1530" w:type="dxa"/>
            <w:shd w:val="clear" w:color="auto" w:fill="auto"/>
            <w:vAlign w:val="center"/>
            <w:hideMark/>
          </w:tcPr>
          <w:p w14:paraId="0022D0EF" w14:textId="77777777" w:rsidR="008E2B43" w:rsidRPr="006645DC" w:rsidRDefault="008E2B43" w:rsidP="00393EB7">
            <w:pPr>
              <w:keepNext/>
              <w:keepLines/>
              <w:spacing w:before="0" w:after="0"/>
              <w:ind w:left="757" w:hanging="360"/>
              <w:jc w:val="right"/>
              <w:outlineLvl w:val="1"/>
              <w:rPr>
                <w:rFonts w:cs="Calibri"/>
                <w:lang w:val="en-GB"/>
              </w:rPr>
            </w:pPr>
            <w:bookmarkStart w:id="425" w:name="_Toc376198673"/>
            <w:r w:rsidRPr="006645DC">
              <w:rPr>
                <w:rFonts w:cs="Calibri"/>
                <w:lang w:val="en-GB"/>
              </w:rPr>
              <w:t>64,8</w:t>
            </w:r>
            <w:bookmarkEnd w:id="425"/>
          </w:p>
        </w:tc>
        <w:tc>
          <w:tcPr>
            <w:tcW w:w="1531" w:type="dxa"/>
            <w:shd w:val="clear" w:color="auto" w:fill="auto"/>
            <w:vAlign w:val="center"/>
            <w:hideMark/>
          </w:tcPr>
          <w:p w14:paraId="52B62289"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26" w:name="_Toc376198674"/>
            <w:r w:rsidRPr="006645DC">
              <w:rPr>
                <w:rFonts w:cs="Calibri"/>
                <w:u w:val="single"/>
                <w:lang w:val="en-GB"/>
              </w:rPr>
              <w:t>46,8</w:t>
            </w:r>
            <w:bookmarkEnd w:id="426"/>
          </w:p>
        </w:tc>
        <w:tc>
          <w:tcPr>
            <w:tcW w:w="1531" w:type="dxa"/>
            <w:shd w:val="clear" w:color="auto" w:fill="auto"/>
            <w:vAlign w:val="center"/>
            <w:hideMark/>
          </w:tcPr>
          <w:p w14:paraId="3057C713"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27" w:name="_Toc376198675"/>
            <w:r w:rsidRPr="006645DC">
              <w:rPr>
                <w:rFonts w:cs="Calibri"/>
                <w:u w:val="single"/>
                <w:lang w:val="en-GB"/>
              </w:rPr>
              <w:t>47,5</w:t>
            </w:r>
            <w:bookmarkEnd w:id="427"/>
          </w:p>
        </w:tc>
        <w:tc>
          <w:tcPr>
            <w:tcW w:w="1531" w:type="dxa"/>
            <w:shd w:val="clear" w:color="auto" w:fill="auto"/>
            <w:vAlign w:val="center"/>
            <w:hideMark/>
          </w:tcPr>
          <w:p w14:paraId="327CFBF2"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28" w:name="_Toc376198676"/>
            <w:r w:rsidRPr="006645DC">
              <w:rPr>
                <w:rFonts w:cs="Calibri"/>
                <w:u w:val="single"/>
                <w:lang w:val="en-GB"/>
              </w:rPr>
              <w:t>44</w:t>
            </w:r>
            <w:bookmarkEnd w:id="428"/>
          </w:p>
        </w:tc>
        <w:tc>
          <w:tcPr>
            <w:tcW w:w="1531" w:type="dxa"/>
            <w:shd w:val="clear" w:color="auto" w:fill="auto"/>
            <w:vAlign w:val="center"/>
            <w:hideMark/>
          </w:tcPr>
          <w:p w14:paraId="7FDA36CC"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29" w:name="_Toc376198677"/>
            <w:r w:rsidRPr="006645DC">
              <w:rPr>
                <w:rFonts w:cs="Calibri"/>
                <w:u w:val="single"/>
                <w:lang w:val="en-GB"/>
              </w:rPr>
              <w:t>40,5</w:t>
            </w:r>
            <w:bookmarkEnd w:id="429"/>
          </w:p>
        </w:tc>
      </w:tr>
      <w:tr w:rsidR="008E2B43" w:rsidRPr="006645DC" w14:paraId="7658E219" w14:textId="77777777" w:rsidTr="00393EB7">
        <w:trPr>
          <w:trHeight w:val="300"/>
          <w:jc w:val="center"/>
        </w:trPr>
        <w:tc>
          <w:tcPr>
            <w:tcW w:w="1922" w:type="dxa"/>
            <w:shd w:val="clear" w:color="auto" w:fill="auto"/>
            <w:vAlign w:val="center"/>
            <w:hideMark/>
          </w:tcPr>
          <w:p w14:paraId="354D1B85" w14:textId="77777777" w:rsidR="008E2B43" w:rsidRPr="006645DC" w:rsidRDefault="008E2B43" w:rsidP="00393EB7">
            <w:pPr>
              <w:keepNext/>
              <w:keepLines/>
              <w:spacing w:before="0" w:after="0"/>
              <w:outlineLvl w:val="1"/>
              <w:rPr>
                <w:rFonts w:cs="Calibri"/>
                <w:bCs/>
                <w:lang w:val="en-GB"/>
              </w:rPr>
            </w:pPr>
            <w:bookmarkStart w:id="430" w:name="_Toc376198678"/>
            <w:r w:rsidRPr="006645DC">
              <w:rPr>
                <w:rFonts w:cs="Calibri"/>
                <w:bCs/>
                <w:lang w:val="en-GB"/>
              </w:rPr>
              <w:t>Giurgiu</w:t>
            </w:r>
            <w:bookmarkEnd w:id="430"/>
          </w:p>
        </w:tc>
        <w:tc>
          <w:tcPr>
            <w:tcW w:w="1530" w:type="dxa"/>
            <w:shd w:val="clear" w:color="auto" w:fill="auto"/>
            <w:vAlign w:val="center"/>
            <w:hideMark/>
          </w:tcPr>
          <w:p w14:paraId="6A2597E7" w14:textId="77777777" w:rsidR="008E2B43" w:rsidRPr="006645DC" w:rsidRDefault="008E2B43" w:rsidP="00393EB7">
            <w:pPr>
              <w:keepNext/>
              <w:keepLines/>
              <w:spacing w:before="0" w:after="0"/>
              <w:ind w:left="757" w:hanging="360"/>
              <w:jc w:val="right"/>
              <w:outlineLvl w:val="1"/>
              <w:rPr>
                <w:rFonts w:cs="Calibri"/>
                <w:lang w:val="en-GB"/>
              </w:rPr>
            </w:pPr>
            <w:bookmarkStart w:id="431" w:name="_Toc376198679"/>
            <w:r w:rsidRPr="006645DC">
              <w:rPr>
                <w:rFonts w:cs="Calibri"/>
                <w:lang w:val="en-GB"/>
              </w:rPr>
              <w:t>62,8</w:t>
            </w:r>
            <w:bookmarkEnd w:id="431"/>
          </w:p>
        </w:tc>
        <w:tc>
          <w:tcPr>
            <w:tcW w:w="1531" w:type="dxa"/>
            <w:shd w:val="clear" w:color="auto" w:fill="auto"/>
            <w:vAlign w:val="center"/>
            <w:hideMark/>
          </w:tcPr>
          <w:p w14:paraId="3F4169E9"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32" w:name="_Toc376198680"/>
            <w:r w:rsidRPr="006645DC">
              <w:rPr>
                <w:rFonts w:cs="Calibri"/>
                <w:u w:val="single"/>
                <w:lang w:val="en-GB"/>
              </w:rPr>
              <w:t>42,7</w:t>
            </w:r>
            <w:bookmarkEnd w:id="432"/>
          </w:p>
        </w:tc>
        <w:tc>
          <w:tcPr>
            <w:tcW w:w="1531" w:type="dxa"/>
            <w:shd w:val="clear" w:color="auto" w:fill="auto"/>
            <w:vAlign w:val="center"/>
            <w:hideMark/>
          </w:tcPr>
          <w:p w14:paraId="4B88E630"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33" w:name="_Toc376198681"/>
            <w:r w:rsidRPr="006645DC">
              <w:rPr>
                <w:rFonts w:cs="Calibri"/>
                <w:u w:val="single"/>
                <w:lang w:val="en-GB"/>
              </w:rPr>
              <w:t>43,1</w:t>
            </w:r>
            <w:bookmarkEnd w:id="433"/>
          </w:p>
        </w:tc>
        <w:tc>
          <w:tcPr>
            <w:tcW w:w="1531" w:type="dxa"/>
            <w:shd w:val="clear" w:color="auto" w:fill="auto"/>
            <w:vAlign w:val="center"/>
            <w:hideMark/>
          </w:tcPr>
          <w:p w14:paraId="5DF39168"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34" w:name="_Toc376198682"/>
            <w:r w:rsidRPr="006645DC">
              <w:rPr>
                <w:rFonts w:cs="Calibri"/>
                <w:u w:val="single"/>
                <w:lang w:val="en-GB"/>
              </w:rPr>
              <w:t>40,7</w:t>
            </w:r>
            <w:bookmarkEnd w:id="434"/>
          </w:p>
        </w:tc>
        <w:tc>
          <w:tcPr>
            <w:tcW w:w="1531" w:type="dxa"/>
            <w:shd w:val="clear" w:color="auto" w:fill="auto"/>
            <w:vAlign w:val="center"/>
            <w:hideMark/>
          </w:tcPr>
          <w:p w14:paraId="641E380B"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35" w:name="_Toc376198683"/>
            <w:r w:rsidRPr="006645DC">
              <w:rPr>
                <w:rFonts w:cs="Calibri"/>
                <w:u w:val="single"/>
                <w:lang w:val="en-GB"/>
              </w:rPr>
              <w:t>39,8</w:t>
            </w:r>
            <w:bookmarkEnd w:id="435"/>
          </w:p>
        </w:tc>
      </w:tr>
      <w:tr w:rsidR="008E2B43" w:rsidRPr="006645DC" w14:paraId="1E9EB969" w14:textId="77777777" w:rsidTr="00393EB7">
        <w:trPr>
          <w:trHeight w:val="300"/>
          <w:jc w:val="center"/>
        </w:trPr>
        <w:tc>
          <w:tcPr>
            <w:tcW w:w="1922" w:type="dxa"/>
            <w:shd w:val="clear" w:color="auto" w:fill="auto"/>
            <w:vAlign w:val="center"/>
            <w:hideMark/>
          </w:tcPr>
          <w:p w14:paraId="4AE6CCB2" w14:textId="77777777" w:rsidR="008E2B43" w:rsidRPr="006645DC" w:rsidRDefault="008E2B43" w:rsidP="00393EB7">
            <w:pPr>
              <w:keepNext/>
              <w:keepLines/>
              <w:spacing w:before="0" w:after="0"/>
              <w:outlineLvl w:val="1"/>
              <w:rPr>
                <w:rFonts w:cs="Calibri"/>
                <w:bCs/>
                <w:lang w:val="en-GB"/>
              </w:rPr>
            </w:pPr>
            <w:bookmarkStart w:id="436" w:name="_Toc376198684"/>
            <w:r w:rsidRPr="006645DC">
              <w:rPr>
                <w:rFonts w:cs="Calibri"/>
                <w:bCs/>
                <w:lang w:val="en-GB"/>
              </w:rPr>
              <w:t>Teleorman</w:t>
            </w:r>
            <w:bookmarkEnd w:id="436"/>
          </w:p>
        </w:tc>
        <w:tc>
          <w:tcPr>
            <w:tcW w:w="1530" w:type="dxa"/>
            <w:shd w:val="clear" w:color="auto" w:fill="auto"/>
            <w:vAlign w:val="center"/>
            <w:hideMark/>
          </w:tcPr>
          <w:p w14:paraId="1347ACFF" w14:textId="77777777" w:rsidR="008E2B43" w:rsidRPr="006645DC" w:rsidRDefault="008E2B43" w:rsidP="00393EB7">
            <w:pPr>
              <w:keepNext/>
              <w:keepLines/>
              <w:spacing w:before="0" w:after="0"/>
              <w:ind w:left="757" w:hanging="360"/>
              <w:jc w:val="right"/>
              <w:outlineLvl w:val="1"/>
              <w:rPr>
                <w:rFonts w:cs="Calibri"/>
                <w:lang w:val="en-GB"/>
              </w:rPr>
            </w:pPr>
            <w:bookmarkStart w:id="437" w:name="_Toc376198685"/>
            <w:r w:rsidRPr="006645DC">
              <w:rPr>
                <w:rFonts w:cs="Calibri"/>
                <w:lang w:val="en-GB"/>
              </w:rPr>
              <w:t>57,6</w:t>
            </w:r>
            <w:bookmarkEnd w:id="437"/>
          </w:p>
        </w:tc>
        <w:tc>
          <w:tcPr>
            <w:tcW w:w="1531" w:type="dxa"/>
            <w:shd w:val="clear" w:color="auto" w:fill="auto"/>
            <w:vAlign w:val="center"/>
            <w:hideMark/>
          </w:tcPr>
          <w:p w14:paraId="3FC46E6E"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38" w:name="_Toc376198686"/>
            <w:r w:rsidRPr="006645DC">
              <w:rPr>
                <w:rFonts w:cs="Calibri"/>
                <w:u w:val="single"/>
                <w:lang w:val="en-GB"/>
              </w:rPr>
              <w:t>35,6</w:t>
            </w:r>
            <w:bookmarkEnd w:id="438"/>
          </w:p>
        </w:tc>
        <w:tc>
          <w:tcPr>
            <w:tcW w:w="1531" w:type="dxa"/>
            <w:shd w:val="clear" w:color="auto" w:fill="auto"/>
            <w:vAlign w:val="center"/>
            <w:hideMark/>
          </w:tcPr>
          <w:p w14:paraId="6DCD49D9"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39" w:name="_Toc376198687"/>
            <w:r w:rsidRPr="006645DC">
              <w:rPr>
                <w:rFonts w:cs="Calibri"/>
                <w:u w:val="single"/>
                <w:lang w:val="en-GB"/>
              </w:rPr>
              <w:t>37,9</w:t>
            </w:r>
            <w:bookmarkEnd w:id="439"/>
          </w:p>
        </w:tc>
        <w:tc>
          <w:tcPr>
            <w:tcW w:w="1531" w:type="dxa"/>
            <w:shd w:val="clear" w:color="auto" w:fill="auto"/>
            <w:vAlign w:val="center"/>
            <w:hideMark/>
          </w:tcPr>
          <w:p w14:paraId="77970C81"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40" w:name="_Toc376198688"/>
            <w:r w:rsidRPr="006645DC">
              <w:rPr>
                <w:rFonts w:cs="Calibri"/>
                <w:u w:val="single"/>
                <w:lang w:val="en-GB"/>
              </w:rPr>
              <w:t>35,8</w:t>
            </w:r>
            <w:bookmarkEnd w:id="440"/>
          </w:p>
        </w:tc>
        <w:tc>
          <w:tcPr>
            <w:tcW w:w="1531" w:type="dxa"/>
            <w:shd w:val="clear" w:color="auto" w:fill="auto"/>
            <w:vAlign w:val="center"/>
            <w:hideMark/>
          </w:tcPr>
          <w:p w14:paraId="78C7A8AC"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41" w:name="_Toc376198689"/>
            <w:r w:rsidRPr="006645DC">
              <w:rPr>
                <w:rFonts w:cs="Calibri"/>
                <w:u w:val="single"/>
                <w:lang w:val="en-GB"/>
              </w:rPr>
              <w:t>32,7</w:t>
            </w:r>
            <w:bookmarkEnd w:id="441"/>
          </w:p>
        </w:tc>
      </w:tr>
      <w:tr w:rsidR="008E2B43" w:rsidRPr="006645DC" w14:paraId="1FBCAC0B" w14:textId="77777777" w:rsidTr="00393EB7">
        <w:trPr>
          <w:trHeight w:val="300"/>
          <w:jc w:val="center"/>
        </w:trPr>
        <w:tc>
          <w:tcPr>
            <w:tcW w:w="1922" w:type="dxa"/>
            <w:shd w:val="clear" w:color="auto" w:fill="auto"/>
            <w:vAlign w:val="center"/>
            <w:hideMark/>
          </w:tcPr>
          <w:p w14:paraId="4A3BAC6A" w14:textId="77777777" w:rsidR="008E2B43" w:rsidRPr="006645DC" w:rsidRDefault="008E2B43" w:rsidP="00393EB7">
            <w:pPr>
              <w:keepNext/>
              <w:keepLines/>
              <w:spacing w:before="0" w:after="0"/>
              <w:outlineLvl w:val="1"/>
              <w:rPr>
                <w:rFonts w:cs="Calibri"/>
                <w:bCs/>
                <w:lang w:val="en-GB"/>
              </w:rPr>
            </w:pPr>
            <w:bookmarkStart w:id="442" w:name="_Toc376198690"/>
            <w:r w:rsidRPr="006645DC">
              <w:rPr>
                <w:rFonts w:cs="Calibri"/>
                <w:bCs/>
                <w:lang w:val="en-GB"/>
              </w:rPr>
              <w:t>Dolj</w:t>
            </w:r>
            <w:bookmarkEnd w:id="442"/>
          </w:p>
        </w:tc>
        <w:tc>
          <w:tcPr>
            <w:tcW w:w="1530" w:type="dxa"/>
            <w:shd w:val="clear" w:color="auto" w:fill="auto"/>
            <w:vAlign w:val="center"/>
            <w:hideMark/>
          </w:tcPr>
          <w:p w14:paraId="6E522BFB" w14:textId="77777777" w:rsidR="008E2B43" w:rsidRPr="006645DC" w:rsidRDefault="008E2B43" w:rsidP="00393EB7">
            <w:pPr>
              <w:keepNext/>
              <w:keepLines/>
              <w:spacing w:before="0" w:after="0"/>
              <w:ind w:left="757" w:hanging="360"/>
              <w:jc w:val="right"/>
              <w:outlineLvl w:val="1"/>
              <w:rPr>
                <w:rFonts w:cs="Calibri"/>
                <w:lang w:val="en-GB"/>
              </w:rPr>
            </w:pPr>
            <w:bookmarkStart w:id="443" w:name="_Toc376198691"/>
            <w:r w:rsidRPr="006645DC">
              <w:rPr>
                <w:rFonts w:cs="Calibri"/>
                <w:lang w:val="en-GB"/>
              </w:rPr>
              <w:t>53,9</w:t>
            </w:r>
            <w:bookmarkEnd w:id="443"/>
          </w:p>
        </w:tc>
        <w:tc>
          <w:tcPr>
            <w:tcW w:w="1531" w:type="dxa"/>
            <w:shd w:val="clear" w:color="auto" w:fill="auto"/>
            <w:vAlign w:val="center"/>
            <w:hideMark/>
          </w:tcPr>
          <w:p w14:paraId="616E3557"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44" w:name="_Toc376198692"/>
            <w:r w:rsidRPr="006645DC">
              <w:rPr>
                <w:rFonts w:cs="Calibri"/>
                <w:u w:val="single"/>
                <w:lang w:val="en-GB"/>
              </w:rPr>
              <w:t>36,7</w:t>
            </w:r>
            <w:bookmarkEnd w:id="444"/>
          </w:p>
        </w:tc>
        <w:tc>
          <w:tcPr>
            <w:tcW w:w="1531" w:type="dxa"/>
            <w:shd w:val="clear" w:color="auto" w:fill="auto"/>
            <w:vAlign w:val="center"/>
            <w:hideMark/>
          </w:tcPr>
          <w:p w14:paraId="5C013FDE"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45" w:name="_Toc376198693"/>
            <w:r w:rsidRPr="006645DC">
              <w:rPr>
                <w:rFonts w:cs="Calibri"/>
                <w:u w:val="single"/>
                <w:lang w:val="en-GB"/>
              </w:rPr>
              <w:t>37,2</w:t>
            </w:r>
            <w:bookmarkEnd w:id="445"/>
          </w:p>
        </w:tc>
        <w:tc>
          <w:tcPr>
            <w:tcW w:w="1531" w:type="dxa"/>
            <w:shd w:val="clear" w:color="auto" w:fill="auto"/>
            <w:vAlign w:val="center"/>
            <w:hideMark/>
          </w:tcPr>
          <w:p w14:paraId="36FC0BC1"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46" w:name="_Toc376198694"/>
            <w:r w:rsidRPr="006645DC">
              <w:rPr>
                <w:rFonts w:cs="Calibri"/>
                <w:u w:val="single"/>
                <w:lang w:val="en-GB"/>
              </w:rPr>
              <w:t>35,9</w:t>
            </w:r>
            <w:bookmarkEnd w:id="446"/>
          </w:p>
        </w:tc>
        <w:tc>
          <w:tcPr>
            <w:tcW w:w="1531" w:type="dxa"/>
            <w:shd w:val="clear" w:color="auto" w:fill="auto"/>
            <w:vAlign w:val="center"/>
            <w:hideMark/>
          </w:tcPr>
          <w:p w14:paraId="7E5BB85C"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47" w:name="_Toc376198695"/>
            <w:r w:rsidRPr="006645DC">
              <w:rPr>
                <w:rFonts w:cs="Calibri"/>
                <w:u w:val="single"/>
                <w:lang w:val="en-GB"/>
              </w:rPr>
              <w:t>35,3</w:t>
            </w:r>
            <w:bookmarkEnd w:id="447"/>
          </w:p>
        </w:tc>
      </w:tr>
      <w:tr w:rsidR="008E2B43" w:rsidRPr="006645DC" w14:paraId="51F63426" w14:textId="77777777" w:rsidTr="00393EB7">
        <w:trPr>
          <w:trHeight w:val="300"/>
          <w:jc w:val="center"/>
        </w:trPr>
        <w:tc>
          <w:tcPr>
            <w:tcW w:w="1922" w:type="dxa"/>
            <w:shd w:val="clear" w:color="auto" w:fill="auto"/>
            <w:vAlign w:val="center"/>
            <w:hideMark/>
          </w:tcPr>
          <w:p w14:paraId="2420D6F9" w14:textId="77777777" w:rsidR="008E2B43" w:rsidRPr="006645DC" w:rsidRDefault="008E2B43" w:rsidP="00393EB7">
            <w:pPr>
              <w:keepNext/>
              <w:keepLines/>
              <w:spacing w:before="0" w:after="0"/>
              <w:outlineLvl w:val="1"/>
              <w:rPr>
                <w:rFonts w:cs="Calibri"/>
                <w:bCs/>
                <w:lang w:val="en-GB"/>
              </w:rPr>
            </w:pPr>
            <w:bookmarkStart w:id="448" w:name="_Toc376198696"/>
            <w:r w:rsidRPr="006645DC">
              <w:rPr>
                <w:rFonts w:cs="Calibri"/>
                <w:bCs/>
                <w:lang w:val="en-GB"/>
              </w:rPr>
              <w:t>Mehedinti</w:t>
            </w:r>
            <w:bookmarkEnd w:id="448"/>
          </w:p>
        </w:tc>
        <w:tc>
          <w:tcPr>
            <w:tcW w:w="1530" w:type="dxa"/>
            <w:shd w:val="clear" w:color="auto" w:fill="auto"/>
            <w:vAlign w:val="center"/>
            <w:hideMark/>
          </w:tcPr>
          <w:p w14:paraId="1AE3D20C" w14:textId="77777777" w:rsidR="008E2B43" w:rsidRPr="006645DC" w:rsidRDefault="008E2B43" w:rsidP="00393EB7">
            <w:pPr>
              <w:keepNext/>
              <w:keepLines/>
              <w:spacing w:before="0" w:after="0"/>
              <w:ind w:left="757" w:hanging="360"/>
              <w:jc w:val="right"/>
              <w:outlineLvl w:val="1"/>
              <w:rPr>
                <w:rFonts w:cs="Calibri"/>
                <w:lang w:val="en-GB"/>
              </w:rPr>
            </w:pPr>
            <w:bookmarkStart w:id="449" w:name="_Toc376198697"/>
            <w:r w:rsidRPr="006645DC">
              <w:rPr>
                <w:rFonts w:cs="Calibri"/>
                <w:lang w:val="en-GB"/>
              </w:rPr>
              <w:t>60,6</w:t>
            </w:r>
            <w:bookmarkEnd w:id="449"/>
          </w:p>
        </w:tc>
        <w:tc>
          <w:tcPr>
            <w:tcW w:w="1531" w:type="dxa"/>
            <w:shd w:val="clear" w:color="auto" w:fill="auto"/>
            <w:vAlign w:val="center"/>
            <w:hideMark/>
          </w:tcPr>
          <w:p w14:paraId="30FDC3B1"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50" w:name="_Toc376198698"/>
            <w:r w:rsidRPr="006645DC">
              <w:rPr>
                <w:rFonts w:cs="Calibri"/>
                <w:u w:val="single"/>
                <w:lang w:val="en-GB"/>
              </w:rPr>
              <w:t>35,7</w:t>
            </w:r>
            <w:bookmarkEnd w:id="450"/>
          </w:p>
        </w:tc>
        <w:tc>
          <w:tcPr>
            <w:tcW w:w="1531" w:type="dxa"/>
            <w:shd w:val="clear" w:color="auto" w:fill="auto"/>
            <w:vAlign w:val="center"/>
            <w:hideMark/>
          </w:tcPr>
          <w:p w14:paraId="12493306"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51" w:name="_Toc376198699"/>
            <w:r w:rsidRPr="006645DC">
              <w:rPr>
                <w:rFonts w:cs="Calibri"/>
                <w:u w:val="single"/>
                <w:lang w:val="en-GB"/>
              </w:rPr>
              <w:t>40,4</w:t>
            </w:r>
            <w:bookmarkEnd w:id="451"/>
          </w:p>
        </w:tc>
        <w:tc>
          <w:tcPr>
            <w:tcW w:w="1531" w:type="dxa"/>
            <w:shd w:val="clear" w:color="auto" w:fill="auto"/>
            <w:vAlign w:val="center"/>
            <w:hideMark/>
          </w:tcPr>
          <w:p w14:paraId="1D3718DE"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52" w:name="_Toc376198700"/>
            <w:r w:rsidRPr="006645DC">
              <w:rPr>
                <w:rFonts w:cs="Calibri"/>
                <w:u w:val="single"/>
                <w:lang w:val="en-GB"/>
              </w:rPr>
              <w:t>35,9</w:t>
            </w:r>
            <w:bookmarkEnd w:id="452"/>
          </w:p>
        </w:tc>
        <w:tc>
          <w:tcPr>
            <w:tcW w:w="1531" w:type="dxa"/>
            <w:shd w:val="clear" w:color="auto" w:fill="auto"/>
            <w:vAlign w:val="center"/>
            <w:hideMark/>
          </w:tcPr>
          <w:p w14:paraId="65C1AC27"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53" w:name="_Toc376198701"/>
            <w:r w:rsidRPr="006645DC">
              <w:rPr>
                <w:rFonts w:cs="Calibri"/>
                <w:u w:val="single"/>
                <w:lang w:val="en-GB"/>
              </w:rPr>
              <w:t>35</w:t>
            </w:r>
            <w:bookmarkEnd w:id="453"/>
          </w:p>
        </w:tc>
      </w:tr>
      <w:tr w:rsidR="008E2B43" w:rsidRPr="006645DC" w14:paraId="6FFACCA1" w14:textId="77777777" w:rsidTr="00393EB7">
        <w:trPr>
          <w:trHeight w:val="300"/>
          <w:jc w:val="center"/>
        </w:trPr>
        <w:tc>
          <w:tcPr>
            <w:tcW w:w="1922" w:type="dxa"/>
            <w:shd w:val="clear" w:color="auto" w:fill="auto"/>
            <w:vAlign w:val="center"/>
            <w:hideMark/>
          </w:tcPr>
          <w:p w14:paraId="6D3B89CB" w14:textId="77777777" w:rsidR="008E2B43" w:rsidRPr="006645DC" w:rsidRDefault="008E2B43" w:rsidP="00393EB7">
            <w:pPr>
              <w:keepNext/>
              <w:keepLines/>
              <w:spacing w:before="0" w:after="0"/>
              <w:outlineLvl w:val="1"/>
              <w:rPr>
                <w:rFonts w:cs="Calibri"/>
                <w:bCs/>
                <w:lang w:val="en-GB"/>
              </w:rPr>
            </w:pPr>
            <w:bookmarkStart w:id="454" w:name="_Toc376198702"/>
            <w:r w:rsidRPr="006645DC">
              <w:rPr>
                <w:rFonts w:cs="Calibri"/>
                <w:bCs/>
                <w:lang w:val="en-GB"/>
              </w:rPr>
              <w:t>Olt</w:t>
            </w:r>
            <w:bookmarkEnd w:id="454"/>
          </w:p>
        </w:tc>
        <w:tc>
          <w:tcPr>
            <w:tcW w:w="1530" w:type="dxa"/>
            <w:shd w:val="clear" w:color="auto" w:fill="auto"/>
            <w:vAlign w:val="center"/>
            <w:hideMark/>
          </w:tcPr>
          <w:p w14:paraId="2022117B" w14:textId="77777777" w:rsidR="008E2B43" w:rsidRPr="006645DC" w:rsidRDefault="008E2B43" w:rsidP="00393EB7">
            <w:pPr>
              <w:keepNext/>
              <w:keepLines/>
              <w:spacing w:before="0" w:after="0"/>
              <w:ind w:left="757" w:hanging="360"/>
              <w:jc w:val="right"/>
              <w:outlineLvl w:val="1"/>
              <w:rPr>
                <w:rFonts w:cs="Calibri"/>
                <w:lang w:val="en-GB"/>
              </w:rPr>
            </w:pPr>
            <w:bookmarkStart w:id="455" w:name="_Toc376198703"/>
            <w:r w:rsidRPr="006645DC">
              <w:rPr>
                <w:rFonts w:cs="Calibri"/>
                <w:lang w:val="en-GB"/>
              </w:rPr>
              <w:t>57,7</w:t>
            </w:r>
            <w:bookmarkEnd w:id="455"/>
          </w:p>
        </w:tc>
        <w:tc>
          <w:tcPr>
            <w:tcW w:w="1531" w:type="dxa"/>
            <w:shd w:val="clear" w:color="auto" w:fill="auto"/>
            <w:vAlign w:val="center"/>
            <w:hideMark/>
          </w:tcPr>
          <w:p w14:paraId="56056257"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56" w:name="_Toc376198704"/>
            <w:r w:rsidRPr="006645DC">
              <w:rPr>
                <w:rFonts w:cs="Calibri"/>
                <w:u w:val="single"/>
                <w:lang w:val="en-GB"/>
              </w:rPr>
              <w:t>33,8</w:t>
            </w:r>
            <w:bookmarkEnd w:id="456"/>
          </w:p>
        </w:tc>
        <w:tc>
          <w:tcPr>
            <w:tcW w:w="1531" w:type="dxa"/>
            <w:shd w:val="clear" w:color="auto" w:fill="auto"/>
            <w:vAlign w:val="center"/>
            <w:hideMark/>
          </w:tcPr>
          <w:p w14:paraId="279A8876"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57" w:name="_Toc376198705"/>
            <w:r w:rsidRPr="006645DC">
              <w:rPr>
                <w:rFonts w:cs="Calibri"/>
                <w:u w:val="single"/>
                <w:lang w:val="en-GB"/>
              </w:rPr>
              <w:t>34,8</w:t>
            </w:r>
            <w:bookmarkEnd w:id="457"/>
          </w:p>
        </w:tc>
        <w:tc>
          <w:tcPr>
            <w:tcW w:w="1531" w:type="dxa"/>
            <w:shd w:val="clear" w:color="auto" w:fill="auto"/>
            <w:vAlign w:val="center"/>
            <w:hideMark/>
          </w:tcPr>
          <w:p w14:paraId="6E71DD13"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58" w:name="_Toc376198706"/>
            <w:r w:rsidRPr="006645DC">
              <w:rPr>
                <w:rFonts w:cs="Calibri"/>
                <w:u w:val="single"/>
                <w:lang w:val="en-GB"/>
              </w:rPr>
              <w:t>32,1</w:t>
            </w:r>
            <w:bookmarkEnd w:id="458"/>
          </w:p>
        </w:tc>
        <w:tc>
          <w:tcPr>
            <w:tcW w:w="1531" w:type="dxa"/>
            <w:shd w:val="clear" w:color="auto" w:fill="auto"/>
            <w:vAlign w:val="center"/>
            <w:hideMark/>
          </w:tcPr>
          <w:p w14:paraId="213B0350"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59" w:name="_Toc376198707"/>
            <w:r w:rsidRPr="006645DC">
              <w:rPr>
                <w:rFonts w:cs="Calibri"/>
                <w:u w:val="single"/>
                <w:lang w:val="en-GB"/>
              </w:rPr>
              <w:t>30,2</w:t>
            </w:r>
            <w:bookmarkEnd w:id="459"/>
          </w:p>
        </w:tc>
      </w:tr>
    </w:tbl>
    <w:p w14:paraId="03894204" w14:textId="77777777" w:rsidR="00A24688" w:rsidRPr="006645DC" w:rsidRDefault="00A24688" w:rsidP="00A24688">
      <w:pPr>
        <w:pStyle w:val="Caption"/>
        <w:rPr>
          <w:rFonts w:eastAsia="MS Gothic"/>
          <w:lang w:val="en-GB"/>
        </w:rPr>
      </w:pPr>
      <w:bookmarkStart w:id="460" w:name="_Toc391150115"/>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18</w:t>
      </w:r>
      <w:r w:rsidR="005979EB" w:rsidRPr="006645DC">
        <w:rPr>
          <w:lang w:val="en-GB"/>
        </w:rPr>
        <w:fldChar w:fldCharType="end"/>
      </w:r>
      <w:r w:rsidRPr="006645DC">
        <w:rPr>
          <w:lang w:val="en-GB"/>
        </w:rPr>
        <w:t xml:space="preserve"> - </w:t>
      </w:r>
      <w:r w:rsidR="008E2B43" w:rsidRPr="006645DC">
        <w:rPr>
          <w:rFonts w:eastAsia="MS Gothic"/>
          <w:lang w:val="en-GB"/>
        </w:rPr>
        <w:t>The Romanian cross-border counties fertility rate evolution from 1990 to 2011</w:t>
      </w:r>
      <w:bookmarkEnd w:id="460"/>
    </w:p>
    <w:p w14:paraId="43B63AF1" w14:textId="77777777" w:rsidR="008E2B43" w:rsidRPr="006645DC" w:rsidRDefault="00EC6938" w:rsidP="008E2B43">
      <w:pPr>
        <w:keepNext/>
        <w:keepLines/>
        <w:jc w:val="right"/>
        <w:outlineLvl w:val="3"/>
        <w:rPr>
          <w:rFonts w:eastAsia="MS Gothic"/>
          <w:bCs/>
          <w:i/>
          <w:iCs/>
          <w:sz w:val="18"/>
          <w:lang w:val="en-GB"/>
        </w:rPr>
      </w:pPr>
      <w:r w:rsidRPr="006645DC">
        <w:rPr>
          <w:rFonts w:eastAsia="MS Gothic"/>
          <w:bCs/>
          <w:i/>
          <w:iCs/>
          <w:sz w:val="18"/>
          <w:lang w:val="en-GB"/>
        </w:rPr>
        <w:t>S</w:t>
      </w:r>
      <w:r w:rsidR="008E2B43" w:rsidRPr="006645DC">
        <w:rPr>
          <w:rFonts w:eastAsia="MS Gothic"/>
          <w:bCs/>
          <w:i/>
          <w:iCs/>
          <w:sz w:val="18"/>
          <w:lang w:val="en-GB"/>
        </w:rPr>
        <w:t>ource: National Institute of Statistics of Romania</w:t>
      </w:r>
    </w:p>
    <w:p w14:paraId="40FFFED3" w14:textId="77777777" w:rsidR="008E2B43" w:rsidRPr="006645DC" w:rsidRDefault="008E2B43" w:rsidP="00A24688">
      <w:pPr>
        <w:rPr>
          <w:lang w:val="en-GB"/>
        </w:rPr>
      </w:pPr>
      <w:r w:rsidRPr="006645DC">
        <w:rPr>
          <w:lang w:val="en-GB"/>
        </w:rPr>
        <w:t xml:space="preserve">The fertility rate in all the cross-border counties of Romania displays a decreasing trend. The fertility indicator varies around the national average, higher in some counties (Constanta, Calarasi, Giurgiu) lower in others (Teleorman, Dolj, Mehedinti, Olt). Contrary to other Central and Eastern European countries, the fertility rate is not recovering (according to the statistical information available in 2011) in the cross-border region and represents an additional factor for population decrease.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530"/>
        <w:gridCol w:w="1531"/>
        <w:gridCol w:w="1531"/>
        <w:gridCol w:w="1531"/>
        <w:gridCol w:w="1531"/>
      </w:tblGrid>
      <w:tr w:rsidR="008E2B43" w:rsidRPr="006645DC" w14:paraId="06A90AFD" w14:textId="77777777" w:rsidTr="00393EB7">
        <w:trPr>
          <w:trHeight w:val="300"/>
          <w:jc w:val="center"/>
        </w:trPr>
        <w:tc>
          <w:tcPr>
            <w:tcW w:w="1922" w:type="dxa"/>
            <w:vMerge w:val="restart"/>
            <w:shd w:val="clear" w:color="auto" w:fill="auto"/>
            <w:vAlign w:val="center"/>
            <w:hideMark/>
          </w:tcPr>
          <w:p w14:paraId="4D0C964F" w14:textId="66696A27" w:rsidR="008E2B43" w:rsidRPr="006645DC" w:rsidRDefault="00625139" w:rsidP="00393EB7">
            <w:pPr>
              <w:spacing w:before="0" w:after="0"/>
              <w:rPr>
                <w:rFonts w:cs="Calibri"/>
                <w:b/>
                <w:bCs/>
                <w:lang w:val="en-GB"/>
              </w:rPr>
            </w:pPr>
            <w:r>
              <w:rPr>
                <w:rFonts w:cs="Calibri"/>
                <w:b/>
                <w:bCs/>
                <w:lang w:val="en-GB"/>
              </w:rPr>
              <w:t>District</w:t>
            </w:r>
          </w:p>
        </w:tc>
        <w:tc>
          <w:tcPr>
            <w:tcW w:w="1530" w:type="dxa"/>
            <w:shd w:val="clear" w:color="auto" w:fill="auto"/>
            <w:vAlign w:val="center"/>
            <w:hideMark/>
          </w:tcPr>
          <w:p w14:paraId="76EF3CC6" w14:textId="77777777" w:rsidR="008E2B43" w:rsidRPr="006645DC" w:rsidRDefault="008E2B43" w:rsidP="00393EB7">
            <w:pPr>
              <w:keepNext/>
              <w:keepLines/>
              <w:spacing w:before="0" w:after="0"/>
              <w:ind w:left="757" w:hanging="360"/>
              <w:jc w:val="center"/>
              <w:outlineLvl w:val="1"/>
              <w:rPr>
                <w:rFonts w:cs="Calibri"/>
                <w:b/>
                <w:bCs/>
                <w:lang w:val="en-GB"/>
              </w:rPr>
            </w:pPr>
            <w:bookmarkStart w:id="461" w:name="_Toc376198708"/>
            <w:r w:rsidRPr="006645DC">
              <w:rPr>
                <w:rFonts w:cs="Calibri"/>
                <w:b/>
                <w:bCs/>
                <w:lang w:val="en-GB"/>
              </w:rPr>
              <w:t>1990</w:t>
            </w:r>
            <w:bookmarkEnd w:id="461"/>
          </w:p>
        </w:tc>
        <w:tc>
          <w:tcPr>
            <w:tcW w:w="1531" w:type="dxa"/>
            <w:shd w:val="clear" w:color="auto" w:fill="auto"/>
            <w:vAlign w:val="center"/>
            <w:hideMark/>
          </w:tcPr>
          <w:p w14:paraId="52FB5D3B" w14:textId="77777777" w:rsidR="008E2B43" w:rsidRPr="006645DC" w:rsidRDefault="008E2B43" w:rsidP="00393EB7">
            <w:pPr>
              <w:keepNext/>
              <w:keepLines/>
              <w:spacing w:before="0" w:after="0"/>
              <w:ind w:left="757" w:hanging="360"/>
              <w:jc w:val="center"/>
              <w:outlineLvl w:val="1"/>
              <w:rPr>
                <w:rFonts w:cs="Calibri"/>
                <w:b/>
                <w:bCs/>
                <w:lang w:val="en-GB"/>
              </w:rPr>
            </w:pPr>
            <w:bookmarkStart w:id="462" w:name="_Toc376198709"/>
            <w:r w:rsidRPr="006645DC">
              <w:rPr>
                <w:rFonts w:cs="Calibri"/>
                <w:b/>
                <w:bCs/>
                <w:lang w:val="en-GB"/>
              </w:rPr>
              <w:t>2008</w:t>
            </w:r>
            <w:bookmarkEnd w:id="462"/>
          </w:p>
        </w:tc>
        <w:tc>
          <w:tcPr>
            <w:tcW w:w="1531" w:type="dxa"/>
            <w:shd w:val="clear" w:color="auto" w:fill="auto"/>
            <w:vAlign w:val="center"/>
            <w:hideMark/>
          </w:tcPr>
          <w:p w14:paraId="10349074" w14:textId="77777777" w:rsidR="008E2B43" w:rsidRPr="006645DC" w:rsidRDefault="008E2B43" w:rsidP="00393EB7">
            <w:pPr>
              <w:spacing w:before="0" w:after="0"/>
              <w:jc w:val="center"/>
              <w:rPr>
                <w:rFonts w:cs="Calibri"/>
                <w:b/>
                <w:bCs/>
                <w:lang w:val="en-GB"/>
              </w:rPr>
            </w:pPr>
            <w:r w:rsidRPr="006645DC">
              <w:rPr>
                <w:rFonts w:cs="Calibri"/>
                <w:b/>
                <w:bCs/>
                <w:lang w:val="en-GB"/>
              </w:rPr>
              <w:t>2009</w:t>
            </w:r>
          </w:p>
        </w:tc>
        <w:tc>
          <w:tcPr>
            <w:tcW w:w="1531" w:type="dxa"/>
            <w:shd w:val="clear" w:color="auto" w:fill="auto"/>
            <w:vAlign w:val="center"/>
            <w:hideMark/>
          </w:tcPr>
          <w:p w14:paraId="4B967AD2" w14:textId="77777777" w:rsidR="008E2B43" w:rsidRPr="006645DC" w:rsidRDefault="008E2B43" w:rsidP="00393EB7">
            <w:pPr>
              <w:spacing w:before="0" w:after="0"/>
              <w:jc w:val="center"/>
              <w:rPr>
                <w:rFonts w:cs="Calibri"/>
                <w:b/>
                <w:bCs/>
                <w:lang w:val="en-GB"/>
              </w:rPr>
            </w:pPr>
            <w:r w:rsidRPr="006645DC">
              <w:rPr>
                <w:rFonts w:cs="Calibri"/>
                <w:b/>
                <w:bCs/>
                <w:lang w:val="en-GB"/>
              </w:rPr>
              <w:t>2010</w:t>
            </w:r>
          </w:p>
        </w:tc>
        <w:tc>
          <w:tcPr>
            <w:tcW w:w="1531" w:type="dxa"/>
            <w:shd w:val="clear" w:color="auto" w:fill="auto"/>
            <w:vAlign w:val="center"/>
            <w:hideMark/>
          </w:tcPr>
          <w:p w14:paraId="66F2AB78" w14:textId="77777777" w:rsidR="008E2B43" w:rsidRPr="006645DC" w:rsidRDefault="008E2B43" w:rsidP="00393EB7">
            <w:pPr>
              <w:spacing w:before="0" w:after="0"/>
              <w:jc w:val="center"/>
              <w:rPr>
                <w:rFonts w:cs="Calibri"/>
                <w:b/>
                <w:bCs/>
                <w:lang w:val="en-GB"/>
              </w:rPr>
            </w:pPr>
            <w:r w:rsidRPr="006645DC">
              <w:rPr>
                <w:rFonts w:cs="Calibri"/>
                <w:b/>
                <w:bCs/>
                <w:lang w:val="en-GB"/>
              </w:rPr>
              <w:t>2011</w:t>
            </w:r>
          </w:p>
        </w:tc>
      </w:tr>
      <w:tr w:rsidR="008E2B43" w:rsidRPr="006645DC" w14:paraId="02A806CE" w14:textId="77777777" w:rsidTr="00393EB7">
        <w:trPr>
          <w:trHeight w:val="503"/>
          <w:jc w:val="center"/>
        </w:trPr>
        <w:tc>
          <w:tcPr>
            <w:tcW w:w="1922" w:type="dxa"/>
            <w:vMerge/>
            <w:shd w:val="clear" w:color="auto" w:fill="auto"/>
            <w:vAlign w:val="center"/>
            <w:hideMark/>
          </w:tcPr>
          <w:p w14:paraId="1E175112" w14:textId="77777777" w:rsidR="008E2B43" w:rsidRPr="006645DC" w:rsidRDefault="008E2B43" w:rsidP="00393EB7">
            <w:pPr>
              <w:spacing w:before="0" w:after="0"/>
              <w:rPr>
                <w:rFonts w:cs="Calibri"/>
                <w:b/>
                <w:bCs/>
                <w:lang w:val="en-GB"/>
              </w:rPr>
            </w:pPr>
          </w:p>
        </w:tc>
        <w:tc>
          <w:tcPr>
            <w:tcW w:w="7654" w:type="dxa"/>
            <w:gridSpan w:val="5"/>
            <w:shd w:val="clear" w:color="auto" w:fill="auto"/>
            <w:vAlign w:val="center"/>
            <w:hideMark/>
          </w:tcPr>
          <w:p w14:paraId="7F8DEC1D" w14:textId="77777777" w:rsidR="008E2B43" w:rsidRPr="006645DC" w:rsidRDefault="008E2B43" w:rsidP="00393EB7">
            <w:pPr>
              <w:keepNext/>
              <w:keepLines/>
              <w:spacing w:before="0" w:after="0"/>
              <w:ind w:left="757" w:hanging="360"/>
              <w:jc w:val="center"/>
              <w:outlineLvl w:val="1"/>
              <w:rPr>
                <w:rFonts w:cs="Calibri"/>
                <w:b/>
                <w:bCs/>
                <w:lang w:val="en-GB"/>
              </w:rPr>
            </w:pPr>
            <w:bookmarkStart w:id="463" w:name="_Toc376198710"/>
            <w:r w:rsidRPr="006645DC">
              <w:rPr>
                <w:rFonts w:cs="Calibri"/>
                <w:b/>
                <w:bCs/>
                <w:lang w:val="en-GB"/>
              </w:rPr>
              <w:t>Birth rate distribution by districts</w:t>
            </w:r>
            <w:bookmarkEnd w:id="463"/>
          </w:p>
        </w:tc>
      </w:tr>
      <w:tr w:rsidR="008E2B43" w:rsidRPr="006645DC" w14:paraId="146CB3BB" w14:textId="77777777" w:rsidTr="00393EB7">
        <w:trPr>
          <w:trHeight w:val="300"/>
          <w:jc w:val="center"/>
        </w:trPr>
        <w:tc>
          <w:tcPr>
            <w:tcW w:w="1922" w:type="dxa"/>
            <w:shd w:val="clear" w:color="auto" w:fill="auto"/>
            <w:vAlign w:val="center"/>
            <w:hideMark/>
          </w:tcPr>
          <w:p w14:paraId="0319C077" w14:textId="77777777" w:rsidR="008E2B43" w:rsidRPr="006645DC" w:rsidRDefault="008E2B43" w:rsidP="00393EB7">
            <w:pPr>
              <w:keepNext/>
              <w:keepLines/>
              <w:spacing w:before="0" w:after="0"/>
              <w:outlineLvl w:val="1"/>
              <w:rPr>
                <w:rFonts w:cs="Calibri"/>
                <w:b/>
                <w:bCs/>
                <w:lang w:val="en-GB"/>
              </w:rPr>
            </w:pPr>
            <w:bookmarkStart w:id="464" w:name="_Toc376198711"/>
            <w:r w:rsidRPr="006645DC">
              <w:rPr>
                <w:rFonts w:cs="Calibri"/>
                <w:b/>
                <w:bCs/>
                <w:lang w:val="en-GB"/>
              </w:rPr>
              <w:t>Bulgarian average</w:t>
            </w:r>
            <w:bookmarkEnd w:id="464"/>
          </w:p>
        </w:tc>
        <w:tc>
          <w:tcPr>
            <w:tcW w:w="1530" w:type="dxa"/>
            <w:shd w:val="clear" w:color="auto" w:fill="auto"/>
            <w:vAlign w:val="center"/>
          </w:tcPr>
          <w:p w14:paraId="0DF94E7B" w14:textId="77777777" w:rsidR="008E2B43" w:rsidRPr="006645DC" w:rsidRDefault="008E2B43" w:rsidP="00393EB7">
            <w:pPr>
              <w:keepNext/>
              <w:keepLines/>
              <w:spacing w:before="0" w:after="0" w:line="276" w:lineRule="auto"/>
              <w:ind w:left="757" w:hanging="360"/>
              <w:jc w:val="right"/>
              <w:outlineLvl w:val="1"/>
              <w:rPr>
                <w:rFonts w:cs="Calibri"/>
                <w:b/>
                <w:lang w:val="en-GB"/>
              </w:rPr>
            </w:pPr>
            <w:bookmarkStart w:id="465" w:name="_Toc376198712"/>
            <w:r w:rsidRPr="006645DC">
              <w:rPr>
                <w:rFonts w:cs="Calibri"/>
                <w:b/>
                <w:lang w:val="en-GB"/>
              </w:rPr>
              <w:t>12,1</w:t>
            </w:r>
            <w:bookmarkEnd w:id="465"/>
          </w:p>
        </w:tc>
        <w:tc>
          <w:tcPr>
            <w:tcW w:w="1531" w:type="dxa"/>
            <w:shd w:val="clear" w:color="auto" w:fill="auto"/>
            <w:vAlign w:val="center"/>
          </w:tcPr>
          <w:p w14:paraId="30448678" w14:textId="77777777" w:rsidR="008E2B43" w:rsidRPr="006645DC" w:rsidRDefault="008E2B43" w:rsidP="00393EB7">
            <w:pPr>
              <w:keepNext/>
              <w:keepLines/>
              <w:spacing w:before="0" w:after="0" w:line="276" w:lineRule="auto"/>
              <w:ind w:left="757" w:hanging="360"/>
              <w:jc w:val="right"/>
              <w:outlineLvl w:val="1"/>
              <w:rPr>
                <w:rFonts w:cs="Calibri"/>
                <w:b/>
                <w:u w:val="single"/>
                <w:lang w:val="en-GB"/>
              </w:rPr>
            </w:pPr>
            <w:bookmarkStart w:id="466" w:name="_Toc376198713"/>
            <w:r w:rsidRPr="006645DC">
              <w:rPr>
                <w:rFonts w:cs="Calibri"/>
                <w:b/>
                <w:u w:val="single"/>
                <w:lang w:val="en-GB"/>
              </w:rPr>
              <w:t>10,2</w:t>
            </w:r>
            <w:bookmarkEnd w:id="466"/>
          </w:p>
        </w:tc>
        <w:tc>
          <w:tcPr>
            <w:tcW w:w="1531" w:type="dxa"/>
            <w:shd w:val="clear" w:color="auto" w:fill="auto"/>
            <w:vAlign w:val="center"/>
          </w:tcPr>
          <w:p w14:paraId="4FE767E1" w14:textId="77777777" w:rsidR="008E2B43" w:rsidRPr="006645DC" w:rsidRDefault="008E2B43" w:rsidP="00393EB7">
            <w:pPr>
              <w:keepNext/>
              <w:keepLines/>
              <w:spacing w:before="0" w:after="0" w:line="276" w:lineRule="auto"/>
              <w:ind w:left="757" w:hanging="360"/>
              <w:jc w:val="right"/>
              <w:outlineLvl w:val="1"/>
              <w:rPr>
                <w:rFonts w:cs="Calibri"/>
                <w:b/>
                <w:u w:val="single"/>
                <w:lang w:val="en-GB"/>
              </w:rPr>
            </w:pPr>
            <w:bookmarkStart w:id="467" w:name="_Toc376198714"/>
            <w:r w:rsidRPr="006645DC">
              <w:rPr>
                <w:rFonts w:cs="Calibri"/>
                <w:b/>
                <w:u w:val="single"/>
                <w:lang w:val="en-GB"/>
              </w:rPr>
              <w:t>10,7</w:t>
            </w:r>
            <w:bookmarkEnd w:id="467"/>
          </w:p>
        </w:tc>
        <w:tc>
          <w:tcPr>
            <w:tcW w:w="1531" w:type="dxa"/>
            <w:shd w:val="clear" w:color="auto" w:fill="auto"/>
            <w:vAlign w:val="center"/>
          </w:tcPr>
          <w:p w14:paraId="7B88F289" w14:textId="77777777" w:rsidR="008E2B43" w:rsidRPr="006645DC" w:rsidRDefault="008E2B43" w:rsidP="00393EB7">
            <w:pPr>
              <w:keepNext/>
              <w:keepLines/>
              <w:spacing w:before="0" w:after="0" w:line="276" w:lineRule="auto"/>
              <w:ind w:left="757" w:hanging="360"/>
              <w:jc w:val="right"/>
              <w:outlineLvl w:val="1"/>
              <w:rPr>
                <w:rFonts w:cs="Calibri"/>
                <w:b/>
                <w:u w:val="single"/>
                <w:lang w:val="en-GB"/>
              </w:rPr>
            </w:pPr>
            <w:bookmarkStart w:id="468" w:name="_Toc376198715"/>
            <w:r w:rsidRPr="006645DC">
              <w:rPr>
                <w:rFonts w:cs="Calibri"/>
                <w:b/>
                <w:u w:val="single"/>
                <w:lang w:val="en-GB"/>
              </w:rPr>
              <w:t>10,0</w:t>
            </w:r>
            <w:bookmarkEnd w:id="468"/>
          </w:p>
        </w:tc>
        <w:tc>
          <w:tcPr>
            <w:tcW w:w="1531" w:type="dxa"/>
            <w:shd w:val="clear" w:color="auto" w:fill="auto"/>
            <w:vAlign w:val="center"/>
          </w:tcPr>
          <w:p w14:paraId="4FCD5CC4" w14:textId="77777777" w:rsidR="008E2B43" w:rsidRPr="006645DC" w:rsidRDefault="008E2B43" w:rsidP="00393EB7">
            <w:pPr>
              <w:keepNext/>
              <w:keepLines/>
              <w:spacing w:before="0" w:after="0" w:line="276" w:lineRule="auto"/>
              <w:ind w:left="757" w:hanging="360"/>
              <w:jc w:val="right"/>
              <w:outlineLvl w:val="1"/>
              <w:rPr>
                <w:rFonts w:cs="Calibri"/>
                <w:b/>
                <w:u w:val="single"/>
                <w:lang w:val="en-GB"/>
              </w:rPr>
            </w:pPr>
            <w:bookmarkStart w:id="469" w:name="_Toc376198716"/>
            <w:r w:rsidRPr="006645DC">
              <w:rPr>
                <w:rFonts w:cs="Calibri"/>
                <w:b/>
                <w:u w:val="single"/>
                <w:lang w:val="en-GB"/>
              </w:rPr>
              <w:t>9,6</w:t>
            </w:r>
            <w:bookmarkEnd w:id="469"/>
          </w:p>
        </w:tc>
      </w:tr>
      <w:tr w:rsidR="008E2B43" w:rsidRPr="006645DC" w14:paraId="4E488150" w14:textId="77777777" w:rsidTr="00393EB7">
        <w:trPr>
          <w:trHeight w:val="300"/>
          <w:jc w:val="center"/>
        </w:trPr>
        <w:tc>
          <w:tcPr>
            <w:tcW w:w="1922" w:type="dxa"/>
            <w:shd w:val="clear" w:color="auto" w:fill="auto"/>
            <w:vAlign w:val="center"/>
            <w:hideMark/>
          </w:tcPr>
          <w:p w14:paraId="2937CF52" w14:textId="77777777" w:rsidR="008E2B43" w:rsidRPr="006645DC" w:rsidRDefault="008E2B43" w:rsidP="00393EB7">
            <w:pPr>
              <w:keepNext/>
              <w:keepLines/>
              <w:spacing w:before="0" w:after="0"/>
              <w:outlineLvl w:val="1"/>
              <w:rPr>
                <w:rFonts w:cs="Calibri"/>
                <w:bCs/>
                <w:lang w:val="en-GB"/>
              </w:rPr>
            </w:pPr>
            <w:bookmarkStart w:id="470" w:name="_Toc376198717"/>
            <w:r w:rsidRPr="006645DC">
              <w:rPr>
                <w:rFonts w:cs="Calibri"/>
                <w:bCs/>
                <w:lang w:val="en-GB"/>
              </w:rPr>
              <w:t>Vidin</w:t>
            </w:r>
            <w:bookmarkEnd w:id="470"/>
          </w:p>
        </w:tc>
        <w:tc>
          <w:tcPr>
            <w:tcW w:w="1530" w:type="dxa"/>
            <w:shd w:val="clear" w:color="auto" w:fill="auto"/>
            <w:vAlign w:val="center"/>
          </w:tcPr>
          <w:p w14:paraId="5D195414" w14:textId="77777777" w:rsidR="008E2B43" w:rsidRPr="006645DC" w:rsidRDefault="008E2B43" w:rsidP="00393EB7">
            <w:pPr>
              <w:spacing w:before="0" w:after="0"/>
              <w:jc w:val="right"/>
              <w:rPr>
                <w:rFonts w:cs="Calibri"/>
                <w:lang w:val="en-GB"/>
              </w:rPr>
            </w:pPr>
          </w:p>
        </w:tc>
        <w:tc>
          <w:tcPr>
            <w:tcW w:w="1531" w:type="dxa"/>
            <w:shd w:val="clear" w:color="auto" w:fill="auto"/>
            <w:vAlign w:val="center"/>
          </w:tcPr>
          <w:p w14:paraId="2FBB748F"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71" w:name="_Toc376198718"/>
            <w:r w:rsidRPr="006645DC">
              <w:rPr>
                <w:rFonts w:cs="Calibri"/>
                <w:u w:val="single"/>
                <w:lang w:val="en-GB"/>
              </w:rPr>
              <w:t>7,3</w:t>
            </w:r>
            <w:bookmarkEnd w:id="471"/>
          </w:p>
        </w:tc>
        <w:tc>
          <w:tcPr>
            <w:tcW w:w="1531" w:type="dxa"/>
            <w:shd w:val="clear" w:color="auto" w:fill="auto"/>
            <w:vAlign w:val="center"/>
          </w:tcPr>
          <w:p w14:paraId="45735E00"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72" w:name="_Toc376198719"/>
            <w:r w:rsidRPr="006645DC">
              <w:rPr>
                <w:rFonts w:cs="Calibri"/>
                <w:u w:val="single"/>
                <w:lang w:val="en-GB"/>
              </w:rPr>
              <w:t>7,8</w:t>
            </w:r>
            <w:bookmarkEnd w:id="472"/>
          </w:p>
        </w:tc>
        <w:tc>
          <w:tcPr>
            <w:tcW w:w="1531" w:type="dxa"/>
            <w:shd w:val="clear" w:color="auto" w:fill="auto"/>
            <w:vAlign w:val="center"/>
          </w:tcPr>
          <w:p w14:paraId="75EA0DD9"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73" w:name="_Toc376198720"/>
            <w:r w:rsidRPr="006645DC">
              <w:rPr>
                <w:rFonts w:cs="Calibri"/>
                <w:u w:val="single"/>
                <w:lang w:val="en-GB"/>
              </w:rPr>
              <w:t>7,8</w:t>
            </w:r>
            <w:bookmarkEnd w:id="473"/>
          </w:p>
        </w:tc>
        <w:tc>
          <w:tcPr>
            <w:tcW w:w="1531" w:type="dxa"/>
            <w:shd w:val="clear" w:color="auto" w:fill="auto"/>
            <w:vAlign w:val="center"/>
          </w:tcPr>
          <w:p w14:paraId="2F223498"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74" w:name="_Toc376198721"/>
            <w:r w:rsidRPr="006645DC">
              <w:rPr>
                <w:rFonts w:cs="Calibri"/>
                <w:u w:val="single"/>
                <w:lang w:val="en-GB"/>
              </w:rPr>
              <w:t>7,5</w:t>
            </w:r>
            <w:bookmarkEnd w:id="474"/>
          </w:p>
        </w:tc>
      </w:tr>
      <w:tr w:rsidR="008E2B43" w:rsidRPr="006645DC" w14:paraId="6C62F27B" w14:textId="77777777" w:rsidTr="00393EB7">
        <w:trPr>
          <w:trHeight w:val="300"/>
          <w:jc w:val="center"/>
        </w:trPr>
        <w:tc>
          <w:tcPr>
            <w:tcW w:w="1922" w:type="dxa"/>
            <w:shd w:val="clear" w:color="auto" w:fill="auto"/>
            <w:vAlign w:val="center"/>
            <w:hideMark/>
          </w:tcPr>
          <w:p w14:paraId="4E95A896" w14:textId="77777777" w:rsidR="008E2B43" w:rsidRPr="006645DC" w:rsidRDefault="008E2B43" w:rsidP="00393EB7">
            <w:pPr>
              <w:keepNext/>
              <w:keepLines/>
              <w:spacing w:before="0" w:after="0"/>
              <w:outlineLvl w:val="1"/>
              <w:rPr>
                <w:rFonts w:cs="Calibri"/>
                <w:bCs/>
                <w:lang w:val="en-GB"/>
              </w:rPr>
            </w:pPr>
            <w:bookmarkStart w:id="475" w:name="_Toc376198722"/>
            <w:r w:rsidRPr="006645DC">
              <w:rPr>
                <w:rFonts w:cs="Calibri"/>
                <w:bCs/>
                <w:lang w:val="en-GB"/>
              </w:rPr>
              <w:t>Vratsa</w:t>
            </w:r>
            <w:bookmarkEnd w:id="475"/>
          </w:p>
        </w:tc>
        <w:tc>
          <w:tcPr>
            <w:tcW w:w="1530" w:type="dxa"/>
            <w:shd w:val="clear" w:color="auto" w:fill="auto"/>
            <w:vAlign w:val="center"/>
          </w:tcPr>
          <w:p w14:paraId="5E716A1E" w14:textId="77777777" w:rsidR="008E2B43" w:rsidRPr="006645DC" w:rsidRDefault="008E2B43" w:rsidP="00393EB7">
            <w:pPr>
              <w:spacing w:before="0" w:after="0"/>
              <w:jc w:val="right"/>
              <w:rPr>
                <w:rFonts w:cs="Calibri"/>
                <w:lang w:val="en-GB"/>
              </w:rPr>
            </w:pPr>
          </w:p>
        </w:tc>
        <w:tc>
          <w:tcPr>
            <w:tcW w:w="1531" w:type="dxa"/>
            <w:shd w:val="clear" w:color="auto" w:fill="auto"/>
            <w:vAlign w:val="center"/>
          </w:tcPr>
          <w:p w14:paraId="4000E2C1"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76" w:name="_Toc376198723"/>
            <w:r w:rsidRPr="006645DC">
              <w:rPr>
                <w:rFonts w:cs="Calibri"/>
                <w:u w:val="single"/>
                <w:lang w:val="en-GB"/>
              </w:rPr>
              <w:t>8,6</w:t>
            </w:r>
            <w:bookmarkEnd w:id="476"/>
          </w:p>
        </w:tc>
        <w:tc>
          <w:tcPr>
            <w:tcW w:w="1531" w:type="dxa"/>
            <w:shd w:val="clear" w:color="auto" w:fill="auto"/>
            <w:vAlign w:val="center"/>
          </w:tcPr>
          <w:p w14:paraId="7D07E87E"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77" w:name="_Toc376198724"/>
            <w:r w:rsidRPr="006645DC">
              <w:rPr>
                <w:rFonts w:cs="Calibri"/>
                <w:u w:val="single"/>
                <w:lang w:val="en-GB"/>
              </w:rPr>
              <w:t>9,0</w:t>
            </w:r>
            <w:bookmarkEnd w:id="477"/>
          </w:p>
        </w:tc>
        <w:tc>
          <w:tcPr>
            <w:tcW w:w="1531" w:type="dxa"/>
            <w:shd w:val="clear" w:color="auto" w:fill="auto"/>
            <w:vAlign w:val="center"/>
          </w:tcPr>
          <w:p w14:paraId="336F1692"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78" w:name="_Toc376198725"/>
            <w:r w:rsidRPr="006645DC">
              <w:rPr>
                <w:rFonts w:cs="Calibri"/>
                <w:u w:val="single"/>
                <w:lang w:val="en-GB"/>
              </w:rPr>
              <w:t>8,3</w:t>
            </w:r>
            <w:bookmarkEnd w:id="478"/>
          </w:p>
        </w:tc>
        <w:tc>
          <w:tcPr>
            <w:tcW w:w="1531" w:type="dxa"/>
            <w:shd w:val="clear" w:color="auto" w:fill="auto"/>
            <w:vAlign w:val="center"/>
          </w:tcPr>
          <w:p w14:paraId="47C1AEFD"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79" w:name="_Toc376198726"/>
            <w:r w:rsidRPr="006645DC">
              <w:rPr>
                <w:rFonts w:cs="Calibri"/>
                <w:u w:val="single"/>
                <w:lang w:val="en-GB"/>
              </w:rPr>
              <w:t>8,6</w:t>
            </w:r>
            <w:bookmarkEnd w:id="479"/>
          </w:p>
        </w:tc>
      </w:tr>
      <w:tr w:rsidR="008E2B43" w:rsidRPr="006645DC" w14:paraId="409C6756" w14:textId="77777777" w:rsidTr="00393EB7">
        <w:trPr>
          <w:trHeight w:val="300"/>
          <w:jc w:val="center"/>
        </w:trPr>
        <w:tc>
          <w:tcPr>
            <w:tcW w:w="1922" w:type="dxa"/>
            <w:shd w:val="clear" w:color="auto" w:fill="auto"/>
            <w:vAlign w:val="center"/>
            <w:hideMark/>
          </w:tcPr>
          <w:p w14:paraId="2AFD38F8" w14:textId="77777777" w:rsidR="008E2B43" w:rsidRPr="006645DC" w:rsidRDefault="008E2B43" w:rsidP="00393EB7">
            <w:pPr>
              <w:keepNext/>
              <w:keepLines/>
              <w:spacing w:before="0" w:after="0"/>
              <w:outlineLvl w:val="1"/>
              <w:rPr>
                <w:rFonts w:cs="Calibri"/>
                <w:bCs/>
                <w:lang w:val="en-GB"/>
              </w:rPr>
            </w:pPr>
            <w:bookmarkStart w:id="480" w:name="_Toc376198727"/>
            <w:r w:rsidRPr="006645DC">
              <w:rPr>
                <w:rFonts w:cs="Calibri"/>
                <w:bCs/>
                <w:lang w:val="en-GB"/>
              </w:rPr>
              <w:t>Montana</w:t>
            </w:r>
            <w:bookmarkEnd w:id="480"/>
          </w:p>
        </w:tc>
        <w:tc>
          <w:tcPr>
            <w:tcW w:w="1530" w:type="dxa"/>
            <w:shd w:val="clear" w:color="auto" w:fill="auto"/>
            <w:vAlign w:val="center"/>
          </w:tcPr>
          <w:p w14:paraId="4F7F454E" w14:textId="77777777" w:rsidR="008E2B43" w:rsidRPr="006645DC" w:rsidRDefault="008E2B43" w:rsidP="00393EB7">
            <w:pPr>
              <w:spacing w:before="0" w:after="0"/>
              <w:jc w:val="right"/>
              <w:rPr>
                <w:rFonts w:cs="Calibri"/>
                <w:lang w:val="en-GB"/>
              </w:rPr>
            </w:pPr>
          </w:p>
        </w:tc>
        <w:tc>
          <w:tcPr>
            <w:tcW w:w="1531" w:type="dxa"/>
            <w:shd w:val="clear" w:color="auto" w:fill="auto"/>
            <w:vAlign w:val="center"/>
          </w:tcPr>
          <w:p w14:paraId="6092988D"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81" w:name="_Toc376198728"/>
            <w:r w:rsidRPr="006645DC">
              <w:rPr>
                <w:rFonts w:cs="Calibri"/>
                <w:u w:val="single"/>
                <w:lang w:val="en-GB"/>
              </w:rPr>
              <w:t>8,6</w:t>
            </w:r>
            <w:bookmarkEnd w:id="481"/>
          </w:p>
        </w:tc>
        <w:tc>
          <w:tcPr>
            <w:tcW w:w="1531" w:type="dxa"/>
            <w:shd w:val="clear" w:color="auto" w:fill="auto"/>
            <w:vAlign w:val="center"/>
          </w:tcPr>
          <w:p w14:paraId="72F3438B"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82" w:name="_Toc376198729"/>
            <w:r w:rsidRPr="006645DC">
              <w:rPr>
                <w:rFonts w:cs="Calibri"/>
                <w:u w:val="single"/>
                <w:lang w:val="en-GB"/>
              </w:rPr>
              <w:t>9,5</w:t>
            </w:r>
            <w:bookmarkEnd w:id="482"/>
          </w:p>
        </w:tc>
        <w:tc>
          <w:tcPr>
            <w:tcW w:w="1531" w:type="dxa"/>
            <w:shd w:val="clear" w:color="auto" w:fill="auto"/>
            <w:vAlign w:val="center"/>
          </w:tcPr>
          <w:p w14:paraId="79732208"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83" w:name="_Toc376198730"/>
            <w:r w:rsidRPr="006645DC">
              <w:rPr>
                <w:rFonts w:cs="Calibri"/>
                <w:u w:val="single"/>
                <w:lang w:val="en-GB"/>
              </w:rPr>
              <w:t>8,3</w:t>
            </w:r>
            <w:bookmarkEnd w:id="483"/>
          </w:p>
        </w:tc>
        <w:tc>
          <w:tcPr>
            <w:tcW w:w="1531" w:type="dxa"/>
            <w:shd w:val="clear" w:color="auto" w:fill="auto"/>
            <w:vAlign w:val="center"/>
          </w:tcPr>
          <w:p w14:paraId="50ED7488"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84" w:name="_Toc376198731"/>
            <w:r w:rsidRPr="006645DC">
              <w:rPr>
                <w:rFonts w:cs="Calibri"/>
                <w:u w:val="single"/>
                <w:lang w:val="en-GB"/>
              </w:rPr>
              <w:t>8,6</w:t>
            </w:r>
            <w:bookmarkEnd w:id="484"/>
          </w:p>
        </w:tc>
      </w:tr>
      <w:tr w:rsidR="008E2B43" w:rsidRPr="006645DC" w14:paraId="49456245" w14:textId="77777777" w:rsidTr="00393EB7">
        <w:trPr>
          <w:trHeight w:val="300"/>
          <w:jc w:val="center"/>
        </w:trPr>
        <w:tc>
          <w:tcPr>
            <w:tcW w:w="1922" w:type="dxa"/>
            <w:shd w:val="clear" w:color="auto" w:fill="auto"/>
            <w:vAlign w:val="center"/>
            <w:hideMark/>
          </w:tcPr>
          <w:p w14:paraId="4B353797" w14:textId="77777777" w:rsidR="008E2B43" w:rsidRPr="006645DC" w:rsidRDefault="008E2B43" w:rsidP="00393EB7">
            <w:pPr>
              <w:keepNext/>
              <w:keepLines/>
              <w:spacing w:before="0" w:after="0"/>
              <w:outlineLvl w:val="1"/>
              <w:rPr>
                <w:rFonts w:cs="Calibri"/>
                <w:bCs/>
                <w:lang w:val="en-GB"/>
              </w:rPr>
            </w:pPr>
            <w:bookmarkStart w:id="485" w:name="_Toc376198732"/>
            <w:r w:rsidRPr="006645DC">
              <w:rPr>
                <w:rFonts w:cs="Calibri"/>
                <w:bCs/>
                <w:lang w:val="en-GB"/>
              </w:rPr>
              <w:t>Pleven</w:t>
            </w:r>
            <w:bookmarkEnd w:id="485"/>
          </w:p>
        </w:tc>
        <w:tc>
          <w:tcPr>
            <w:tcW w:w="1530" w:type="dxa"/>
            <w:shd w:val="clear" w:color="auto" w:fill="auto"/>
            <w:vAlign w:val="center"/>
          </w:tcPr>
          <w:p w14:paraId="53A28488" w14:textId="77777777" w:rsidR="008E2B43" w:rsidRPr="006645DC" w:rsidRDefault="008E2B43" w:rsidP="00393EB7">
            <w:pPr>
              <w:spacing w:before="0" w:after="0"/>
              <w:jc w:val="right"/>
              <w:rPr>
                <w:rFonts w:cs="Calibri"/>
                <w:lang w:val="en-GB"/>
              </w:rPr>
            </w:pPr>
          </w:p>
        </w:tc>
        <w:tc>
          <w:tcPr>
            <w:tcW w:w="1531" w:type="dxa"/>
            <w:shd w:val="clear" w:color="auto" w:fill="auto"/>
            <w:vAlign w:val="center"/>
          </w:tcPr>
          <w:p w14:paraId="1CC325BB"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86" w:name="_Toc376198733"/>
            <w:r w:rsidRPr="006645DC">
              <w:rPr>
                <w:rFonts w:cs="Calibri"/>
                <w:u w:val="single"/>
                <w:lang w:val="en-GB"/>
              </w:rPr>
              <w:t>9,2</w:t>
            </w:r>
            <w:bookmarkEnd w:id="486"/>
          </w:p>
        </w:tc>
        <w:tc>
          <w:tcPr>
            <w:tcW w:w="1531" w:type="dxa"/>
            <w:shd w:val="clear" w:color="auto" w:fill="auto"/>
            <w:vAlign w:val="center"/>
          </w:tcPr>
          <w:p w14:paraId="058B45FD"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87" w:name="_Toc376198734"/>
            <w:r w:rsidRPr="006645DC">
              <w:rPr>
                <w:rFonts w:cs="Calibri"/>
                <w:u w:val="single"/>
                <w:lang w:val="en-GB"/>
              </w:rPr>
              <w:t>9,4</w:t>
            </w:r>
            <w:bookmarkEnd w:id="487"/>
          </w:p>
        </w:tc>
        <w:tc>
          <w:tcPr>
            <w:tcW w:w="1531" w:type="dxa"/>
            <w:shd w:val="clear" w:color="auto" w:fill="auto"/>
            <w:vAlign w:val="center"/>
          </w:tcPr>
          <w:p w14:paraId="4B08A039"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88" w:name="_Toc376198735"/>
            <w:r w:rsidRPr="006645DC">
              <w:rPr>
                <w:rFonts w:cs="Calibri"/>
                <w:u w:val="single"/>
                <w:lang w:val="en-GB"/>
              </w:rPr>
              <w:t>8,8</w:t>
            </w:r>
            <w:bookmarkEnd w:id="488"/>
          </w:p>
        </w:tc>
        <w:tc>
          <w:tcPr>
            <w:tcW w:w="1531" w:type="dxa"/>
            <w:shd w:val="clear" w:color="auto" w:fill="auto"/>
            <w:vAlign w:val="center"/>
          </w:tcPr>
          <w:p w14:paraId="24F79615"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89" w:name="_Toc376198736"/>
            <w:r w:rsidRPr="006645DC">
              <w:rPr>
                <w:rFonts w:cs="Calibri"/>
                <w:u w:val="single"/>
                <w:lang w:val="en-GB"/>
              </w:rPr>
              <w:t>8,9</w:t>
            </w:r>
            <w:bookmarkEnd w:id="489"/>
          </w:p>
        </w:tc>
      </w:tr>
      <w:tr w:rsidR="008E2B43" w:rsidRPr="006645DC" w14:paraId="53214D2A" w14:textId="77777777" w:rsidTr="00393EB7">
        <w:trPr>
          <w:trHeight w:val="300"/>
          <w:jc w:val="center"/>
        </w:trPr>
        <w:tc>
          <w:tcPr>
            <w:tcW w:w="1922" w:type="dxa"/>
            <w:shd w:val="clear" w:color="auto" w:fill="auto"/>
            <w:vAlign w:val="center"/>
            <w:hideMark/>
          </w:tcPr>
          <w:p w14:paraId="05D7C537" w14:textId="77777777" w:rsidR="008E2B43" w:rsidRPr="006645DC" w:rsidRDefault="008E2B43" w:rsidP="00393EB7">
            <w:pPr>
              <w:keepNext/>
              <w:keepLines/>
              <w:spacing w:before="0" w:after="0"/>
              <w:outlineLvl w:val="1"/>
              <w:rPr>
                <w:rFonts w:cs="Calibri"/>
                <w:bCs/>
                <w:lang w:val="en-GB"/>
              </w:rPr>
            </w:pPr>
            <w:bookmarkStart w:id="490" w:name="_Toc376198737"/>
            <w:r w:rsidRPr="006645DC">
              <w:rPr>
                <w:rFonts w:cs="Calibri"/>
                <w:bCs/>
                <w:lang w:val="en-GB"/>
              </w:rPr>
              <w:t>Veliko Tarnovo</w:t>
            </w:r>
            <w:bookmarkEnd w:id="490"/>
          </w:p>
        </w:tc>
        <w:tc>
          <w:tcPr>
            <w:tcW w:w="1530" w:type="dxa"/>
            <w:shd w:val="clear" w:color="auto" w:fill="auto"/>
          </w:tcPr>
          <w:p w14:paraId="41B581C8" w14:textId="77777777" w:rsidR="008E2B43" w:rsidRPr="006645DC" w:rsidRDefault="008E2B43" w:rsidP="00393EB7">
            <w:pPr>
              <w:spacing w:before="0" w:after="0"/>
              <w:rPr>
                <w:rFonts w:cs="Calibri"/>
                <w:lang w:val="en-GB"/>
              </w:rPr>
            </w:pPr>
          </w:p>
        </w:tc>
        <w:tc>
          <w:tcPr>
            <w:tcW w:w="1531" w:type="dxa"/>
            <w:shd w:val="clear" w:color="auto" w:fill="auto"/>
            <w:vAlign w:val="center"/>
          </w:tcPr>
          <w:p w14:paraId="6B40B556"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91" w:name="_Toc376198738"/>
            <w:r w:rsidRPr="006645DC">
              <w:rPr>
                <w:rFonts w:cs="Calibri"/>
                <w:u w:val="single"/>
                <w:lang w:val="en-GB"/>
              </w:rPr>
              <w:t>8,7</w:t>
            </w:r>
            <w:bookmarkEnd w:id="491"/>
          </w:p>
        </w:tc>
        <w:tc>
          <w:tcPr>
            <w:tcW w:w="1531" w:type="dxa"/>
            <w:shd w:val="clear" w:color="auto" w:fill="auto"/>
            <w:vAlign w:val="center"/>
          </w:tcPr>
          <w:p w14:paraId="2C79A2B9"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92" w:name="_Toc376198739"/>
            <w:r w:rsidRPr="006645DC">
              <w:rPr>
                <w:rFonts w:cs="Calibri"/>
                <w:u w:val="single"/>
                <w:lang w:val="en-GB"/>
              </w:rPr>
              <w:t>9,1</w:t>
            </w:r>
            <w:bookmarkEnd w:id="492"/>
          </w:p>
        </w:tc>
        <w:tc>
          <w:tcPr>
            <w:tcW w:w="1531" w:type="dxa"/>
            <w:shd w:val="clear" w:color="auto" w:fill="auto"/>
            <w:vAlign w:val="center"/>
          </w:tcPr>
          <w:p w14:paraId="51645E0F"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93" w:name="_Toc376198740"/>
            <w:r w:rsidRPr="006645DC">
              <w:rPr>
                <w:rFonts w:cs="Calibri"/>
                <w:u w:val="single"/>
                <w:lang w:val="en-GB"/>
              </w:rPr>
              <w:t>8,7</w:t>
            </w:r>
            <w:bookmarkEnd w:id="493"/>
          </w:p>
        </w:tc>
        <w:tc>
          <w:tcPr>
            <w:tcW w:w="1531" w:type="dxa"/>
            <w:shd w:val="clear" w:color="auto" w:fill="auto"/>
            <w:vAlign w:val="center"/>
          </w:tcPr>
          <w:p w14:paraId="127950E6"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94" w:name="_Toc376198741"/>
            <w:r w:rsidRPr="006645DC">
              <w:rPr>
                <w:rFonts w:cs="Calibri"/>
                <w:u w:val="single"/>
                <w:lang w:val="en-GB"/>
              </w:rPr>
              <w:t>8,9</w:t>
            </w:r>
            <w:bookmarkEnd w:id="494"/>
          </w:p>
        </w:tc>
      </w:tr>
      <w:tr w:rsidR="008E2B43" w:rsidRPr="006645DC" w14:paraId="2DB2F474" w14:textId="77777777" w:rsidTr="00393EB7">
        <w:trPr>
          <w:trHeight w:val="300"/>
          <w:jc w:val="center"/>
        </w:trPr>
        <w:tc>
          <w:tcPr>
            <w:tcW w:w="1922" w:type="dxa"/>
            <w:shd w:val="clear" w:color="auto" w:fill="auto"/>
            <w:vAlign w:val="center"/>
            <w:hideMark/>
          </w:tcPr>
          <w:p w14:paraId="3F9A1448" w14:textId="77777777" w:rsidR="008E2B43" w:rsidRPr="006645DC" w:rsidRDefault="008E2B43" w:rsidP="00393EB7">
            <w:pPr>
              <w:keepNext/>
              <w:keepLines/>
              <w:spacing w:before="0" w:after="0"/>
              <w:outlineLvl w:val="1"/>
              <w:rPr>
                <w:rFonts w:cs="Calibri"/>
                <w:bCs/>
                <w:lang w:val="en-GB"/>
              </w:rPr>
            </w:pPr>
            <w:bookmarkStart w:id="495" w:name="_Toc376198742"/>
            <w:r w:rsidRPr="006645DC">
              <w:rPr>
                <w:rFonts w:cs="Calibri"/>
                <w:bCs/>
                <w:lang w:val="en-GB"/>
              </w:rPr>
              <w:t>Ruse</w:t>
            </w:r>
            <w:bookmarkEnd w:id="495"/>
          </w:p>
        </w:tc>
        <w:tc>
          <w:tcPr>
            <w:tcW w:w="1530" w:type="dxa"/>
            <w:shd w:val="clear" w:color="auto" w:fill="auto"/>
          </w:tcPr>
          <w:p w14:paraId="1508E7B3" w14:textId="77777777" w:rsidR="008E2B43" w:rsidRPr="006645DC" w:rsidRDefault="008E2B43" w:rsidP="00393EB7">
            <w:pPr>
              <w:spacing w:before="0" w:after="0"/>
              <w:rPr>
                <w:rFonts w:cs="Calibri"/>
                <w:lang w:val="en-GB"/>
              </w:rPr>
            </w:pPr>
          </w:p>
        </w:tc>
        <w:tc>
          <w:tcPr>
            <w:tcW w:w="1531" w:type="dxa"/>
            <w:shd w:val="clear" w:color="auto" w:fill="auto"/>
            <w:vAlign w:val="center"/>
          </w:tcPr>
          <w:p w14:paraId="11AD73D4"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96" w:name="_Toc376198743"/>
            <w:r w:rsidRPr="006645DC">
              <w:rPr>
                <w:rFonts w:cs="Calibri"/>
                <w:u w:val="single"/>
                <w:lang w:val="en-GB"/>
              </w:rPr>
              <w:t>8,7</w:t>
            </w:r>
            <w:bookmarkEnd w:id="496"/>
          </w:p>
        </w:tc>
        <w:tc>
          <w:tcPr>
            <w:tcW w:w="1531" w:type="dxa"/>
            <w:shd w:val="clear" w:color="auto" w:fill="auto"/>
            <w:vAlign w:val="center"/>
          </w:tcPr>
          <w:p w14:paraId="46414F87"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97" w:name="_Toc376198744"/>
            <w:r w:rsidRPr="006645DC">
              <w:rPr>
                <w:rFonts w:cs="Calibri"/>
                <w:u w:val="single"/>
                <w:lang w:val="en-GB"/>
              </w:rPr>
              <w:t>9,2</w:t>
            </w:r>
            <w:bookmarkEnd w:id="497"/>
          </w:p>
        </w:tc>
        <w:tc>
          <w:tcPr>
            <w:tcW w:w="1531" w:type="dxa"/>
            <w:shd w:val="clear" w:color="auto" w:fill="auto"/>
            <w:vAlign w:val="center"/>
          </w:tcPr>
          <w:p w14:paraId="5294BAC5"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98" w:name="_Toc376198745"/>
            <w:r w:rsidRPr="006645DC">
              <w:rPr>
                <w:rFonts w:cs="Calibri"/>
                <w:u w:val="single"/>
                <w:lang w:val="en-GB"/>
              </w:rPr>
              <w:t>8,8</w:t>
            </w:r>
            <w:bookmarkEnd w:id="498"/>
          </w:p>
        </w:tc>
        <w:tc>
          <w:tcPr>
            <w:tcW w:w="1531" w:type="dxa"/>
            <w:shd w:val="clear" w:color="auto" w:fill="auto"/>
            <w:vAlign w:val="center"/>
          </w:tcPr>
          <w:p w14:paraId="2ECDF168" w14:textId="77777777" w:rsidR="008E2B43" w:rsidRPr="006645DC" w:rsidRDefault="008E2B43" w:rsidP="00393EB7">
            <w:pPr>
              <w:keepNext/>
              <w:keepLines/>
              <w:spacing w:before="0" w:after="0"/>
              <w:ind w:left="757" w:hanging="360"/>
              <w:jc w:val="right"/>
              <w:outlineLvl w:val="1"/>
              <w:rPr>
                <w:rFonts w:cs="Calibri"/>
                <w:u w:val="single"/>
                <w:lang w:val="en-GB"/>
              </w:rPr>
            </w:pPr>
            <w:bookmarkStart w:id="499" w:name="_Toc376198746"/>
            <w:r w:rsidRPr="006645DC">
              <w:rPr>
                <w:rFonts w:cs="Calibri"/>
                <w:u w:val="single"/>
                <w:lang w:val="en-GB"/>
              </w:rPr>
              <w:t>7,9</w:t>
            </w:r>
            <w:bookmarkEnd w:id="499"/>
          </w:p>
        </w:tc>
      </w:tr>
      <w:tr w:rsidR="008E2B43" w:rsidRPr="006645DC" w14:paraId="29B966C7" w14:textId="77777777" w:rsidTr="00393EB7">
        <w:trPr>
          <w:trHeight w:val="300"/>
          <w:jc w:val="center"/>
        </w:trPr>
        <w:tc>
          <w:tcPr>
            <w:tcW w:w="1922" w:type="dxa"/>
            <w:shd w:val="clear" w:color="auto" w:fill="auto"/>
            <w:vAlign w:val="center"/>
            <w:hideMark/>
          </w:tcPr>
          <w:p w14:paraId="4558DF88" w14:textId="77777777" w:rsidR="008E2B43" w:rsidRPr="006645DC" w:rsidRDefault="008E2B43" w:rsidP="00393EB7">
            <w:pPr>
              <w:keepNext/>
              <w:keepLines/>
              <w:spacing w:before="0" w:after="0"/>
              <w:outlineLvl w:val="1"/>
              <w:rPr>
                <w:rFonts w:cs="Calibri"/>
                <w:bCs/>
                <w:lang w:val="en-GB"/>
              </w:rPr>
            </w:pPr>
            <w:bookmarkStart w:id="500" w:name="_Toc376198747"/>
            <w:r w:rsidRPr="006645DC">
              <w:rPr>
                <w:rFonts w:cs="Calibri"/>
                <w:bCs/>
                <w:lang w:val="en-GB"/>
              </w:rPr>
              <w:t>Silistra</w:t>
            </w:r>
            <w:bookmarkEnd w:id="500"/>
          </w:p>
        </w:tc>
        <w:tc>
          <w:tcPr>
            <w:tcW w:w="1530" w:type="dxa"/>
            <w:shd w:val="clear" w:color="auto" w:fill="auto"/>
          </w:tcPr>
          <w:p w14:paraId="7D8432A1" w14:textId="77777777" w:rsidR="008E2B43" w:rsidRPr="006645DC" w:rsidRDefault="008E2B43" w:rsidP="00393EB7">
            <w:pPr>
              <w:spacing w:before="0" w:after="0"/>
              <w:rPr>
                <w:rFonts w:cs="Calibri"/>
                <w:lang w:val="en-GB"/>
              </w:rPr>
            </w:pPr>
          </w:p>
        </w:tc>
        <w:tc>
          <w:tcPr>
            <w:tcW w:w="1531" w:type="dxa"/>
            <w:shd w:val="clear" w:color="auto" w:fill="auto"/>
            <w:vAlign w:val="center"/>
          </w:tcPr>
          <w:p w14:paraId="53973C9A" w14:textId="77777777" w:rsidR="008E2B43" w:rsidRPr="006645DC" w:rsidRDefault="008E2B43" w:rsidP="00393EB7">
            <w:pPr>
              <w:keepNext/>
              <w:keepLines/>
              <w:spacing w:before="0" w:after="0"/>
              <w:ind w:left="757" w:hanging="360"/>
              <w:jc w:val="right"/>
              <w:outlineLvl w:val="1"/>
              <w:rPr>
                <w:rFonts w:cs="Calibri"/>
                <w:u w:val="single"/>
                <w:lang w:val="en-GB"/>
              </w:rPr>
            </w:pPr>
            <w:bookmarkStart w:id="501" w:name="_Toc376198748"/>
            <w:r w:rsidRPr="006645DC">
              <w:rPr>
                <w:rFonts w:cs="Calibri"/>
                <w:u w:val="single"/>
                <w:lang w:val="en-GB"/>
              </w:rPr>
              <w:t>9,2</w:t>
            </w:r>
            <w:bookmarkEnd w:id="501"/>
          </w:p>
        </w:tc>
        <w:tc>
          <w:tcPr>
            <w:tcW w:w="1531" w:type="dxa"/>
            <w:shd w:val="clear" w:color="auto" w:fill="auto"/>
            <w:vAlign w:val="center"/>
          </w:tcPr>
          <w:p w14:paraId="6BFCD25C" w14:textId="77777777" w:rsidR="008E2B43" w:rsidRPr="006645DC" w:rsidRDefault="008E2B43" w:rsidP="00393EB7">
            <w:pPr>
              <w:keepNext/>
              <w:keepLines/>
              <w:spacing w:before="0" w:after="0"/>
              <w:ind w:left="757" w:hanging="360"/>
              <w:jc w:val="right"/>
              <w:outlineLvl w:val="1"/>
              <w:rPr>
                <w:rFonts w:cs="Calibri"/>
                <w:u w:val="single"/>
                <w:lang w:val="en-GB"/>
              </w:rPr>
            </w:pPr>
            <w:bookmarkStart w:id="502" w:name="_Toc376198749"/>
            <w:r w:rsidRPr="006645DC">
              <w:rPr>
                <w:rFonts w:cs="Calibri"/>
                <w:u w:val="single"/>
                <w:lang w:val="en-GB"/>
              </w:rPr>
              <w:t>9,7</w:t>
            </w:r>
            <w:bookmarkEnd w:id="502"/>
          </w:p>
        </w:tc>
        <w:tc>
          <w:tcPr>
            <w:tcW w:w="1531" w:type="dxa"/>
            <w:shd w:val="clear" w:color="auto" w:fill="auto"/>
            <w:vAlign w:val="center"/>
          </w:tcPr>
          <w:p w14:paraId="5D1EFB45" w14:textId="77777777" w:rsidR="008E2B43" w:rsidRPr="006645DC" w:rsidRDefault="008E2B43" w:rsidP="00393EB7">
            <w:pPr>
              <w:keepNext/>
              <w:keepLines/>
              <w:spacing w:before="0" w:after="0"/>
              <w:ind w:left="757" w:hanging="360"/>
              <w:jc w:val="right"/>
              <w:outlineLvl w:val="1"/>
              <w:rPr>
                <w:rFonts w:cs="Calibri"/>
                <w:u w:val="single"/>
                <w:lang w:val="en-GB"/>
              </w:rPr>
            </w:pPr>
            <w:bookmarkStart w:id="503" w:name="_Toc376198750"/>
            <w:r w:rsidRPr="006645DC">
              <w:rPr>
                <w:rFonts w:cs="Calibri"/>
                <w:u w:val="single"/>
                <w:lang w:val="en-GB"/>
              </w:rPr>
              <w:t>8,9</w:t>
            </w:r>
            <w:bookmarkEnd w:id="503"/>
          </w:p>
        </w:tc>
        <w:tc>
          <w:tcPr>
            <w:tcW w:w="1531" w:type="dxa"/>
            <w:shd w:val="clear" w:color="auto" w:fill="auto"/>
            <w:vAlign w:val="center"/>
          </w:tcPr>
          <w:p w14:paraId="089A7CFB" w14:textId="77777777" w:rsidR="008E2B43" w:rsidRPr="006645DC" w:rsidRDefault="008E2B43" w:rsidP="00393EB7">
            <w:pPr>
              <w:keepNext/>
              <w:keepLines/>
              <w:spacing w:before="0" w:after="0"/>
              <w:ind w:left="757" w:hanging="360"/>
              <w:jc w:val="right"/>
              <w:outlineLvl w:val="1"/>
              <w:rPr>
                <w:rFonts w:cs="Calibri"/>
                <w:u w:val="single"/>
                <w:lang w:val="en-GB"/>
              </w:rPr>
            </w:pPr>
            <w:bookmarkStart w:id="504" w:name="_Toc376198751"/>
            <w:r w:rsidRPr="006645DC">
              <w:rPr>
                <w:rFonts w:cs="Calibri"/>
                <w:u w:val="single"/>
                <w:lang w:val="en-GB"/>
              </w:rPr>
              <w:t>8,8</w:t>
            </w:r>
            <w:bookmarkEnd w:id="504"/>
          </w:p>
        </w:tc>
      </w:tr>
      <w:tr w:rsidR="008E2B43" w:rsidRPr="006645DC" w14:paraId="510DF2AB" w14:textId="77777777" w:rsidTr="00393EB7">
        <w:trPr>
          <w:trHeight w:val="300"/>
          <w:jc w:val="center"/>
        </w:trPr>
        <w:tc>
          <w:tcPr>
            <w:tcW w:w="1922" w:type="dxa"/>
            <w:shd w:val="clear" w:color="auto" w:fill="auto"/>
            <w:vAlign w:val="center"/>
          </w:tcPr>
          <w:p w14:paraId="48A89F9B" w14:textId="77777777" w:rsidR="008E2B43" w:rsidRPr="006645DC" w:rsidRDefault="008E2B43" w:rsidP="00393EB7">
            <w:pPr>
              <w:keepNext/>
              <w:keepLines/>
              <w:spacing w:before="0" w:after="0"/>
              <w:outlineLvl w:val="1"/>
              <w:rPr>
                <w:rFonts w:cs="Calibri"/>
                <w:bCs/>
                <w:lang w:val="en-GB"/>
              </w:rPr>
            </w:pPr>
            <w:bookmarkStart w:id="505" w:name="_Toc376198752"/>
            <w:r w:rsidRPr="006645DC">
              <w:rPr>
                <w:rFonts w:cs="Calibri"/>
                <w:bCs/>
                <w:lang w:val="en-GB"/>
              </w:rPr>
              <w:t>Dobrich</w:t>
            </w:r>
            <w:bookmarkEnd w:id="505"/>
          </w:p>
        </w:tc>
        <w:tc>
          <w:tcPr>
            <w:tcW w:w="1530" w:type="dxa"/>
            <w:shd w:val="clear" w:color="auto" w:fill="auto"/>
          </w:tcPr>
          <w:p w14:paraId="07FFE9CF" w14:textId="77777777" w:rsidR="008E2B43" w:rsidRPr="006645DC" w:rsidRDefault="008E2B43" w:rsidP="00393EB7">
            <w:pPr>
              <w:spacing w:before="0" w:after="0"/>
              <w:rPr>
                <w:rFonts w:cs="Calibri"/>
                <w:lang w:val="en-GB"/>
              </w:rPr>
            </w:pPr>
          </w:p>
        </w:tc>
        <w:tc>
          <w:tcPr>
            <w:tcW w:w="1531" w:type="dxa"/>
            <w:shd w:val="clear" w:color="auto" w:fill="auto"/>
            <w:vAlign w:val="center"/>
          </w:tcPr>
          <w:p w14:paraId="7FB95E45" w14:textId="77777777" w:rsidR="008E2B43" w:rsidRPr="006645DC" w:rsidRDefault="008E2B43" w:rsidP="00393EB7">
            <w:pPr>
              <w:keepNext/>
              <w:keepLines/>
              <w:spacing w:before="0" w:after="0"/>
              <w:ind w:left="757" w:hanging="360"/>
              <w:jc w:val="right"/>
              <w:outlineLvl w:val="1"/>
              <w:rPr>
                <w:rFonts w:cs="Calibri"/>
                <w:u w:val="single"/>
                <w:lang w:val="en-GB"/>
              </w:rPr>
            </w:pPr>
            <w:bookmarkStart w:id="506" w:name="_Toc376198753"/>
            <w:r w:rsidRPr="006645DC">
              <w:rPr>
                <w:rFonts w:cs="Calibri"/>
                <w:u w:val="single"/>
                <w:lang w:val="en-GB"/>
              </w:rPr>
              <w:t>10,2</w:t>
            </w:r>
            <w:bookmarkEnd w:id="506"/>
          </w:p>
        </w:tc>
        <w:tc>
          <w:tcPr>
            <w:tcW w:w="1531" w:type="dxa"/>
            <w:shd w:val="clear" w:color="auto" w:fill="auto"/>
            <w:vAlign w:val="center"/>
          </w:tcPr>
          <w:p w14:paraId="0562867D" w14:textId="77777777" w:rsidR="008E2B43" w:rsidRPr="006645DC" w:rsidRDefault="008E2B43" w:rsidP="00393EB7">
            <w:pPr>
              <w:keepNext/>
              <w:keepLines/>
              <w:spacing w:before="0" w:after="0"/>
              <w:ind w:left="757" w:hanging="360"/>
              <w:jc w:val="right"/>
              <w:outlineLvl w:val="1"/>
              <w:rPr>
                <w:rFonts w:cs="Calibri"/>
                <w:u w:val="single"/>
                <w:lang w:val="en-GB"/>
              </w:rPr>
            </w:pPr>
            <w:bookmarkStart w:id="507" w:name="_Toc376198754"/>
            <w:r w:rsidRPr="006645DC">
              <w:rPr>
                <w:rFonts w:cs="Calibri"/>
                <w:u w:val="single"/>
                <w:lang w:val="en-GB"/>
              </w:rPr>
              <w:t>10,5</w:t>
            </w:r>
            <w:bookmarkEnd w:id="507"/>
          </w:p>
        </w:tc>
        <w:tc>
          <w:tcPr>
            <w:tcW w:w="1531" w:type="dxa"/>
            <w:shd w:val="clear" w:color="auto" w:fill="auto"/>
            <w:vAlign w:val="center"/>
          </w:tcPr>
          <w:p w14:paraId="2FCE21FB" w14:textId="77777777" w:rsidR="008E2B43" w:rsidRPr="006645DC" w:rsidRDefault="008E2B43" w:rsidP="00393EB7">
            <w:pPr>
              <w:keepNext/>
              <w:keepLines/>
              <w:spacing w:before="0" w:after="0"/>
              <w:ind w:left="757" w:hanging="360"/>
              <w:jc w:val="right"/>
              <w:outlineLvl w:val="1"/>
              <w:rPr>
                <w:rFonts w:cs="Calibri"/>
                <w:u w:val="single"/>
                <w:lang w:val="en-GB"/>
              </w:rPr>
            </w:pPr>
            <w:bookmarkStart w:id="508" w:name="_Toc376198755"/>
            <w:r w:rsidRPr="006645DC">
              <w:rPr>
                <w:rFonts w:cs="Calibri"/>
                <w:u w:val="single"/>
                <w:lang w:val="en-GB"/>
              </w:rPr>
              <w:t>9,2</w:t>
            </w:r>
            <w:bookmarkEnd w:id="508"/>
          </w:p>
        </w:tc>
        <w:tc>
          <w:tcPr>
            <w:tcW w:w="1531" w:type="dxa"/>
            <w:shd w:val="clear" w:color="auto" w:fill="auto"/>
            <w:vAlign w:val="center"/>
          </w:tcPr>
          <w:p w14:paraId="11FA7958" w14:textId="77777777" w:rsidR="008E2B43" w:rsidRPr="006645DC" w:rsidRDefault="008E2B43" w:rsidP="00393EB7">
            <w:pPr>
              <w:keepNext/>
              <w:keepLines/>
              <w:spacing w:before="0" w:after="0"/>
              <w:ind w:left="757" w:hanging="360"/>
              <w:jc w:val="right"/>
              <w:outlineLvl w:val="1"/>
              <w:rPr>
                <w:rFonts w:cs="Calibri"/>
                <w:u w:val="single"/>
                <w:lang w:val="en-GB"/>
              </w:rPr>
            </w:pPr>
            <w:bookmarkStart w:id="509" w:name="_Toc376198756"/>
            <w:r w:rsidRPr="006645DC">
              <w:rPr>
                <w:rFonts w:cs="Calibri"/>
                <w:u w:val="single"/>
                <w:lang w:val="en-GB"/>
              </w:rPr>
              <w:t>9,8</w:t>
            </w:r>
            <w:bookmarkEnd w:id="509"/>
          </w:p>
        </w:tc>
      </w:tr>
    </w:tbl>
    <w:p w14:paraId="1F2371D3" w14:textId="77777777" w:rsidR="00A24688" w:rsidRPr="006645DC" w:rsidRDefault="00A24688" w:rsidP="00A24688">
      <w:pPr>
        <w:pStyle w:val="Caption"/>
        <w:rPr>
          <w:rFonts w:eastAsia="MS Gothic"/>
          <w:lang w:val="en-GB"/>
        </w:rPr>
      </w:pPr>
      <w:bookmarkStart w:id="510" w:name="_Toc391150116"/>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19</w:t>
      </w:r>
      <w:r w:rsidR="005979EB" w:rsidRPr="006645DC">
        <w:rPr>
          <w:lang w:val="en-GB"/>
        </w:rPr>
        <w:fldChar w:fldCharType="end"/>
      </w:r>
      <w:r w:rsidRPr="006645DC">
        <w:rPr>
          <w:lang w:val="en-GB"/>
        </w:rPr>
        <w:t xml:space="preserve"> - </w:t>
      </w:r>
      <w:r w:rsidR="008E2B43" w:rsidRPr="006645DC">
        <w:rPr>
          <w:rFonts w:eastAsia="MS Gothic"/>
          <w:lang w:val="en-GB"/>
        </w:rPr>
        <w:t>The Bulgarian cross-border districts birth rate evolution 2008-2011;</w:t>
      </w:r>
      <w:bookmarkEnd w:id="510"/>
    </w:p>
    <w:p w14:paraId="2DD26E1D" w14:textId="77777777" w:rsidR="008E2B43" w:rsidRPr="006645DC" w:rsidRDefault="008E2B43" w:rsidP="008E2B43">
      <w:pPr>
        <w:keepNext/>
        <w:keepLines/>
        <w:jc w:val="right"/>
        <w:outlineLvl w:val="3"/>
        <w:rPr>
          <w:rFonts w:eastAsia="MS Gothic"/>
          <w:bCs/>
          <w:i/>
          <w:iCs/>
          <w:sz w:val="18"/>
          <w:lang w:val="en-GB"/>
        </w:rPr>
      </w:pPr>
      <w:r w:rsidRPr="006645DC">
        <w:rPr>
          <w:rFonts w:eastAsia="MS Gothic"/>
          <w:bCs/>
          <w:i/>
          <w:iCs/>
          <w:sz w:val="18"/>
          <w:lang w:val="en-GB"/>
        </w:rPr>
        <w:t xml:space="preserve">Source: Bulgarian National Statistical Institute </w:t>
      </w:r>
    </w:p>
    <w:p w14:paraId="7CD72CCB" w14:textId="77777777" w:rsidR="008E2B43" w:rsidRPr="006645DC" w:rsidRDefault="008E2B43" w:rsidP="008E2B43">
      <w:pPr>
        <w:rPr>
          <w:lang w:val="en-GB"/>
        </w:rPr>
      </w:pPr>
    </w:p>
    <w:p w14:paraId="65DE54EA" w14:textId="77777777" w:rsidR="008E2B43" w:rsidRPr="006645DC" w:rsidRDefault="008E2B43" w:rsidP="00A24688">
      <w:pPr>
        <w:rPr>
          <w:lang w:val="en-GB"/>
        </w:rPr>
      </w:pPr>
      <w:r w:rsidRPr="006645DC">
        <w:rPr>
          <w:lang w:val="en-GB"/>
        </w:rPr>
        <w:lastRenderedPageBreak/>
        <w:t xml:space="preserve">Similarly, the fertility rate in the cross-border districts of Bulgaria shows a slow tendency of decrease. This is due to the poor economic environment and the peripheral situation of the cross-border region. The entire cross-border regions perform below their respective national fertility rate average. Moreover, the fertility rate evolution can be interpreted as more linked with the economic situation in the Romanian counties and as a more structural one for the Bulgarian districts. </w:t>
      </w:r>
    </w:p>
    <w:p w14:paraId="1D6C87E0" w14:textId="77777777" w:rsidR="008E2B43" w:rsidRPr="006645DC" w:rsidRDefault="008E2B43" w:rsidP="00A24688">
      <w:pPr>
        <w:rPr>
          <w:lang w:val="en-GB"/>
        </w:rPr>
      </w:pPr>
      <w:r w:rsidRPr="006645DC">
        <w:rPr>
          <w:lang w:val="en-GB"/>
        </w:rPr>
        <w:t xml:space="preserve">The low fertility rate in the cross-border region coupled with the population ageing phenomenon is a highly worrying phenomenon. </w:t>
      </w:r>
    </w:p>
    <w:p w14:paraId="67A5614F" w14:textId="77777777" w:rsidR="008E2B43" w:rsidRPr="006645DC" w:rsidRDefault="008E2B43" w:rsidP="00A24688">
      <w:pPr>
        <w:pStyle w:val="Heading2"/>
        <w:rPr>
          <w:lang w:val="en-GB"/>
        </w:rPr>
      </w:pPr>
      <w:bookmarkStart w:id="511" w:name="_Toc376198757"/>
      <w:bookmarkStart w:id="512" w:name="_Toc254543785"/>
      <w:bookmarkStart w:id="513" w:name="_Toc391150178"/>
      <w:r w:rsidRPr="006645DC">
        <w:rPr>
          <w:lang w:val="en-GB"/>
        </w:rPr>
        <w:t>Migration trends</w:t>
      </w:r>
      <w:bookmarkEnd w:id="511"/>
      <w:bookmarkEnd w:id="512"/>
      <w:bookmarkEnd w:id="513"/>
    </w:p>
    <w:p w14:paraId="4E92F1BC" w14:textId="77777777" w:rsidR="008E2B43" w:rsidRPr="006645DC" w:rsidRDefault="008E2B43" w:rsidP="00C951D5">
      <w:pPr>
        <w:pStyle w:val="Heading3"/>
        <w:numPr>
          <w:ilvl w:val="0"/>
          <w:numId w:val="48"/>
        </w:numPr>
        <w:rPr>
          <w:rFonts w:eastAsia="MS Gothic"/>
          <w:lang w:val="en-GB"/>
        </w:rPr>
      </w:pPr>
      <w:bookmarkStart w:id="514" w:name="_Toc254543786"/>
      <w:r w:rsidRPr="006645DC">
        <w:rPr>
          <w:rFonts w:eastAsia="MS Gothic"/>
          <w:lang w:val="en-GB"/>
        </w:rPr>
        <w:t>Internal emigration</w:t>
      </w:r>
      <w:bookmarkEnd w:id="514"/>
      <w:r w:rsidRPr="006645DC">
        <w:rPr>
          <w:rFonts w:eastAsia="MS Gothic"/>
          <w:lang w:val="en-GB"/>
        </w:rPr>
        <w:t xml:space="preserve"> </w:t>
      </w:r>
    </w:p>
    <w:p w14:paraId="7650918F" w14:textId="77777777" w:rsidR="008E2B43" w:rsidRPr="006645DC" w:rsidRDefault="008E2B43" w:rsidP="00A24688">
      <w:pPr>
        <w:rPr>
          <w:lang w:val="en-GB"/>
        </w:rPr>
      </w:pPr>
      <w:r w:rsidRPr="006645DC">
        <w:rPr>
          <w:lang w:val="en-GB"/>
        </w:rPr>
        <w:t xml:space="preserve">Between 2007-2011, there was an increase in the number of those changing domicile/moving in the Romanian border area, causing an increase of internal migration from 18.2‰ to 21‰. In the Bulgarian border area, the migration rate varied around the value of 20.5‰. The values are therefore quite similar in the Cross Border area and are due to the attraction of the capital cities, Sofia and Bucharest. </w:t>
      </w:r>
    </w:p>
    <w:p w14:paraId="0BED1A1B" w14:textId="77777777" w:rsidR="008E2B43" w:rsidRPr="006645DC" w:rsidRDefault="008E2B43" w:rsidP="00A24688">
      <w:pPr>
        <w:rPr>
          <w:lang w:val="en-GB"/>
        </w:rPr>
      </w:pPr>
      <w:r w:rsidRPr="006645DC">
        <w:rPr>
          <w:lang w:val="en-GB"/>
        </w:rPr>
        <w:t xml:space="preserve">The Municipality of Bucharest, by its economic development and weight at a territorial level (its GDP almost equals the GDP of all croos border area Romanian counties put together), attracts the inhabitants of the cross-border area for job opportunities and better access to public services including the cultural ones. With the exception of Mehedinţi, the main flows of internal migrants from the Romanian cross border counties were directed, over the last years, towards the capital city. The main flows of internal migrants for the Bulgarian part of the cross-border region are directed similarly towards the capital Sofia. A second flow, however, is also evident – migration towards the city of Varna. This is due to the fact that Varna District, being among the most developed areas in the country, offers opportunities for employment, especially in the tourism sector, but also in the industry. </w:t>
      </w:r>
    </w:p>
    <w:p w14:paraId="220F3ABA" w14:textId="77777777" w:rsidR="008E2B43" w:rsidRPr="006645DC" w:rsidRDefault="008E2B43" w:rsidP="00A24688">
      <w:pPr>
        <w:rPr>
          <w:lang w:val="en-GB"/>
        </w:rPr>
      </w:pPr>
      <w:r w:rsidRPr="006645DC">
        <w:rPr>
          <w:lang w:val="en-GB"/>
        </w:rPr>
        <w:t xml:space="preserve">In 2010, there was an increase of the negative migration balance for Olt and Mehedinţi counties, while the Constanta and Giurgiu counties recorded a positive migration balance that can be explained by the fact that the north of Giurgiu County can be considered as a suburb of Bucuresti and by the economic importance of Constanta. In the Bulgarian border region, all the districts recorded a negative balance; Veliko Târnovo has the highest negative balance. In 2011, the trend remained almost unchanged. The proximity of the district of Vratsa and Vidin to the capital of Sofia contributes to the negative migration balance of both districts, followed by the district of Pleven. The flows to Varna are most evident for the district of Dobrich, again due to its proximity. We can therefore conclude that we are in front of a structural trend due to the tow economic development of the cross border area and that no alternative urban centre has emerged in the area except Constanta. Urban centres such as Craiova or Ruse are not enough developed to attract the regional population migration.  </w:t>
      </w:r>
    </w:p>
    <w:p w14:paraId="3D4CBEE6" w14:textId="77777777" w:rsidR="008E2B43" w:rsidRPr="006645DC" w:rsidRDefault="00AA4C82" w:rsidP="00A24688">
      <w:pPr>
        <w:jc w:val="center"/>
        <w:rPr>
          <w:lang w:val="en-GB"/>
        </w:rPr>
      </w:pPr>
      <w:r w:rsidRPr="006645DC">
        <w:rPr>
          <w:noProof/>
          <w:lang w:val="bg-BG" w:eastAsia="bg-BG"/>
        </w:rPr>
        <w:lastRenderedPageBreak/>
        <w:drawing>
          <wp:inline distT="0" distB="0" distL="0" distR="0" wp14:anchorId="0269C549" wp14:editId="2EC22C61">
            <wp:extent cx="5943600" cy="3476625"/>
            <wp:effectExtent l="19050" t="0" r="0" b="0"/>
            <wp:docPr id="59" name="Picture 251" descr="Description: C:\Documents and Settings\Office\Local Settings\Temporary Internet Files\Content.Word\harti 29 11 201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Description: C:\Documents and Settings\Office\Local Settings\Temporary Internet Files\Content.Word\harti 29 11 201319.jpg"/>
                    <pic:cNvPicPr>
                      <a:picLocks noChangeAspect="1" noChangeArrowheads="1"/>
                    </pic:cNvPicPr>
                  </pic:nvPicPr>
                  <pic:blipFill>
                    <a:blip r:embed="rId89"/>
                    <a:srcRect/>
                    <a:stretch>
                      <a:fillRect/>
                    </a:stretch>
                  </pic:blipFill>
                  <pic:spPr bwMode="auto">
                    <a:xfrm>
                      <a:off x="0" y="0"/>
                      <a:ext cx="5943600" cy="3476625"/>
                    </a:xfrm>
                    <a:prstGeom prst="rect">
                      <a:avLst/>
                    </a:prstGeom>
                    <a:noFill/>
                    <a:ln w="9525">
                      <a:noFill/>
                      <a:miter lim="800000"/>
                      <a:headEnd/>
                      <a:tailEnd/>
                    </a:ln>
                  </pic:spPr>
                </pic:pic>
              </a:graphicData>
            </a:graphic>
          </wp:inline>
        </w:drawing>
      </w:r>
    </w:p>
    <w:p w14:paraId="4444426A" w14:textId="77777777" w:rsidR="008E2B43" w:rsidRPr="006645DC" w:rsidRDefault="00AE6879" w:rsidP="00A24688">
      <w:pPr>
        <w:pStyle w:val="Caption"/>
        <w:rPr>
          <w:rFonts w:eastAsia="MS Gothic"/>
          <w:lang w:val="en-GB"/>
        </w:rPr>
      </w:pPr>
      <w:bookmarkStart w:id="515" w:name="_Toc391150026"/>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22</w:t>
      </w:r>
      <w:r w:rsidR="005979EB" w:rsidRPr="006645DC">
        <w:rPr>
          <w:lang w:val="en-GB"/>
        </w:rPr>
        <w:fldChar w:fldCharType="end"/>
      </w:r>
      <w:r w:rsidRPr="006645DC">
        <w:rPr>
          <w:lang w:val="en-GB"/>
        </w:rPr>
        <w:t xml:space="preserve"> - </w:t>
      </w:r>
      <w:r w:rsidRPr="006645DC">
        <w:rPr>
          <w:rFonts w:eastAsia="MS Gothic"/>
          <w:lang w:val="en-GB"/>
        </w:rPr>
        <w:t>Net Migration (‰)</w:t>
      </w:r>
      <w:bookmarkEnd w:id="515"/>
    </w:p>
    <w:p w14:paraId="7459EAC9" w14:textId="6C341CE9" w:rsidR="008E2B43" w:rsidRPr="00625139" w:rsidRDefault="00AE6879" w:rsidP="00625139">
      <w:pPr>
        <w:keepNext/>
        <w:keepLines/>
        <w:jc w:val="right"/>
        <w:outlineLvl w:val="3"/>
        <w:rPr>
          <w:rFonts w:eastAsia="MS Gothic"/>
          <w:b/>
          <w:bCs/>
          <w:i/>
          <w:iCs/>
          <w:sz w:val="18"/>
          <w:lang w:val="en-GB"/>
        </w:rPr>
      </w:pPr>
      <w:r w:rsidRPr="006645DC">
        <w:rPr>
          <w:rFonts w:eastAsia="MS Gothic"/>
          <w:bCs/>
          <w:i/>
          <w:iCs/>
          <w:sz w:val="18"/>
          <w:lang w:val="en-GB"/>
        </w:rPr>
        <w:t>Data source: EVOLUTION Project, Détente Consultants</w:t>
      </w:r>
    </w:p>
    <w:p w14:paraId="38911FCD" w14:textId="77777777" w:rsidR="008E2B43" w:rsidRPr="006645DC" w:rsidRDefault="008E2B43" w:rsidP="00EC6938">
      <w:pPr>
        <w:pStyle w:val="Heading3"/>
        <w:rPr>
          <w:lang w:val="en-GB"/>
        </w:rPr>
      </w:pPr>
      <w:bookmarkStart w:id="516" w:name="_Toc254543787"/>
      <w:r w:rsidRPr="006645DC">
        <w:rPr>
          <w:lang w:val="en-GB"/>
        </w:rPr>
        <w:t>External migration</w:t>
      </w:r>
      <w:bookmarkEnd w:id="516"/>
    </w:p>
    <w:p w14:paraId="327DBBD6" w14:textId="18B0AE38" w:rsidR="008E2B43" w:rsidRPr="006645DC" w:rsidRDefault="008E2B43" w:rsidP="00A24688">
      <w:pPr>
        <w:rPr>
          <w:lang w:val="en-GB"/>
        </w:rPr>
      </w:pPr>
      <w:r w:rsidRPr="006645DC">
        <w:rPr>
          <w:lang w:val="en-GB"/>
        </w:rPr>
        <w:t xml:space="preserve">The evolution during the last 20 years showed an increased trend of emigration leading to significant changes in the population structure over the last decade.  This is mainly due to the </w:t>
      </w:r>
      <w:r w:rsidR="00625139" w:rsidRPr="006645DC">
        <w:rPr>
          <w:lang w:val="en-GB"/>
        </w:rPr>
        <w:t>borders opening that allow</w:t>
      </w:r>
      <w:r w:rsidRPr="006645DC">
        <w:rPr>
          <w:lang w:val="en-GB"/>
        </w:rPr>
        <w:t xml:space="preserve"> workforce emigration towards new educational opportunities, more attractive job prospects and a higher standard of living, which represent serious economic and social consequences for the future development of the two countries and of the cross-border region.</w:t>
      </w:r>
    </w:p>
    <w:p w14:paraId="1C9BDBB5" w14:textId="6563C891" w:rsidR="008E2B43" w:rsidRPr="006645DC" w:rsidRDefault="008E2B43" w:rsidP="00A24688">
      <w:pPr>
        <w:rPr>
          <w:lang w:val="en-GB"/>
        </w:rPr>
      </w:pPr>
      <w:r w:rsidRPr="006645DC">
        <w:rPr>
          <w:lang w:val="en-GB"/>
        </w:rPr>
        <w:t>An important aspect that can be noticed is that the emigration of residents from the Romanian cross-border region is not registered by the authorities and therefore the statistics indicate a very low number of people that move their residence to a foreign country in the Romanian programme area, against on the ground evidence</w:t>
      </w:r>
      <w:r w:rsidRPr="006645DC">
        <w:rPr>
          <w:vertAlign w:val="superscript"/>
          <w:lang w:val="en-GB"/>
        </w:rPr>
        <w:footnoteReference w:id="19"/>
      </w:r>
      <w:r w:rsidRPr="006645DC">
        <w:rPr>
          <w:lang w:val="en-GB"/>
        </w:rPr>
        <w:t xml:space="preserve">. This indicates that emigration to foreign countries is still considered by the emigrants, as a temporary phenomenon. This means also that local emigrants remain connected to the area through their properties and/or relatives as they still think about coming back in their </w:t>
      </w:r>
      <w:r w:rsidR="00625139" w:rsidRPr="006645DC">
        <w:rPr>
          <w:lang w:val="en-GB"/>
        </w:rPr>
        <w:t>country</w:t>
      </w:r>
      <w:r w:rsidRPr="006645DC">
        <w:rPr>
          <w:lang w:val="en-GB"/>
        </w:rPr>
        <w:t xml:space="preserve"> and </w:t>
      </w:r>
      <w:r w:rsidRPr="006645DC">
        <w:rPr>
          <w:lang w:val="en-GB"/>
        </w:rPr>
        <w:lastRenderedPageBreak/>
        <w:t xml:space="preserve">are a major source of remittances and thus of foreign financial flow to the area. This pattern is also important because of its role in complementing the public services in assisting and providing resources for elderly and dependent persons that live in the area. Any public intervention has to take into account the availability of this resource and better integrate it in order to transform it in productive capital and not mere subsistence aid. </w:t>
      </w:r>
    </w:p>
    <w:p w14:paraId="224875DD" w14:textId="77777777" w:rsidR="008E2B43" w:rsidRPr="006645DC" w:rsidRDefault="008E2B43" w:rsidP="00A24688">
      <w:pPr>
        <w:rPr>
          <w:lang w:val="en-GB"/>
        </w:rPr>
      </w:pPr>
      <w:r w:rsidRPr="006645DC">
        <w:rPr>
          <w:lang w:val="en-GB"/>
        </w:rPr>
        <w:t xml:space="preserve">The immigration to the area is not significant, at least in the official statistics, but this seems correct given the economic low attractiveness of the territory with the relative exception of Constanta that is the main Romanian port town at the Black Sea. </w:t>
      </w:r>
    </w:p>
    <w:p w14:paraId="50DE6139" w14:textId="77777777" w:rsidR="008E2B43" w:rsidRPr="006645DC" w:rsidRDefault="008E2B43" w:rsidP="008E2B43">
      <w:pPr>
        <w:suppressAutoHyphens/>
        <w:rPr>
          <w:rFonts w:eastAsia="Times New Roman"/>
          <w:snapToGrid w:val="0"/>
          <w:lang w:val="en-GB" w:eastAsia="ro-RO"/>
        </w:rPr>
      </w:pP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1225"/>
        <w:gridCol w:w="1457"/>
        <w:gridCol w:w="1276"/>
        <w:gridCol w:w="1189"/>
        <w:gridCol w:w="1333"/>
        <w:gridCol w:w="1186"/>
      </w:tblGrid>
      <w:tr w:rsidR="008E2B43" w:rsidRPr="006645DC" w14:paraId="726EA8B1" w14:textId="77777777" w:rsidTr="00F35E83">
        <w:trPr>
          <w:trHeight w:val="299"/>
          <w:jc w:val="center"/>
        </w:trPr>
        <w:tc>
          <w:tcPr>
            <w:tcW w:w="1448" w:type="dxa"/>
            <w:vMerge w:val="restart"/>
            <w:shd w:val="clear" w:color="auto" w:fill="auto"/>
            <w:vAlign w:val="center"/>
            <w:hideMark/>
          </w:tcPr>
          <w:p w14:paraId="7E449B8C"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Counties</w:t>
            </w:r>
          </w:p>
        </w:tc>
        <w:tc>
          <w:tcPr>
            <w:tcW w:w="7666" w:type="dxa"/>
            <w:gridSpan w:val="6"/>
            <w:shd w:val="clear" w:color="auto" w:fill="auto"/>
            <w:vAlign w:val="center"/>
            <w:hideMark/>
          </w:tcPr>
          <w:p w14:paraId="291053E1"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Years</w:t>
            </w:r>
          </w:p>
        </w:tc>
      </w:tr>
      <w:tr w:rsidR="008E2B43" w:rsidRPr="006645DC" w14:paraId="3218ECAC" w14:textId="77777777" w:rsidTr="00F35E83">
        <w:trPr>
          <w:trHeight w:val="299"/>
          <w:jc w:val="center"/>
        </w:trPr>
        <w:tc>
          <w:tcPr>
            <w:tcW w:w="1448" w:type="dxa"/>
            <w:vMerge/>
            <w:vAlign w:val="center"/>
            <w:hideMark/>
          </w:tcPr>
          <w:p w14:paraId="1A4A72DB" w14:textId="77777777" w:rsidR="008E2B43" w:rsidRPr="006645DC" w:rsidRDefault="008E2B43" w:rsidP="00BC027E">
            <w:pPr>
              <w:spacing w:before="0" w:after="0"/>
              <w:jc w:val="center"/>
              <w:rPr>
                <w:rFonts w:eastAsia="Times New Roman" w:cs="Calibri"/>
                <w:b/>
                <w:bCs/>
                <w:color w:val="000000"/>
                <w:lang w:val="en-GB"/>
              </w:rPr>
            </w:pPr>
          </w:p>
        </w:tc>
        <w:tc>
          <w:tcPr>
            <w:tcW w:w="1225" w:type="dxa"/>
            <w:shd w:val="clear" w:color="auto" w:fill="auto"/>
            <w:vAlign w:val="center"/>
            <w:hideMark/>
          </w:tcPr>
          <w:p w14:paraId="35250C68" w14:textId="77777777" w:rsidR="008E2B43" w:rsidRPr="006645DC" w:rsidRDefault="008E2B43" w:rsidP="00BC027E">
            <w:pPr>
              <w:keepNext/>
              <w:keepLines/>
              <w:spacing w:before="0" w:after="0"/>
              <w:jc w:val="center"/>
              <w:outlineLvl w:val="1"/>
              <w:rPr>
                <w:rFonts w:eastAsia="Times New Roman" w:cs="Calibri"/>
                <w:b/>
                <w:bCs/>
                <w:color w:val="000000"/>
                <w:lang w:val="en-GB"/>
              </w:rPr>
            </w:pPr>
            <w:bookmarkStart w:id="517" w:name="_Toc376198758"/>
            <w:r w:rsidRPr="006645DC">
              <w:rPr>
                <w:rFonts w:eastAsia="Times New Roman" w:cs="Calibri"/>
                <w:b/>
                <w:bCs/>
                <w:color w:val="000000"/>
                <w:lang w:val="en-GB"/>
              </w:rPr>
              <w:t>2006</w:t>
            </w:r>
            <w:bookmarkEnd w:id="517"/>
          </w:p>
        </w:tc>
        <w:tc>
          <w:tcPr>
            <w:tcW w:w="1457" w:type="dxa"/>
            <w:shd w:val="clear" w:color="auto" w:fill="auto"/>
            <w:vAlign w:val="center"/>
            <w:hideMark/>
          </w:tcPr>
          <w:p w14:paraId="6959CB3E" w14:textId="77777777" w:rsidR="008E2B43" w:rsidRPr="006645DC" w:rsidRDefault="008E2B43" w:rsidP="00BC027E">
            <w:pPr>
              <w:keepNext/>
              <w:keepLines/>
              <w:spacing w:before="0" w:after="0"/>
              <w:jc w:val="center"/>
              <w:outlineLvl w:val="1"/>
              <w:rPr>
                <w:rFonts w:eastAsia="Times New Roman" w:cs="Calibri"/>
                <w:b/>
                <w:bCs/>
                <w:color w:val="000000"/>
                <w:lang w:val="en-GB"/>
              </w:rPr>
            </w:pPr>
            <w:bookmarkStart w:id="518" w:name="_Toc376198759"/>
            <w:r w:rsidRPr="006645DC">
              <w:rPr>
                <w:rFonts w:eastAsia="Times New Roman" w:cs="Calibri"/>
                <w:b/>
                <w:bCs/>
                <w:color w:val="000000"/>
                <w:lang w:val="en-GB"/>
              </w:rPr>
              <w:t>2007</w:t>
            </w:r>
            <w:bookmarkEnd w:id="518"/>
          </w:p>
        </w:tc>
        <w:tc>
          <w:tcPr>
            <w:tcW w:w="1276" w:type="dxa"/>
            <w:shd w:val="clear" w:color="auto" w:fill="auto"/>
            <w:vAlign w:val="center"/>
            <w:hideMark/>
          </w:tcPr>
          <w:p w14:paraId="34D70515"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2008</w:t>
            </w:r>
          </w:p>
        </w:tc>
        <w:tc>
          <w:tcPr>
            <w:tcW w:w="1189" w:type="dxa"/>
            <w:shd w:val="clear" w:color="auto" w:fill="auto"/>
            <w:vAlign w:val="center"/>
            <w:hideMark/>
          </w:tcPr>
          <w:p w14:paraId="37EABE43"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2009</w:t>
            </w:r>
          </w:p>
        </w:tc>
        <w:tc>
          <w:tcPr>
            <w:tcW w:w="1333" w:type="dxa"/>
            <w:shd w:val="clear" w:color="auto" w:fill="auto"/>
            <w:vAlign w:val="center"/>
            <w:hideMark/>
          </w:tcPr>
          <w:p w14:paraId="4391DCB1"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2010</w:t>
            </w:r>
          </w:p>
        </w:tc>
        <w:tc>
          <w:tcPr>
            <w:tcW w:w="1186" w:type="dxa"/>
            <w:shd w:val="clear" w:color="auto" w:fill="auto"/>
            <w:vAlign w:val="center"/>
            <w:hideMark/>
          </w:tcPr>
          <w:p w14:paraId="4DCC4FA9"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2011</w:t>
            </w:r>
          </w:p>
        </w:tc>
      </w:tr>
      <w:tr w:rsidR="008E2B43" w:rsidRPr="006645DC" w14:paraId="04C87E70" w14:textId="77777777" w:rsidTr="00F35E83">
        <w:trPr>
          <w:trHeight w:val="299"/>
          <w:jc w:val="center"/>
        </w:trPr>
        <w:tc>
          <w:tcPr>
            <w:tcW w:w="1448" w:type="dxa"/>
            <w:vMerge/>
            <w:vAlign w:val="center"/>
            <w:hideMark/>
          </w:tcPr>
          <w:p w14:paraId="013C5A01" w14:textId="77777777" w:rsidR="008E2B43" w:rsidRPr="006645DC" w:rsidRDefault="008E2B43" w:rsidP="00BC027E">
            <w:pPr>
              <w:spacing w:before="0" w:after="0"/>
              <w:jc w:val="center"/>
              <w:rPr>
                <w:rFonts w:eastAsia="Times New Roman" w:cs="Calibri"/>
                <w:b/>
                <w:bCs/>
                <w:color w:val="000000"/>
                <w:lang w:val="en-GB"/>
              </w:rPr>
            </w:pPr>
          </w:p>
        </w:tc>
        <w:tc>
          <w:tcPr>
            <w:tcW w:w="7666" w:type="dxa"/>
            <w:gridSpan w:val="6"/>
            <w:shd w:val="clear" w:color="auto" w:fill="auto"/>
            <w:vAlign w:val="center"/>
            <w:hideMark/>
          </w:tcPr>
          <w:p w14:paraId="035591D6" w14:textId="77777777" w:rsidR="008E2B43" w:rsidRPr="006645DC" w:rsidRDefault="008E2B43" w:rsidP="00BC027E">
            <w:pPr>
              <w:spacing w:before="0" w:after="0"/>
              <w:jc w:val="center"/>
              <w:rPr>
                <w:rFonts w:eastAsia="Times New Roman" w:cs="Calibri"/>
                <w:b/>
                <w:bCs/>
                <w:color w:val="000000"/>
                <w:lang w:val="en-GB"/>
              </w:rPr>
            </w:pPr>
          </w:p>
        </w:tc>
      </w:tr>
      <w:tr w:rsidR="008E2B43" w:rsidRPr="006645DC" w14:paraId="6E2013F6" w14:textId="77777777" w:rsidTr="00F35E83">
        <w:trPr>
          <w:trHeight w:val="299"/>
          <w:jc w:val="center"/>
        </w:trPr>
        <w:tc>
          <w:tcPr>
            <w:tcW w:w="1448" w:type="dxa"/>
            <w:vMerge/>
            <w:vAlign w:val="center"/>
            <w:hideMark/>
          </w:tcPr>
          <w:p w14:paraId="1AA7366F" w14:textId="77777777" w:rsidR="008E2B43" w:rsidRPr="006645DC" w:rsidRDefault="008E2B43" w:rsidP="00BC027E">
            <w:pPr>
              <w:spacing w:before="0" w:after="0"/>
              <w:jc w:val="center"/>
              <w:rPr>
                <w:rFonts w:eastAsia="Times New Roman" w:cs="Calibri"/>
                <w:b/>
                <w:bCs/>
                <w:color w:val="000000"/>
                <w:lang w:val="en-GB"/>
              </w:rPr>
            </w:pPr>
          </w:p>
        </w:tc>
        <w:tc>
          <w:tcPr>
            <w:tcW w:w="1225" w:type="dxa"/>
            <w:shd w:val="clear" w:color="auto" w:fill="auto"/>
            <w:vAlign w:val="center"/>
            <w:hideMark/>
          </w:tcPr>
          <w:p w14:paraId="1BE00D2E" w14:textId="77777777" w:rsidR="008E2B43" w:rsidRPr="006645DC" w:rsidRDefault="008E2B43" w:rsidP="00BC027E">
            <w:pPr>
              <w:keepNext/>
              <w:keepLines/>
              <w:spacing w:before="0" w:after="0"/>
              <w:jc w:val="center"/>
              <w:outlineLvl w:val="1"/>
              <w:rPr>
                <w:rFonts w:eastAsia="Times New Roman" w:cs="Calibri"/>
                <w:b/>
                <w:bCs/>
                <w:color w:val="000000"/>
                <w:lang w:val="en-GB"/>
              </w:rPr>
            </w:pPr>
            <w:bookmarkStart w:id="519" w:name="_Toc376198760"/>
            <w:r w:rsidRPr="006645DC">
              <w:rPr>
                <w:rFonts w:eastAsia="Times New Roman" w:cs="Calibri"/>
                <w:b/>
                <w:bCs/>
                <w:color w:val="000000"/>
                <w:lang w:val="en-GB"/>
              </w:rPr>
              <w:t>No. of persons</w:t>
            </w:r>
            <w:bookmarkEnd w:id="519"/>
          </w:p>
        </w:tc>
        <w:tc>
          <w:tcPr>
            <w:tcW w:w="1457" w:type="dxa"/>
            <w:shd w:val="clear" w:color="auto" w:fill="auto"/>
            <w:vAlign w:val="center"/>
            <w:hideMark/>
          </w:tcPr>
          <w:p w14:paraId="7D665F58" w14:textId="77777777" w:rsidR="008E2B43" w:rsidRPr="006645DC" w:rsidRDefault="008E2B43" w:rsidP="00BC027E">
            <w:pPr>
              <w:keepNext/>
              <w:keepLines/>
              <w:spacing w:before="0" w:after="0"/>
              <w:jc w:val="center"/>
              <w:outlineLvl w:val="1"/>
              <w:rPr>
                <w:rFonts w:eastAsia="Times New Roman" w:cs="Calibri"/>
                <w:b/>
                <w:bCs/>
                <w:color w:val="000000"/>
                <w:lang w:val="en-GB"/>
              </w:rPr>
            </w:pPr>
            <w:bookmarkStart w:id="520" w:name="_Toc376198761"/>
            <w:r w:rsidRPr="006645DC">
              <w:rPr>
                <w:rFonts w:eastAsia="Times New Roman" w:cs="Calibri"/>
                <w:b/>
                <w:bCs/>
                <w:color w:val="000000"/>
                <w:lang w:val="en-GB"/>
              </w:rPr>
              <w:t>No. of persons</w:t>
            </w:r>
            <w:bookmarkEnd w:id="520"/>
          </w:p>
        </w:tc>
        <w:tc>
          <w:tcPr>
            <w:tcW w:w="1276" w:type="dxa"/>
            <w:shd w:val="clear" w:color="auto" w:fill="auto"/>
            <w:vAlign w:val="center"/>
            <w:hideMark/>
          </w:tcPr>
          <w:p w14:paraId="5B64B7AA" w14:textId="77777777" w:rsidR="008E2B43" w:rsidRPr="006645DC" w:rsidRDefault="008E2B43" w:rsidP="00BC027E">
            <w:pPr>
              <w:keepNext/>
              <w:keepLines/>
              <w:spacing w:before="0" w:after="0"/>
              <w:jc w:val="center"/>
              <w:outlineLvl w:val="1"/>
              <w:rPr>
                <w:rFonts w:eastAsia="Times New Roman" w:cs="Calibri"/>
                <w:b/>
                <w:bCs/>
                <w:color w:val="000000"/>
                <w:lang w:val="en-GB"/>
              </w:rPr>
            </w:pPr>
            <w:bookmarkStart w:id="521" w:name="_Toc376198762"/>
            <w:r w:rsidRPr="006645DC">
              <w:rPr>
                <w:rFonts w:eastAsia="Times New Roman" w:cs="Calibri"/>
                <w:b/>
                <w:bCs/>
                <w:color w:val="000000"/>
                <w:lang w:val="en-GB"/>
              </w:rPr>
              <w:t>No. of persons</w:t>
            </w:r>
            <w:bookmarkEnd w:id="521"/>
          </w:p>
        </w:tc>
        <w:tc>
          <w:tcPr>
            <w:tcW w:w="1189" w:type="dxa"/>
            <w:shd w:val="clear" w:color="auto" w:fill="auto"/>
            <w:vAlign w:val="center"/>
            <w:hideMark/>
          </w:tcPr>
          <w:p w14:paraId="41E6E8F9" w14:textId="77777777" w:rsidR="008E2B43" w:rsidRPr="006645DC" w:rsidRDefault="008E2B43" w:rsidP="00BC027E">
            <w:pPr>
              <w:keepNext/>
              <w:keepLines/>
              <w:spacing w:before="0" w:after="0"/>
              <w:jc w:val="center"/>
              <w:outlineLvl w:val="1"/>
              <w:rPr>
                <w:rFonts w:eastAsia="Times New Roman" w:cs="Calibri"/>
                <w:b/>
                <w:bCs/>
                <w:color w:val="000000"/>
                <w:lang w:val="en-GB"/>
              </w:rPr>
            </w:pPr>
            <w:bookmarkStart w:id="522" w:name="_Toc376198763"/>
            <w:r w:rsidRPr="006645DC">
              <w:rPr>
                <w:rFonts w:eastAsia="Times New Roman" w:cs="Calibri"/>
                <w:b/>
                <w:bCs/>
                <w:color w:val="000000"/>
                <w:lang w:val="en-GB"/>
              </w:rPr>
              <w:t>No. of persons</w:t>
            </w:r>
            <w:bookmarkEnd w:id="522"/>
          </w:p>
        </w:tc>
        <w:tc>
          <w:tcPr>
            <w:tcW w:w="1333" w:type="dxa"/>
            <w:shd w:val="clear" w:color="auto" w:fill="auto"/>
            <w:vAlign w:val="center"/>
            <w:hideMark/>
          </w:tcPr>
          <w:p w14:paraId="528467BB" w14:textId="77777777" w:rsidR="008E2B43" w:rsidRPr="006645DC" w:rsidRDefault="008E2B43" w:rsidP="00BC027E">
            <w:pPr>
              <w:keepNext/>
              <w:keepLines/>
              <w:spacing w:before="0" w:after="0"/>
              <w:jc w:val="center"/>
              <w:outlineLvl w:val="1"/>
              <w:rPr>
                <w:rFonts w:eastAsia="Times New Roman" w:cs="Calibri"/>
                <w:b/>
                <w:bCs/>
                <w:color w:val="000000"/>
                <w:lang w:val="en-GB"/>
              </w:rPr>
            </w:pPr>
            <w:bookmarkStart w:id="523" w:name="_Toc376198764"/>
            <w:r w:rsidRPr="006645DC">
              <w:rPr>
                <w:rFonts w:eastAsia="Times New Roman" w:cs="Calibri"/>
                <w:b/>
                <w:bCs/>
                <w:color w:val="000000"/>
                <w:lang w:val="en-GB"/>
              </w:rPr>
              <w:t>No. of persons</w:t>
            </w:r>
            <w:bookmarkEnd w:id="523"/>
          </w:p>
        </w:tc>
        <w:tc>
          <w:tcPr>
            <w:tcW w:w="1186" w:type="dxa"/>
            <w:shd w:val="clear" w:color="auto" w:fill="auto"/>
            <w:vAlign w:val="center"/>
            <w:hideMark/>
          </w:tcPr>
          <w:p w14:paraId="3C8C5184" w14:textId="77777777" w:rsidR="008E2B43" w:rsidRPr="006645DC" w:rsidRDefault="008E2B43" w:rsidP="00BC027E">
            <w:pPr>
              <w:keepNext/>
              <w:keepLines/>
              <w:spacing w:before="0" w:after="0"/>
              <w:jc w:val="center"/>
              <w:outlineLvl w:val="1"/>
              <w:rPr>
                <w:rFonts w:eastAsia="Times New Roman" w:cs="Calibri"/>
                <w:b/>
                <w:bCs/>
                <w:color w:val="000000"/>
                <w:lang w:val="en-GB"/>
              </w:rPr>
            </w:pPr>
            <w:bookmarkStart w:id="524" w:name="_Toc376198765"/>
            <w:r w:rsidRPr="006645DC">
              <w:rPr>
                <w:rFonts w:eastAsia="Times New Roman" w:cs="Calibri"/>
                <w:b/>
                <w:bCs/>
                <w:color w:val="000000"/>
                <w:lang w:val="en-GB"/>
              </w:rPr>
              <w:t>No. of persons</w:t>
            </w:r>
            <w:bookmarkEnd w:id="524"/>
          </w:p>
        </w:tc>
      </w:tr>
      <w:tr w:rsidR="008E2B43" w:rsidRPr="006645DC" w14:paraId="0263EA2C" w14:textId="77777777" w:rsidTr="00F35E83">
        <w:trPr>
          <w:trHeight w:val="299"/>
          <w:jc w:val="center"/>
        </w:trPr>
        <w:tc>
          <w:tcPr>
            <w:tcW w:w="1448" w:type="dxa"/>
            <w:shd w:val="clear" w:color="auto" w:fill="auto"/>
            <w:vAlign w:val="center"/>
            <w:hideMark/>
          </w:tcPr>
          <w:p w14:paraId="5FAAAA7E" w14:textId="77777777" w:rsidR="008E2B43" w:rsidRPr="006645DC" w:rsidRDefault="008E2B43" w:rsidP="00BC027E">
            <w:pPr>
              <w:keepNext/>
              <w:keepLines/>
              <w:spacing w:before="0" w:after="0"/>
              <w:outlineLvl w:val="1"/>
              <w:rPr>
                <w:rFonts w:eastAsia="Times New Roman" w:cs="Calibri"/>
                <w:b/>
                <w:bCs/>
                <w:color w:val="000000"/>
                <w:lang w:val="en-GB"/>
              </w:rPr>
            </w:pPr>
            <w:bookmarkStart w:id="525" w:name="_Toc376198766"/>
            <w:r w:rsidRPr="006645DC">
              <w:rPr>
                <w:rFonts w:eastAsia="Times New Roman" w:cs="Calibri"/>
                <w:b/>
                <w:bCs/>
                <w:color w:val="000000"/>
                <w:lang w:val="en-GB"/>
              </w:rPr>
              <w:t>Constanta</w:t>
            </w:r>
            <w:bookmarkEnd w:id="525"/>
          </w:p>
        </w:tc>
        <w:tc>
          <w:tcPr>
            <w:tcW w:w="1225" w:type="dxa"/>
            <w:shd w:val="clear" w:color="auto" w:fill="auto"/>
            <w:vAlign w:val="bottom"/>
            <w:hideMark/>
          </w:tcPr>
          <w:p w14:paraId="315B93CB"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26" w:name="_Toc376198767"/>
            <w:r w:rsidRPr="006645DC">
              <w:rPr>
                <w:rFonts w:eastAsia="Times New Roman" w:cs="Calibri"/>
                <w:color w:val="000000"/>
                <w:u w:val="single"/>
                <w:lang w:val="en-GB"/>
              </w:rPr>
              <w:t>185</w:t>
            </w:r>
            <w:bookmarkEnd w:id="526"/>
          </w:p>
        </w:tc>
        <w:tc>
          <w:tcPr>
            <w:tcW w:w="1457" w:type="dxa"/>
            <w:shd w:val="clear" w:color="auto" w:fill="auto"/>
            <w:vAlign w:val="bottom"/>
            <w:hideMark/>
          </w:tcPr>
          <w:p w14:paraId="21419B6E"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27" w:name="_Toc376198768"/>
            <w:r w:rsidRPr="006645DC">
              <w:rPr>
                <w:rFonts w:eastAsia="Times New Roman" w:cs="Calibri"/>
                <w:color w:val="000000"/>
                <w:u w:val="single"/>
                <w:lang w:val="en-GB"/>
              </w:rPr>
              <w:t>276</w:t>
            </w:r>
            <w:bookmarkEnd w:id="527"/>
          </w:p>
        </w:tc>
        <w:tc>
          <w:tcPr>
            <w:tcW w:w="1276" w:type="dxa"/>
            <w:shd w:val="clear" w:color="auto" w:fill="auto"/>
            <w:vAlign w:val="bottom"/>
            <w:hideMark/>
          </w:tcPr>
          <w:p w14:paraId="6CF485C7"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28" w:name="_Toc376198769"/>
            <w:r w:rsidRPr="006645DC">
              <w:rPr>
                <w:rFonts w:eastAsia="Times New Roman" w:cs="Calibri"/>
                <w:color w:val="000000"/>
                <w:u w:val="single"/>
                <w:lang w:val="en-GB"/>
              </w:rPr>
              <w:t>342</w:t>
            </w:r>
            <w:bookmarkEnd w:id="528"/>
          </w:p>
        </w:tc>
        <w:tc>
          <w:tcPr>
            <w:tcW w:w="1189" w:type="dxa"/>
            <w:shd w:val="clear" w:color="auto" w:fill="auto"/>
            <w:vAlign w:val="bottom"/>
            <w:hideMark/>
          </w:tcPr>
          <w:p w14:paraId="7BBD13AF"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29" w:name="_Toc376198770"/>
            <w:r w:rsidRPr="006645DC">
              <w:rPr>
                <w:rFonts w:eastAsia="Times New Roman" w:cs="Calibri"/>
                <w:color w:val="000000"/>
                <w:u w:val="single"/>
                <w:lang w:val="en-GB"/>
              </w:rPr>
              <w:t>282</w:t>
            </w:r>
            <w:bookmarkEnd w:id="529"/>
          </w:p>
        </w:tc>
        <w:tc>
          <w:tcPr>
            <w:tcW w:w="1333" w:type="dxa"/>
            <w:shd w:val="clear" w:color="auto" w:fill="auto"/>
            <w:vAlign w:val="bottom"/>
            <w:hideMark/>
          </w:tcPr>
          <w:p w14:paraId="1FA90C19"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30" w:name="_Toc376198771"/>
            <w:r w:rsidRPr="006645DC">
              <w:rPr>
                <w:rFonts w:eastAsia="Times New Roman" w:cs="Calibri"/>
                <w:color w:val="000000"/>
                <w:u w:val="single"/>
                <w:lang w:val="en-GB"/>
              </w:rPr>
              <w:t>209</w:t>
            </w:r>
            <w:bookmarkEnd w:id="530"/>
          </w:p>
        </w:tc>
        <w:tc>
          <w:tcPr>
            <w:tcW w:w="1186" w:type="dxa"/>
            <w:shd w:val="clear" w:color="auto" w:fill="auto"/>
            <w:vAlign w:val="bottom"/>
            <w:hideMark/>
          </w:tcPr>
          <w:p w14:paraId="3341E7BC"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31" w:name="_Toc376198772"/>
            <w:r w:rsidRPr="006645DC">
              <w:rPr>
                <w:rFonts w:eastAsia="Times New Roman" w:cs="Calibri"/>
                <w:color w:val="000000"/>
                <w:u w:val="single"/>
                <w:lang w:val="en-GB"/>
              </w:rPr>
              <w:t>260</w:t>
            </w:r>
            <w:bookmarkEnd w:id="531"/>
          </w:p>
        </w:tc>
      </w:tr>
      <w:tr w:rsidR="008E2B43" w:rsidRPr="006645DC" w14:paraId="4D68B484" w14:textId="77777777" w:rsidTr="00F35E83">
        <w:trPr>
          <w:trHeight w:val="299"/>
          <w:jc w:val="center"/>
        </w:trPr>
        <w:tc>
          <w:tcPr>
            <w:tcW w:w="1448" w:type="dxa"/>
            <w:shd w:val="clear" w:color="auto" w:fill="auto"/>
            <w:vAlign w:val="center"/>
            <w:hideMark/>
          </w:tcPr>
          <w:p w14:paraId="4E1B496A" w14:textId="77777777" w:rsidR="008E2B43" w:rsidRPr="006645DC" w:rsidRDefault="008E2B43" w:rsidP="00BC027E">
            <w:pPr>
              <w:keepNext/>
              <w:keepLines/>
              <w:spacing w:before="0" w:after="0"/>
              <w:outlineLvl w:val="1"/>
              <w:rPr>
                <w:rFonts w:eastAsia="Times New Roman" w:cs="Calibri"/>
                <w:b/>
                <w:bCs/>
                <w:color w:val="000000"/>
                <w:lang w:val="en-GB"/>
              </w:rPr>
            </w:pPr>
            <w:bookmarkStart w:id="532" w:name="_Toc376198773"/>
            <w:r w:rsidRPr="006645DC">
              <w:rPr>
                <w:rFonts w:eastAsia="Times New Roman" w:cs="Calibri"/>
                <w:b/>
                <w:bCs/>
                <w:color w:val="000000"/>
                <w:lang w:val="en-GB"/>
              </w:rPr>
              <w:t>Calarasi</w:t>
            </w:r>
            <w:bookmarkEnd w:id="532"/>
          </w:p>
        </w:tc>
        <w:tc>
          <w:tcPr>
            <w:tcW w:w="1225" w:type="dxa"/>
            <w:shd w:val="clear" w:color="auto" w:fill="auto"/>
            <w:vAlign w:val="bottom"/>
            <w:hideMark/>
          </w:tcPr>
          <w:p w14:paraId="07DC4087"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33" w:name="_Toc376198774"/>
            <w:r w:rsidRPr="006645DC">
              <w:rPr>
                <w:rFonts w:eastAsia="Times New Roman" w:cs="Calibri"/>
                <w:color w:val="000000"/>
                <w:u w:val="single"/>
                <w:lang w:val="en-GB"/>
              </w:rPr>
              <w:t>18</w:t>
            </w:r>
            <w:bookmarkEnd w:id="533"/>
          </w:p>
        </w:tc>
        <w:tc>
          <w:tcPr>
            <w:tcW w:w="1457" w:type="dxa"/>
            <w:shd w:val="clear" w:color="auto" w:fill="auto"/>
            <w:vAlign w:val="bottom"/>
            <w:hideMark/>
          </w:tcPr>
          <w:p w14:paraId="27A43D6E"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34" w:name="_Toc376198775"/>
            <w:r w:rsidRPr="006645DC">
              <w:rPr>
                <w:rFonts w:eastAsia="Times New Roman" w:cs="Calibri"/>
                <w:color w:val="000000"/>
                <w:u w:val="single"/>
                <w:lang w:val="en-GB"/>
              </w:rPr>
              <w:t>31</w:t>
            </w:r>
            <w:bookmarkEnd w:id="534"/>
          </w:p>
        </w:tc>
        <w:tc>
          <w:tcPr>
            <w:tcW w:w="1276" w:type="dxa"/>
            <w:shd w:val="clear" w:color="auto" w:fill="auto"/>
            <w:vAlign w:val="bottom"/>
            <w:hideMark/>
          </w:tcPr>
          <w:p w14:paraId="62D57C40"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35" w:name="_Toc376198776"/>
            <w:r w:rsidRPr="006645DC">
              <w:rPr>
                <w:rFonts w:eastAsia="Times New Roman" w:cs="Calibri"/>
                <w:color w:val="000000"/>
                <w:u w:val="single"/>
                <w:lang w:val="en-GB"/>
              </w:rPr>
              <w:t>39</w:t>
            </w:r>
            <w:bookmarkEnd w:id="535"/>
          </w:p>
        </w:tc>
        <w:tc>
          <w:tcPr>
            <w:tcW w:w="1189" w:type="dxa"/>
            <w:shd w:val="clear" w:color="auto" w:fill="auto"/>
            <w:vAlign w:val="bottom"/>
            <w:hideMark/>
          </w:tcPr>
          <w:p w14:paraId="330C948B"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36" w:name="_Toc376198777"/>
            <w:r w:rsidRPr="006645DC">
              <w:rPr>
                <w:rFonts w:eastAsia="Times New Roman" w:cs="Calibri"/>
                <w:color w:val="000000"/>
                <w:u w:val="single"/>
                <w:lang w:val="en-GB"/>
              </w:rPr>
              <w:t>14</w:t>
            </w:r>
            <w:bookmarkEnd w:id="536"/>
          </w:p>
        </w:tc>
        <w:tc>
          <w:tcPr>
            <w:tcW w:w="1333" w:type="dxa"/>
            <w:shd w:val="clear" w:color="auto" w:fill="auto"/>
            <w:vAlign w:val="bottom"/>
            <w:hideMark/>
          </w:tcPr>
          <w:p w14:paraId="04AB648D"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37" w:name="_Toc376198778"/>
            <w:r w:rsidRPr="006645DC">
              <w:rPr>
                <w:rFonts w:eastAsia="Times New Roman" w:cs="Calibri"/>
                <w:color w:val="000000"/>
                <w:u w:val="single"/>
                <w:lang w:val="en-GB"/>
              </w:rPr>
              <w:t>14</w:t>
            </w:r>
            <w:bookmarkEnd w:id="537"/>
          </w:p>
        </w:tc>
        <w:tc>
          <w:tcPr>
            <w:tcW w:w="1186" w:type="dxa"/>
            <w:shd w:val="clear" w:color="auto" w:fill="auto"/>
            <w:vAlign w:val="bottom"/>
            <w:hideMark/>
          </w:tcPr>
          <w:p w14:paraId="3E3D36B6"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38" w:name="_Toc376198779"/>
            <w:r w:rsidRPr="006645DC">
              <w:rPr>
                <w:rFonts w:eastAsia="Times New Roman" w:cs="Calibri"/>
                <w:color w:val="000000"/>
                <w:u w:val="single"/>
                <w:lang w:val="en-GB"/>
              </w:rPr>
              <w:t>14</w:t>
            </w:r>
            <w:bookmarkEnd w:id="538"/>
          </w:p>
        </w:tc>
      </w:tr>
      <w:tr w:rsidR="008E2B43" w:rsidRPr="006645DC" w14:paraId="34A4D8FB" w14:textId="77777777" w:rsidTr="00F35E83">
        <w:trPr>
          <w:trHeight w:val="299"/>
          <w:jc w:val="center"/>
        </w:trPr>
        <w:tc>
          <w:tcPr>
            <w:tcW w:w="1448" w:type="dxa"/>
            <w:shd w:val="clear" w:color="auto" w:fill="auto"/>
            <w:vAlign w:val="center"/>
            <w:hideMark/>
          </w:tcPr>
          <w:p w14:paraId="44E201F9" w14:textId="77777777" w:rsidR="008E2B43" w:rsidRPr="006645DC" w:rsidRDefault="008E2B43" w:rsidP="00BC027E">
            <w:pPr>
              <w:keepNext/>
              <w:keepLines/>
              <w:spacing w:before="0" w:after="0"/>
              <w:outlineLvl w:val="1"/>
              <w:rPr>
                <w:rFonts w:eastAsia="Times New Roman" w:cs="Calibri"/>
                <w:b/>
                <w:bCs/>
                <w:color w:val="000000"/>
                <w:lang w:val="en-GB"/>
              </w:rPr>
            </w:pPr>
            <w:bookmarkStart w:id="539" w:name="_Toc376198780"/>
            <w:r w:rsidRPr="006645DC">
              <w:rPr>
                <w:rFonts w:eastAsia="Times New Roman" w:cs="Calibri"/>
                <w:b/>
                <w:bCs/>
                <w:color w:val="000000"/>
                <w:lang w:val="en-GB"/>
              </w:rPr>
              <w:t>Giurgiu</w:t>
            </w:r>
            <w:bookmarkEnd w:id="539"/>
          </w:p>
        </w:tc>
        <w:tc>
          <w:tcPr>
            <w:tcW w:w="1225" w:type="dxa"/>
            <w:shd w:val="clear" w:color="auto" w:fill="auto"/>
            <w:vAlign w:val="bottom"/>
            <w:hideMark/>
          </w:tcPr>
          <w:p w14:paraId="2D727504"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40" w:name="_Toc376198781"/>
            <w:r w:rsidRPr="006645DC">
              <w:rPr>
                <w:rFonts w:eastAsia="Times New Roman" w:cs="Calibri"/>
                <w:color w:val="000000"/>
                <w:u w:val="single"/>
                <w:lang w:val="en-GB"/>
              </w:rPr>
              <w:t>11</w:t>
            </w:r>
            <w:bookmarkEnd w:id="540"/>
          </w:p>
        </w:tc>
        <w:tc>
          <w:tcPr>
            <w:tcW w:w="1457" w:type="dxa"/>
            <w:shd w:val="clear" w:color="auto" w:fill="auto"/>
            <w:vAlign w:val="bottom"/>
            <w:hideMark/>
          </w:tcPr>
          <w:p w14:paraId="1AFFDFD7"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41" w:name="_Toc376198782"/>
            <w:r w:rsidRPr="006645DC">
              <w:rPr>
                <w:rFonts w:eastAsia="Times New Roman" w:cs="Calibri"/>
                <w:color w:val="000000"/>
                <w:u w:val="single"/>
                <w:lang w:val="en-GB"/>
              </w:rPr>
              <w:t>30</w:t>
            </w:r>
            <w:bookmarkEnd w:id="541"/>
          </w:p>
        </w:tc>
        <w:tc>
          <w:tcPr>
            <w:tcW w:w="1276" w:type="dxa"/>
            <w:shd w:val="clear" w:color="auto" w:fill="auto"/>
            <w:vAlign w:val="bottom"/>
            <w:hideMark/>
          </w:tcPr>
          <w:p w14:paraId="653AF639"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42" w:name="_Toc376198783"/>
            <w:r w:rsidRPr="006645DC">
              <w:rPr>
                <w:rFonts w:eastAsia="Times New Roman" w:cs="Calibri"/>
                <w:color w:val="000000"/>
                <w:u w:val="single"/>
                <w:lang w:val="en-GB"/>
              </w:rPr>
              <w:t>30</w:t>
            </w:r>
            <w:bookmarkEnd w:id="542"/>
          </w:p>
        </w:tc>
        <w:tc>
          <w:tcPr>
            <w:tcW w:w="1189" w:type="dxa"/>
            <w:shd w:val="clear" w:color="auto" w:fill="auto"/>
            <w:vAlign w:val="bottom"/>
            <w:hideMark/>
          </w:tcPr>
          <w:p w14:paraId="2204CE9D"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43" w:name="_Toc376198784"/>
            <w:r w:rsidRPr="006645DC">
              <w:rPr>
                <w:rFonts w:eastAsia="Times New Roman" w:cs="Calibri"/>
                <w:color w:val="000000"/>
                <w:u w:val="single"/>
                <w:lang w:val="en-GB"/>
              </w:rPr>
              <w:t>16</w:t>
            </w:r>
            <w:bookmarkEnd w:id="543"/>
          </w:p>
        </w:tc>
        <w:tc>
          <w:tcPr>
            <w:tcW w:w="1333" w:type="dxa"/>
            <w:shd w:val="clear" w:color="auto" w:fill="auto"/>
            <w:vAlign w:val="bottom"/>
            <w:hideMark/>
          </w:tcPr>
          <w:p w14:paraId="2D7711B6"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44" w:name="_Toc376198785"/>
            <w:r w:rsidRPr="006645DC">
              <w:rPr>
                <w:rFonts w:eastAsia="Times New Roman" w:cs="Calibri"/>
                <w:color w:val="000000"/>
                <w:u w:val="single"/>
                <w:lang w:val="en-GB"/>
              </w:rPr>
              <w:t>17</w:t>
            </w:r>
            <w:bookmarkEnd w:id="544"/>
          </w:p>
        </w:tc>
        <w:tc>
          <w:tcPr>
            <w:tcW w:w="1186" w:type="dxa"/>
            <w:shd w:val="clear" w:color="auto" w:fill="auto"/>
            <w:vAlign w:val="bottom"/>
            <w:hideMark/>
          </w:tcPr>
          <w:p w14:paraId="4BEF4131"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45" w:name="_Toc376198786"/>
            <w:r w:rsidRPr="006645DC">
              <w:rPr>
                <w:rFonts w:eastAsia="Times New Roman" w:cs="Calibri"/>
                <w:color w:val="000000"/>
                <w:u w:val="single"/>
                <w:lang w:val="en-GB"/>
              </w:rPr>
              <w:t>21</w:t>
            </w:r>
            <w:bookmarkEnd w:id="545"/>
          </w:p>
        </w:tc>
      </w:tr>
      <w:tr w:rsidR="008E2B43" w:rsidRPr="006645DC" w14:paraId="709571F6" w14:textId="77777777" w:rsidTr="00F35E83">
        <w:trPr>
          <w:trHeight w:val="299"/>
          <w:jc w:val="center"/>
        </w:trPr>
        <w:tc>
          <w:tcPr>
            <w:tcW w:w="1448" w:type="dxa"/>
            <w:shd w:val="clear" w:color="auto" w:fill="auto"/>
            <w:vAlign w:val="center"/>
            <w:hideMark/>
          </w:tcPr>
          <w:p w14:paraId="3324E967" w14:textId="77777777" w:rsidR="008E2B43" w:rsidRPr="006645DC" w:rsidRDefault="008E2B43" w:rsidP="00BC027E">
            <w:pPr>
              <w:keepNext/>
              <w:keepLines/>
              <w:spacing w:before="0" w:after="0"/>
              <w:outlineLvl w:val="1"/>
              <w:rPr>
                <w:rFonts w:eastAsia="Times New Roman" w:cs="Calibri"/>
                <w:b/>
                <w:bCs/>
                <w:color w:val="000000"/>
                <w:lang w:val="en-GB"/>
              </w:rPr>
            </w:pPr>
            <w:bookmarkStart w:id="546" w:name="_Toc376198787"/>
            <w:r w:rsidRPr="006645DC">
              <w:rPr>
                <w:rFonts w:eastAsia="Times New Roman" w:cs="Calibri"/>
                <w:b/>
                <w:bCs/>
                <w:color w:val="000000"/>
                <w:lang w:val="en-GB"/>
              </w:rPr>
              <w:t>Teleorman</w:t>
            </w:r>
            <w:bookmarkEnd w:id="546"/>
          </w:p>
        </w:tc>
        <w:tc>
          <w:tcPr>
            <w:tcW w:w="1225" w:type="dxa"/>
            <w:shd w:val="clear" w:color="auto" w:fill="auto"/>
            <w:vAlign w:val="bottom"/>
            <w:hideMark/>
          </w:tcPr>
          <w:p w14:paraId="2A1AF48D"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47" w:name="_Toc376198788"/>
            <w:r w:rsidRPr="006645DC">
              <w:rPr>
                <w:rFonts w:eastAsia="Times New Roman" w:cs="Calibri"/>
                <w:color w:val="000000"/>
                <w:u w:val="single"/>
                <w:lang w:val="en-GB"/>
              </w:rPr>
              <w:t>11</w:t>
            </w:r>
            <w:bookmarkEnd w:id="547"/>
          </w:p>
        </w:tc>
        <w:tc>
          <w:tcPr>
            <w:tcW w:w="1457" w:type="dxa"/>
            <w:shd w:val="clear" w:color="auto" w:fill="auto"/>
            <w:vAlign w:val="bottom"/>
            <w:hideMark/>
          </w:tcPr>
          <w:p w14:paraId="6724A0C8"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48" w:name="_Toc376198789"/>
            <w:r w:rsidRPr="006645DC">
              <w:rPr>
                <w:rFonts w:eastAsia="Times New Roman" w:cs="Calibri"/>
                <w:color w:val="000000"/>
                <w:u w:val="single"/>
                <w:lang w:val="en-GB"/>
              </w:rPr>
              <w:t>17</w:t>
            </w:r>
            <w:bookmarkEnd w:id="548"/>
          </w:p>
        </w:tc>
        <w:tc>
          <w:tcPr>
            <w:tcW w:w="1276" w:type="dxa"/>
            <w:shd w:val="clear" w:color="auto" w:fill="auto"/>
            <w:vAlign w:val="bottom"/>
            <w:hideMark/>
          </w:tcPr>
          <w:p w14:paraId="03391784"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49" w:name="_Toc376198790"/>
            <w:r w:rsidRPr="006645DC">
              <w:rPr>
                <w:rFonts w:eastAsia="Times New Roman" w:cs="Calibri"/>
                <w:color w:val="000000"/>
                <w:u w:val="single"/>
                <w:lang w:val="en-GB"/>
              </w:rPr>
              <w:t>18</w:t>
            </w:r>
            <w:bookmarkEnd w:id="549"/>
          </w:p>
        </w:tc>
        <w:tc>
          <w:tcPr>
            <w:tcW w:w="1189" w:type="dxa"/>
            <w:shd w:val="clear" w:color="auto" w:fill="auto"/>
            <w:vAlign w:val="bottom"/>
            <w:hideMark/>
          </w:tcPr>
          <w:p w14:paraId="4047C3EC"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50" w:name="_Toc376198791"/>
            <w:r w:rsidRPr="006645DC">
              <w:rPr>
                <w:rFonts w:eastAsia="Times New Roman" w:cs="Calibri"/>
                <w:color w:val="000000"/>
                <w:u w:val="single"/>
                <w:lang w:val="en-GB"/>
              </w:rPr>
              <w:t>32</w:t>
            </w:r>
            <w:bookmarkEnd w:id="550"/>
          </w:p>
        </w:tc>
        <w:tc>
          <w:tcPr>
            <w:tcW w:w="1333" w:type="dxa"/>
            <w:shd w:val="clear" w:color="auto" w:fill="auto"/>
            <w:vAlign w:val="bottom"/>
            <w:hideMark/>
          </w:tcPr>
          <w:p w14:paraId="1C340B95"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51" w:name="_Toc376198792"/>
            <w:r w:rsidRPr="006645DC">
              <w:rPr>
                <w:rFonts w:eastAsia="Times New Roman" w:cs="Calibri"/>
                <w:color w:val="000000"/>
                <w:u w:val="single"/>
                <w:lang w:val="en-GB"/>
              </w:rPr>
              <w:t>15</w:t>
            </w:r>
            <w:bookmarkEnd w:id="551"/>
          </w:p>
        </w:tc>
        <w:tc>
          <w:tcPr>
            <w:tcW w:w="1186" w:type="dxa"/>
            <w:shd w:val="clear" w:color="auto" w:fill="auto"/>
            <w:vAlign w:val="bottom"/>
            <w:hideMark/>
          </w:tcPr>
          <w:p w14:paraId="13AD0B41"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52" w:name="_Toc376198793"/>
            <w:r w:rsidRPr="006645DC">
              <w:rPr>
                <w:rFonts w:eastAsia="Times New Roman" w:cs="Calibri"/>
                <w:color w:val="000000"/>
                <w:u w:val="single"/>
                <w:lang w:val="en-GB"/>
              </w:rPr>
              <w:t>31</w:t>
            </w:r>
            <w:bookmarkEnd w:id="552"/>
          </w:p>
        </w:tc>
      </w:tr>
      <w:tr w:rsidR="008E2B43" w:rsidRPr="006645DC" w14:paraId="6FC2BBDB" w14:textId="77777777" w:rsidTr="00F35E83">
        <w:trPr>
          <w:trHeight w:val="299"/>
          <w:jc w:val="center"/>
        </w:trPr>
        <w:tc>
          <w:tcPr>
            <w:tcW w:w="1448" w:type="dxa"/>
            <w:shd w:val="clear" w:color="auto" w:fill="auto"/>
            <w:vAlign w:val="center"/>
            <w:hideMark/>
          </w:tcPr>
          <w:p w14:paraId="3041D0CC" w14:textId="77777777" w:rsidR="008E2B43" w:rsidRPr="006645DC" w:rsidRDefault="008E2B43" w:rsidP="00BC027E">
            <w:pPr>
              <w:keepNext/>
              <w:keepLines/>
              <w:spacing w:before="0" w:after="0"/>
              <w:outlineLvl w:val="1"/>
              <w:rPr>
                <w:rFonts w:eastAsia="Times New Roman" w:cs="Calibri"/>
                <w:b/>
                <w:bCs/>
                <w:color w:val="000000"/>
                <w:lang w:val="en-GB"/>
              </w:rPr>
            </w:pPr>
            <w:bookmarkStart w:id="553" w:name="_Toc376198794"/>
            <w:r w:rsidRPr="006645DC">
              <w:rPr>
                <w:rFonts w:eastAsia="Times New Roman" w:cs="Calibri"/>
                <w:b/>
                <w:bCs/>
                <w:color w:val="000000"/>
                <w:lang w:val="en-GB"/>
              </w:rPr>
              <w:t>Dolj</w:t>
            </w:r>
            <w:bookmarkEnd w:id="553"/>
          </w:p>
        </w:tc>
        <w:tc>
          <w:tcPr>
            <w:tcW w:w="1225" w:type="dxa"/>
            <w:shd w:val="clear" w:color="auto" w:fill="auto"/>
            <w:vAlign w:val="bottom"/>
            <w:hideMark/>
          </w:tcPr>
          <w:p w14:paraId="67F3E146"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54" w:name="_Toc376198795"/>
            <w:r w:rsidRPr="006645DC">
              <w:rPr>
                <w:rFonts w:eastAsia="Times New Roman" w:cs="Calibri"/>
                <w:color w:val="000000"/>
                <w:u w:val="single"/>
                <w:lang w:val="en-GB"/>
              </w:rPr>
              <w:t>84</w:t>
            </w:r>
            <w:bookmarkEnd w:id="554"/>
          </w:p>
        </w:tc>
        <w:tc>
          <w:tcPr>
            <w:tcW w:w="1457" w:type="dxa"/>
            <w:shd w:val="clear" w:color="auto" w:fill="auto"/>
            <w:vAlign w:val="bottom"/>
            <w:hideMark/>
          </w:tcPr>
          <w:p w14:paraId="121618FE"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55" w:name="_Toc376198796"/>
            <w:r w:rsidRPr="006645DC">
              <w:rPr>
                <w:rFonts w:eastAsia="Times New Roman" w:cs="Calibri"/>
                <w:color w:val="000000"/>
                <w:u w:val="single"/>
                <w:lang w:val="en-GB"/>
              </w:rPr>
              <w:t>126</w:t>
            </w:r>
            <w:bookmarkEnd w:id="555"/>
          </w:p>
        </w:tc>
        <w:tc>
          <w:tcPr>
            <w:tcW w:w="1276" w:type="dxa"/>
            <w:shd w:val="clear" w:color="auto" w:fill="auto"/>
            <w:vAlign w:val="bottom"/>
            <w:hideMark/>
          </w:tcPr>
          <w:p w14:paraId="74C98496"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56" w:name="_Toc376198797"/>
            <w:r w:rsidRPr="006645DC">
              <w:rPr>
                <w:rFonts w:eastAsia="Times New Roman" w:cs="Calibri"/>
                <w:color w:val="000000"/>
                <w:u w:val="single"/>
                <w:lang w:val="en-GB"/>
              </w:rPr>
              <w:t>137</w:t>
            </w:r>
            <w:bookmarkEnd w:id="556"/>
          </w:p>
        </w:tc>
        <w:tc>
          <w:tcPr>
            <w:tcW w:w="1189" w:type="dxa"/>
            <w:shd w:val="clear" w:color="auto" w:fill="auto"/>
            <w:vAlign w:val="bottom"/>
            <w:hideMark/>
          </w:tcPr>
          <w:p w14:paraId="71F07729"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57" w:name="_Toc376198798"/>
            <w:r w:rsidRPr="006645DC">
              <w:rPr>
                <w:rFonts w:eastAsia="Times New Roman" w:cs="Calibri"/>
                <w:color w:val="000000"/>
                <w:u w:val="single"/>
                <w:lang w:val="en-GB"/>
              </w:rPr>
              <w:t>119</w:t>
            </w:r>
            <w:bookmarkEnd w:id="557"/>
          </w:p>
        </w:tc>
        <w:tc>
          <w:tcPr>
            <w:tcW w:w="1333" w:type="dxa"/>
            <w:shd w:val="clear" w:color="auto" w:fill="auto"/>
            <w:vAlign w:val="bottom"/>
            <w:hideMark/>
          </w:tcPr>
          <w:p w14:paraId="311845B9"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58" w:name="_Toc376198799"/>
            <w:r w:rsidRPr="006645DC">
              <w:rPr>
                <w:rFonts w:eastAsia="Times New Roman" w:cs="Calibri"/>
                <w:color w:val="000000"/>
                <w:u w:val="single"/>
                <w:lang w:val="en-GB"/>
              </w:rPr>
              <w:t>101</w:t>
            </w:r>
            <w:bookmarkEnd w:id="558"/>
          </w:p>
        </w:tc>
        <w:tc>
          <w:tcPr>
            <w:tcW w:w="1186" w:type="dxa"/>
            <w:shd w:val="clear" w:color="auto" w:fill="auto"/>
            <w:vAlign w:val="bottom"/>
            <w:hideMark/>
          </w:tcPr>
          <w:p w14:paraId="0B379E5B"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59" w:name="_Toc376198800"/>
            <w:r w:rsidRPr="006645DC">
              <w:rPr>
                <w:rFonts w:eastAsia="Times New Roman" w:cs="Calibri"/>
                <w:color w:val="000000"/>
                <w:u w:val="single"/>
                <w:lang w:val="en-GB"/>
              </w:rPr>
              <w:t>137</w:t>
            </w:r>
            <w:bookmarkEnd w:id="559"/>
          </w:p>
        </w:tc>
      </w:tr>
      <w:tr w:rsidR="008E2B43" w:rsidRPr="006645DC" w14:paraId="49089A8F" w14:textId="77777777" w:rsidTr="00F35E83">
        <w:trPr>
          <w:trHeight w:val="299"/>
          <w:jc w:val="center"/>
        </w:trPr>
        <w:tc>
          <w:tcPr>
            <w:tcW w:w="1448" w:type="dxa"/>
            <w:shd w:val="clear" w:color="auto" w:fill="auto"/>
            <w:vAlign w:val="center"/>
            <w:hideMark/>
          </w:tcPr>
          <w:p w14:paraId="1CADC69C" w14:textId="77777777" w:rsidR="008E2B43" w:rsidRPr="006645DC" w:rsidRDefault="008E2B43" w:rsidP="00BC027E">
            <w:pPr>
              <w:keepNext/>
              <w:keepLines/>
              <w:spacing w:before="0" w:after="0"/>
              <w:outlineLvl w:val="1"/>
              <w:rPr>
                <w:rFonts w:eastAsia="Times New Roman" w:cs="Calibri"/>
                <w:b/>
                <w:bCs/>
                <w:color w:val="000000"/>
                <w:lang w:val="en-GB"/>
              </w:rPr>
            </w:pPr>
            <w:bookmarkStart w:id="560" w:name="_Toc376198801"/>
            <w:r w:rsidRPr="006645DC">
              <w:rPr>
                <w:rFonts w:eastAsia="Times New Roman" w:cs="Calibri"/>
                <w:b/>
                <w:bCs/>
                <w:color w:val="000000"/>
                <w:lang w:val="en-GB"/>
              </w:rPr>
              <w:t>Mehedinti</w:t>
            </w:r>
            <w:bookmarkEnd w:id="560"/>
          </w:p>
        </w:tc>
        <w:tc>
          <w:tcPr>
            <w:tcW w:w="1225" w:type="dxa"/>
            <w:shd w:val="clear" w:color="auto" w:fill="auto"/>
            <w:vAlign w:val="bottom"/>
            <w:hideMark/>
          </w:tcPr>
          <w:p w14:paraId="51A90080"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61" w:name="_Toc376198802"/>
            <w:r w:rsidRPr="006645DC">
              <w:rPr>
                <w:rFonts w:eastAsia="Times New Roman" w:cs="Calibri"/>
                <w:color w:val="000000"/>
                <w:u w:val="single"/>
                <w:lang w:val="en-GB"/>
              </w:rPr>
              <w:t>29</w:t>
            </w:r>
            <w:bookmarkEnd w:id="561"/>
          </w:p>
        </w:tc>
        <w:tc>
          <w:tcPr>
            <w:tcW w:w="1457" w:type="dxa"/>
            <w:shd w:val="clear" w:color="auto" w:fill="auto"/>
            <w:vAlign w:val="bottom"/>
            <w:hideMark/>
          </w:tcPr>
          <w:p w14:paraId="5B850052"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62" w:name="_Toc376198803"/>
            <w:r w:rsidRPr="006645DC">
              <w:rPr>
                <w:rFonts w:eastAsia="Times New Roman" w:cs="Calibri"/>
                <w:color w:val="000000"/>
                <w:u w:val="single"/>
                <w:lang w:val="en-GB"/>
              </w:rPr>
              <w:t>58</w:t>
            </w:r>
            <w:bookmarkEnd w:id="562"/>
          </w:p>
        </w:tc>
        <w:tc>
          <w:tcPr>
            <w:tcW w:w="1276" w:type="dxa"/>
            <w:shd w:val="clear" w:color="auto" w:fill="auto"/>
            <w:vAlign w:val="bottom"/>
            <w:hideMark/>
          </w:tcPr>
          <w:p w14:paraId="186A311E"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63" w:name="_Toc376198804"/>
            <w:r w:rsidRPr="006645DC">
              <w:rPr>
                <w:rFonts w:eastAsia="Times New Roman" w:cs="Calibri"/>
                <w:color w:val="000000"/>
                <w:u w:val="single"/>
                <w:lang w:val="en-GB"/>
              </w:rPr>
              <w:t>77</w:t>
            </w:r>
            <w:bookmarkEnd w:id="563"/>
          </w:p>
        </w:tc>
        <w:tc>
          <w:tcPr>
            <w:tcW w:w="1189" w:type="dxa"/>
            <w:shd w:val="clear" w:color="auto" w:fill="auto"/>
            <w:vAlign w:val="bottom"/>
            <w:hideMark/>
          </w:tcPr>
          <w:p w14:paraId="3CEB11E2"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64" w:name="_Toc376198805"/>
            <w:r w:rsidRPr="006645DC">
              <w:rPr>
                <w:rFonts w:eastAsia="Times New Roman" w:cs="Calibri"/>
                <w:color w:val="000000"/>
                <w:u w:val="single"/>
                <w:lang w:val="en-GB"/>
              </w:rPr>
              <w:t>49</w:t>
            </w:r>
            <w:bookmarkEnd w:id="564"/>
          </w:p>
        </w:tc>
        <w:tc>
          <w:tcPr>
            <w:tcW w:w="1333" w:type="dxa"/>
            <w:shd w:val="clear" w:color="auto" w:fill="auto"/>
            <w:vAlign w:val="bottom"/>
            <w:hideMark/>
          </w:tcPr>
          <w:p w14:paraId="2119D79B"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65" w:name="_Toc376198806"/>
            <w:r w:rsidRPr="006645DC">
              <w:rPr>
                <w:rFonts w:eastAsia="Times New Roman" w:cs="Calibri"/>
                <w:color w:val="000000"/>
                <w:u w:val="single"/>
                <w:lang w:val="en-GB"/>
              </w:rPr>
              <w:t>46</w:t>
            </w:r>
            <w:bookmarkEnd w:id="565"/>
          </w:p>
        </w:tc>
        <w:tc>
          <w:tcPr>
            <w:tcW w:w="1186" w:type="dxa"/>
            <w:shd w:val="clear" w:color="auto" w:fill="auto"/>
            <w:vAlign w:val="bottom"/>
            <w:hideMark/>
          </w:tcPr>
          <w:p w14:paraId="77711A3D"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66" w:name="_Toc376198807"/>
            <w:r w:rsidRPr="006645DC">
              <w:rPr>
                <w:rFonts w:eastAsia="Times New Roman" w:cs="Calibri"/>
                <w:color w:val="000000"/>
                <w:u w:val="single"/>
                <w:lang w:val="en-GB"/>
              </w:rPr>
              <w:t>37</w:t>
            </w:r>
            <w:bookmarkEnd w:id="566"/>
          </w:p>
        </w:tc>
      </w:tr>
      <w:tr w:rsidR="008E2B43" w:rsidRPr="006645DC" w14:paraId="440C7E41" w14:textId="77777777" w:rsidTr="00F35E83">
        <w:trPr>
          <w:trHeight w:val="299"/>
          <w:jc w:val="center"/>
        </w:trPr>
        <w:tc>
          <w:tcPr>
            <w:tcW w:w="1448" w:type="dxa"/>
            <w:shd w:val="clear" w:color="auto" w:fill="auto"/>
            <w:vAlign w:val="center"/>
            <w:hideMark/>
          </w:tcPr>
          <w:p w14:paraId="6A1E384A" w14:textId="77777777" w:rsidR="008E2B43" w:rsidRPr="006645DC" w:rsidRDefault="008E2B43" w:rsidP="00BC027E">
            <w:pPr>
              <w:keepNext/>
              <w:keepLines/>
              <w:spacing w:before="0" w:after="0"/>
              <w:outlineLvl w:val="1"/>
              <w:rPr>
                <w:rFonts w:eastAsia="Times New Roman" w:cs="Calibri"/>
                <w:b/>
                <w:bCs/>
                <w:color w:val="000000"/>
                <w:lang w:val="en-GB"/>
              </w:rPr>
            </w:pPr>
            <w:bookmarkStart w:id="567" w:name="_Toc376198808"/>
            <w:r w:rsidRPr="006645DC">
              <w:rPr>
                <w:rFonts w:eastAsia="Times New Roman" w:cs="Calibri"/>
                <w:b/>
                <w:bCs/>
                <w:color w:val="000000"/>
                <w:lang w:val="en-GB"/>
              </w:rPr>
              <w:t>Olt</w:t>
            </w:r>
            <w:bookmarkEnd w:id="567"/>
          </w:p>
        </w:tc>
        <w:tc>
          <w:tcPr>
            <w:tcW w:w="1225" w:type="dxa"/>
            <w:shd w:val="clear" w:color="auto" w:fill="auto"/>
            <w:vAlign w:val="bottom"/>
            <w:hideMark/>
          </w:tcPr>
          <w:p w14:paraId="24624EA5"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68" w:name="_Toc376198809"/>
            <w:r w:rsidRPr="006645DC">
              <w:rPr>
                <w:rFonts w:eastAsia="Times New Roman" w:cs="Calibri"/>
                <w:color w:val="000000"/>
                <w:u w:val="single"/>
                <w:lang w:val="en-GB"/>
              </w:rPr>
              <w:t>15</w:t>
            </w:r>
            <w:bookmarkEnd w:id="568"/>
          </w:p>
        </w:tc>
        <w:tc>
          <w:tcPr>
            <w:tcW w:w="1457" w:type="dxa"/>
            <w:shd w:val="clear" w:color="auto" w:fill="auto"/>
            <w:vAlign w:val="bottom"/>
            <w:hideMark/>
          </w:tcPr>
          <w:p w14:paraId="6A6FC8A9"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69" w:name="_Toc376198810"/>
            <w:r w:rsidRPr="006645DC">
              <w:rPr>
                <w:rFonts w:eastAsia="Times New Roman" w:cs="Calibri"/>
                <w:color w:val="000000"/>
                <w:u w:val="single"/>
                <w:lang w:val="en-GB"/>
              </w:rPr>
              <w:t>29</w:t>
            </w:r>
            <w:bookmarkEnd w:id="569"/>
          </w:p>
        </w:tc>
        <w:tc>
          <w:tcPr>
            <w:tcW w:w="1276" w:type="dxa"/>
            <w:shd w:val="clear" w:color="auto" w:fill="auto"/>
            <w:vAlign w:val="bottom"/>
            <w:hideMark/>
          </w:tcPr>
          <w:p w14:paraId="5D71E87D"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70" w:name="_Toc376198811"/>
            <w:r w:rsidRPr="006645DC">
              <w:rPr>
                <w:rFonts w:eastAsia="Times New Roman" w:cs="Calibri"/>
                <w:color w:val="000000"/>
                <w:u w:val="single"/>
                <w:lang w:val="en-GB"/>
              </w:rPr>
              <w:t>21</w:t>
            </w:r>
            <w:bookmarkEnd w:id="570"/>
          </w:p>
        </w:tc>
        <w:tc>
          <w:tcPr>
            <w:tcW w:w="1189" w:type="dxa"/>
            <w:shd w:val="clear" w:color="auto" w:fill="auto"/>
            <w:vAlign w:val="bottom"/>
            <w:hideMark/>
          </w:tcPr>
          <w:p w14:paraId="75F0EF3B"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71" w:name="_Toc376198812"/>
            <w:r w:rsidRPr="006645DC">
              <w:rPr>
                <w:rFonts w:eastAsia="Times New Roman" w:cs="Calibri"/>
                <w:color w:val="000000"/>
                <w:u w:val="single"/>
                <w:lang w:val="en-GB"/>
              </w:rPr>
              <w:t>22</w:t>
            </w:r>
            <w:bookmarkEnd w:id="571"/>
          </w:p>
        </w:tc>
        <w:tc>
          <w:tcPr>
            <w:tcW w:w="1333" w:type="dxa"/>
            <w:shd w:val="clear" w:color="auto" w:fill="auto"/>
            <w:vAlign w:val="bottom"/>
            <w:hideMark/>
          </w:tcPr>
          <w:p w14:paraId="371692E2"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72" w:name="_Toc376198813"/>
            <w:r w:rsidRPr="006645DC">
              <w:rPr>
                <w:rFonts w:eastAsia="Times New Roman" w:cs="Calibri"/>
                <w:color w:val="000000"/>
                <w:u w:val="single"/>
                <w:lang w:val="en-GB"/>
              </w:rPr>
              <w:t>15</w:t>
            </w:r>
            <w:bookmarkEnd w:id="572"/>
          </w:p>
        </w:tc>
        <w:tc>
          <w:tcPr>
            <w:tcW w:w="1186" w:type="dxa"/>
            <w:shd w:val="clear" w:color="auto" w:fill="auto"/>
            <w:vAlign w:val="bottom"/>
            <w:hideMark/>
          </w:tcPr>
          <w:p w14:paraId="780DCA08" w14:textId="77777777" w:rsidR="008E2B43" w:rsidRPr="006645DC" w:rsidRDefault="008E2B43" w:rsidP="00A24688">
            <w:pPr>
              <w:keepNext/>
              <w:keepLines/>
              <w:spacing w:before="0" w:after="0"/>
              <w:ind w:left="757" w:hanging="360"/>
              <w:jc w:val="right"/>
              <w:outlineLvl w:val="1"/>
              <w:rPr>
                <w:rFonts w:eastAsia="Times New Roman" w:cs="Calibri"/>
                <w:color w:val="000000"/>
                <w:u w:val="single"/>
                <w:lang w:val="en-GB"/>
              </w:rPr>
            </w:pPr>
            <w:bookmarkStart w:id="573" w:name="_Toc376198814"/>
            <w:r w:rsidRPr="006645DC">
              <w:rPr>
                <w:rFonts w:eastAsia="Times New Roman" w:cs="Calibri"/>
                <w:color w:val="000000"/>
                <w:u w:val="single"/>
                <w:lang w:val="en-GB"/>
              </w:rPr>
              <w:t>40</w:t>
            </w:r>
            <w:bookmarkEnd w:id="573"/>
          </w:p>
        </w:tc>
      </w:tr>
    </w:tbl>
    <w:p w14:paraId="2E546C70" w14:textId="77777777" w:rsidR="00A24688" w:rsidRPr="006645DC" w:rsidRDefault="00A24688" w:rsidP="00A24688">
      <w:pPr>
        <w:pStyle w:val="Caption"/>
        <w:rPr>
          <w:rFonts w:eastAsia="MS Gothic"/>
          <w:lang w:val="en-GB"/>
        </w:rPr>
      </w:pPr>
      <w:bookmarkStart w:id="574" w:name="_Toc391150117"/>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20</w:t>
      </w:r>
      <w:r w:rsidR="005979EB" w:rsidRPr="006645DC">
        <w:rPr>
          <w:lang w:val="en-GB"/>
        </w:rPr>
        <w:fldChar w:fldCharType="end"/>
      </w:r>
      <w:r w:rsidRPr="006645DC">
        <w:rPr>
          <w:lang w:val="en-GB"/>
        </w:rPr>
        <w:t xml:space="preserve"> - </w:t>
      </w:r>
      <w:r w:rsidR="008E2B43" w:rsidRPr="006645DC">
        <w:rPr>
          <w:rFonts w:eastAsia="MS Gothic"/>
          <w:lang w:val="en-GB"/>
        </w:rPr>
        <w:t>The immigration to the cross-border area in Romania</w:t>
      </w:r>
      <w:bookmarkEnd w:id="574"/>
    </w:p>
    <w:p w14:paraId="239F4B16" w14:textId="3B903EE1" w:rsidR="008E2B43" w:rsidRPr="00625139" w:rsidRDefault="00EC6938" w:rsidP="00625139">
      <w:pPr>
        <w:keepNext/>
        <w:keepLines/>
        <w:jc w:val="right"/>
        <w:outlineLvl w:val="3"/>
        <w:rPr>
          <w:rFonts w:eastAsia="MS Gothic"/>
          <w:bCs/>
          <w:i/>
          <w:iCs/>
          <w:sz w:val="18"/>
          <w:lang w:val="en-GB"/>
        </w:rPr>
      </w:pPr>
      <w:r w:rsidRPr="006645DC">
        <w:rPr>
          <w:rFonts w:eastAsia="MS Gothic"/>
          <w:bCs/>
          <w:i/>
          <w:iCs/>
          <w:sz w:val="18"/>
          <w:lang w:val="en-GB"/>
        </w:rPr>
        <w:t>S</w:t>
      </w:r>
      <w:r w:rsidR="008E2B43" w:rsidRPr="006645DC">
        <w:rPr>
          <w:rFonts w:eastAsia="MS Gothic"/>
          <w:bCs/>
          <w:i/>
          <w:iCs/>
          <w:sz w:val="18"/>
          <w:lang w:val="en-GB"/>
        </w:rPr>
        <w:t>ource: National Inst</w:t>
      </w:r>
      <w:r w:rsidR="00625139">
        <w:rPr>
          <w:rFonts w:eastAsia="MS Gothic"/>
          <w:bCs/>
          <w:i/>
          <w:iCs/>
          <w:sz w:val="18"/>
          <w:lang w:val="en-GB"/>
        </w:rPr>
        <w:t>itute for Statistics of Romania</w:t>
      </w:r>
    </w:p>
    <w:p w14:paraId="3110577F" w14:textId="77777777" w:rsidR="008E2B43" w:rsidRPr="006645DC" w:rsidRDefault="008E2B43" w:rsidP="00A24688">
      <w:pPr>
        <w:rPr>
          <w:lang w:val="en-GB"/>
        </w:rPr>
      </w:pPr>
      <w:r w:rsidRPr="006645DC">
        <w:rPr>
          <w:lang w:val="en-GB"/>
        </w:rPr>
        <w:t xml:space="preserve">The low immigration to the region pattern means that this factor cannot be a solution to fight against depopulation on the short term but can be viewed as one on the longer term if measures are taken to improve the attractiveness of the area (economic but also cultural and touristic for instance in order to create incentives for secondary residences, etc.). </w:t>
      </w:r>
    </w:p>
    <w:p w14:paraId="5AF96812" w14:textId="77777777" w:rsidR="008E2B43" w:rsidRDefault="008E2B43" w:rsidP="00A24688">
      <w:pPr>
        <w:rPr>
          <w:lang w:val="en-GB"/>
        </w:rPr>
      </w:pPr>
      <w:r w:rsidRPr="006645DC">
        <w:rPr>
          <w:lang w:val="en-GB"/>
        </w:rPr>
        <w:t xml:space="preserve">In Bulgaria, external migration of the cross-border area residents represents an important factor for the decrease of the population in the last years. The Cross Border emigration represents 20,2% of the country’s total emigration in foreign countries, with the highest number of people migrating from Veliko Turnovo and Ruse. The tendency of people coming back is negative and the observation is that once migrating to a foreign country, people are not coming back to the district of origin. </w:t>
      </w:r>
    </w:p>
    <w:p w14:paraId="27C91841" w14:textId="77777777" w:rsidR="00625139" w:rsidRDefault="00625139" w:rsidP="00A24688">
      <w:pPr>
        <w:rPr>
          <w:lang w:val="en-GB"/>
        </w:rPr>
      </w:pPr>
    </w:p>
    <w:p w14:paraId="68B43945" w14:textId="77777777" w:rsidR="00625139" w:rsidRPr="006645DC" w:rsidRDefault="00625139" w:rsidP="00A24688">
      <w:pPr>
        <w:rPr>
          <w:lang w:val="en-GB"/>
        </w:rPr>
      </w:pPr>
    </w:p>
    <w:p w14:paraId="2D1A5893" w14:textId="77777777" w:rsidR="008E2B43" w:rsidRPr="006645DC" w:rsidRDefault="008E2B43" w:rsidP="008E2B43">
      <w:pPr>
        <w:suppressAutoHyphens/>
        <w:rPr>
          <w:rFonts w:eastAsia="Times New Roman"/>
          <w:snapToGrid w:val="0"/>
          <w:lang w:val="en-GB" w:eastAsia="ro-RO"/>
        </w:rPr>
      </w:pPr>
    </w:p>
    <w:tbl>
      <w:tblPr>
        <w:tblW w:w="8783" w:type="dxa"/>
        <w:jc w:val="center"/>
        <w:tblLook w:val="04A0" w:firstRow="1" w:lastRow="0" w:firstColumn="1" w:lastColumn="0" w:noHBand="0" w:noVBand="1"/>
      </w:tblPr>
      <w:tblGrid>
        <w:gridCol w:w="740"/>
        <w:gridCol w:w="966"/>
        <w:gridCol w:w="971"/>
        <w:gridCol w:w="760"/>
        <w:gridCol w:w="820"/>
        <w:gridCol w:w="934"/>
        <w:gridCol w:w="831"/>
        <w:gridCol w:w="740"/>
        <w:gridCol w:w="833"/>
        <w:gridCol w:w="1417"/>
      </w:tblGrid>
      <w:tr w:rsidR="008E2B43" w:rsidRPr="006645DC" w14:paraId="7535B1E0" w14:textId="77777777" w:rsidTr="00A14E7C">
        <w:trPr>
          <w:trHeight w:val="540"/>
          <w:jc w:val="center"/>
        </w:trPr>
        <w:tc>
          <w:tcPr>
            <w:tcW w:w="740" w:type="dxa"/>
            <w:tcBorders>
              <w:top w:val="single" w:sz="8" w:space="0" w:color="auto"/>
              <w:left w:val="single" w:sz="8" w:space="0" w:color="auto"/>
              <w:bottom w:val="single" w:sz="8" w:space="0" w:color="auto"/>
              <w:right w:val="single" w:sz="4" w:space="0" w:color="auto"/>
            </w:tcBorders>
            <w:shd w:val="clear" w:color="000000" w:fill="D9D9D9"/>
            <w:noWrap/>
            <w:vAlign w:val="center"/>
            <w:hideMark/>
          </w:tcPr>
          <w:p w14:paraId="66C4D7AA" w14:textId="77777777" w:rsidR="008E2B43" w:rsidRPr="006645DC" w:rsidRDefault="008E2B43" w:rsidP="00BC027E">
            <w:pPr>
              <w:spacing w:before="0" w:after="0"/>
              <w:jc w:val="center"/>
              <w:rPr>
                <w:rFonts w:eastAsia="Times New Roman" w:cs="Calibri"/>
                <w:color w:val="000000"/>
                <w:lang w:val="en-GB"/>
              </w:rPr>
            </w:pPr>
          </w:p>
        </w:tc>
        <w:tc>
          <w:tcPr>
            <w:tcW w:w="964" w:type="dxa"/>
            <w:tcBorders>
              <w:top w:val="single" w:sz="8" w:space="0" w:color="auto"/>
              <w:left w:val="nil"/>
              <w:bottom w:val="single" w:sz="8" w:space="0" w:color="auto"/>
              <w:right w:val="single" w:sz="4" w:space="0" w:color="auto"/>
            </w:tcBorders>
            <w:shd w:val="clear" w:color="000000" w:fill="D9D9D9"/>
            <w:vAlign w:val="center"/>
            <w:hideMark/>
          </w:tcPr>
          <w:p w14:paraId="289293EA"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Total for Bulgaria</w:t>
            </w:r>
          </w:p>
        </w:tc>
        <w:tc>
          <w:tcPr>
            <w:tcW w:w="960" w:type="dxa"/>
            <w:tcBorders>
              <w:top w:val="single" w:sz="8" w:space="0" w:color="auto"/>
              <w:left w:val="nil"/>
              <w:bottom w:val="single" w:sz="8" w:space="0" w:color="auto"/>
              <w:right w:val="single" w:sz="4" w:space="0" w:color="auto"/>
            </w:tcBorders>
            <w:shd w:val="clear" w:color="000000" w:fill="D9D9D9"/>
            <w:vAlign w:val="center"/>
            <w:hideMark/>
          </w:tcPr>
          <w:p w14:paraId="1A4134DA"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Veliko Tarnovo</w:t>
            </w:r>
          </w:p>
        </w:tc>
        <w:tc>
          <w:tcPr>
            <w:tcW w:w="760" w:type="dxa"/>
            <w:tcBorders>
              <w:top w:val="single" w:sz="8" w:space="0" w:color="auto"/>
              <w:left w:val="nil"/>
              <w:bottom w:val="single" w:sz="8" w:space="0" w:color="auto"/>
              <w:right w:val="single" w:sz="4" w:space="0" w:color="auto"/>
            </w:tcBorders>
            <w:shd w:val="clear" w:color="000000" w:fill="D9D9D9"/>
            <w:vAlign w:val="center"/>
            <w:hideMark/>
          </w:tcPr>
          <w:p w14:paraId="5295558D"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Vidin</w:t>
            </w:r>
          </w:p>
        </w:tc>
        <w:tc>
          <w:tcPr>
            <w:tcW w:w="820" w:type="dxa"/>
            <w:tcBorders>
              <w:top w:val="single" w:sz="8" w:space="0" w:color="auto"/>
              <w:left w:val="nil"/>
              <w:bottom w:val="single" w:sz="8" w:space="0" w:color="auto"/>
              <w:right w:val="single" w:sz="4" w:space="0" w:color="auto"/>
            </w:tcBorders>
            <w:shd w:val="clear" w:color="000000" w:fill="D9D9D9"/>
            <w:vAlign w:val="center"/>
            <w:hideMark/>
          </w:tcPr>
          <w:p w14:paraId="45FFF191"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Vratsa</w:t>
            </w:r>
          </w:p>
        </w:tc>
        <w:tc>
          <w:tcPr>
            <w:tcW w:w="842" w:type="dxa"/>
            <w:tcBorders>
              <w:top w:val="single" w:sz="8" w:space="0" w:color="auto"/>
              <w:left w:val="nil"/>
              <w:bottom w:val="single" w:sz="8" w:space="0" w:color="auto"/>
              <w:right w:val="single" w:sz="4" w:space="0" w:color="auto"/>
            </w:tcBorders>
            <w:shd w:val="clear" w:color="000000" w:fill="D9D9D9"/>
            <w:vAlign w:val="center"/>
            <w:hideMark/>
          </w:tcPr>
          <w:p w14:paraId="06E31E5F"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Dobrich</w:t>
            </w:r>
          </w:p>
        </w:tc>
        <w:tc>
          <w:tcPr>
            <w:tcW w:w="760" w:type="dxa"/>
            <w:tcBorders>
              <w:top w:val="single" w:sz="8" w:space="0" w:color="auto"/>
              <w:left w:val="nil"/>
              <w:bottom w:val="single" w:sz="8" w:space="0" w:color="auto"/>
              <w:right w:val="single" w:sz="4" w:space="0" w:color="auto"/>
            </w:tcBorders>
            <w:shd w:val="clear" w:color="000000" w:fill="D9D9D9"/>
            <w:vAlign w:val="center"/>
            <w:hideMark/>
          </w:tcPr>
          <w:p w14:paraId="5210DC0E"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Pleven</w:t>
            </w:r>
          </w:p>
        </w:tc>
        <w:tc>
          <w:tcPr>
            <w:tcW w:w="740" w:type="dxa"/>
            <w:tcBorders>
              <w:top w:val="single" w:sz="8" w:space="0" w:color="auto"/>
              <w:left w:val="nil"/>
              <w:bottom w:val="single" w:sz="8" w:space="0" w:color="auto"/>
              <w:right w:val="single" w:sz="4" w:space="0" w:color="auto"/>
            </w:tcBorders>
            <w:shd w:val="clear" w:color="000000" w:fill="D9D9D9"/>
            <w:vAlign w:val="center"/>
            <w:hideMark/>
          </w:tcPr>
          <w:p w14:paraId="6BD6F21B"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Ruse</w:t>
            </w:r>
          </w:p>
        </w:tc>
        <w:tc>
          <w:tcPr>
            <w:tcW w:w="780" w:type="dxa"/>
            <w:tcBorders>
              <w:top w:val="single" w:sz="8" w:space="0" w:color="auto"/>
              <w:left w:val="nil"/>
              <w:bottom w:val="single" w:sz="8" w:space="0" w:color="auto"/>
              <w:right w:val="single" w:sz="4" w:space="0" w:color="auto"/>
            </w:tcBorders>
            <w:shd w:val="clear" w:color="000000" w:fill="D9D9D9"/>
            <w:vAlign w:val="center"/>
            <w:hideMark/>
          </w:tcPr>
          <w:p w14:paraId="3012DAAA" w14:textId="77777777" w:rsidR="008E2B43" w:rsidRPr="006645DC" w:rsidRDefault="008E2B43" w:rsidP="00BC027E">
            <w:pPr>
              <w:spacing w:before="0" w:after="0"/>
              <w:jc w:val="center"/>
              <w:rPr>
                <w:rFonts w:eastAsia="Times New Roman" w:cs="Calibri"/>
                <w:b/>
                <w:bCs/>
                <w:color w:val="000000"/>
                <w:lang w:val="en-GB"/>
              </w:rPr>
            </w:pPr>
            <w:r w:rsidRPr="006645DC">
              <w:rPr>
                <w:rFonts w:eastAsia="Times New Roman" w:cs="Calibri"/>
                <w:b/>
                <w:bCs/>
                <w:color w:val="000000"/>
                <w:lang w:val="en-GB"/>
              </w:rPr>
              <w:t>Silistra</w:t>
            </w:r>
          </w:p>
        </w:tc>
        <w:tc>
          <w:tcPr>
            <w:tcW w:w="1417" w:type="dxa"/>
            <w:tcBorders>
              <w:top w:val="single" w:sz="8" w:space="0" w:color="auto"/>
              <w:left w:val="nil"/>
              <w:bottom w:val="single" w:sz="8" w:space="0" w:color="auto"/>
              <w:right w:val="single" w:sz="8" w:space="0" w:color="auto"/>
            </w:tcBorders>
            <w:shd w:val="clear" w:color="000000" w:fill="D9D9D9"/>
            <w:vAlign w:val="center"/>
            <w:hideMark/>
          </w:tcPr>
          <w:p w14:paraId="5E5B721D" w14:textId="77777777" w:rsidR="008E2B43" w:rsidRPr="006645DC" w:rsidRDefault="008E2B43" w:rsidP="00BC027E">
            <w:pPr>
              <w:spacing w:before="0" w:after="0"/>
              <w:jc w:val="center"/>
              <w:rPr>
                <w:rFonts w:eastAsia="Times New Roman" w:cs="Calibri"/>
                <w:b/>
                <w:bCs/>
                <w:lang w:val="en-GB"/>
              </w:rPr>
            </w:pPr>
            <w:r w:rsidRPr="006645DC">
              <w:rPr>
                <w:rFonts w:eastAsia="Times New Roman" w:cs="Calibri"/>
                <w:b/>
                <w:bCs/>
                <w:lang w:val="en-GB"/>
              </w:rPr>
              <w:t>Total for the CB region</w:t>
            </w:r>
          </w:p>
        </w:tc>
      </w:tr>
      <w:tr w:rsidR="008E2B43" w:rsidRPr="006645DC" w14:paraId="652F781E" w14:textId="77777777" w:rsidTr="00BC027E">
        <w:trPr>
          <w:trHeight w:val="270"/>
          <w:jc w:val="center"/>
        </w:trPr>
        <w:tc>
          <w:tcPr>
            <w:tcW w:w="740" w:type="dxa"/>
            <w:tcBorders>
              <w:top w:val="nil"/>
              <w:left w:val="single" w:sz="8" w:space="0" w:color="auto"/>
              <w:bottom w:val="single" w:sz="4" w:space="0" w:color="auto"/>
              <w:right w:val="single" w:sz="4" w:space="0" w:color="auto"/>
            </w:tcBorders>
            <w:shd w:val="clear" w:color="000000" w:fill="FFFFFF"/>
            <w:noWrap/>
            <w:vAlign w:val="center"/>
            <w:hideMark/>
          </w:tcPr>
          <w:p w14:paraId="27F5DB6F" w14:textId="77777777" w:rsidR="008E2B43" w:rsidRPr="006645DC" w:rsidRDefault="008E2B43" w:rsidP="00BC027E">
            <w:pPr>
              <w:spacing w:before="0" w:after="0"/>
              <w:rPr>
                <w:rFonts w:eastAsia="Times New Roman" w:cs="Calibri"/>
                <w:b/>
                <w:bCs/>
                <w:color w:val="000000"/>
                <w:lang w:val="en-GB"/>
              </w:rPr>
            </w:pPr>
            <w:r w:rsidRPr="006645DC">
              <w:rPr>
                <w:rFonts w:eastAsia="Times New Roman" w:cs="Calibri"/>
                <w:b/>
                <w:bCs/>
                <w:color w:val="000000"/>
                <w:lang w:val="en-GB"/>
              </w:rPr>
              <w:t>2007</w:t>
            </w:r>
          </w:p>
        </w:tc>
        <w:tc>
          <w:tcPr>
            <w:tcW w:w="964" w:type="dxa"/>
            <w:tcBorders>
              <w:top w:val="nil"/>
              <w:left w:val="nil"/>
              <w:bottom w:val="single" w:sz="4" w:space="0" w:color="auto"/>
              <w:right w:val="single" w:sz="4" w:space="0" w:color="auto"/>
            </w:tcBorders>
            <w:shd w:val="clear" w:color="000000" w:fill="FFFFFF"/>
            <w:noWrap/>
            <w:vAlign w:val="center"/>
            <w:hideMark/>
          </w:tcPr>
          <w:p w14:paraId="1DEFEAF2"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75" w:name="_Toc376198815"/>
            <w:r w:rsidRPr="006645DC">
              <w:rPr>
                <w:rFonts w:eastAsia="Times New Roman" w:cs="Calibri"/>
                <w:color w:val="000000"/>
                <w:lang w:val="en-GB"/>
              </w:rPr>
              <w:t>2 958</w:t>
            </w:r>
            <w:bookmarkEnd w:id="575"/>
          </w:p>
        </w:tc>
        <w:tc>
          <w:tcPr>
            <w:tcW w:w="960" w:type="dxa"/>
            <w:tcBorders>
              <w:top w:val="nil"/>
              <w:left w:val="nil"/>
              <w:bottom w:val="single" w:sz="4" w:space="0" w:color="auto"/>
              <w:right w:val="single" w:sz="4" w:space="0" w:color="auto"/>
            </w:tcBorders>
            <w:shd w:val="clear" w:color="000000" w:fill="FFFFFF"/>
            <w:noWrap/>
            <w:vAlign w:val="center"/>
            <w:hideMark/>
          </w:tcPr>
          <w:p w14:paraId="1815138B"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76" w:name="_Toc376198816"/>
            <w:r w:rsidRPr="006645DC">
              <w:rPr>
                <w:rFonts w:eastAsia="Times New Roman" w:cs="Calibri"/>
                <w:color w:val="000000"/>
                <w:lang w:val="en-GB"/>
              </w:rPr>
              <w:t>38</w:t>
            </w:r>
            <w:bookmarkEnd w:id="576"/>
          </w:p>
        </w:tc>
        <w:tc>
          <w:tcPr>
            <w:tcW w:w="760" w:type="dxa"/>
            <w:tcBorders>
              <w:top w:val="nil"/>
              <w:left w:val="nil"/>
              <w:bottom w:val="single" w:sz="4" w:space="0" w:color="auto"/>
              <w:right w:val="single" w:sz="4" w:space="0" w:color="auto"/>
            </w:tcBorders>
            <w:shd w:val="clear" w:color="000000" w:fill="FFFFFF"/>
            <w:noWrap/>
            <w:vAlign w:val="center"/>
            <w:hideMark/>
          </w:tcPr>
          <w:p w14:paraId="7B9B75DD"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77" w:name="_Toc376198817"/>
            <w:r w:rsidRPr="006645DC">
              <w:rPr>
                <w:rFonts w:eastAsia="Times New Roman" w:cs="Calibri"/>
                <w:color w:val="000000"/>
                <w:lang w:val="en-GB"/>
              </w:rPr>
              <w:t>98</w:t>
            </w:r>
            <w:bookmarkEnd w:id="577"/>
          </w:p>
        </w:tc>
        <w:tc>
          <w:tcPr>
            <w:tcW w:w="820" w:type="dxa"/>
            <w:tcBorders>
              <w:top w:val="nil"/>
              <w:left w:val="nil"/>
              <w:bottom w:val="single" w:sz="4" w:space="0" w:color="auto"/>
              <w:right w:val="single" w:sz="4" w:space="0" w:color="auto"/>
            </w:tcBorders>
            <w:shd w:val="clear" w:color="000000" w:fill="FFFFFF"/>
            <w:noWrap/>
            <w:vAlign w:val="center"/>
            <w:hideMark/>
          </w:tcPr>
          <w:p w14:paraId="16058C3C"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78" w:name="_Toc376198818"/>
            <w:r w:rsidRPr="006645DC">
              <w:rPr>
                <w:rFonts w:eastAsia="Times New Roman" w:cs="Calibri"/>
                <w:color w:val="000000"/>
                <w:lang w:val="en-GB"/>
              </w:rPr>
              <w:t>5</w:t>
            </w:r>
            <w:bookmarkEnd w:id="578"/>
          </w:p>
        </w:tc>
        <w:tc>
          <w:tcPr>
            <w:tcW w:w="842" w:type="dxa"/>
            <w:tcBorders>
              <w:top w:val="nil"/>
              <w:left w:val="nil"/>
              <w:bottom w:val="single" w:sz="4" w:space="0" w:color="auto"/>
              <w:right w:val="single" w:sz="4" w:space="0" w:color="auto"/>
            </w:tcBorders>
            <w:shd w:val="clear" w:color="000000" w:fill="FFFFFF"/>
            <w:noWrap/>
            <w:vAlign w:val="center"/>
            <w:hideMark/>
          </w:tcPr>
          <w:p w14:paraId="6DE19177"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79" w:name="_Toc376198819"/>
            <w:r w:rsidRPr="006645DC">
              <w:rPr>
                <w:rFonts w:eastAsia="Times New Roman" w:cs="Calibri"/>
                <w:color w:val="000000"/>
                <w:lang w:val="en-GB"/>
              </w:rPr>
              <w:t>57</w:t>
            </w:r>
            <w:bookmarkEnd w:id="579"/>
          </w:p>
        </w:tc>
        <w:tc>
          <w:tcPr>
            <w:tcW w:w="760" w:type="dxa"/>
            <w:tcBorders>
              <w:top w:val="nil"/>
              <w:left w:val="nil"/>
              <w:bottom w:val="single" w:sz="4" w:space="0" w:color="auto"/>
              <w:right w:val="single" w:sz="4" w:space="0" w:color="auto"/>
            </w:tcBorders>
            <w:shd w:val="clear" w:color="000000" w:fill="FFFFFF"/>
            <w:noWrap/>
            <w:vAlign w:val="center"/>
            <w:hideMark/>
          </w:tcPr>
          <w:p w14:paraId="019680DD"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80" w:name="_Toc376198820"/>
            <w:r w:rsidRPr="006645DC">
              <w:rPr>
                <w:rFonts w:eastAsia="Times New Roman" w:cs="Calibri"/>
                <w:color w:val="000000"/>
                <w:lang w:val="en-GB"/>
              </w:rPr>
              <w:t>250</w:t>
            </w:r>
            <w:bookmarkEnd w:id="580"/>
          </w:p>
        </w:tc>
        <w:tc>
          <w:tcPr>
            <w:tcW w:w="740" w:type="dxa"/>
            <w:tcBorders>
              <w:top w:val="nil"/>
              <w:left w:val="nil"/>
              <w:bottom w:val="single" w:sz="4" w:space="0" w:color="auto"/>
              <w:right w:val="single" w:sz="4" w:space="0" w:color="auto"/>
            </w:tcBorders>
            <w:shd w:val="clear" w:color="000000" w:fill="FFFFFF"/>
            <w:noWrap/>
            <w:vAlign w:val="center"/>
            <w:hideMark/>
          </w:tcPr>
          <w:p w14:paraId="05DA50DE"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81" w:name="_Toc376198821"/>
            <w:r w:rsidRPr="006645DC">
              <w:rPr>
                <w:rFonts w:eastAsia="Times New Roman" w:cs="Calibri"/>
                <w:color w:val="000000"/>
                <w:lang w:val="en-GB"/>
              </w:rPr>
              <w:t>250</w:t>
            </w:r>
            <w:bookmarkEnd w:id="581"/>
          </w:p>
        </w:tc>
        <w:tc>
          <w:tcPr>
            <w:tcW w:w="780" w:type="dxa"/>
            <w:tcBorders>
              <w:top w:val="nil"/>
              <w:left w:val="nil"/>
              <w:bottom w:val="single" w:sz="4" w:space="0" w:color="auto"/>
              <w:right w:val="single" w:sz="4" w:space="0" w:color="auto"/>
            </w:tcBorders>
            <w:shd w:val="clear" w:color="000000" w:fill="FFFFFF"/>
            <w:noWrap/>
            <w:vAlign w:val="center"/>
            <w:hideMark/>
          </w:tcPr>
          <w:p w14:paraId="235CF911"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82" w:name="_Toc376198822"/>
            <w:r w:rsidRPr="006645DC">
              <w:rPr>
                <w:rFonts w:eastAsia="Times New Roman" w:cs="Calibri"/>
                <w:color w:val="000000"/>
                <w:lang w:val="en-GB"/>
              </w:rPr>
              <w:t>70</w:t>
            </w:r>
            <w:bookmarkEnd w:id="582"/>
          </w:p>
        </w:tc>
        <w:tc>
          <w:tcPr>
            <w:tcW w:w="1417" w:type="dxa"/>
            <w:tcBorders>
              <w:top w:val="nil"/>
              <w:left w:val="nil"/>
              <w:bottom w:val="single" w:sz="4" w:space="0" w:color="auto"/>
              <w:right w:val="single" w:sz="8" w:space="0" w:color="auto"/>
            </w:tcBorders>
            <w:shd w:val="clear" w:color="000000" w:fill="FFFFFF"/>
            <w:noWrap/>
            <w:vAlign w:val="center"/>
            <w:hideMark/>
          </w:tcPr>
          <w:p w14:paraId="40CBCACA" w14:textId="77777777" w:rsidR="008E2B43" w:rsidRPr="006645DC" w:rsidRDefault="008E2B43" w:rsidP="00BC027E">
            <w:pPr>
              <w:keepNext/>
              <w:keepLines/>
              <w:spacing w:before="0" w:after="0"/>
              <w:jc w:val="right"/>
              <w:outlineLvl w:val="1"/>
              <w:rPr>
                <w:rFonts w:eastAsia="Times New Roman" w:cs="Calibri"/>
                <w:b/>
                <w:color w:val="000000"/>
                <w:lang w:val="en-GB"/>
              </w:rPr>
            </w:pPr>
            <w:bookmarkStart w:id="583" w:name="_Toc376198823"/>
            <w:r w:rsidRPr="006645DC">
              <w:rPr>
                <w:rFonts w:eastAsia="Times New Roman" w:cs="Calibri"/>
                <w:b/>
                <w:color w:val="000000"/>
                <w:lang w:val="en-GB"/>
              </w:rPr>
              <w:t>821</w:t>
            </w:r>
            <w:bookmarkEnd w:id="583"/>
          </w:p>
        </w:tc>
      </w:tr>
      <w:tr w:rsidR="008E2B43" w:rsidRPr="006645DC" w14:paraId="450270EE" w14:textId="77777777" w:rsidTr="00BC027E">
        <w:trPr>
          <w:trHeight w:val="270"/>
          <w:jc w:val="center"/>
        </w:trPr>
        <w:tc>
          <w:tcPr>
            <w:tcW w:w="740" w:type="dxa"/>
            <w:tcBorders>
              <w:top w:val="nil"/>
              <w:left w:val="single" w:sz="8" w:space="0" w:color="auto"/>
              <w:bottom w:val="single" w:sz="4" w:space="0" w:color="auto"/>
              <w:right w:val="single" w:sz="4" w:space="0" w:color="auto"/>
            </w:tcBorders>
            <w:shd w:val="clear" w:color="000000" w:fill="FFFFFF"/>
            <w:noWrap/>
            <w:vAlign w:val="center"/>
            <w:hideMark/>
          </w:tcPr>
          <w:p w14:paraId="691FF90D" w14:textId="77777777" w:rsidR="008E2B43" w:rsidRPr="006645DC" w:rsidRDefault="008E2B43" w:rsidP="00BC027E">
            <w:pPr>
              <w:keepNext/>
              <w:keepLines/>
              <w:spacing w:before="0" w:after="0"/>
              <w:outlineLvl w:val="1"/>
              <w:rPr>
                <w:rFonts w:eastAsia="Times New Roman" w:cs="Calibri"/>
                <w:b/>
                <w:bCs/>
                <w:color w:val="000000"/>
                <w:lang w:val="en-GB"/>
              </w:rPr>
            </w:pPr>
            <w:bookmarkStart w:id="584" w:name="_Toc376198824"/>
            <w:r w:rsidRPr="006645DC">
              <w:rPr>
                <w:rFonts w:eastAsia="Times New Roman" w:cs="Calibri"/>
                <w:b/>
                <w:bCs/>
                <w:color w:val="000000"/>
                <w:lang w:val="en-GB"/>
              </w:rPr>
              <w:t>2008</w:t>
            </w:r>
            <w:bookmarkEnd w:id="584"/>
          </w:p>
        </w:tc>
        <w:tc>
          <w:tcPr>
            <w:tcW w:w="964" w:type="dxa"/>
            <w:tcBorders>
              <w:top w:val="nil"/>
              <w:left w:val="nil"/>
              <w:bottom w:val="single" w:sz="4" w:space="0" w:color="auto"/>
              <w:right w:val="single" w:sz="4" w:space="0" w:color="auto"/>
            </w:tcBorders>
            <w:shd w:val="clear" w:color="000000" w:fill="FFFFFF"/>
            <w:noWrap/>
            <w:vAlign w:val="center"/>
            <w:hideMark/>
          </w:tcPr>
          <w:p w14:paraId="0AA265FB"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85" w:name="_Toc376198825"/>
            <w:r w:rsidRPr="006645DC">
              <w:rPr>
                <w:rFonts w:eastAsia="Times New Roman" w:cs="Calibri"/>
                <w:color w:val="000000"/>
                <w:lang w:val="en-GB"/>
              </w:rPr>
              <w:t>2 112</w:t>
            </w:r>
            <w:bookmarkEnd w:id="585"/>
          </w:p>
        </w:tc>
        <w:tc>
          <w:tcPr>
            <w:tcW w:w="960" w:type="dxa"/>
            <w:tcBorders>
              <w:top w:val="nil"/>
              <w:left w:val="nil"/>
              <w:bottom w:val="single" w:sz="4" w:space="0" w:color="auto"/>
              <w:right w:val="single" w:sz="4" w:space="0" w:color="auto"/>
            </w:tcBorders>
            <w:shd w:val="clear" w:color="000000" w:fill="FFFFFF"/>
            <w:noWrap/>
            <w:vAlign w:val="center"/>
            <w:hideMark/>
          </w:tcPr>
          <w:p w14:paraId="132F0423"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86" w:name="_Toc376198826"/>
            <w:r w:rsidRPr="006645DC">
              <w:rPr>
                <w:rFonts w:eastAsia="Times New Roman" w:cs="Calibri"/>
                <w:color w:val="000000"/>
                <w:lang w:val="en-GB"/>
              </w:rPr>
              <w:t>38</w:t>
            </w:r>
            <w:bookmarkEnd w:id="586"/>
          </w:p>
        </w:tc>
        <w:tc>
          <w:tcPr>
            <w:tcW w:w="760" w:type="dxa"/>
            <w:tcBorders>
              <w:top w:val="nil"/>
              <w:left w:val="nil"/>
              <w:bottom w:val="single" w:sz="4" w:space="0" w:color="auto"/>
              <w:right w:val="single" w:sz="4" w:space="0" w:color="auto"/>
            </w:tcBorders>
            <w:shd w:val="clear" w:color="000000" w:fill="FFFFFF"/>
            <w:noWrap/>
            <w:vAlign w:val="center"/>
            <w:hideMark/>
          </w:tcPr>
          <w:p w14:paraId="0DBE5DCD"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87" w:name="_Toc376198827"/>
            <w:r w:rsidRPr="006645DC">
              <w:rPr>
                <w:rFonts w:eastAsia="Times New Roman" w:cs="Calibri"/>
                <w:color w:val="000000"/>
                <w:lang w:val="en-GB"/>
              </w:rPr>
              <w:t>59</w:t>
            </w:r>
            <w:bookmarkEnd w:id="587"/>
          </w:p>
        </w:tc>
        <w:tc>
          <w:tcPr>
            <w:tcW w:w="820" w:type="dxa"/>
            <w:tcBorders>
              <w:top w:val="nil"/>
              <w:left w:val="nil"/>
              <w:bottom w:val="single" w:sz="4" w:space="0" w:color="auto"/>
              <w:right w:val="single" w:sz="4" w:space="0" w:color="auto"/>
            </w:tcBorders>
            <w:shd w:val="clear" w:color="000000" w:fill="FFFFFF"/>
            <w:noWrap/>
            <w:vAlign w:val="center"/>
            <w:hideMark/>
          </w:tcPr>
          <w:p w14:paraId="5B2145F5"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88" w:name="_Toc376198828"/>
            <w:r w:rsidRPr="006645DC">
              <w:rPr>
                <w:rFonts w:eastAsia="Times New Roman" w:cs="Calibri"/>
                <w:color w:val="000000"/>
                <w:lang w:val="en-GB"/>
              </w:rPr>
              <w:t>2</w:t>
            </w:r>
            <w:bookmarkEnd w:id="588"/>
          </w:p>
        </w:tc>
        <w:tc>
          <w:tcPr>
            <w:tcW w:w="842" w:type="dxa"/>
            <w:tcBorders>
              <w:top w:val="nil"/>
              <w:left w:val="nil"/>
              <w:bottom w:val="single" w:sz="4" w:space="0" w:color="auto"/>
              <w:right w:val="single" w:sz="4" w:space="0" w:color="auto"/>
            </w:tcBorders>
            <w:shd w:val="clear" w:color="000000" w:fill="FFFFFF"/>
            <w:noWrap/>
            <w:vAlign w:val="center"/>
            <w:hideMark/>
          </w:tcPr>
          <w:p w14:paraId="2685A298"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89" w:name="_Toc376198829"/>
            <w:r w:rsidRPr="006645DC">
              <w:rPr>
                <w:rFonts w:eastAsia="Times New Roman" w:cs="Calibri"/>
                <w:color w:val="000000"/>
                <w:lang w:val="en-GB"/>
              </w:rPr>
              <w:t>40</w:t>
            </w:r>
            <w:bookmarkEnd w:id="589"/>
          </w:p>
        </w:tc>
        <w:tc>
          <w:tcPr>
            <w:tcW w:w="760" w:type="dxa"/>
            <w:tcBorders>
              <w:top w:val="nil"/>
              <w:left w:val="nil"/>
              <w:bottom w:val="single" w:sz="4" w:space="0" w:color="auto"/>
              <w:right w:val="single" w:sz="4" w:space="0" w:color="auto"/>
            </w:tcBorders>
            <w:shd w:val="clear" w:color="000000" w:fill="FFFFFF"/>
            <w:noWrap/>
            <w:vAlign w:val="center"/>
            <w:hideMark/>
          </w:tcPr>
          <w:p w14:paraId="6FBB6BD8"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90" w:name="_Toc376198830"/>
            <w:r w:rsidRPr="006645DC">
              <w:rPr>
                <w:rFonts w:eastAsia="Times New Roman" w:cs="Calibri"/>
                <w:color w:val="000000"/>
                <w:lang w:val="en-GB"/>
              </w:rPr>
              <w:t>135</w:t>
            </w:r>
            <w:bookmarkEnd w:id="590"/>
          </w:p>
        </w:tc>
        <w:tc>
          <w:tcPr>
            <w:tcW w:w="740" w:type="dxa"/>
            <w:tcBorders>
              <w:top w:val="nil"/>
              <w:left w:val="nil"/>
              <w:bottom w:val="single" w:sz="4" w:space="0" w:color="auto"/>
              <w:right w:val="single" w:sz="4" w:space="0" w:color="auto"/>
            </w:tcBorders>
            <w:shd w:val="clear" w:color="000000" w:fill="FFFFFF"/>
            <w:noWrap/>
            <w:vAlign w:val="center"/>
            <w:hideMark/>
          </w:tcPr>
          <w:p w14:paraId="04253A61"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91" w:name="_Toc376198831"/>
            <w:r w:rsidRPr="006645DC">
              <w:rPr>
                <w:rFonts w:eastAsia="Times New Roman" w:cs="Calibri"/>
                <w:color w:val="000000"/>
                <w:lang w:val="en-GB"/>
              </w:rPr>
              <w:t>105</w:t>
            </w:r>
            <w:bookmarkEnd w:id="591"/>
          </w:p>
        </w:tc>
        <w:tc>
          <w:tcPr>
            <w:tcW w:w="780" w:type="dxa"/>
            <w:tcBorders>
              <w:top w:val="nil"/>
              <w:left w:val="nil"/>
              <w:bottom w:val="single" w:sz="4" w:space="0" w:color="auto"/>
              <w:right w:val="single" w:sz="4" w:space="0" w:color="auto"/>
            </w:tcBorders>
            <w:shd w:val="clear" w:color="000000" w:fill="FFFFFF"/>
            <w:noWrap/>
            <w:vAlign w:val="center"/>
            <w:hideMark/>
          </w:tcPr>
          <w:p w14:paraId="233D46EC"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92" w:name="_Toc376198832"/>
            <w:r w:rsidRPr="006645DC">
              <w:rPr>
                <w:rFonts w:eastAsia="Times New Roman" w:cs="Calibri"/>
                <w:color w:val="000000"/>
                <w:lang w:val="en-GB"/>
              </w:rPr>
              <w:t>74</w:t>
            </w:r>
            <w:bookmarkEnd w:id="592"/>
          </w:p>
        </w:tc>
        <w:tc>
          <w:tcPr>
            <w:tcW w:w="1417" w:type="dxa"/>
            <w:tcBorders>
              <w:top w:val="nil"/>
              <w:left w:val="nil"/>
              <w:bottom w:val="single" w:sz="4" w:space="0" w:color="auto"/>
              <w:right w:val="single" w:sz="8" w:space="0" w:color="auto"/>
            </w:tcBorders>
            <w:shd w:val="clear" w:color="000000" w:fill="FFFFFF"/>
            <w:noWrap/>
            <w:vAlign w:val="center"/>
            <w:hideMark/>
          </w:tcPr>
          <w:p w14:paraId="00D6A19B" w14:textId="77777777" w:rsidR="008E2B43" w:rsidRPr="006645DC" w:rsidRDefault="008E2B43" w:rsidP="00BC027E">
            <w:pPr>
              <w:keepNext/>
              <w:keepLines/>
              <w:spacing w:before="0" w:after="0"/>
              <w:jc w:val="right"/>
              <w:outlineLvl w:val="1"/>
              <w:rPr>
                <w:rFonts w:eastAsia="Times New Roman" w:cs="Calibri"/>
                <w:b/>
                <w:color w:val="000000"/>
                <w:lang w:val="en-GB"/>
              </w:rPr>
            </w:pPr>
            <w:bookmarkStart w:id="593" w:name="_Toc376198833"/>
            <w:r w:rsidRPr="006645DC">
              <w:rPr>
                <w:rFonts w:eastAsia="Times New Roman" w:cs="Calibri"/>
                <w:b/>
                <w:color w:val="000000"/>
                <w:lang w:val="en-GB"/>
              </w:rPr>
              <w:t>490</w:t>
            </w:r>
            <w:bookmarkEnd w:id="593"/>
          </w:p>
        </w:tc>
      </w:tr>
      <w:tr w:rsidR="008E2B43" w:rsidRPr="006645DC" w14:paraId="032C5E29" w14:textId="77777777" w:rsidTr="00BC027E">
        <w:trPr>
          <w:trHeight w:val="270"/>
          <w:jc w:val="center"/>
        </w:trPr>
        <w:tc>
          <w:tcPr>
            <w:tcW w:w="740" w:type="dxa"/>
            <w:tcBorders>
              <w:top w:val="nil"/>
              <w:left w:val="single" w:sz="8" w:space="0" w:color="auto"/>
              <w:bottom w:val="single" w:sz="4" w:space="0" w:color="auto"/>
              <w:right w:val="single" w:sz="4" w:space="0" w:color="auto"/>
            </w:tcBorders>
            <w:shd w:val="clear" w:color="000000" w:fill="FFFFFF"/>
            <w:noWrap/>
            <w:vAlign w:val="center"/>
            <w:hideMark/>
          </w:tcPr>
          <w:p w14:paraId="09B32817" w14:textId="77777777" w:rsidR="008E2B43" w:rsidRPr="006645DC" w:rsidRDefault="008E2B43" w:rsidP="00BC027E">
            <w:pPr>
              <w:keepNext/>
              <w:keepLines/>
              <w:spacing w:before="0" w:after="0"/>
              <w:outlineLvl w:val="1"/>
              <w:rPr>
                <w:rFonts w:eastAsia="Times New Roman" w:cs="Calibri"/>
                <w:b/>
                <w:bCs/>
                <w:color w:val="000000"/>
                <w:lang w:val="en-GB"/>
              </w:rPr>
            </w:pPr>
            <w:bookmarkStart w:id="594" w:name="_Toc376198834"/>
            <w:r w:rsidRPr="006645DC">
              <w:rPr>
                <w:rFonts w:eastAsia="Times New Roman" w:cs="Calibri"/>
                <w:b/>
                <w:bCs/>
                <w:color w:val="000000"/>
                <w:lang w:val="en-GB"/>
              </w:rPr>
              <w:t>2009</w:t>
            </w:r>
            <w:bookmarkEnd w:id="594"/>
          </w:p>
        </w:tc>
        <w:tc>
          <w:tcPr>
            <w:tcW w:w="964" w:type="dxa"/>
            <w:tcBorders>
              <w:top w:val="nil"/>
              <w:left w:val="nil"/>
              <w:bottom w:val="single" w:sz="4" w:space="0" w:color="auto"/>
              <w:right w:val="single" w:sz="4" w:space="0" w:color="auto"/>
            </w:tcBorders>
            <w:shd w:val="clear" w:color="000000" w:fill="FFFFFF"/>
            <w:noWrap/>
            <w:vAlign w:val="center"/>
            <w:hideMark/>
          </w:tcPr>
          <w:p w14:paraId="3915C030"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95" w:name="_Toc376198835"/>
            <w:r w:rsidRPr="006645DC">
              <w:rPr>
                <w:rFonts w:eastAsia="Times New Roman" w:cs="Calibri"/>
                <w:color w:val="000000"/>
                <w:lang w:val="en-GB"/>
              </w:rPr>
              <w:t>19 039</w:t>
            </w:r>
            <w:bookmarkEnd w:id="595"/>
          </w:p>
        </w:tc>
        <w:tc>
          <w:tcPr>
            <w:tcW w:w="960" w:type="dxa"/>
            <w:tcBorders>
              <w:top w:val="nil"/>
              <w:left w:val="nil"/>
              <w:bottom w:val="single" w:sz="4" w:space="0" w:color="auto"/>
              <w:right w:val="single" w:sz="4" w:space="0" w:color="auto"/>
            </w:tcBorders>
            <w:shd w:val="clear" w:color="000000" w:fill="FFFFFF"/>
            <w:noWrap/>
            <w:vAlign w:val="center"/>
            <w:hideMark/>
          </w:tcPr>
          <w:p w14:paraId="127AD65E"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96" w:name="_Toc376198836"/>
            <w:r w:rsidRPr="006645DC">
              <w:rPr>
                <w:rFonts w:eastAsia="Times New Roman" w:cs="Calibri"/>
                <w:color w:val="000000"/>
                <w:lang w:val="en-GB"/>
              </w:rPr>
              <w:t>688</w:t>
            </w:r>
            <w:bookmarkEnd w:id="596"/>
          </w:p>
        </w:tc>
        <w:tc>
          <w:tcPr>
            <w:tcW w:w="760" w:type="dxa"/>
            <w:tcBorders>
              <w:top w:val="nil"/>
              <w:left w:val="nil"/>
              <w:bottom w:val="single" w:sz="4" w:space="0" w:color="auto"/>
              <w:right w:val="single" w:sz="4" w:space="0" w:color="auto"/>
            </w:tcBorders>
            <w:shd w:val="clear" w:color="000000" w:fill="FFFFFF"/>
            <w:noWrap/>
            <w:vAlign w:val="center"/>
            <w:hideMark/>
          </w:tcPr>
          <w:p w14:paraId="0D7EA154"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97" w:name="_Toc376198837"/>
            <w:r w:rsidRPr="006645DC">
              <w:rPr>
                <w:rFonts w:eastAsia="Times New Roman" w:cs="Calibri"/>
                <w:color w:val="000000"/>
                <w:lang w:val="en-GB"/>
              </w:rPr>
              <w:t>348</w:t>
            </w:r>
            <w:bookmarkEnd w:id="597"/>
          </w:p>
        </w:tc>
        <w:tc>
          <w:tcPr>
            <w:tcW w:w="820" w:type="dxa"/>
            <w:tcBorders>
              <w:top w:val="nil"/>
              <w:left w:val="nil"/>
              <w:bottom w:val="single" w:sz="4" w:space="0" w:color="auto"/>
              <w:right w:val="single" w:sz="4" w:space="0" w:color="auto"/>
            </w:tcBorders>
            <w:shd w:val="clear" w:color="000000" w:fill="FFFFFF"/>
            <w:noWrap/>
            <w:vAlign w:val="center"/>
            <w:hideMark/>
          </w:tcPr>
          <w:p w14:paraId="4DFFCA70"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98" w:name="_Toc376198838"/>
            <w:r w:rsidRPr="006645DC">
              <w:rPr>
                <w:rFonts w:eastAsia="Times New Roman" w:cs="Calibri"/>
                <w:color w:val="000000"/>
                <w:lang w:val="en-GB"/>
              </w:rPr>
              <w:t>170</w:t>
            </w:r>
            <w:bookmarkEnd w:id="598"/>
          </w:p>
        </w:tc>
        <w:tc>
          <w:tcPr>
            <w:tcW w:w="842" w:type="dxa"/>
            <w:tcBorders>
              <w:top w:val="nil"/>
              <w:left w:val="nil"/>
              <w:bottom w:val="single" w:sz="4" w:space="0" w:color="auto"/>
              <w:right w:val="single" w:sz="4" w:space="0" w:color="auto"/>
            </w:tcBorders>
            <w:shd w:val="clear" w:color="000000" w:fill="FFFFFF"/>
            <w:noWrap/>
            <w:vAlign w:val="center"/>
            <w:hideMark/>
          </w:tcPr>
          <w:p w14:paraId="690609FE"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599" w:name="_Toc376198839"/>
            <w:r w:rsidRPr="006645DC">
              <w:rPr>
                <w:rFonts w:eastAsia="Times New Roman" w:cs="Calibri"/>
                <w:color w:val="000000"/>
                <w:lang w:val="en-GB"/>
              </w:rPr>
              <w:t>305</w:t>
            </w:r>
            <w:bookmarkEnd w:id="599"/>
          </w:p>
        </w:tc>
        <w:tc>
          <w:tcPr>
            <w:tcW w:w="760" w:type="dxa"/>
            <w:tcBorders>
              <w:top w:val="nil"/>
              <w:left w:val="nil"/>
              <w:bottom w:val="single" w:sz="4" w:space="0" w:color="auto"/>
              <w:right w:val="single" w:sz="4" w:space="0" w:color="auto"/>
            </w:tcBorders>
            <w:shd w:val="clear" w:color="000000" w:fill="FFFFFF"/>
            <w:noWrap/>
            <w:vAlign w:val="center"/>
            <w:hideMark/>
          </w:tcPr>
          <w:p w14:paraId="27BA5747"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600" w:name="_Toc376198840"/>
            <w:r w:rsidRPr="006645DC">
              <w:rPr>
                <w:rFonts w:eastAsia="Times New Roman" w:cs="Calibri"/>
                <w:color w:val="000000"/>
                <w:lang w:val="en-GB"/>
              </w:rPr>
              <w:t>529</w:t>
            </w:r>
            <w:bookmarkEnd w:id="600"/>
          </w:p>
        </w:tc>
        <w:tc>
          <w:tcPr>
            <w:tcW w:w="740" w:type="dxa"/>
            <w:tcBorders>
              <w:top w:val="nil"/>
              <w:left w:val="nil"/>
              <w:bottom w:val="single" w:sz="4" w:space="0" w:color="auto"/>
              <w:right w:val="single" w:sz="4" w:space="0" w:color="auto"/>
            </w:tcBorders>
            <w:shd w:val="clear" w:color="000000" w:fill="FFFFFF"/>
            <w:noWrap/>
            <w:vAlign w:val="center"/>
            <w:hideMark/>
          </w:tcPr>
          <w:p w14:paraId="32B2F7E4"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601" w:name="_Toc376198841"/>
            <w:r w:rsidRPr="006645DC">
              <w:rPr>
                <w:rFonts w:eastAsia="Times New Roman" w:cs="Calibri"/>
                <w:color w:val="000000"/>
                <w:lang w:val="en-GB"/>
              </w:rPr>
              <w:t>553</w:t>
            </w:r>
            <w:bookmarkEnd w:id="601"/>
          </w:p>
        </w:tc>
        <w:tc>
          <w:tcPr>
            <w:tcW w:w="780" w:type="dxa"/>
            <w:tcBorders>
              <w:top w:val="nil"/>
              <w:left w:val="nil"/>
              <w:bottom w:val="single" w:sz="4" w:space="0" w:color="auto"/>
              <w:right w:val="single" w:sz="4" w:space="0" w:color="auto"/>
            </w:tcBorders>
            <w:shd w:val="clear" w:color="000000" w:fill="FFFFFF"/>
            <w:noWrap/>
            <w:vAlign w:val="center"/>
            <w:hideMark/>
          </w:tcPr>
          <w:p w14:paraId="16DCA90B" w14:textId="77777777" w:rsidR="008E2B43" w:rsidRPr="006645DC" w:rsidRDefault="008E2B43" w:rsidP="00BC027E">
            <w:pPr>
              <w:keepNext/>
              <w:keepLines/>
              <w:spacing w:before="0" w:after="0"/>
              <w:jc w:val="right"/>
              <w:outlineLvl w:val="1"/>
              <w:rPr>
                <w:rFonts w:eastAsia="Times New Roman" w:cs="Calibri"/>
                <w:color w:val="000000"/>
                <w:lang w:val="en-GB"/>
              </w:rPr>
            </w:pPr>
            <w:bookmarkStart w:id="602" w:name="_Toc376198842"/>
            <w:r w:rsidRPr="006645DC">
              <w:rPr>
                <w:rFonts w:eastAsia="Times New Roman" w:cs="Calibri"/>
                <w:color w:val="000000"/>
                <w:lang w:val="en-GB"/>
              </w:rPr>
              <w:t>277</w:t>
            </w:r>
            <w:bookmarkEnd w:id="602"/>
          </w:p>
        </w:tc>
        <w:tc>
          <w:tcPr>
            <w:tcW w:w="1417" w:type="dxa"/>
            <w:tcBorders>
              <w:top w:val="nil"/>
              <w:left w:val="nil"/>
              <w:bottom w:val="single" w:sz="4" w:space="0" w:color="auto"/>
              <w:right w:val="single" w:sz="8" w:space="0" w:color="auto"/>
            </w:tcBorders>
            <w:shd w:val="clear" w:color="000000" w:fill="FFFFFF"/>
            <w:noWrap/>
            <w:vAlign w:val="center"/>
            <w:hideMark/>
          </w:tcPr>
          <w:p w14:paraId="2A4DBBDA" w14:textId="77777777" w:rsidR="008E2B43" w:rsidRPr="006645DC" w:rsidRDefault="008E2B43" w:rsidP="00BC027E">
            <w:pPr>
              <w:keepNext/>
              <w:keepLines/>
              <w:spacing w:before="0" w:after="0"/>
              <w:jc w:val="right"/>
              <w:outlineLvl w:val="1"/>
              <w:rPr>
                <w:rFonts w:eastAsia="Times New Roman" w:cs="Calibri"/>
                <w:b/>
                <w:color w:val="000000"/>
                <w:lang w:val="en-GB"/>
              </w:rPr>
            </w:pPr>
            <w:bookmarkStart w:id="603" w:name="_Toc376198843"/>
            <w:r w:rsidRPr="006645DC">
              <w:rPr>
                <w:rFonts w:eastAsia="Times New Roman" w:cs="Calibri"/>
                <w:b/>
                <w:color w:val="000000"/>
                <w:lang w:val="en-GB"/>
              </w:rPr>
              <w:t>3 169</w:t>
            </w:r>
            <w:bookmarkEnd w:id="603"/>
          </w:p>
        </w:tc>
      </w:tr>
      <w:tr w:rsidR="008E2B43" w:rsidRPr="006645DC" w14:paraId="3609B40D" w14:textId="77777777" w:rsidTr="00BC027E">
        <w:trPr>
          <w:trHeight w:val="255"/>
          <w:jc w:val="center"/>
        </w:trPr>
        <w:tc>
          <w:tcPr>
            <w:tcW w:w="740" w:type="dxa"/>
            <w:tcBorders>
              <w:top w:val="nil"/>
              <w:left w:val="single" w:sz="8" w:space="0" w:color="auto"/>
              <w:bottom w:val="single" w:sz="4" w:space="0" w:color="auto"/>
              <w:right w:val="single" w:sz="4" w:space="0" w:color="auto"/>
            </w:tcBorders>
            <w:shd w:val="clear" w:color="000000" w:fill="FFFFFF"/>
            <w:noWrap/>
            <w:vAlign w:val="center"/>
            <w:hideMark/>
          </w:tcPr>
          <w:p w14:paraId="5824F4B4" w14:textId="77777777" w:rsidR="008E2B43" w:rsidRPr="006645DC" w:rsidRDefault="008E2B43" w:rsidP="00BC027E">
            <w:pPr>
              <w:keepNext/>
              <w:keepLines/>
              <w:spacing w:before="0" w:after="0"/>
              <w:outlineLvl w:val="1"/>
              <w:rPr>
                <w:rFonts w:eastAsia="Times New Roman" w:cs="Calibri"/>
                <w:b/>
                <w:bCs/>
                <w:color w:val="000000"/>
                <w:lang w:val="en-GB"/>
              </w:rPr>
            </w:pPr>
            <w:bookmarkStart w:id="604" w:name="_Toc376198844"/>
            <w:r w:rsidRPr="006645DC">
              <w:rPr>
                <w:rFonts w:eastAsia="Times New Roman" w:cs="Calibri"/>
                <w:b/>
                <w:bCs/>
                <w:color w:val="000000"/>
                <w:lang w:val="en-GB"/>
              </w:rPr>
              <w:t>2010</w:t>
            </w:r>
            <w:bookmarkEnd w:id="604"/>
          </w:p>
        </w:tc>
        <w:tc>
          <w:tcPr>
            <w:tcW w:w="964" w:type="dxa"/>
            <w:tcBorders>
              <w:top w:val="nil"/>
              <w:left w:val="nil"/>
              <w:bottom w:val="single" w:sz="4" w:space="0" w:color="auto"/>
              <w:right w:val="single" w:sz="4" w:space="0" w:color="auto"/>
            </w:tcBorders>
            <w:shd w:val="clear" w:color="000000" w:fill="FFFFFF"/>
            <w:noWrap/>
            <w:vAlign w:val="center"/>
            <w:hideMark/>
          </w:tcPr>
          <w:p w14:paraId="1CCC84DF" w14:textId="77777777" w:rsidR="008E2B43" w:rsidRPr="006645DC" w:rsidRDefault="008E2B43" w:rsidP="00BC027E">
            <w:pPr>
              <w:keepNext/>
              <w:keepLines/>
              <w:spacing w:before="0" w:after="0"/>
              <w:jc w:val="right"/>
              <w:outlineLvl w:val="1"/>
              <w:rPr>
                <w:rFonts w:eastAsia="Times New Roman" w:cs="Calibri"/>
                <w:lang w:val="en-GB"/>
              </w:rPr>
            </w:pPr>
            <w:bookmarkStart w:id="605" w:name="_Toc376198845"/>
            <w:r w:rsidRPr="006645DC">
              <w:rPr>
                <w:rFonts w:eastAsia="Times New Roman" w:cs="Calibri"/>
                <w:lang w:val="en-GB"/>
              </w:rPr>
              <w:t>27 708</w:t>
            </w:r>
            <w:bookmarkEnd w:id="605"/>
          </w:p>
        </w:tc>
        <w:tc>
          <w:tcPr>
            <w:tcW w:w="960" w:type="dxa"/>
            <w:tcBorders>
              <w:top w:val="nil"/>
              <w:left w:val="nil"/>
              <w:bottom w:val="single" w:sz="4" w:space="0" w:color="auto"/>
              <w:right w:val="single" w:sz="4" w:space="0" w:color="auto"/>
            </w:tcBorders>
            <w:shd w:val="clear" w:color="000000" w:fill="FFFFFF"/>
            <w:noWrap/>
            <w:vAlign w:val="center"/>
            <w:hideMark/>
          </w:tcPr>
          <w:p w14:paraId="6D122392" w14:textId="77777777" w:rsidR="008E2B43" w:rsidRPr="006645DC" w:rsidRDefault="008E2B43" w:rsidP="00BC027E">
            <w:pPr>
              <w:keepNext/>
              <w:keepLines/>
              <w:spacing w:before="0" w:after="0"/>
              <w:jc w:val="right"/>
              <w:outlineLvl w:val="1"/>
              <w:rPr>
                <w:rFonts w:eastAsia="Times New Roman" w:cs="Calibri"/>
                <w:lang w:val="en-GB"/>
              </w:rPr>
            </w:pPr>
            <w:bookmarkStart w:id="606" w:name="_Toc376198846"/>
            <w:r w:rsidRPr="006645DC">
              <w:rPr>
                <w:rFonts w:eastAsia="Times New Roman" w:cs="Calibri"/>
                <w:lang w:val="en-GB"/>
              </w:rPr>
              <w:t>964</w:t>
            </w:r>
            <w:bookmarkEnd w:id="606"/>
          </w:p>
        </w:tc>
        <w:tc>
          <w:tcPr>
            <w:tcW w:w="760" w:type="dxa"/>
            <w:tcBorders>
              <w:top w:val="nil"/>
              <w:left w:val="nil"/>
              <w:bottom w:val="single" w:sz="4" w:space="0" w:color="auto"/>
              <w:right w:val="single" w:sz="4" w:space="0" w:color="auto"/>
            </w:tcBorders>
            <w:shd w:val="clear" w:color="000000" w:fill="FFFFFF"/>
            <w:noWrap/>
            <w:vAlign w:val="center"/>
            <w:hideMark/>
          </w:tcPr>
          <w:p w14:paraId="6BEB7998" w14:textId="77777777" w:rsidR="008E2B43" w:rsidRPr="006645DC" w:rsidRDefault="008E2B43" w:rsidP="00BC027E">
            <w:pPr>
              <w:keepNext/>
              <w:keepLines/>
              <w:spacing w:before="0" w:after="0"/>
              <w:jc w:val="right"/>
              <w:outlineLvl w:val="1"/>
              <w:rPr>
                <w:rFonts w:eastAsia="Times New Roman" w:cs="Calibri"/>
                <w:lang w:val="en-GB"/>
              </w:rPr>
            </w:pPr>
            <w:bookmarkStart w:id="607" w:name="_Toc376198847"/>
            <w:r w:rsidRPr="006645DC">
              <w:rPr>
                <w:rFonts w:eastAsia="Times New Roman" w:cs="Calibri"/>
                <w:lang w:val="en-GB"/>
              </w:rPr>
              <w:t>258</w:t>
            </w:r>
            <w:bookmarkEnd w:id="607"/>
          </w:p>
        </w:tc>
        <w:tc>
          <w:tcPr>
            <w:tcW w:w="820" w:type="dxa"/>
            <w:tcBorders>
              <w:top w:val="nil"/>
              <w:left w:val="nil"/>
              <w:bottom w:val="single" w:sz="4" w:space="0" w:color="auto"/>
              <w:right w:val="single" w:sz="4" w:space="0" w:color="auto"/>
            </w:tcBorders>
            <w:shd w:val="clear" w:color="000000" w:fill="FFFFFF"/>
            <w:noWrap/>
            <w:vAlign w:val="center"/>
            <w:hideMark/>
          </w:tcPr>
          <w:p w14:paraId="43A4A93D" w14:textId="77777777" w:rsidR="008E2B43" w:rsidRPr="006645DC" w:rsidRDefault="008E2B43" w:rsidP="00BC027E">
            <w:pPr>
              <w:keepNext/>
              <w:keepLines/>
              <w:spacing w:before="0" w:after="0"/>
              <w:jc w:val="right"/>
              <w:outlineLvl w:val="1"/>
              <w:rPr>
                <w:rFonts w:eastAsia="Times New Roman" w:cs="Calibri"/>
                <w:lang w:val="en-GB"/>
              </w:rPr>
            </w:pPr>
            <w:bookmarkStart w:id="608" w:name="_Toc376198848"/>
            <w:r w:rsidRPr="006645DC">
              <w:rPr>
                <w:rFonts w:eastAsia="Times New Roman" w:cs="Calibri"/>
                <w:lang w:val="en-GB"/>
              </w:rPr>
              <w:t>270</w:t>
            </w:r>
            <w:bookmarkEnd w:id="608"/>
          </w:p>
        </w:tc>
        <w:tc>
          <w:tcPr>
            <w:tcW w:w="842" w:type="dxa"/>
            <w:tcBorders>
              <w:top w:val="nil"/>
              <w:left w:val="nil"/>
              <w:bottom w:val="single" w:sz="4" w:space="0" w:color="auto"/>
              <w:right w:val="single" w:sz="4" w:space="0" w:color="auto"/>
            </w:tcBorders>
            <w:shd w:val="clear" w:color="000000" w:fill="FFFFFF"/>
            <w:noWrap/>
            <w:vAlign w:val="center"/>
            <w:hideMark/>
          </w:tcPr>
          <w:p w14:paraId="1EFD6E17" w14:textId="77777777" w:rsidR="008E2B43" w:rsidRPr="006645DC" w:rsidRDefault="008E2B43" w:rsidP="00BC027E">
            <w:pPr>
              <w:keepNext/>
              <w:keepLines/>
              <w:spacing w:before="0" w:after="0"/>
              <w:jc w:val="right"/>
              <w:outlineLvl w:val="1"/>
              <w:rPr>
                <w:rFonts w:eastAsia="Times New Roman" w:cs="Calibri"/>
                <w:lang w:val="en-GB"/>
              </w:rPr>
            </w:pPr>
            <w:bookmarkStart w:id="609" w:name="_Toc376198849"/>
            <w:r w:rsidRPr="006645DC">
              <w:rPr>
                <w:rFonts w:eastAsia="Times New Roman" w:cs="Calibri"/>
                <w:lang w:val="en-GB"/>
              </w:rPr>
              <w:t>481</w:t>
            </w:r>
            <w:bookmarkEnd w:id="609"/>
          </w:p>
        </w:tc>
        <w:tc>
          <w:tcPr>
            <w:tcW w:w="760" w:type="dxa"/>
            <w:tcBorders>
              <w:top w:val="nil"/>
              <w:left w:val="nil"/>
              <w:bottom w:val="single" w:sz="4" w:space="0" w:color="auto"/>
              <w:right w:val="single" w:sz="4" w:space="0" w:color="auto"/>
            </w:tcBorders>
            <w:shd w:val="clear" w:color="000000" w:fill="FFFFFF"/>
            <w:noWrap/>
            <w:vAlign w:val="center"/>
            <w:hideMark/>
          </w:tcPr>
          <w:p w14:paraId="7B753587" w14:textId="77777777" w:rsidR="008E2B43" w:rsidRPr="006645DC" w:rsidRDefault="008E2B43" w:rsidP="00BC027E">
            <w:pPr>
              <w:keepNext/>
              <w:keepLines/>
              <w:spacing w:before="0" w:after="0"/>
              <w:jc w:val="right"/>
              <w:outlineLvl w:val="1"/>
              <w:rPr>
                <w:rFonts w:eastAsia="Times New Roman" w:cs="Calibri"/>
                <w:lang w:val="en-GB"/>
              </w:rPr>
            </w:pPr>
            <w:bookmarkStart w:id="610" w:name="_Toc376198850"/>
            <w:r w:rsidRPr="006645DC">
              <w:rPr>
                <w:rFonts w:eastAsia="Times New Roman" w:cs="Calibri"/>
                <w:lang w:val="en-GB"/>
              </w:rPr>
              <w:t>770</w:t>
            </w:r>
            <w:bookmarkEnd w:id="610"/>
          </w:p>
        </w:tc>
        <w:tc>
          <w:tcPr>
            <w:tcW w:w="740" w:type="dxa"/>
            <w:tcBorders>
              <w:top w:val="nil"/>
              <w:left w:val="nil"/>
              <w:bottom w:val="single" w:sz="4" w:space="0" w:color="auto"/>
              <w:right w:val="single" w:sz="4" w:space="0" w:color="auto"/>
            </w:tcBorders>
            <w:shd w:val="clear" w:color="000000" w:fill="FFFFFF"/>
            <w:noWrap/>
            <w:vAlign w:val="center"/>
            <w:hideMark/>
          </w:tcPr>
          <w:p w14:paraId="5A937FB1" w14:textId="77777777" w:rsidR="008E2B43" w:rsidRPr="006645DC" w:rsidRDefault="008E2B43" w:rsidP="00BC027E">
            <w:pPr>
              <w:keepNext/>
              <w:keepLines/>
              <w:spacing w:before="0" w:after="0"/>
              <w:jc w:val="right"/>
              <w:outlineLvl w:val="1"/>
              <w:rPr>
                <w:rFonts w:eastAsia="Times New Roman" w:cs="Calibri"/>
                <w:lang w:val="en-GB"/>
              </w:rPr>
            </w:pPr>
            <w:bookmarkStart w:id="611" w:name="_Toc376198851"/>
            <w:r w:rsidRPr="006645DC">
              <w:rPr>
                <w:rFonts w:eastAsia="Times New Roman" w:cs="Calibri"/>
                <w:lang w:val="en-GB"/>
              </w:rPr>
              <w:t>962</w:t>
            </w:r>
            <w:bookmarkEnd w:id="611"/>
          </w:p>
        </w:tc>
        <w:tc>
          <w:tcPr>
            <w:tcW w:w="780" w:type="dxa"/>
            <w:tcBorders>
              <w:top w:val="nil"/>
              <w:left w:val="nil"/>
              <w:bottom w:val="single" w:sz="4" w:space="0" w:color="auto"/>
              <w:right w:val="single" w:sz="4" w:space="0" w:color="auto"/>
            </w:tcBorders>
            <w:shd w:val="clear" w:color="000000" w:fill="FFFFFF"/>
            <w:noWrap/>
            <w:vAlign w:val="center"/>
            <w:hideMark/>
          </w:tcPr>
          <w:p w14:paraId="679688AF" w14:textId="77777777" w:rsidR="008E2B43" w:rsidRPr="006645DC" w:rsidRDefault="008E2B43" w:rsidP="00BC027E">
            <w:pPr>
              <w:keepNext/>
              <w:keepLines/>
              <w:spacing w:before="0" w:after="0"/>
              <w:jc w:val="right"/>
              <w:outlineLvl w:val="1"/>
              <w:rPr>
                <w:rFonts w:eastAsia="Times New Roman" w:cs="Calibri"/>
                <w:lang w:val="en-GB"/>
              </w:rPr>
            </w:pPr>
            <w:bookmarkStart w:id="612" w:name="_Toc376198852"/>
            <w:r w:rsidRPr="006645DC">
              <w:rPr>
                <w:rFonts w:eastAsia="Times New Roman" w:cs="Calibri"/>
                <w:lang w:val="en-GB"/>
              </w:rPr>
              <w:t>426</w:t>
            </w:r>
            <w:bookmarkEnd w:id="612"/>
          </w:p>
        </w:tc>
        <w:tc>
          <w:tcPr>
            <w:tcW w:w="1417" w:type="dxa"/>
            <w:tcBorders>
              <w:top w:val="nil"/>
              <w:left w:val="nil"/>
              <w:bottom w:val="single" w:sz="4" w:space="0" w:color="auto"/>
              <w:right w:val="single" w:sz="8" w:space="0" w:color="auto"/>
            </w:tcBorders>
            <w:shd w:val="clear" w:color="000000" w:fill="FFFFFF"/>
            <w:noWrap/>
            <w:vAlign w:val="center"/>
            <w:hideMark/>
          </w:tcPr>
          <w:p w14:paraId="1506842F" w14:textId="77777777" w:rsidR="008E2B43" w:rsidRPr="006645DC" w:rsidRDefault="008E2B43" w:rsidP="00BC027E">
            <w:pPr>
              <w:keepNext/>
              <w:keepLines/>
              <w:spacing w:before="0" w:after="0"/>
              <w:jc w:val="right"/>
              <w:outlineLvl w:val="1"/>
              <w:rPr>
                <w:rFonts w:eastAsia="Times New Roman" w:cs="Calibri"/>
                <w:b/>
                <w:lang w:val="en-GB"/>
              </w:rPr>
            </w:pPr>
            <w:bookmarkStart w:id="613" w:name="_Toc376198853"/>
            <w:r w:rsidRPr="006645DC">
              <w:rPr>
                <w:rFonts w:eastAsia="Times New Roman" w:cs="Calibri"/>
                <w:b/>
                <w:lang w:val="en-GB"/>
              </w:rPr>
              <w:t>5 078</w:t>
            </w:r>
            <w:bookmarkEnd w:id="613"/>
          </w:p>
        </w:tc>
      </w:tr>
      <w:tr w:rsidR="008E2B43" w:rsidRPr="006645DC" w14:paraId="2CCE7473" w14:textId="77777777" w:rsidTr="00BC027E">
        <w:trPr>
          <w:trHeight w:val="240"/>
          <w:jc w:val="center"/>
        </w:trPr>
        <w:tc>
          <w:tcPr>
            <w:tcW w:w="740" w:type="dxa"/>
            <w:tcBorders>
              <w:top w:val="nil"/>
              <w:left w:val="single" w:sz="8" w:space="0" w:color="auto"/>
              <w:bottom w:val="single" w:sz="8" w:space="0" w:color="auto"/>
              <w:right w:val="single" w:sz="4" w:space="0" w:color="auto"/>
            </w:tcBorders>
            <w:shd w:val="clear" w:color="000000" w:fill="FFFFFF"/>
            <w:noWrap/>
            <w:vAlign w:val="center"/>
            <w:hideMark/>
          </w:tcPr>
          <w:p w14:paraId="2D4D1A4F" w14:textId="77777777" w:rsidR="008E2B43" w:rsidRPr="006645DC" w:rsidRDefault="008E2B43" w:rsidP="00BC027E">
            <w:pPr>
              <w:keepNext/>
              <w:keepLines/>
              <w:spacing w:before="0" w:after="0"/>
              <w:outlineLvl w:val="1"/>
              <w:rPr>
                <w:rFonts w:eastAsia="Times New Roman" w:cs="Calibri"/>
                <w:b/>
                <w:bCs/>
                <w:color w:val="000000"/>
                <w:lang w:val="en-GB"/>
              </w:rPr>
            </w:pPr>
            <w:bookmarkStart w:id="614" w:name="_Toc376198854"/>
            <w:r w:rsidRPr="006645DC">
              <w:rPr>
                <w:rFonts w:eastAsia="Times New Roman" w:cs="Calibri"/>
                <w:b/>
                <w:bCs/>
                <w:color w:val="000000"/>
                <w:lang w:val="en-GB"/>
              </w:rPr>
              <w:t>2011</w:t>
            </w:r>
            <w:bookmarkEnd w:id="614"/>
          </w:p>
        </w:tc>
        <w:tc>
          <w:tcPr>
            <w:tcW w:w="964" w:type="dxa"/>
            <w:tcBorders>
              <w:top w:val="nil"/>
              <w:left w:val="nil"/>
              <w:bottom w:val="single" w:sz="8" w:space="0" w:color="auto"/>
              <w:right w:val="single" w:sz="4" w:space="0" w:color="auto"/>
            </w:tcBorders>
            <w:shd w:val="clear" w:color="000000" w:fill="FFFFFF"/>
            <w:noWrap/>
            <w:vAlign w:val="center"/>
            <w:hideMark/>
          </w:tcPr>
          <w:p w14:paraId="01F71C66" w14:textId="77777777" w:rsidR="008E2B43" w:rsidRPr="006645DC" w:rsidRDefault="008E2B43" w:rsidP="00BC027E">
            <w:pPr>
              <w:keepNext/>
              <w:keepLines/>
              <w:spacing w:before="0" w:after="0"/>
              <w:jc w:val="right"/>
              <w:outlineLvl w:val="1"/>
              <w:rPr>
                <w:rFonts w:eastAsia="Times New Roman" w:cs="Calibri"/>
                <w:lang w:val="en-GB"/>
              </w:rPr>
            </w:pPr>
            <w:bookmarkStart w:id="615" w:name="_Toc376198855"/>
            <w:r w:rsidRPr="006645DC">
              <w:rPr>
                <w:rFonts w:eastAsia="Times New Roman" w:cs="Calibri"/>
                <w:lang w:val="en-GB"/>
              </w:rPr>
              <w:t>9 517</w:t>
            </w:r>
            <w:bookmarkEnd w:id="615"/>
          </w:p>
        </w:tc>
        <w:tc>
          <w:tcPr>
            <w:tcW w:w="960" w:type="dxa"/>
            <w:tcBorders>
              <w:top w:val="nil"/>
              <w:left w:val="nil"/>
              <w:bottom w:val="single" w:sz="8" w:space="0" w:color="auto"/>
              <w:right w:val="single" w:sz="4" w:space="0" w:color="auto"/>
            </w:tcBorders>
            <w:shd w:val="clear" w:color="000000" w:fill="FFFFFF"/>
            <w:noWrap/>
            <w:vAlign w:val="center"/>
            <w:hideMark/>
          </w:tcPr>
          <w:p w14:paraId="0009246A" w14:textId="77777777" w:rsidR="008E2B43" w:rsidRPr="006645DC" w:rsidRDefault="008E2B43" w:rsidP="00BC027E">
            <w:pPr>
              <w:keepNext/>
              <w:keepLines/>
              <w:spacing w:before="0" w:after="0"/>
              <w:jc w:val="right"/>
              <w:outlineLvl w:val="1"/>
              <w:rPr>
                <w:rFonts w:eastAsia="Times New Roman" w:cs="Calibri"/>
                <w:lang w:val="en-GB"/>
              </w:rPr>
            </w:pPr>
            <w:bookmarkStart w:id="616" w:name="_Toc376198856"/>
            <w:r w:rsidRPr="006645DC">
              <w:rPr>
                <w:rFonts w:eastAsia="Times New Roman" w:cs="Calibri"/>
                <w:lang w:val="en-GB"/>
              </w:rPr>
              <w:t>333</w:t>
            </w:r>
            <w:bookmarkEnd w:id="616"/>
          </w:p>
        </w:tc>
        <w:tc>
          <w:tcPr>
            <w:tcW w:w="760" w:type="dxa"/>
            <w:tcBorders>
              <w:top w:val="nil"/>
              <w:left w:val="nil"/>
              <w:bottom w:val="single" w:sz="8" w:space="0" w:color="auto"/>
              <w:right w:val="single" w:sz="4" w:space="0" w:color="auto"/>
            </w:tcBorders>
            <w:shd w:val="clear" w:color="000000" w:fill="FFFFFF"/>
            <w:noWrap/>
            <w:vAlign w:val="center"/>
            <w:hideMark/>
          </w:tcPr>
          <w:p w14:paraId="79C6A231" w14:textId="77777777" w:rsidR="008E2B43" w:rsidRPr="006645DC" w:rsidRDefault="008E2B43" w:rsidP="00BC027E">
            <w:pPr>
              <w:keepNext/>
              <w:keepLines/>
              <w:spacing w:before="0" w:after="0"/>
              <w:jc w:val="right"/>
              <w:outlineLvl w:val="1"/>
              <w:rPr>
                <w:rFonts w:eastAsia="Times New Roman" w:cs="Calibri"/>
                <w:lang w:val="en-GB"/>
              </w:rPr>
            </w:pPr>
            <w:bookmarkStart w:id="617" w:name="_Toc376198857"/>
            <w:r w:rsidRPr="006645DC">
              <w:rPr>
                <w:rFonts w:eastAsia="Times New Roman" w:cs="Calibri"/>
                <w:lang w:val="en-GB"/>
              </w:rPr>
              <w:t>71</w:t>
            </w:r>
            <w:bookmarkEnd w:id="617"/>
          </w:p>
        </w:tc>
        <w:tc>
          <w:tcPr>
            <w:tcW w:w="820" w:type="dxa"/>
            <w:tcBorders>
              <w:top w:val="nil"/>
              <w:left w:val="nil"/>
              <w:bottom w:val="single" w:sz="8" w:space="0" w:color="auto"/>
              <w:right w:val="single" w:sz="4" w:space="0" w:color="auto"/>
            </w:tcBorders>
            <w:shd w:val="clear" w:color="000000" w:fill="FFFFFF"/>
            <w:noWrap/>
            <w:vAlign w:val="center"/>
            <w:hideMark/>
          </w:tcPr>
          <w:p w14:paraId="54491EAA" w14:textId="77777777" w:rsidR="008E2B43" w:rsidRPr="006645DC" w:rsidRDefault="008E2B43" w:rsidP="00BC027E">
            <w:pPr>
              <w:keepNext/>
              <w:keepLines/>
              <w:spacing w:before="0" w:after="0"/>
              <w:jc w:val="right"/>
              <w:outlineLvl w:val="1"/>
              <w:rPr>
                <w:rFonts w:eastAsia="Times New Roman" w:cs="Calibri"/>
                <w:lang w:val="en-GB"/>
              </w:rPr>
            </w:pPr>
            <w:bookmarkStart w:id="618" w:name="_Toc376198858"/>
            <w:r w:rsidRPr="006645DC">
              <w:rPr>
                <w:rFonts w:eastAsia="Times New Roman" w:cs="Calibri"/>
                <w:lang w:val="en-GB"/>
              </w:rPr>
              <w:t>81</w:t>
            </w:r>
            <w:bookmarkEnd w:id="618"/>
          </w:p>
        </w:tc>
        <w:tc>
          <w:tcPr>
            <w:tcW w:w="842" w:type="dxa"/>
            <w:tcBorders>
              <w:top w:val="nil"/>
              <w:left w:val="nil"/>
              <w:bottom w:val="single" w:sz="8" w:space="0" w:color="auto"/>
              <w:right w:val="single" w:sz="4" w:space="0" w:color="auto"/>
            </w:tcBorders>
            <w:shd w:val="clear" w:color="000000" w:fill="FFFFFF"/>
            <w:noWrap/>
            <w:vAlign w:val="center"/>
            <w:hideMark/>
          </w:tcPr>
          <w:p w14:paraId="142A4C2F" w14:textId="77777777" w:rsidR="008E2B43" w:rsidRPr="006645DC" w:rsidRDefault="008E2B43" w:rsidP="00BC027E">
            <w:pPr>
              <w:keepNext/>
              <w:keepLines/>
              <w:spacing w:before="0" w:after="0"/>
              <w:jc w:val="right"/>
              <w:outlineLvl w:val="1"/>
              <w:rPr>
                <w:rFonts w:eastAsia="Times New Roman" w:cs="Calibri"/>
                <w:lang w:val="en-GB"/>
              </w:rPr>
            </w:pPr>
            <w:bookmarkStart w:id="619" w:name="_Toc376198859"/>
            <w:r w:rsidRPr="006645DC">
              <w:rPr>
                <w:rFonts w:eastAsia="Times New Roman" w:cs="Calibri"/>
                <w:lang w:val="en-GB"/>
              </w:rPr>
              <w:t>213</w:t>
            </w:r>
            <w:bookmarkEnd w:id="619"/>
          </w:p>
        </w:tc>
        <w:tc>
          <w:tcPr>
            <w:tcW w:w="760" w:type="dxa"/>
            <w:tcBorders>
              <w:top w:val="nil"/>
              <w:left w:val="nil"/>
              <w:bottom w:val="single" w:sz="8" w:space="0" w:color="auto"/>
              <w:right w:val="single" w:sz="4" w:space="0" w:color="auto"/>
            </w:tcBorders>
            <w:shd w:val="clear" w:color="000000" w:fill="FFFFFF"/>
            <w:noWrap/>
            <w:vAlign w:val="center"/>
            <w:hideMark/>
          </w:tcPr>
          <w:p w14:paraId="35B9542F" w14:textId="77777777" w:rsidR="008E2B43" w:rsidRPr="006645DC" w:rsidRDefault="008E2B43" w:rsidP="00BC027E">
            <w:pPr>
              <w:keepNext/>
              <w:keepLines/>
              <w:spacing w:before="0" w:after="0"/>
              <w:jc w:val="right"/>
              <w:outlineLvl w:val="1"/>
              <w:rPr>
                <w:rFonts w:eastAsia="Times New Roman" w:cs="Calibri"/>
                <w:lang w:val="en-GB"/>
              </w:rPr>
            </w:pPr>
            <w:bookmarkStart w:id="620" w:name="_Toc376198860"/>
            <w:r w:rsidRPr="006645DC">
              <w:rPr>
                <w:rFonts w:eastAsia="Times New Roman" w:cs="Calibri"/>
                <w:lang w:val="en-GB"/>
              </w:rPr>
              <w:t>280</w:t>
            </w:r>
            <w:bookmarkEnd w:id="620"/>
          </w:p>
        </w:tc>
        <w:tc>
          <w:tcPr>
            <w:tcW w:w="740" w:type="dxa"/>
            <w:tcBorders>
              <w:top w:val="nil"/>
              <w:left w:val="nil"/>
              <w:bottom w:val="single" w:sz="8" w:space="0" w:color="auto"/>
              <w:right w:val="single" w:sz="4" w:space="0" w:color="auto"/>
            </w:tcBorders>
            <w:shd w:val="clear" w:color="000000" w:fill="FFFFFF"/>
            <w:noWrap/>
            <w:vAlign w:val="center"/>
            <w:hideMark/>
          </w:tcPr>
          <w:p w14:paraId="21DF4FE4" w14:textId="77777777" w:rsidR="008E2B43" w:rsidRPr="006645DC" w:rsidRDefault="008E2B43" w:rsidP="00BC027E">
            <w:pPr>
              <w:keepNext/>
              <w:keepLines/>
              <w:spacing w:before="0" w:after="0"/>
              <w:jc w:val="right"/>
              <w:outlineLvl w:val="1"/>
              <w:rPr>
                <w:rFonts w:eastAsia="Times New Roman" w:cs="Calibri"/>
                <w:lang w:val="en-GB"/>
              </w:rPr>
            </w:pPr>
            <w:bookmarkStart w:id="621" w:name="_Toc376198861"/>
            <w:r w:rsidRPr="006645DC">
              <w:rPr>
                <w:rFonts w:eastAsia="Times New Roman" w:cs="Calibri"/>
                <w:lang w:val="en-GB"/>
              </w:rPr>
              <w:t>365</w:t>
            </w:r>
            <w:bookmarkEnd w:id="621"/>
          </w:p>
        </w:tc>
        <w:tc>
          <w:tcPr>
            <w:tcW w:w="780" w:type="dxa"/>
            <w:tcBorders>
              <w:top w:val="nil"/>
              <w:left w:val="nil"/>
              <w:bottom w:val="single" w:sz="8" w:space="0" w:color="auto"/>
              <w:right w:val="single" w:sz="4" w:space="0" w:color="auto"/>
            </w:tcBorders>
            <w:shd w:val="clear" w:color="000000" w:fill="FFFFFF"/>
            <w:noWrap/>
            <w:vAlign w:val="center"/>
            <w:hideMark/>
          </w:tcPr>
          <w:p w14:paraId="0F0895E1" w14:textId="77777777" w:rsidR="008E2B43" w:rsidRPr="006645DC" w:rsidRDefault="008E2B43" w:rsidP="00BC027E">
            <w:pPr>
              <w:keepNext/>
              <w:keepLines/>
              <w:spacing w:before="0" w:after="0"/>
              <w:jc w:val="right"/>
              <w:outlineLvl w:val="1"/>
              <w:rPr>
                <w:rFonts w:eastAsia="Times New Roman" w:cs="Calibri"/>
                <w:lang w:val="en-GB"/>
              </w:rPr>
            </w:pPr>
            <w:bookmarkStart w:id="622" w:name="_Toc376198862"/>
            <w:r w:rsidRPr="006645DC">
              <w:rPr>
                <w:rFonts w:eastAsia="Times New Roman" w:cs="Calibri"/>
                <w:lang w:val="en-GB"/>
              </w:rPr>
              <w:t>149</w:t>
            </w:r>
            <w:bookmarkEnd w:id="622"/>
          </w:p>
        </w:tc>
        <w:tc>
          <w:tcPr>
            <w:tcW w:w="1417" w:type="dxa"/>
            <w:tcBorders>
              <w:top w:val="nil"/>
              <w:left w:val="nil"/>
              <w:bottom w:val="single" w:sz="8" w:space="0" w:color="auto"/>
              <w:right w:val="single" w:sz="8" w:space="0" w:color="auto"/>
            </w:tcBorders>
            <w:shd w:val="clear" w:color="000000" w:fill="FFFFFF"/>
            <w:noWrap/>
            <w:vAlign w:val="center"/>
            <w:hideMark/>
          </w:tcPr>
          <w:p w14:paraId="576A871E" w14:textId="77777777" w:rsidR="008E2B43" w:rsidRPr="006645DC" w:rsidRDefault="008E2B43" w:rsidP="00BC027E">
            <w:pPr>
              <w:keepNext/>
              <w:keepLines/>
              <w:spacing w:before="0" w:after="0"/>
              <w:jc w:val="right"/>
              <w:outlineLvl w:val="1"/>
              <w:rPr>
                <w:rFonts w:eastAsia="Times New Roman" w:cs="Calibri"/>
                <w:b/>
                <w:lang w:val="en-GB"/>
              </w:rPr>
            </w:pPr>
            <w:bookmarkStart w:id="623" w:name="_Toc376198863"/>
            <w:r w:rsidRPr="006645DC">
              <w:rPr>
                <w:rFonts w:eastAsia="Times New Roman" w:cs="Calibri"/>
                <w:b/>
                <w:lang w:val="en-GB"/>
              </w:rPr>
              <w:t>1 926</w:t>
            </w:r>
            <w:bookmarkEnd w:id="623"/>
          </w:p>
        </w:tc>
      </w:tr>
    </w:tbl>
    <w:p w14:paraId="07561E7F" w14:textId="77777777" w:rsidR="00A24688" w:rsidRPr="006645DC" w:rsidRDefault="00A24688" w:rsidP="00A24688">
      <w:pPr>
        <w:pStyle w:val="Caption"/>
        <w:rPr>
          <w:rFonts w:eastAsia="MS Gothic"/>
          <w:lang w:val="en-GB"/>
        </w:rPr>
      </w:pPr>
      <w:bookmarkStart w:id="624" w:name="_Toc391150118"/>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21</w:t>
      </w:r>
      <w:r w:rsidR="005979EB" w:rsidRPr="006645DC">
        <w:rPr>
          <w:lang w:val="en-GB"/>
        </w:rPr>
        <w:fldChar w:fldCharType="end"/>
      </w:r>
      <w:r w:rsidRPr="006645DC">
        <w:rPr>
          <w:lang w:val="en-GB"/>
        </w:rPr>
        <w:t xml:space="preserve"> - </w:t>
      </w:r>
      <w:r w:rsidR="008E2B43" w:rsidRPr="006645DC">
        <w:rPr>
          <w:rFonts w:eastAsia="MS Gothic"/>
          <w:lang w:val="en-GB"/>
        </w:rPr>
        <w:t>Foreign migration in the cross-border region of Bulgaria</w:t>
      </w:r>
      <w:bookmarkEnd w:id="624"/>
    </w:p>
    <w:p w14:paraId="6461B382" w14:textId="34312351" w:rsidR="008E2B43" w:rsidRPr="00625139" w:rsidRDefault="008E2B43" w:rsidP="00625139">
      <w:pPr>
        <w:keepNext/>
        <w:keepLines/>
        <w:jc w:val="right"/>
        <w:outlineLvl w:val="3"/>
        <w:rPr>
          <w:rFonts w:eastAsia="MS Gothic"/>
          <w:bCs/>
          <w:i/>
          <w:iCs/>
          <w:sz w:val="18"/>
          <w:lang w:val="en-GB"/>
        </w:rPr>
      </w:pPr>
      <w:r w:rsidRPr="006645DC">
        <w:rPr>
          <w:rFonts w:eastAsia="MS Gothic"/>
          <w:bCs/>
          <w:i/>
          <w:iCs/>
          <w:sz w:val="18"/>
          <w:lang w:val="en-GB"/>
        </w:rPr>
        <w:t>Source: National Sta</w:t>
      </w:r>
      <w:r w:rsidR="00625139">
        <w:rPr>
          <w:rFonts w:eastAsia="MS Gothic"/>
          <w:bCs/>
          <w:i/>
          <w:iCs/>
          <w:sz w:val="18"/>
          <w:lang w:val="en-GB"/>
        </w:rPr>
        <w:t xml:space="preserve">tistical Institute of Bulgaria </w:t>
      </w:r>
    </w:p>
    <w:p w14:paraId="1330624A" w14:textId="77777777" w:rsidR="008E2B43" w:rsidRPr="006645DC" w:rsidRDefault="008E2B43" w:rsidP="00A24688">
      <w:pPr>
        <w:rPr>
          <w:lang w:val="en-GB"/>
        </w:rPr>
      </w:pPr>
      <w:r w:rsidRPr="006645DC">
        <w:rPr>
          <w:lang w:val="en-GB"/>
        </w:rPr>
        <w:t xml:space="preserve">The immigration trend to Bulgaria is low. This trend is even lower in the cross-border region. The exceptions represent the districts of Veliko Turnovo and Dobrich, with a peak in 2007-2009. </w:t>
      </w:r>
    </w:p>
    <w:p w14:paraId="42375F1D" w14:textId="77777777" w:rsidR="008E2B43" w:rsidRPr="006645DC" w:rsidRDefault="008E2B43" w:rsidP="00492077">
      <w:pPr>
        <w:pStyle w:val="Heading3"/>
        <w:rPr>
          <w:lang w:val="en-GB"/>
        </w:rPr>
      </w:pPr>
      <w:bookmarkStart w:id="625" w:name="_Toc254543788"/>
      <w:r w:rsidRPr="006645DC">
        <w:rPr>
          <w:lang w:val="en-GB"/>
        </w:rPr>
        <w:t>Ethnic make-up</w:t>
      </w:r>
      <w:bookmarkEnd w:id="625"/>
    </w:p>
    <w:p w14:paraId="6148B825" w14:textId="77777777" w:rsidR="008E2B43" w:rsidRPr="006645DC" w:rsidRDefault="008E2B43" w:rsidP="00A24688">
      <w:pPr>
        <w:rPr>
          <w:lang w:val="en-GB"/>
        </w:rPr>
      </w:pPr>
      <w:r w:rsidRPr="006645DC">
        <w:rPr>
          <w:lang w:val="en-GB"/>
        </w:rPr>
        <w:t xml:space="preserve">An important aspect is the ethnic mix within the counties and districts of the Cross Border area. The population of the Bulgarian districts is more ethnically diverse than the one in the Romanian counties. In the cross-border area, there are two types of ethnic minority: the ones that are geographically localised in some of the counties/districts as in the case of the Turkish minority in Silistra, Dobrich, Ruse on the Bulgarian side and in Constanta on the Romanian side; and the ones that are present everywhere in a more or less important numbers as the Roma minority in all the counties/districts from both sides of the border. </w:t>
      </w:r>
    </w:p>
    <w:p w14:paraId="393A42ED" w14:textId="0607D32F" w:rsidR="001E3B84" w:rsidRPr="006645DC" w:rsidRDefault="008E2B43" w:rsidP="001E3B84">
      <w:pPr>
        <w:rPr>
          <w:lang w:val="en-GB"/>
        </w:rPr>
      </w:pPr>
      <w:r w:rsidRPr="006645DC">
        <w:rPr>
          <w:lang w:val="en-GB"/>
        </w:rPr>
        <w:t>All the territory includes important Roma minorities, an important aspect to take into account for public policy/intervention planning in order to provide special attention to the high risks of poverty and social exclusion of</w:t>
      </w:r>
      <w:r w:rsidR="00625139">
        <w:rPr>
          <w:lang w:val="en-GB"/>
        </w:rPr>
        <w:t xml:space="preserve"> the members of this minority. </w:t>
      </w:r>
    </w:p>
    <w:tbl>
      <w:tblPr>
        <w:tblW w:w="8053" w:type="dxa"/>
        <w:jc w:val="center"/>
        <w:tblLayout w:type="fixed"/>
        <w:tblLook w:val="00A0" w:firstRow="1" w:lastRow="0" w:firstColumn="1" w:lastColumn="0" w:noHBand="0" w:noVBand="0"/>
      </w:tblPr>
      <w:tblGrid>
        <w:gridCol w:w="2289"/>
        <w:gridCol w:w="1277"/>
        <w:gridCol w:w="1081"/>
        <w:gridCol w:w="1081"/>
        <w:gridCol w:w="1021"/>
        <w:gridCol w:w="1304"/>
      </w:tblGrid>
      <w:tr w:rsidR="008E2B43" w:rsidRPr="006645DC" w14:paraId="584EEA7A" w14:textId="77777777" w:rsidTr="00A24688">
        <w:trPr>
          <w:trHeight w:val="645"/>
          <w:jc w:val="center"/>
        </w:trPr>
        <w:tc>
          <w:tcPr>
            <w:tcW w:w="2289" w:type="dxa"/>
            <w:tcBorders>
              <w:top w:val="single" w:sz="8" w:space="0" w:color="auto"/>
              <w:left w:val="single" w:sz="8" w:space="0" w:color="auto"/>
              <w:bottom w:val="single" w:sz="8" w:space="0" w:color="auto"/>
              <w:right w:val="single" w:sz="4" w:space="0" w:color="auto"/>
            </w:tcBorders>
            <w:shd w:val="clear" w:color="000000" w:fill="D8D8D8"/>
            <w:vAlign w:val="center"/>
          </w:tcPr>
          <w:p w14:paraId="0B263E9D" w14:textId="77777777" w:rsidR="008E2B43" w:rsidRPr="006645DC" w:rsidRDefault="008E2B43" w:rsidP="00A24688">
            <w:pPr>
              <w:spacing w:before="0" w:after="0" w:line="280" w:lineRule="auto"/>
              <w:jc w:val="center"/>
              <w:rPr>
                <w:rFonts w:cs="Calibri"/>
                <w:b/>
                <w:lang w:val="en-GB"/>
              </w:rPr>
            </w:pPr>
            <w:r w:rsidRPr="006645DC">
              <w:rPr>
                <w:rFonts w:cs="Calibri"/>
                <w:b/>
                <w:lang w:val="en-GB"/>
              </w:rPr>
              <w:t>District</w:t>
            </w:r>
          </w:p>
        </w:tc>
        <w:tc>
          <w:tcPr>
            <w:tcW w:w="1277" w:type="dxa"/>
            <w:tcBorders>
              <w:top w:val="single" w:sz="8" w:space="0" w:color="auto"/>
              <w:left w:val="nil"/>
              <w:bottom w:val="single" w:sz="8" w:space="0" w:color="auto"/>
              <w:right w:val="single" w:sz="4" w:space="0" w:color="auto"/>
            </w:tcBorders>
            <w:shd w:val="clear" w:color="000000" w:fill="D8D8D8"/>
            <w:vAlign w:val="center"/>
          </w:tcPr>
          <w:p w14:paraId="553CCF92" w14:textId="77777777" w:rsidR="008E2B43" w:rsidRPr="006645DC" w:rsidRDefault="008E2B43" w:rsidP="00A24688">
            <w:pPr>
              <w:spacing w:before="0" w:after="0" w:line="280" w:lineRule="auto"/>
              <w:jc w:val="center"/>
              <w:rPr>
                <w:rFonts w:cs="Calibri"/>
                <w:b/>
                <w:lang w:val="en-GB"/>
              </w:rPr>
            </w:pPr>
            <w:r w:rsidRPr="006645DC">
              <w:rPr>
                <w:rFonts w:cs="Calibri"/>
                <w:b/>
                <w:lang w:val="en-GB"/>
              </w:rPr>
              <w:t>Bulgarians</w:t>
            </w:r>
          </w:p>
        </w:tc>
        <w:tc>
          <w:tcPr>
            <w:tcW w:w="1081" w:type="dxa"/>
            <w:tcBorders>
              <w:top w:val="single" w:sz="8" w:space="0" w:color="auto"/>
              <w:left w:val="nil"/>
              <w:bottom w:val="single" w:sz="8" w:space="0" w:color="auto"/>
              <w:right w:val="single" w:sz="4" w:space="0" w:color="auto"/>
            </w:tcBorders>
            <w:shd w:val="clear" w:color="000000" w:fill="D8D8D8"/>
            <w:vAlign w:val="center"/>
          </w:tcPr>
          <w:p w14:paraId="18F3F945" w14:textId="77777777" w:rsidR="008E2B43" w:rsidRPr="006645DC" w:rsidRDefault="008E2B43" w:rsidP="00A24688">
            <w:pPr>
              <w:spacing w:before="0" w:after="0" w:line="280" w:lineRule="auto"/>
              <w:jc w:val="center"/>
              <w:rPr>
                <w:rFonts w:cs="Calibri"/>
                <w:b/>
                <w:lang w:val="en-GB"/>
              </w:rPr>
            </w:pPr>
            <w:r w:rsidRPr="006645DC">
              <w:rPr>
                <w:rFonts w:cs="Calibri"/>
                <w:b/>
                <w:lang w:val="en-GB"/>
              </w:rPr>
              <w:t>Turkish</w:t>
            </w:r>
          </w:p>
        </w:tc>
        <w:tc>
          <w:tcPr>
            <w:tcW w:w="1081" w:type="dxa"/>
            <w:tcBorders>
              <w:top w:val="single" w:sz="8" w:space="0" w:color="auto"/>
              <w:left w:val="nil"/>
              <w:bottom w:val="single" w:sz="8" w:space="0" w:color="auto"/>
              <w:right w:val="single" w:sz="4" w:space="0" w:color="auto"/>
            </w:tcBorders>
            <w:shd w:val="clear" w:color="000000" w:fill="D8D8D8"/>
            <w:vAlign w:val="center"/>
          </w:tcPr>
          <w:p w14:paraId="62AE8EC0" w14:textId="77777777" w:rsidR="008E2B43" w:rsidRPr="006645DC" w:rsidRDefault="008E2B43" w:rsidP="00A24688">
            <w:pPr>
              <w:spacing w:before="0" w:after="0" w:line="280" w:lineRule="auto"/>
              <w:jc w:val="center"/>
              <w:rPr>
                <w:rFonts w:cs="Calibri"/>
                <w:b/>
                <w:lang w:val="en-GB"/>
              </w:rPr>
            </w:pPr>
            <w:r w:rsidRPr="006645DC">
              <w:rPr>
                <w:rFonts w:cs="Calibri"/>
                <w:b/>
                <w:lang w:val="en-GB"/>
              </w:rPr>
              <w:t>Roma</w:t>
            </w:r>
          </w:p>
        </w:tc>
        <w:tc>
          <w:tcPr>
            <w:tcW w:w="1021" w:type="dxa"/>
            <w:tcBorders>
              <w:top w:val="single" w:sz="8" w:space="0" w:color="auto"/>
              <w:left w:val="nil"/>
              <w:bottom w:val="single" w:sz="8" w:space="0" w:color="auto"/>
              <w:right w:val="single" w:sz="4" w:space="0" w:color="auto"/>
            </w:tcBorders>
            <w:shd w:val="clear" w:color="000000" w:fill="D8D8D8"/>
            <w:vAlign w:val="center"/>
          </w:tcPr>
          <w:p w14:paraId="5DA74EEA" w14:textId="77777777" w:rsidR="008E2B43" w:rsidRPr="006645DC" w:rsidRDefault="008E2B43" w:rsidP="00A24688">
            <w:pPr>
              <w:spacing w:before="0" w:after="0" w:line="280" w:lineRule="auto"/>
              <w:jc w:val="center"/>
              <w:rPr>
                <w:rFonts w:cs="Calibri"/>
                <w:b/>
                <w:lang w:val="en-GB"/>
              </w:rPr>
            </w:pPr>
            <w:r w:rsidRPr="006645DC">
              <w:rPr>
                <w:rFonts w:cs="Calibri"/>
                <w:b/>
                <w:lang w:val="en-GB"/>
              </w:rPr>
              <w:t>Other</w:t>
            </w:r>
          </w:p>
        </w:tc>
        <w:tc>
          <w:tcPr>
            <w:tcW w:w="1304" w:type="dxa"/>
            <w:tcBorders>
              <w:top w:val="single" w:sz="8" w:space="0" w:color="auto"/>
              <w:left w:val="nil"/>
              <w:bottom w:val="single" w:sz="8" w:space="0" w:color="auto"/>
              <w:right w:val="single" w:sz="8" w:space="0" w:color="auto"/>
            </w:tcBorders>
            <w:shd w:val="clear" w:color="000000" w:fill="D8D8D8"/>
            <w:vAlign w:val="center"/>
          </w:tcPr>
          <w:p w14:paraId="768B47D0" w14:textId="77777777" w:rsidR="008E2B43" w:rsidRPr="006645DC" w:rsidRDefault="008E2B43" w:rsidP="00A24688">
            <w:pPr>
              <w:spacing w:before="0" w:after="0" w:line="280" w:lineRule="auto"/>
              <w:jc w:val="center"/>
              <w:rPr>
                <w:rFonts w:cs="Calibri"/>
                <w:b/>
                <w:lang w:val="en-GB"/>
              </w:rPr>
            </w:pPr>
            <w:r w:rsidRPr="006645DC">
              <w:rPr>
                <w:rFonts w:cs="Calibri"/>
                <w:b/>
                <w:lang w:val="en-GB"/>
              </w:rPr>
              <w:t>Not self -  determined</w:t>
            </w:r>
          </w:p>
        </w:tc>
      </w:tr>
      <w:tr w:rsidR="008E2B43" w:rsidRPr="006645DC" w14:paraId="219AE040" w14:textId="77777777" w:rsidTr="00BC027E">
        <w:trPr>
          <w:trHeight w:val="300"/>
          <w:jc w:val="center"/>
        </w:trPr>
        <w:tc>
          <w:tcPr>
            <w:tcW w:w="2289" w:type="dxa"/>
            <w:tcBorders>
              <w:top w:val="nil"/>
              <w:left w:val="single" w:sz="8" w:space="0" w:color="auto"/>
              <w:bottom w:val="single" w:sz="4" w:space="0" w:color="auto"/>
              <w:right w:val="single" w:sz="4" w:space="0" w:color="auto"/>
            </w:tcBorders>
            <w:shd w:val="clear" w:color="000000" w:fill="FFFFFF"/>
            <w:noWrap/>
            <w:vAlign w:val="center"/>
          </w:tcPr>
          <w:p w14:paraId="66862428" w14:textId="77777777" w:rsidR="008E2B43" w:rsidRPr="006645DC" w:rsidRDefault="008E2B43" w:rsidP="00A24688">
            <w:pPr>
              <w:spacing w:before="0" w:after="0"/>
              <w:jc w:val="left"/>
              <w:rPr>
                <w:rFonts w:cs="Calibri"/>
                <w:color w:val="000000"/>
                <w:lang w:val="en-GB"/>
              </w:rPr>
            </w:pPr>
            <w:r w:rsidRPr="006645DC">
              <w:rPr>
                <w:rFonts w:cs="Calibri"/>
                <w:color w:val="000000"/>
                <w:lang w:val="en-GB"/>
              </w:rPr>
              <w:t>Veliko Târnovo</w:t>
            </w:r>
          </w:p>
        </w:tc>
        <w:tc>
          <w:tcPr>
            <w:tcW w:w="1277" w:type="dxa"/>
            <w:tcBorders>
              <w:top w:val="nil"/>
              <w:left w:val="nil"/>
              <w:bottom w:val="single" w:sz="4" w:space="0" w:color="auto"/>
              <w:right w:val="single" w:sz="4" w:space="0" w:color="auto"/>
            </w:tcBorders>
            <w:shd w:val="clear" w:color="000000" w:fill="FFFFFF"/>
            <w:noWrap/>
            <w:vAlign w:val="center"/>
          </w:tcPr>
          <w:p w14:paraId="43260A91" w14:textId="77777777" w:rsidR="008E2B43" w:rsidRPr="006645DC" w:rsidRDefault="008E2B43" w:rsidP="00BC027E">
            <w:pPr>
              <w:keepNext/>
              <w:keepLines/>
              <w:spacing w:before="0" w:after="0"/>
              <w:jc w:val="right"/>
              <w:outlineLvl w:val="1"/>
              <w:rPr>
                <w:rFonts w:cs="Calibri"/>
                <w:lang w:val="en-GB"/>
              </w:rPr>
            </w:pPr>
            <w:bookmarkStart w:id="626" w:name="_Toc376198864"/>
            <w:r w:rsidRPr="006645DC">
              <w:rPr>
                <w:rFonts w:cs="Calibri"/>
                <w:lang w:val="en-GB"/>
              </w:rPr>
              <w:t>90.32</w:t>
            </w:r>
            <w:bookmarkEnd w:id="626"/>
          </w:p>
        </w:tc>
        <w:tc>
          <w:tcPr>
            <w:tcW w:w="1081" w:type="dxa"/>
            <w:tcBorders>
              <w:top w:val="nil"/>
              <w:left w:val="nil"/>
              <w:bottom w:val="single" w:sz="4" w:space="0" w:color="auto"/>
              <w:right w:val="single" w:sz="4" w:space="0" w:color="auto"/>
            </w:tcBorders>
            <w:shd w:val="clear" w:color="000000" w:fill="FFFFFF"/>
            <w:noWrap/>
            <w:vAlign w:val="center"/>
          </w:tcPr>
          <w:p w14:paraId="25703611" w14:textId="77777777" w:rsidR="008E2B43" w:rsidRPr="006645DC" w:rsidRDefault="008E2B43" w:rsidP="00BC027E">
            <w:pPr>
              <w:keepNext/>
              <w:keepLines/>
              <w:spacing w:before="0" w:after="0"/>
              <w:jc w:val="right"/>
              <w:outlineLvl w:val="1"/>
              <w:rPr>
                <w:rFonts w:cs="Calibri"/>
                <w:lang w:val="en-GB"/>
              </w:rPr>
            </w:pPr>
            <w:bookmarkStart w:id="627" w:name="_Toc376198865"/>
            <w:r w:rsidRPr="006645DC">
              <w:rPr>
                <w:rFonts w:cs="Calibri"/>
                <w:lang w:val="en-GB"/>
              </w:rPr>
              <w:t>6.71</w:t>
            </w:r>
            <w:bookmarkEnd w:id="627"/>
          </w:p>
        </w:tc>
        <w:tc>
          <w:tcPr>
            <w:tcW w:w="1081" w:type="dxa"/>
            <w:tcBorders>
              <w:top w:val="nil"/>
              <w:left w:val="nil"/>
              <w:bottom w:val="single" w:sz="4" w:space="0" w:color="auto"/>
              <w:right w:val="single" w:sz="4" w:space="0" w:color="auto"/>
            </w:tcBorders>
            <w:shd w:val="clear" w:color="000000" w:fill="FFFFFF"/>
            <w:noWrap/>
            <w:vAlign w:val="center"/>
          </w:tcPr>
          <w:p w14:paraId="5CD6F866" w14:textId="77777777" w:rsidR="008E2B43" w:rsidRPr="006645DC" w:rsidRDefault="008E2B43" w:rsidP="00BC027E">
            <w:pPr>
              <w:keepNext/>
              <w:keepLines/>
              <w:spacing w:before="0" w:after="0"/>
              <w:jc w:val="right"/>
              <w:outlineLvl w:val="1"/>
              <w:rPr>
                <w:rFonts w:cs="Calibri"/>
                <w:lang w:val="en-GB"/>
              </w:rPr>
            </w:pPr>
            <w:bookmarkStart w:id="628" w:name="_Toc376198866"/>
            <w:r w:rsidRPr="006645DC">
              <w:rPr>
                <w:rFonts w:cs="Calibri"/>
                <w:lang w:val="en-GB"/>
              </w:rPr>
              <w:t>1.66</w:t>
            </w:r>
            <w:bookmarkEnd w:id="628"/>
          </w:p>
        </w:tc>
        <w:tc>
          <w:tcPr>
            <w:tcW w:w="1021" w:type="dxa"/>
            <w:tcBorders>
              <w:top w:val="nil"/>
              <w:left w:val="nil"/>
              <w:bottom w:val="single" w:sz="4" w:space="0" w:color="auto"/>
              <w:right w:val="single" w:sz="4" w:space="0" w:color="auto"/>
            </w:tcBorders>
            <w:shd w:val="clear" w:color="000000" w:fill="FFFFFF"/>
            <w:noWrap/>
            <w:vAlign w:val="center"/>
          </w:tcPr>
          <w:p w14:paraId="3E04532C" w14:textId="77777777" w:rsidR="008E2B43" w:rsidRPr="006645DC" w:rsidRDefault="008E2B43" w:rsidP="00BC027E">
            <w:pPr>
              <w:keepNext/>
              <w:keepLines/>
              <w:spacing w:before="0" w:after="0"/>
              <w:jc w:val="right"/>
              <w:outlineLvl w:val="1"/>
              <w:rPr>
                <w:rFonts w:cs="Calibri"/>
                <w:lang w:val="en-GB"/>
              </w:rPr>
            </w:pPr>
            <w:bookmarkStart w:id="629" w:name="_Toc376198867"/>
            <w:r w:rsidRPr="006645DC">
              <w:rPr>
                <w:rFonts w:cs="Calibri"/>
                <w:lang w:val="en-GB"/>
              </w:rPr>
              <w:t>0.49</w:t>
            </w:r>
            <w:bookmarkEnd w:id="629"/>
          </w:p>
        </w:tc>
        <w:tc>
          <w:tcPr>
            <w:tcW w:w="1304" w:type="dxa"/>
            <w:tcBorders>
              <w:top w:val="nil"/>
              <w:left w:val="nil"/>
              <w:bottom w:val="single" w:sz="4" w:space="0" w:color="auto"/>
              <w:right w:val="single" w:sz="8" w:space="0" w:color="auto"/>
            </w:tcBorders>
            <w:shd w:val="clear" w:color="000000" w:fill="FFFFFF"/>
            <w:noWrap/>
            <w:vAlign w:val="center"/>
          </w:tcPr>
          <w:p w14:paraId="46F78AF6" w14:textId="77777777" w:rsidR="008E2B43" w:rsidRPr="006645DC" w:rsidRDefault="008E2B43" w:rsidP="00BC027E">
            <w:pPr>
              <w:keepNext/>
              <w:keepLines/>
              <w:spacing w:before="0" w:after="0"/>
              <w:jc w:val="right"/>
              <w:outlineLvl w:val="1"/>
              <w:rPr>
                <w:rFonts w:cs="Calibri"/>
                <w:lang w:val="en-GB"/>
              </w:rPr>
            </w:pPr>
            <w:bookmarkStart w:id="630" w:name="_Toc376198868"/>
            <w:r w:rsidRPr="006645DC">
              <w:rPr>
                <w:rFonts w:cs="Calibri"/>
                <w:lang w:val="en-GB"/>
              </w:rPr>
              <w:t>0.82</w:t>
            </w:r>
            <w:bookmarkEnd w:id="630"/>
          </w:p>
        </w:tc>
      </w:tr>
      <w:tr w:rsidR="008E2B43" w:rsidRPr="006645DC" w14:paraId="0BECD887" w14:textId="77777777" w:rsidTr="00BC027E">
        <w:trPr>
          <w:trHeight w:val="300"/>
          <w:jc w:val="center"/>
        </w:trPr>
        <w:tc>
          <w:tcPr>
            <w:tcW w:w="2289" w:type="dxa"/>
            <w:tcBorders>
              <w:top w:val="nil"/>
              <w:left w:val="single" w:sz="8" w:space="0" w:color="auto"/>
              <w:bottom w:val="single" w:sz="4" w:space="0" w:color="auto"/>
              <w:right w:val="single" w:sz="4" w:space="0" w:color="auto"/>
            </w:tcBorders>
            <w:shd w:val="clear" w:color="000000" w:fill="FFFFFF"/>
            <w:noWrap/>
            <w:vAlign w:val="center"/>
          </w:tcPr>
          <w:p w14:paraId="4D99CBC5" w14:textId="77777777" w:rsidR="008E2B43" w:rsidRPr="006645DC" w:rsidRDefault="008E2B43" w:rsidP="00BC027E">
            <w:pPr>
              <w:keepNext/>
              <w:keepLines/>
              <w:spacing w:before="0" w:after="0"/>
              <w:jc w:val="left"/>
              <w:outlineLvl w:val="1"/>
              <w:rPr>
                <w:rFonts w:cs="Calibri"/>
                <w:color w:val="000000"/>
                <w:lang w:val="en-GB"/>
              </w:rPr>
            </w:pPr>
            <w:bookmarkStart w:id="631" w:name="_Toc376198869"/>
            <w:r w:rsidRPr="006645DC">
              <w:rPr>
                <w:rFonts w:cs="Calibri"/>
                <w:color w:val="000000"/>
                <w:lang w:val="en-GB"/>
              </w:rPr>
              <w:t>Vidin</w:t>
            </w:r>
            <w:bookmarkEnd w:id="631"/>
          </w:p>
        </w:tc>
        <w:tc>
          <w:tcPr>
            <w:tcW w:w="1277" w:type="dxa"/>
            <w:tcBorders>
              <w:top w:val="nil"/>
              <w:left w:val="nil"/>
              <w:bottom w:val="single" w:sz="4" w:space="0" w:color="auto"/>
              <w:right w:val="single" w:sz="4" w:space="0" w:color="auto"/>
            </w:tcBorders>
            <w:shd w:val="clear" w:color="000000" w:fill="FFFFFF"/>
            <w:noWrap/>
            <w:vAlign w:val="center"/>
          </w:tcPr>
          <w:p w14:paraId="202B1A36" w14:textId="77777777" w:rsidR="008E2B43" w:rsidRPr="006645DC" w:rsidRDefault="008E2B43" w:rsidP="00BC027E">
            <w:pPr>
              <w:keepNext/>
              <w:keepLines/>
              <w:spacing w:before="0" w:after="0"/>
              <w:jc w:val="right"/>
              <w:outlineLvl w:val="1"/>
              <w:rPr>
                <w:rFonts w:cs="Calibri"/>
                <w:color w:val="000000"/>
                <w:lang w:val="en-GB"/>
              </w:rPr>
            </w:pPr>
            <w:bookmarkStart w:id="632" w:name="_Toc376198870"/>
            <w:r w:rsidRPr="006645DC">
              <w:rPr>
                <w:rFonts w:cs="Calibri"/>
                <w:color w:val="000000"/>
                <w:lang w:val="en-GB"/>
              </w:rPr>
              <w:t>91.25</w:t>
            </w:r>
            <w:bookmarkEnd w:id="632"/>
          </w:p>
        </w:tc>
        <w:tc>
          <w:tcPr>
            <w:tcW w:w="1081" w:type="dxa"/>
            <w:tcBorders>
              <w:top w:val="nil"/>
              <w:left w:val="nil"/>
              <w:bottom w:val="single" w:sz="4" w:space="0" w:color="auto"/>
              <w:right w:val="single" w:sz="4" w:space="0" w:color="auto"/>
            </w:tcBorders>
            <w:shd w:val="clear" w:color="000000" w:fill="FFFFFF"/>
            <w:noWrap/>
            <w:vAlign w:val="center"/>
          </w:tcPr>
          <w:p w14:paraId="309954B2" w14:textId="77777777" w:rsidR="008E2B43" w:rsidRPr="006645DC" w:rsidRDefault="008E2B43" w:rsidP="00BC027E">
            <w:pPr>
              <w:keepNext/>
              <w:keepLines/>
              <w:spacing w:before="0" w:after="0"/>
              <w:jc w:val="right"/>
              <w:outlineLvl w:val="1"/>
              <w:rPr>
                <w:rFonts w:cs="Calibri"/>
                <w:color w:val="000000"/>
                <w:lang w:val="en-GB"/>
              </w:rPr>
            </w:pPr>
            <w:bookmarkStart w:id="633" w:name="_Toc376198871"/>
            <w:r w:rsidRPr="006645DC">
              <w:rPr>
                <w:rFonts w:cs="Calibri"/>
                <w:color w:val="000000"/>
                <w:lang w:val="en-GB"/>
              </w:rPr>
              <w:t>0.09</w:t>
            </w:r>
            <w:bookmarkEnd w:id="633"/>
          </w:p>
        </w:tc>
        <w:tc>
          <w:tcPr>
            <w:tcW w:w="1081" w:type="dxa"/>
            <w:tcBorders>
              <w:top w:val="nil"/>
              <w:left w:val="nil"/>
              <w:bottom w:val="single" w:sz="4" w:space="0" w:color="auto"/>
              <w:right w:val="single" w:sz="4" w:space="0" w:color="auto"/>
            </w:tcBorders>
            <w:shd w:val="clear" w:color="000000" w:fill="FFFFFF"/>
            <w:noWrap/>
            <w:vAlign w:val="center"/>
          </w:tcPr>
          <w:p w14:paraId="05530AA8" w14:textId="77777777" w:rsidR="008E2B43" w:rsidRPr="006645DC" w:rsidRDefault="008E2B43" w:rsidP="00BC027E">
            <w:pPr>
              <w:keepNext/>
              <w:keepLines/>
              <w:spacing w:before="0" w:after="0"/>
              <w:jc w:val="right"/>
              <w:outlineLvl w:val="1"/>
              <w:rPr>
                <w:rFonts w:cs="Calibri"/>
                <w:color w:val="000000"/>
                <w:lang w:val="en-GB"/>
              </w:rPr>
            </w:pPr>
            <w:bookmarkStart w:id="634" w:name="_Toc376198872"/>
            <w:r w:rsidRPr="006645DC">
              <w:rPr>
                <w:rFonts w:cs="Calibri"/>
                <w:color w:val="000000"/>
                <w:lang w:val="en-GB"/>
              </w:rPr>
              <w:t>7.66</w:t>
            </w:r>
            <w:bookmarkEnd w:id="634"/>
          </w:p>
        </w:tc>
        <w:tc>
          <w:tcPr>
            <w:tcW w:w="1021" w:type="dxa"/>
            <w:tcBorders>
              <w:top w:val="nil"/>
              <w:left w:val="nil"/>
              <w:bottom w:val="single" w:sz="4" w:space="0" w:color="auto"/>
              <w:right w:val="single" w:sz="4" w:space="0" w:color="auto"/>
            </w:tcBorders>
            <w:shd w:val="clear" w:color="000000" w:fill="FFFFFF"/>
            <w:noWrap/>
            <w:vAlign w:val="center"/>
          </w:tcPr>
          <w:p w14:paraId="5DCC8846" w14:textId="77777777" w:rsidR="008E2B43" w:rsidRPr="006645DC" w:rsidRDefault="008E2B43" w:rsidP="00BC027E">
            <w:pPr>
              <w:keepNext/>
              <w:keepLines/>
              <w:spacing w:before="0" w:after="0"/>
              <w:jc w:val="right"/>
              <w:outlineLvl w:val="1"/>
              <w:rPr>
                <w:rFonts w:cs="Calibri"/>
                <w:color w:val="000000"/>
                <w:lang w:val="en-GB"/>
              </w:rPr>
            </w:pPr>
            <w:bookmarkStart w:id="635" w:name="_Toc376198873"/>
            <w:r w:rsidRPr="006645DC">
              <w:rPr>
                <w:rFonts w:cs="Calibri"/>
                <w:color w:val="000000"/>
                <w:lang w:val="en-GB"/>
              </w:rPr>
              <w:t>0.49</w:t>
            </w:r>
            <w:bookmarkEnd w:id="635"/>
          </w:p>
        </w:tc>
        <w:tc>
          <w:tcPr>
            <w:tcW w:w="1304" w:type="dxa"/>
            <w:tcBorders>
              <w:top w:val="nil"/>
              <w:left w:val="nil"/>
              <w:bottom w:val="single" w:sz="4" w:space="0" w:color="auto"/>
              <w:right w:val="single" w:sz="8" w:space="0" w:color="auto"/>
            </w:tcBorders>
            <w:shd w:val="clear" w:color="000000" w:fill="FFFFFF"/>
            <w:noWrap/>
            <w:vAlign w:val="center"/>
          </w:tcPr>
          <w:p w14:paraId="0A94DCF2" w14:textId="77777777" w:rsidR="008E2B43" w:rsidRPr="006645DC" w:rsidRDefault="008E2B43" w:rsidP="00BC027E">
            <w:pPr>
              <w:keepNext/>
              <w:keepLines/>
              <w:spacing w:before="0" w:after="0"/>
              <w:jc w:val="right"/>
              <w:outlineLvl w:val="1"/>
              <w:rPr>
                <w:rFonts w:cs="Calibri"/>
                <w:color w:val="000000"/>
                <w:lang w:val="en-GB"/>
              </w:rPr>
            </w:pPr>
            <w:bookmarkStart w:id="636" w:name="_Toc376198874"/>
            <w:r w:rsidRPr="006645DC">
              <w:rPr>
                <w:rFonts w:cs="Calibri"/>
                <w:color w:val="000000"/>
                <w:lang w:val="en-GB"/>
              </w:rPr>
              <w:t>0.52</w:t>
            </w:r>
            <w:bookmarkEnd w:id="636"/>
          </w:p>
        </w:tc>
      </w:tr>
      <w:tr w:rsidR="008E2B43" w:rsidRPr="006645DC" w14:paraId="20A9BEC3" w14:textId="77777777" w:rsidTr="00BC027E">
        <w:trPr>
          <w:trHeight w:val="300"/>
          <w:jc w:val="center"/>
        </w:trPr>
        <w:tc>
          <w:tcPr>
            <w:tcW w:w="2289" w:type="dxa"/>
            <w:tcBorders>
              <w:top w:val="nil"/>
              <w:left w:val="single" w:sz="8" w:space="0" w:color="auto"/>
              <w:bottom w:val="single" w:sz="4" w:space="0" w:color="auto"/>
              <w:right w:val="single" w:sz="4" w:space="0" w:color="auto"/>
            </w:tcBorders>
            <w:shd w:val="clear" w:color="000000" w:fill="FFFFFF"/>
            <w:noWrap/>
            <w:vAlign w:val="center"/>
          </w:tcPr>
          <w:p w14:paraId="183B77C1" w14:textId="77777777" w:rsidR="008E2B43" w:rsidRPr="006645DC" w:rsidRDefault="008E2B43" w:rsidP="00BC027E">
            <w:pPr>
              <w:keepNext/>
              <w:keepLines/>
              <w:spacing w:before="0" w:after="0"/>
              <w:jc w:val="left"/>
              <w:outlineLvl w:val="1"/>
              <w:rPr>
                <w:rFonts w:cs="Calibri"/>
                <w:color w:val="000000"/>
                <w:lang w:val="en-GB"/>
              </w:rPr>
            </w:pPr>
            <w:bookmarkStart w:id="637" w:name="_Toc376198875"/>
            <w:r w:rsidRPr="006645DC">
              <w:rPr>
                <w:rFonts w:cs="Calibri"/>
                <w:color w:val="000000"/>
                <w:lang w:val="en-GB"/>
              </w:rPr>
              <w:t>Vratsa</w:t>
            </w:r>
            <w:bookmarkEnd w:id="637"/>
          </w:p>
        </w:tc>
        <w:tc>
          <w:tcPr>
            <w:tcW w:w="1277" w:type="dxa"/>
            <w:tcBorders>
              <w:top w:val="nil"/>
              <w:left w:val="nil"/>
              <w:bottom w:val="single" w:sz="4" w:space="0" w:color="auto"/>
              <w:right w:val="single" w:sz="4" w:space="0" w:color="auto"/>
            </w:tcBorders>
            <w:shd w:val="clear" w:color="000000" w:fill="FFFFFF"/>
            <w:noWrap/>
            <w:vAlign w:val="center"/>
          </w:tcPr>
          <w:p w14:paraId="3C6DF03E" w14:textId="77777777" w:rsidR="008E2B43" w:rsidRPr="006645DC" w:rsidRDefault="008E2B43" w:rsidP="00BC027E">
            <w:pPr>
              <w:keepNext/>
              <w:keepLines/>
              <w:spacing w:before="0" w:after="0"/>
              <w:jc w:val="right"/>
              <w:outlineLvl w:val="1"/>
              <w:rPr>
                <w:rFonts w:cs="Calibri"/>
                <w:lang w:val="en-GB"/>
              </w:rPr>
            </w:pPr>
            <w:bookmarkStart w:id="638" w:name="_Toc376198876"/>
            <w:r w:rsidRPr="006645DC">
              <w:rPr>
                <w:rFonts w:cs="Calibri"/>
                <w:lang w:val="en-GB"/>
              </w:rPr>
              <w:t>92.73</w:t>
            </w:r>
            <w:bookmarkEnd w:id="638"/>
          </w:p>
        </w:tc>
        <w:tc>
          <w:tcPr>
            <w:tcW w:w="1081" w:type="dxa"/>
            <w:tcBorders>
              <w:top w:val="nil"/>
              <w:left w:val="nil"/>
              <w:bottom w:val="single" w:sz="4" w:space="0" w:color="auto"/>
              <w:right w:val="single" w:sz="4" w:space="0" w:color="auto"/>
            </w:tcBorders>
            <w:shd w:val="clear" w:color="000000" w:fill="FFFFFF"/>
            <w:noWrap/>
            <w:vAlign w:val="center"/>
          </w:tcPr>
          <w:p w14:paraId="60A65F27" w14:textId="77777777" w:rsidR="008E2B43" w:rsidRPr="006645DC" w:rsidRDefault="008E2B43" w:rsidP="00BC027E">
            <w:pPr>
              <w:keepNext/>
              <w:keepLines/>
              <w:spacing w:before="0" w:after="0"/>
              <w:jc w:val="right"/>
              <w:outlineLvl w:val="1"/>
              <w:rPr>
                <w:rFonts w:cs="Calibri"/>
                <w:color w:val="000000"/>
                <w:lang w:val="en-GB"/>
              </w:rPr>
            </w:pPr>
            <w:bookmarkStart w:id="639" w:name="_Toc376198877"/>
            <w:r w:rsidRPr="006645DC">
              <w:rPr>
                <w:rFonts w:cs="Calibri"/>
                <w:color w:val="000000"/>
                <w:lang w:val="en-GB"/>
              </w:rPr>
              <w:t>0.35</w:t>
            </w:r>
            <w:bookmarkEnd w:id="639"/>
          </w:p>
        </w:tc>
        <w:tc>
          <w:tcPr>
            <w:tcW w:w="1081" w:type="dxa"/>
            <w:tcBorders>
              <w:top w:val="nil"/>
              <w:left w:val="nil"/>
              <w:bottom w:val="single" w:sz="4" w:space="0" w:color="auto"/>
              <w:right w:val="single" w:sz="4" w:space="0" w:color="auto"/>
            </w:tcBorders>
            <w:shd w:val="clear" w:color="000000" w:fill="FFFFFF"/>
            <w:noWrap/>
            <w:vAlign w:val="center"/>
          </w:tcPr>
          <w:p w14:paraId="699D32D5" w14:textId="77777777" w:rsidR="008E2B43" w:rsidRPr="006645DC" w:rsidRDefault="008E2B43" w:rsidP="00BC027E">
            <w:pPr>
              <w:keepNext/>
              <w:keepLines/>
              <w:spacing w:before="0" w:after="0"/>
              <w:jc w:val="right"/>
              <w:outlineLvl w:val="1"/>
              <w:rPr>
                <w:rFonts w:cs="Calibri"/>
                <w:color w:val="000000"/>
                <w:lang w:val="en-GB"/>
              </w:rPr>
            </w:pPr>
            <w:bookmarkStart w:id="640" w:name="_Toc376198878"/>
            <w:r w:rsidRPr="006645DC">
              <w:rPr>
                <w:rFonts w:cs="Calibri"/>
                <w:color w:val="000000"/>
                <w:lang w:val="en-GB"/>
              </w:rPr>
              <w:t>6.18</w:t>
            </w:r>
            <w:bookmarkEnd w:id="640"/>
          </w:p>
        </w:tc>
        <w:tc>
          <w:tcPr>
            <w:tcW w:w="1021" w:type="dxa"/>
            <w:tcBorders>
              <w:top w:val="nil"/>
              <w:left w:val="nil"/>
              <w:bottom w:val="single" w:sz="4" w:space="0" w:color="auto"/>
              <w:right w:val="single" w:sz="4" w:space="0" w:color="auto"/>
            </w:tcBorders>
            <w:shd w:val="clear" w:color="000000" w:fill="FFFFFF"/>
            <w:noWrap/>
            <w:vAlign w:val="center"/>
          </w:tcPr>
          <w:p w14:paraId="4EB40326" w14:textId="77777777" w:rsidR="008E2B43" w:rsidRPr="006645DC" w:rsidRDefault="008E2B43" w:rsidP="00BC027E">
            <w:pPr>
              <w:keepNext/>
              <w:keepLines/>
              <w:spacing w:before="0" w:after="0"/>
              <w:jc w:val="right"/>
              <w:outlineLvl w:val="1"/>
              <w:rPr>
                <w:rFonts w:cs="Calibri"/>
                <w:color w:val="000000"/>
                <w:lang w:val="en-GB"/>
              </w:rPr>
            </w:pPr>
            <w:bookmarkStart w:id="641" w:name="_Toc376198879"/>
            <w:r w:rsidRPr="006645DC">
              <w:rPr>
                <w:rFonts w:cs="Calibri"/>
                <w:color w:val="000000"/>
                <w:lang w:val="en-GB"/>
              </w:rPr>
              <w:t>0.27</w:t>
            </w:r>
            <w:bookmarkEnd w:id="641"/>
          </w:p>
        </w:tc>
        <w:tc>
          <w:tcPr>
            <w:tcW w:w="1304" w:type="dxa"/>
            <w:tcBorders>
              <w:top w:val="nil"/>
              <w:left w:val="nil"/>
              <w:bottom w:val="single" w:sz="4" w:space="0" w:color="auto"/>
              <w:right w:val="single" w:sz="8" w:space="0" w:color="auto"/>
            </w:tcBorders>
            <w:shd w:val="clear" w:color="000000" w:fill="FFFFFF"/>
            <w:noWrap/>
            <w:vAlign w:val="center"/>
          </w:tcPr>
          <w:p w14:paraId="6AE9A69D" w14:textId="77777777" w:rsidR="008E2B43" w:rsidRPr="006645DC" w:rsidRDefault="008E2B43" w:rsidP="00BC027E">
            <w:pPr>
              <w:keepNext/>
              <w:keepLines/>
              <w:spacing w:before="0" w:after="0"/>
              <w:jc w:val="right"/>
              <w:outlineLvl w:val="1"/>
              <w:rPr>
                <w:rFonts w:cs="Calibri"/>
                <w:color w:val="000000"/>
                <w:lang w:val="en-GB"/>
              </w:rPr>
            </w:pPr>
            <w:bookmarkStart w:id="642" w:name="_Toc376198880"/>
            <w:r w:rsidRPr="006645DC">
              <w:rPr>
                <w:rFonts w:cs="Calibri"/>
                <w:color w:val="000000"/>
                <w:lang w:val="en-GB"/>
              </w:rPr>
              <w:t>0.47</w:t>
            </w:r>
            <w:bookmarkEnd w:id="642"/>
          </w:p>
        </w:tc>
      </w:tr>
      <w:tr w:rsidR="008E2B43" w:rsidRPr="006645DC" w14:paraId="5C2EE9E9" w14:textId="77777777" w:rsidTr="00BC027E">
        <w:trPr>
          <w:trHeight w:val="300"/>
          <w:jc w:val="center"/>
        </w:trPr>
        <w:tc>
          <w:tcPr>
            <w:tcW w:w="2289" w:type="dxa"/>
            <w:tcBorders>
              <w:top w:val="nil"/>
              <w:left w:val="single" w:sz="8" w:space="0" w:color="auto"/>
              <w:bottom w:val="single" w:sz="4" w:space="0" w:color="auto"/>
              <w:right w:val="single" w:sz="4" w:space="0" w:color="auto"/>
            </w:tcBorders>
            <w:shd w:val="clear" w:color="000000" w:fill="FFFFFF"/>
            <w:noWrap/>
            <w:vAlign w:val="center"/>
          </w:tcPr>
          <w:p w14:paraId="2B07FDB5" w14:textId="77777777" w:rsidR="008E2B43" w:rsidRPr="006645DC" w:rsidRDefault="008E2B43" w:rsidP="00BC027E">
            <w:pPr>
              <w:keepNext/>
              <w:keepLines/>
              <w:spacing w:before="0" w:after="0"/>
              <w:jc w:val="left"/>
              <w:outlineLvl w:val="1"/>
              <w:rPr>
                <w:rFonts w:cs="Calibri"/>
                <w:color w:val="000000"/>
                <w:lang w:val="en-GB"/>
              </w:rPr>
            </w:pPr>
            <w:bookmarkStart w:id="643" w:name="_Toc376198881"/>
            <w:r w:rsidRPr="006645DC">
              <w:rPr>
                <w:rFonts w:cs="Calibri"/>
                <w:color w:val="000000"/>
                <w:lang w:val="en-GB"/>
              </w:rPr>
              <w:t>Dobrich</w:t>
            </w:r>
            <w:bookmarkEnd w:id="643"/>
          </w:p>
        </w:tc>
        <w:tc>
          <w:tcPr>
            <w:tcW w:w="1277" w:type="dxa"/>
            <w:tcBorders>
              <w:top w:val="nil"/>
              <w:left w:val="nil"/>
              <w:bottom w:val="single" w:sz="4" w:space="0" w:color="auto"/>
              <w:right w:val="single" w:sz="4" w:space="0" w:color="auto"/>
            </w:tcBorders>
            <w:shd w:val="clear" w:color="000000" w:fill="FFFFFF"/>
            <w:noWrap/>
            <w:vAlign w:val="center"/>
          </w:tcPr>
          <w:p w14:paraId="6C9CCB70" w14:textId="77777777" w:rsidR="008E2B43" w:rsidRPr="006645DC" w:rsidRDefault="008E2B43" w:rsidP="00BC027E">
            <w:pPr>
              <w:keepNext/>
              <w:keepLines/>
              <w:spacing w:before="0" w:after="0"/>
              <w:jc w:val="right"/>
              <w:outlineLvl w:val="1"/>
              <w:rPr>
                <w:rFonts w:cs="Calibri"/>
                <w:lang w:val="en-GB"/>
              </w:rPr>
            </w:pPr>
            <w:bookmarkStart w:id="644" w:name="_Toc376198882"/>
            <w:r w:rsidRPr="006645DC">
              <w:rPr>
                <w:rFonts w:cs="Calibri"/>
                <w:lang w:val="en-GB"/>
              </w:rPr>
              <w:t>75.40</w:t>
            </w:r>
            <w:bookmarkEnd w:id="644"/>
          </w:p>
        </w:tc>
        <w:tc>
          <w:tcPr>
            <w:tcW w:w="1081" w:type="dxa"/>
            <w:tcBorders>
              <w:top w:val="nil"/>
              <w:left w:val="nil"/>
              <w:bottom w:val="single" w:sz="4" w:space="0" w:color="auto"/>
              <w:right w:val="single" w:sz="4" w:space="0" w:color="auto"/>
            </w:tcBorders>
            <w:shd w:val="clear" w:color="000000" w:fill="FFFFFF"/>
            <w:noWrap/>
            <w:vAlign w:val="center"/>
          </w:tcPr>
          <w:p w14:paraId="56357ADA" w14:textId="77777777" w:rsidR="008E2B43" w:rsidRPr="006645DC" w:rsidRDefault="008E2B43" w:rsidP="00BC027E">
            <w:pPr>
              <w:keepNext/>
              <w:keepLines/>
              <w:spacing w:before="0" w:after="0"/>
              <w:jc w:val="right"/>
              <w:outlineLvl w:val="1"/>
              <w:rPr>
                <w:rFonts w:cs="Calibri"/>
                <w:color w:val="000000"/>
                <w:lang w:val="en-GB"/>
              </w:rPr>
            </w:pPr>
            <w:bookmarkStart w:id="645" w:name="_Toc376198883"/>
            <w:r w:rsidRPr="006645DC">
              <w:rPr>
                <w:rFonts w:cs="Calibri"/>
                <w:color w:val="000000"/>
                <w:lang w:val="en-GB"/>
              </w:rPr>
              <w:t>13.50</w:t>
            </w:r>
            <w:bookmarkEnd w:id="645"/>
          </w:p>
        </w:tc>
        <w:tc>
          <w:tcPr>
            <w:tcW w:w="1081" w:type="dxa"/>
            <w:tcBorders>
              <w:top w:val="nil"/>
              <w:left w:val="nil"/>
              <w:bottom w:val="single" w:sz="4" w:space="0" w:color="auto"/>
              <w:right w:val="single" w:sz="4" w:space="0" w:color="auto"/>
            </w:tcBorders>
            <w:shd w:val="clear" w:color="000000" w:fill="FFFFFF"/>
            <w:noWrap/>
            <w:vAlign w:val="center"/>
          </w:tcPr>
          <w:p w14:paraId="5CB6DE13" w14:textId="77777777" w:rsidR="008E2B43" w:rsidRPr="006645DC" w:rsidRDefault="008E2B43" w:rsidP="00BC027E">
            <w:pPr>
              <w:keepNext/>
              <w:keepLines/>
              <w:spacing w:before="0" w:after="0"/>
              <w:jc w:val="right"/>
              <w:outlineLvl w:val="1"/>
              <w:rPr>
                <w:rFonts w:cs="Calibri"/>
                <w:color w:val="000000"/>
                <w:lang w:val="en-GB"/>
              </w:rPr>
            </w:pPr>
            <w:bookmarkStart w:id="646" w:name="_Toc376198884"/>
            <w:r w:rsidRPr="006645DC">
              <w:rPr>
                <w:rFonts w:cs="Calibri"/>
                <w:color w:val="000000"/>
                <w:lang w:val="en-GB"/>
              </w:rPr>
              <w:t>8.81</w:t>
            </w:r>
            <w:bookmarkEnd w:id="646"/>
          </w:p>
        </w:tc>
        <w:tc>
          <w:tcPr>
            <w:tcW w:w="1021" w:type="dxa"/>
            <w:tcBorders>
              <w:top w:val="nil"/>
              <w:left w:val="nil"/>
              <w:bottom w:val="single" w:sz="4" w:space="0" w:color="auto"/>
              <w:right w:val="single" w:sz="4" w:space="0" w:color="auto"/>
            </w:tcBorders>
            <w:shd w:val="clear" w:color="000000" w:fill="FFFFFF"/>
            <w:noWrap/>
            <w:vAlign w:val="center"/>
          </w:tcPr>
          <w:p w14:paraId="6E7279C8" w14:textId="77777777" w:rsidR="008E2B43" w:rsidRPr="006645DC" w:rsidRDefault="008E2B43" w:rsidP="00BC027E">
            <w:pPr>
              <w:keepNext/>
              <w:keepLines/>
              <w:spacing w:before="0" w:after="0"/>
              <w:jc w:val="right"/>
              <w:outlineLvl w:val="1"/>
              <w:rPr>
                <w:rFonts w:cs="Calibri"/>
                <w:color w:val="000000"/>
                <w:lang w:val="en-GB"/>
              </w:rPr>
            </w:pPr>
            <w:bookmarkStart w:id="647" w:name="_Toc376198885"/>
            <w:r w:rsidRPr="006645DC">
              <w:rPr>
                <w:rFonts w:cs="Calibri"/>
                <w:color w:val="000000"/>
                <w:lang w:val="en-GB"/>
              </w:rPr>
              <w:t>0.93</w:t>
            </w:r>
            <w:bookmarkEnd w:id="647"/>
          </w:p>
        </w:tc>
        <w:tc>
          <w:tcPr>
            <w:tcW w:w="1304" w:type="dxa"/>
            <w:tcBorders>
              <w:top w:val="nil"/>
              <w:left w:val="nil"/>
              <w:bottom w:val="single" w:sz="4" w:space="0" w:color="auto"/>
              <w:right w:val="single" w:sz="8" w:space="0" w:color="auto"/>
            </w:tcBorders>
            <w:shd w:val="clear" w:color="000000" w:fill="FFFFFF"/>
            <w:noWrap/>
            <w:vAlign w:val="center"/>
          </w:tcPr>
          <w:p w14:paraId="38B6E9AA" w14:textId="77777777" w:rsidR="008E2B43" w:rsidRPr="006645DC" w:rsidRDefault="008E2B43" w:rsidP="00BC027E">
            <w:pPr>
              <w:keepNext/>
              <w:keepLines/>
              <w:spacing w:before="0" w:after="0"/>
              <w:jc w:val="right"/>
              <w:outlineLvl w:val="1"/>
              <w:rPr>
                <w:rFonts w:cs="Calibri"/>
                <w:color w:val="000000"/>
                <w:lang w:val="en-GB"/>
              </w:rPr>
            </w:pPr>
            <w:bookmarkStart w:id="648" w:name="_Toc376198886"/>
            <w:r w:rsidRPr="006645DC">
              <w:rPr>
                <w:rFonts w:cs="Calibri"/>
                <w:color w:val="000000"/>
                <w:lang w:val="en-GB"/>
              </w:rPr>
              <w:t>1.36</w:t>
            </w:r>
            <w:bookmarkEnd w:id="648"/>
          </w:p>
        </w:tc>
      </w:tr>
      <w:tr w:rsidR="008E2B43" w:rsidRPr="006645DC" w14:paraId="3E0723C5" w14:textId="77777777" w:rsidTr="00BC027E">
        <w:trPr>
          <w:trHeight w:val="300"/>
          <w:jc w:val="center"/>
        </w:trPr>
        <w:tc>
          <w:tcPr>
            <w:tcW w:w="2289" w:type="dxa"/>
            <w:tcBorders>
              <w:top w:val="nil"/>
              <w:left w:val="single" w:sz="8" w:space="0" w:color="auto"/>
              <w:bottom w:val="single" w:sz="4" w:space="0" w:color="auto"/>
              <w:right w:val="single" w:sz="4" w:space="0" w:color="auto"/>
            </w:tcBorders>
            <w:shd w:val="clear" w:color="000000" w:fill="FFFFFF"/>
            <w:noWrap/>
            <w:vAlign w:val="center"/>
          </w:tcPr>
          <w:p w14:paraId="0ED0709B" w14:textId="77777777" w:rsidR="008E2B43" w:rsidRPr="006645DC" w:rsidRDefault="008E2B43" w:rsidP="00BC027E">
            <w:pPr>
              <w:keepNext/>
              <w:keepLines/>
              <w:spacing w:before="0" w:after="0"/>
              <w:jc w:val="left"/>
              <w:outlineLvl w:val="1"/>
              <w:rPr>
                <w:rFonts w:cs="Calibri"/>
                <w:color w:val="000000"/>
                <w:lang w:val="en-GB"/>
              </w:rPr>
            </w:pPr>
            <w:bookmarkStart w:id="649" w:name="_Toc376198887"/>
            <w:r w:rsidRPr="006645DC">
              <w:rPr>
                <w:rFonts w:cs="Calibri"/>
                <w:color w:val="000000"/>
                <w:lang w:val="en-GB"/>
              </w:rPr>
              <w:t>Montana</w:t>
            </w:r>
            <w:bookmarkEnd w:id="649"/>
          </w:p>
        </w:tc>
        <w:tc>
          <w:tcPr>
            <w:tcW w:w="1277" w:type="dxa"/>
            <w:tcBorders>
              <w:top w:val="nil"/>
              <w:left w:val="nil"/>
              <w:bottom w:val="single" w:sz="4" w:space="0" w:color="auto"/>
              <w:right w:val="single" w:sz="4" w:space="0" w:color="auto"/>
            </w:tcBorders>
            <w:shd w:val="clear" w:color="000000" w:fill="FFFFFF"/>
            <w:noWrap/>
            <w:vAlign w:val="center"/>
          </w:tcPr>
          <w:p w14:paraId="6D7C9F6E" w14:textId="77777777" w:rsidR="008E2B43" w:rsidRPr="006645DC" w:rsidRDefault="008E2B43" w:rsidP="00BC027E">
            <w:pPr>
              <w:keepNext/>
              <w:keepLines/>
              <w:spacing w:before="0" w:after="0"/>
              <w:jc w:val="right"/>
              <w:outlineLvl w:val="1"/>
              <w:rPr>
                <w:rFonts w:cs="Calibri"/>
                <w:lang w:val="en-GB"/>
              </w:rPr>
            </w:pPr>
            <w:bookmarkStart w:id="650" w:name="_Toc376198888"/>
            <w:r w:rsidRPr="006645DC">
              <w:rPr>
                <w:rFonts w:cs="Calibri"/>
                <w:lang w:val="en-GB"/>
              </w:rPr>
              <w:t>86.31</w:t>
            </w:r>
            <w:bookmarkEnd w:id="650"/>
          </w:p>
        </w:tc>
        <w:tc>
          <w:tcPr>
            <w:tcW w:w="1081" w:type="dxa"/>
            <w:tcBorders>
              <w:top w:val="nil"/>
              <w:left w:val="nil"/>
              <w:bottom w:val="single" w:sz="4" w:space="0" w:color="auto"/>
              <w:right w:val="single" w:sz="4" w:space="0" w:color="auto"/>
            </w:tcBorders>
            <w:shd w:val="clear" w:color="000000" w:fill="FFFFFF"/>
            <w:noWrap/>
            <w:vAlign w:val="center"/>
          </w:tcPr>
          <w:p w14:paraId="60FD36D8" w14:textId="77777777" w:rsidR="008E2B43" w:rsidRPr="006645DC" w:rsidRDefault="008E2B43" w:rsidP="00BC027E">
            <w:pPr>
              <w:keepNext/>
              <w:keepLines/>
              <w:spacing w:before="0" w:after="0"/>
              <w:jc w:val="right"/>
              <w:outlineLvl w:val="1"/>
              <w:rPr>
                <w:rFonts w:cs="Calibri"/>
                <w:color w:val="000000"/>
                <w:lang w:val="en-GB"/>
              </w:rPr>
            </w:pPr>
            <w:bookmarkStart w:id="651" w:name="_Toc376198889"/>
            <w:r w:rsidRPr="006645DC">
              <w:rPr>
                <w:rFonts w:cs="Calibri"/>
                <w:color w:val="000000"/>
                <w:lang w:val="en-GB"/>
              </w:rPr>
              <w:t>0.12</w:t>
            </w:r>
            <w:bookmarkEnd w:id="651"/>
          </w:p>
        </w:tc>
        <w:tc>
          <w:tcPr>
            <w:tcW w:w="1081" w:type="dxa"/>
            <w:tcBorders>
              <w:top w:val="nil"/>
              <w:left w:val="nil"/>
              <w:bottom w:val="single" w:sz="4" w:space="0" w:color="auto"/>
              <w:right w:val="single" w:sz="4" w:space="0" w:color="auto"/>
            </w:tcBorders>
            <w:shd w:val="clear" w:color="000000" w:fill="FFFFFF"/>
            <w:noWrap/>
            <w:vAlign w:val="center"/>
          </w:tcPr>
          <w:p w14:paraId="6D2DEE48" w14:textId="77777777" w:rsidR="008E2B43" w:rsidRPr="006645DC" w:rsidRDefault="008E2B43" w:rsidP="00BC027E">
            <w:pPr>
              <w:keepNext/>
              <w:keepLines/>
              <w:spacing w:before="0" w:after="0"/>
              <w:jc w:val="right"/>
              <w:outlineLvl w:val="1"/>
              <w:rPr>
                <w:rFonts w:cs="Calibri"/>
                <w:color w:val="000000"/>
                <w:lang w:val="en-GB"/>
              </w:rPr>
            </w:pPr>
            <w:bookmarkStart w:id="652" w:name="_Toc376198890"/>
            <w:r w:rsidRPr="006645DC">
              <w:rPr>
                <w:rFonts w:cs="Calibri"/>
                <w:color w:val="000000"/>
                <w:lang w:val="en-GB"/>
              </w:rPr>
              <w:t>12.71</w:t>
            </w:r>
            <w:bookmarkEnd w:id="652"/>
          </w:p>
        </w:tc>
        <w:tc>
          <w:tcPr>
            <w:tcW w:w="1021" w:type="dxa"/>
            <w:tcBorders>
              <w:top w:val="nil"/>
              <w:left w:val="nil"/>
              <w:bottom w:val="single" w:sz="4" w:space="0" w:color="auto"/>
              <w:right w:val="single" w:sz="4" w:space="0" w:color="auto"/>
            </w:tcBorders>
            <w:shd w:val="clear" w:color="000000" w:fill="FFFFFF"/>
            <w:noWrap/>
            <w:vAlign w:val="center"/>
          </w:tcPr>
          <w:p w14:paraId="161B3CFD" w14:textId="77777777" w:rsidR="008E2B43" w:rsidRPr="006645DC" w:rsidRDefault="008E2B43" w:rsidP="00BC027E">
            <w:pPr>
              <w:keepNext/>
              <w:keepLines/>
              <w:spacing w:before="0" w:after="0"/>
              <w:jc w:val="right"/>
              <w:outlineLvl w:val="1"/>
              <w:rPr>
                <w:rFonts w:cs="Calibri"/>
                <w:color w:val="000000"/>
                <w:lang w:val="en-GB"/>
              </w:rPr>
            </w:pPr>
            <w:bookmarkStart w:id="653" w:name="_Toc376198891"/>
            <w:r w:rsidRPr="006645DC">
              <w:rPr>
                <w:rFonts w:cs="Calibri"/>
                <w:color w:val="000000"/>
                <w:lang w:val="en-GB"/>
              </w:rPr>
              <w:t>0.29</w:t>
            </w:r>
            <w:bookmarkEnd w:id="653"/>
          </w:p>
        </w:tc>
        <w:tc>
          <w:tcPr>
            <w:tcW w:w="1304" w:type="dxa"/>
            <w:tcBorders>
              <w:top w:val="nil"/>
              <w:left w:val="nil"/>
              <w:bottom w:val="single" w:sz="4" w:space="0" w:color="auto"/>
              <w:right w:val="single" w:sz="8" w:space="0" w:color="auto"/>
            </w:tcBorders>
            <w:shd w:val="clear" w:color="000000" w:fill="FFFFFF"/>
            <w:noWrap/>
            <w:vAlign w:val="center"/>
          </w:tcPr>
          <w:p w14:paraId="2DFF8111" w14:textId="77777777" w:rsidR="008E2B43" w:rsidRPr="006645DC" w:rsidRDefault="008E2B43" w:rsidP="00BC027E">
            <w:pPr>
              <w:keepNext/>
              <w:keepLines/>
              <w:spacing w:before="0" w:after="0"/>
              <w:jc w:val="right"/>
              <w:outlineLvl w:val="1"/>
              <w:rPr>
                <w:rFonts w:cs="Calibri"/>
                <w:color w:val="000000"/>
                <w:lang w:val="en-GB"/>
              </w:rPr>
            </w:pPr>
            <w:bookmarkStart w:id="654" w:name="_Toc376198892"/>
            <w:r w:rsidRPr="006645DC">
              <w:rPr>
                <w:rFonts w:cs="Calibri"/>
                <w:color w:val="000000"/>
                <w:lang w:val="en-GB"/>
              </w:rPr>
              <w:t>0.58</w:t>
            </w:r>
            <w:bookmarkEnd w:id="654"/>
          </w:p>
        </w:tc>
      </w:tr>
      <w:tr w:rsidR="008E2B43" w:rsidRPr="006645DC" w14:paraId="0FAE3BCE" w14:textId="77777777" w:rsidTr="00BC027E">
        <w:trPr>
          <w:trHeight w:val="300"/>
          <w:jc w:val="center"/>
        </w:trPr>
        <w:tc>
          <w:tcPr>
            <w:tcW w:w="2289" w:type="dxa"/>
            <w:tcBorders>
              <w:top w:val="nil"/>
              <w:left w:val="single" w:sz="8" w:space="0" w:color="auto"/>
              <w:bottom w:val="single" w:sz="4" w:space="0" w:color="auto"/>
              <w:right w:val="single" w:sz="4" w:space="0" w:color="auto"/>
            </w:tcBorders>
            <w:shd w:val="clear" w:color="000000" w:fill="FFFFFF"/>
            <w:noWrap/>
            <w:vAlign w:val="center"/>
          </w:tcPr>
          <w:p w14:paraId="32F4180E" w14:textId="77777777" w:rsidR="008E2B43" w:rsidRPr="006645DC" w:rsidRDefault="008E2B43" w:rsidP="00BC027E">
            <w:pPr>
              <w:keepNext/>
              <w:keepLines/>
              <w:spacing w:before="0" w:after="0"/>
              <w:jc w:val="left"/>
              <w:outlineLvl w:val="1"/>
              <w:rPr>
                <w:rFonts w:cs="Calibri"/>
                <w:color w:val="000000"/>
                <w:lang w:val="en-GB"/>
              </w:rPr>
            </w:pPr>
            <w:bookmarkStart w:id="655" w:name="_Toc376198893"/>
            <w:r w:rsidRPr="006645DC">
              <w:rPr>
                <w:rFonts w:cs="Calibri"/>
                <w:color w:val="000000"/>
                <w:lang w:val="en-GB"/>
              </w:rPr>
              <w:t>Pleven</w:t>
            </w:r>
            <w:bookmarkEnd w:id="655"/>
          </w:p>
        </w:tc>
        <w:tc>
          <w:tcPr>
            <w:tcW w:w="1277" w:type="dxa"/>
            <w:tcBorders>
              <w:top w:val="nil"/>
              <w:left w:val="nil"/>
              <w:bottom w:val="single" w:sz="4" w:space="0" w:color="auto"/>
              <w:right w:val="single" w:sz="4" w:space="0" w:color="auto"/>
            </w:tcBorders>
            <w:shd w:val="clear" w:color="000000" w:fill="FFFFFF"/>
            <w:noWrap/>
            <w:vAlign w:val="center"/>
          </w:tcPr>
          <w:p w14:paraId="594BA29B" w14:textId="77777777" w:rsidR="008E2B43" w:rsidRPr="006645DC" w:rsidRDefault="008E2B43" w:rsidP="00BC027E">
            <w:pPr>
              <w:keepNext/>
              <w:keepLines/>
              <w:spacing w:before="0" w:after="0"/>
              <w:jc w:val="right"/>
              <w:outlineLvl w:val="1"/>
              <w:rPr>
                <w:rFonts w:cs="Calibri"/>
                <w:lang w:val="en-GB"/>
              </w:rPr>
            </w:pPr>
            <w:bookmarkStart w:id="656" w:name="_Toc376198894"/>
            <w:r w:rsidRPr="006645DC">
              <w:rPr>
                <w:rFonts w:cs="Calibri"/>
                <w:lang w:val="en-GB"/>
              </w:rPr>
              <w:t>91.40</w:t>
            </w:r>
            <w:bookmarkEnd w:id="656"/>
          </w:p>
        </w:tc>
        <w:tc>
          <w:tcPr>
            <w:tcW w:w="1081" w:type="dxa"/>
            <w:tcBorders>
              <w:top w:val="nil"/>
              <w:left w:val="nil"/>
              <w:bottom w:val="single" w:sz="4" w:space="0" w:color="auto"/>
              <w:right w:val="single" w:sz="4" w:space="0" w:color="auto"/>
            </w:tcBorders>
            <w:shd w:val="clear" w:color="000000" w:fill="FFFFFF"/>
            <w:noWrap/>
            <w:vAlign w:val="center"/>
          </w:tcPr>
          <w:p w14:paraId="45AA0620" w14:textId="77777777" w:rsidR="008E2B43" w:rsidRPr="006645DC" w:rsidRDefault="008E2B43" w:rsidP="00BC027E">
            <w:pPr>
              <w:keepNext/>
              <w:keepLines/>
              <w:spacing w:before="0" w:after="0"/>
              <w:jc w:val="right"/>
              <w:outlineLvl w:val="1"/>
              <w:rPr>
                <w:rFonts w:cs="Calibri"/>
                <w:color w:val="000000"/>
                <w:lang w:val="en-GB"/>
              </w:rPr>
            </w:pPr>
            <w:bookmarkStart w:id="657" w:name="_Toc376198895"/>
            <w:r w:rsidRPr="006645DC">
              <w:rPr>
                <w:rFonts w:cs="Calibri"/>
                <w:color w:val="000000"/>
                <w:lang w:val="en-GB"/>
              </w:rPr>
              <w:t>3.61</w:t>
            </w:r>
            <w:bookmarkEnd w:id="657"/>
          </w:p>
        </w:tc>
        <w:tc>
          <w:tcPr>
            <w:tcW w:w="1081" w:type="dxa"/>
            <w:tcBorders>
              <w:top w:val="nil"/>
              <w:left w:val="nil"/>
              <w:bottom w:val="single" w:sz="4" w:space="0" w:color="auto"/>
              <w:right w:val="single" w:sz="4" w:space="0" w:color="auto"/>
            </w:tcBorders>
            <w:shd w:val="clear" w:color="000000" w:fill="FFFFFF"/>
            <w:noWrap/>
            <w:vAlign w:val="center"/>
          </w:tcPr>
          <w:p w14:paraId="26B9D018" w14:textId="77777777" w:rsidR="008E2B43" w:rsidRPr="006645DC" w:rsidRDefault="008E2B43" w:rsidP="00BC027E">
            <w:pPr>
              <w:keepNext/>
              <w:keepLines/>
              <w:spacing w:before="0" w:after="0"/>
              <w:jc w:val="right"/>
              <w:outlineLvl w:val="1"/>
              <w:rPr>
                <w:rFonts w:cs="Calibri"/>
                <w:color w:val="000000"/>
                <w:lang w:val="en-GB"/>
              </w:rPr>
            </w:pPr>
            <w:bookmarkStart w:id="658" w:name="_Toc376198896"/>
            <w:r w:rsidRPr="006645DC">
              <w:rPr>
                <w:rFonts w:cs="Calibri"/>
                <w:color w:val="000000"/>
                <w:lang w:val="en-GB"/>
              </w:rPr>
              <w:t>4.15</w:t>
            </w:r>
            <w:bookmarkEnd w:id="658"/>
          </w:p>
        </w:tc>
        <w:tc>
          <w:tcPr>
            <w:tcW w:w="1021" w:type="dxa"/>
            <w:tcBorders>
              <w:top w:val="nil"/>
              <w:left w:val="nil"/>
              <w:bottom w:val="single" w:sz="4" w:space="0" w:color="auto"/>
              <w:right w:val="single" w:sz="4" w:space="0" w:color="auto"/>
            </w:tcBorders>
            <w:shd w:val="clear" w:color="000000" w:fill="FFFFFF"/>
            <w:noWrap/>
            <w:vAlign w:val="center"/>
          </w:tcPr>
          <w:p w14:paraId="4170F3B9" w14:textId="77777777" w:rsidR="008E2B43" w:rsidRPr="006645DC" w:rsidRDefault="008E2B43" w:rsidP="00BC027E">
            <w:pPr>
              <w:keepNext/>
              <w:keepLines/>
              <w:spacing w:before="0" w:after="0"/>
              <w:jc w:val="right"/>
              <w:outlineLvl w:val="1"/>
              <w:rPr>
                <w:rFonts w:cs="Calibri"/>
                <w:color w:val="000000"/>
                <w:lang w:val="en-GB"/>
              </w:rPr>
            </w:pPr>
            <w:bookmarkStart w:id="659" w:name="_Toc376198897"/>
            <w:r w:rsidRPr="006645DC">
              <w:rPr>
                <w:rFonts w:cs="Calibri"/>
                <w:color w:val="000000"/>
                <w:lang w:val="en-GB"/>
              </w:rPr>
              <w:t>0.34</w:t>
            </w:r>
            <w:bookmarkEnd w:id="659"/>
          </w:p>
        </w:tc>
        <w:tc>
          <w:tcPr>
            <w:tcW w:w="1304" w:type="dxa"/>
            <w:tcBorders>
              <w:top w:val="nil"/>
              <w:left w:val="nil"/>
              <w:bottom w:val="single" w:sz="4" w:space="0" w:color="auto"/>
              <w:right w:val="single" w:sz="8" w:space="0" w:color="auto"/>
            </w:tcBorders>
            <w:shd w:val="clear" w:color="000000" w:fill="FFFFFF"/>
            <w:noWrap/>
            <w:vAlign w:val="center"/>
          </w:tcPr>
          <w:p w14:paraId="2542D33B" w14:textId="77777777" w:rsidR="008E2B43" w:rsidRPr="006645DC" w:rsidRDefault="008E2B43" w:rsidP="00BC027E">
            <w:pPr>
              <w:keepNext/>
              <w:keepLines/>
              <w:spacing w:before="0" w:after="0"/>
              <w:jc w:val="right"/>
              <w:outlineLvl w:val="1"/>
              <w:rPr>
                <w:rFonts w:cs="Calibri"/>
                <w:color w:val="000000"/>
                <w:lang w:val="en-GB"/>
              </w:rPr>
            </w:pPr>
            <w:bookmarkStart w:id="660" w:name="_Toc376198898"/>
            <w:r w:rsidRPr="006645DC">
              <w:rPr>
                <w:rFonts w:cs="Calibri"/>
                <w:color w:val="000000"/>
                <w:lang w:val="en-GB"/>
              </w:rPr>
              <w:t>0.50</w:t>
            </w:r>
            <w:bookmarkEnd w:id="660"/>
          </w:p>
        </w:tc>
      </w:tr>
      <w:tr w:rsidR="008E2B43" w:rsidRPr="006645DC" w14:paraId="4C7FA021" w14:textId="77777777" w:rsidTr="00BC027E">
        <w:trPr>
          <w:trHeight w:val="300"/>
          <w:jc w:val="center"/>
        </w:trPr>
        <w:tc>
          <w:tcPr>
            <w:tcW w:w="2289" w:type="dxa"/>
            <w:tcBorders>
              <w:top w:val="nil"/>
              <w:left w:val="single" w:sz="8" w:space="0" w:color="auto"/>
              <w:bottom w:val="single" w:sz="4" w:space="0" w:color="auto"/>
              <w:right w:val="single" w:sz="4" w:space="0" w:color="auto"/>
            </w:tcBorders>
            <w:shd w:val="clear" w:color="000000" w:fill="FFFFFF"/>
            <w:noWrap/>
            <w:vAlign w:val="center"/>
          </w:tcPr>
          <w:p w14:paraId="2A38F83F" w14:textId="77777777" w:rsidR="008E2B43" w:rsidRPr="006645DC" w:rsidRDefault="008E2B43" w:rsidP="00BC027E">
            <w:pPr>
              <w:keepNext/>
              <w:keepLines/>
              <w:spacing w:before="0" w:after="0"/>
              <w:jc w:val="left"/>
              <w:outlineLvl w:val="1"/>
              <w:rPr>
                <w:rFonts w:cs="Calibri"/>
                <w:color w:val="000000"/>
                <w:lang w:val="en-GB"/>
              </w:rPr>
            </w:pPr>
            <w:bookmarkStart w:id="661" w:name="_Toc376198899"/>
            <w:r w:rsidRPr="006645DC">
              <w:rPr>
                <w:rFonts w:cs="Calibri"/>
                <w:color w:val="000000"/>
                <w:lang w:val="en-GB"/>
              </w:rPr>
              <w:t>Ruse</w:t>
            </w:r>
            <w:bookmarkEnd w:id="661"/>
          </w:p>
        </w:tc>
        <w:tc>
          <w:tcPr>
            <w:tcW w:w="1277" w:type="dxa"/>
            <w:tcBorders>
              <w:top w:val="nil"/>
              <w:left w:val="nil"/>
              <w:bottom w:val="single" w:sz="4" w:space="0" w:color="auto"/>
              <w:right w:val="single" w:sz="4" w:space="0" w:color="auto"/>
            </w:tcBorders>
            <w:shd w:val="clear" w:color="000000" w:fill="FFFFFF"/>
            <w:noWrap/>
            <w:vAlign w:val="center"/>
          </w:tcPr>
          <w:p w14:paraId="66985B61" w14:textId="77777777" w:rsidR="008E2B43" w:rsidRPr="006645DC" w:rsidRDefault="008E2B43" w:rsidP="00BC027E">
            <w:pPr>
              <w:keepNext/>
              <w:keepLines/>
              <w:spacing w:before="0" w:after="0"/>
              <w:jc w:val="right"/>
              <w:outlineLvl w:val="1"/>
              <w:rPr>
                <w:rFonts w:cs="Calibri"/>
                <w:lang w:val="en-GB"/>
              </w:rPr>
            </w:pPr>
            <w:bookmarkStart w:id="662" w:name="_Toc376198900"/>
            <w:r w:rsidRPr="006645DC">
              <w:rPr>
                <w:rFonts w:cs="Calibri"/>
                <w:lang w:val="en-GB"/>
              </w:rPr>
              <w:t>81.44</w:t>
            </w:r>
            <w:bookmarkEnd w:id="662"/>
          </w:p>
        </w:tc>
        <w:tc>
          <w:tcPr>
            <w:tcW w:w="1081" w:type="dxa"/>
            <w:tcBorders>
              <w:top w:val="nil"/>
              <w:left w:val="nil"/>
              <w:bottom w:val="single" w:sz="4" w:space="0" w:color="auto"/>
              <w:right w:val="single" w:sz="4" w:space="0" w:color="auto"/>
            </w:tcBorders>
            <w:shd w:val="clear" w:color="000000" w:fill="FFFFFF"/>
            <w:noWrap/>
            <w:vAlign w:val="center"/>
          </w:tcPr>
          <w:p w14:paraId="7DF697EA" w14:textId="77777777" w:rsidR="008E2B43" w:rsidRPr="006645DC" w:rsidRDefault="008E2B43" w:rsidP="00BC027E">
            <w:pPr>
              <w:keepNext/>
              <w:keepLines/>
              <w:spacing w:before="0" w:after="0"/>
              <w:jc w:val="right"/>
              <w:outlineLvl w:val="1"/>
              <w:rPr>
                <w:rFonts w:cs="Calibri"/>
                <w:color w:val="000000"/>
                <w:lang w:val="en-GB"/>
              </w:rPr>
            </w:pPr>
            <w:bookmarkStart w:id="663" w:name="_Toc376198901"/>
            <w:r w:rsidRPr="006645DC">
              <w:rPr>
                <w:rFonts w:cs="Calibri"/>
                <w:color w:val="000000"/>
                <w:lang w:val="en-GB"/>
              </w:rPr>
              <w:t>13.23</w:t>
            </w:r>
            <w:bookmarkEnd w:id="663"/>
          </w:p>
        </w:tc>
        <w:tc>
          <w:tcPr>
            <w:tcW w:w="1081" w:type="dxa"/>
            <w:tcBorders>
              <w:top w:val="nil"/>
              <w:left w:val="nil"/>
              <w:bottom w:val="single" w:sz="4" w:space="0" w:color="auto"/>
              <w:right w:val="single" w:sz="4" w:space="0" w:color="auto"/>
            </w:tcBorders>
            <w:shd w:val="clear" w:color="000000" w:fill="FFFFFF"/>
            <w:noWrap/>
            <w:vAlign w:val="center"/>
          </w:tcPr>
          <w:p w14:paraId="782ED9A0" w14:textId="77777777" w:rsidR="008E2B43" w:rsidRPr="006645DC" w:rsidRDefault="008E2B43" w:rsidP="00BC027E">
            <w:pPr>
              <w:keepNext/>
              <w:keepLines/>
              <w:spacing w:before="0" w:after="0"/>
              <w:jc w:val="right"/>
              <w:outlineLvl w:val="1"/>
              <w:rPr>
                <w:rFonts w:cs="Calibri"/>
                <w:color w:val="000000"/>
                <w:lang w:val="en-GB"/>
              </w:rPr>
            </w:pPr>
            <w:bookmarkStart w:id="664" w:name="_Toc376198902"/>
            <w:r w:rsidRPr="006645DC">
              <w:rPr>
                <w:rFonts w:cs="Calibri"/>
                <w:color w:val="000000"/>
                <w:lang w:val="en-GB"/>
              </w:rPr>
              <w:t>3.98</w:t>
            </w:r>
            <w:bookmarkEnd w:id="664"/>
          </w:p>
        </w:tc>
        <w:tc>
          <w:tcPr>
            <w:tcW w:w="1021" w:type="dxa"/>
            <w:tcBorders>
              <w:top w:val="nil"/>
              <w:left w:val="nil"/>
              <w:bottom w:val="single" w:sz="4" w:space="0" w:color="auto"/>
              <w:right w:val="single" w:sz="4" w:space="0" w:color="auto"/>
            </w:tcBorders>
            <w:shd w:val="clear" w:color="000000" w:fill="FFFFFF"/>
            <w:noWrap/>
            <w:vAlign w:val="center"/>
          </w:tcPr>
          <w:p w14:paraId="385FC570" w14:textId="77777777" w:rsidR="008E2B43" w:rsidRPr="006645DC" w:rsidRDefault="008E2B43" w:rsidP="00BC027E">
            <w:pPr>
              <w:keepNext/>
              <w:keepLines/>
              <w:spacing w:before="0" w:after="0"/>
              <w:jc w:val="right"/>
              <w:outlineLvl w:val="1"/>
              <w:rPr>
                <w:rFonts w:cs="Calibri"/>
                <w:color w:val="000000"/>
                <w:lang w:val="en-GB"/>
              </w:rPr>
            </w:pPr>
            <w:bookmarkStart w:id="665" w:name="_Toc376198903"/>
            <w:r w:rsidRPr="006645DC">
              <w:rPr>
                <w:rFonts w:cs="Calibri"/>
                <w:color w:val="000000"/>
                <w:lang w:val="en-GB"/>
              </w:rPr>
              <w:t>0.86</w:t>
            </w:r>
            <w:bookmarkEnd w:id="665"/>
          </w:p>
        </w:tc>
        <w:tc>
          <w:tcPr>
            <w:tcW w:w="1304" w:type="dxa"/>
            <w:tcBorders>
              <w:top w:val="nil"/>
              <w:left w:val="nil"/>
              <w:bottom w:val="single" w:sz="4" w:space="0" w:color="auto"/>
              <w:right w:val="single" w:sz="8" w:space="0" w:color="auto"/>
            </w:tcBorders>
            <w:shd w:val="clear" w:color="000000" w:fill="FFFFFF"/>
            <w:noWrap/>
            <w:vAlign w:val="center"/>
          </w:tcPr>
          <w:p w14:paraId="4D262C55" w14:textId="77777777" w:rsidR="008E2B43" w:rsidRPr="006645DC" w:rsidRDefault="008E2B43" w:rsidP="00BC027E">
            <w:pPr>
              <w:keepNext/>
              <w:keepLines/>
              <w:spacing w:before="0" w:after="0"/>
              <w:jc w:val="right"/>
              <w:outlineLvl w:val="1"/>
              <w:rPr>
                <w:rFonts w:cs="Calibri"/>
                <w:color w:val="000000"/>
                <w:lang w:val="en-GB"/>
              </w:rPr>
            </w:pPr>
            <w:bookmarkStart w:id="666" w:name="_Toc376198904"/>
            <w:r w:rsidRPr="006645DC">
              <w:rPr>
                <w:rFonts w:cs="Calibri"/>
                <w:color w:val="000000"/>
                <w:lang w:val="en-GB"/>
              </w:rPr>
              <w:t>0.49</w:t>
            </w:r>
            <w:bookmarkEnd w:id="666"/>
          </w:p>
        </w:tc>
      </w:tr>
      <w:tr w:rsidR="008E2B43" w:rsidRPr="006645DC" w14:paraId="4EA6C7AE" w14:textId="77777777" w:rsidTr="00BC027E">
        <w:trPr>
          <w:trHeight w:val="315"/>
          <w:jc w:val="center"/>
        </w:trPr>
        <w:tc>
          <w:tcPr>
            <w:tcW w:w="2289" w:type="dxa"/>
            <w:tcBorders>
              <w:top w:val="nil"/>
              <w:left w:val="single" w:sz="8" w:space="0" w:color="auto"/>
              <w:bottom w:val="single" w:sz="8" w:space="0" w:color="auto"/>
              <w:right w:val="single" w:sz="4" w:space="0" w:color="auto"/>
            </w:tcBorders>
            <w:shd w:val="clear" w:color="000000" w:fill="FFFFFF"/>
            <w:noWrap/>
            <w:vAlign w:val="center"/>
          </w:tcPr>
          <w:p w14:paraId="572EF75D" w14:textId="77777777" w:rsidR="008E2B43" w:rsidRPr="006645DC" w:rsidRDefault="008E2B43" w:rsidP="00BC027E">
            <w:pPr>
              <w:keepNext/>
              <w:keepLines/>
              <w:spacing w:before="0" w:after="0"/>
              <w:jc w:val="left"/>
              <w:outlineLvl w:val="1"/>
              <w:rPr>
                <w:rFonts w:cs="Calibri"/>
                <w:color w:val="000000"/>
                <w:lang w:val="en-GB"/>
              </w:rPr>
            </w:pPr>
            <w:bookmarkStart w:id="667" w:name="_Toc376198905"/>
            <w:r w:rsidRPr="006645DC">
              <w:rPr>
                <w:rFonts w:cs="Calibri"/>
                <w:color w:val="000000"/>
                <w:lang w:val="en-GB"/>
              </w:rPr>
              <w:t>Silistra</w:t>
            </w:r>
            <w:bookmarkEnd w:id="667"/>
          </w:p>
        </w:tc>
        <w:tc>
          <w:tcPr>
            <w:tcW w:w="1277" w:type="dxa"/>
            <w:tcBorders>
              <w:top w:val="nil"/>
              <w:left w:val="nil"/>
              <w:bottom w:val="single" w:sz="8" w:space="0" w:color="auto"/>
              <w:right w:val="single" w:sz="4" w:space="0" w:color="auto"/>
            </w:tcBorders>
            <w:shd w:val="clear" w:color="000000" w:fill="FFFFFF"/>
            <w:noWrap/>
            <w:vAlign w:val="center"/>
          </w:tcPr>
          <w:p w14:paraId="3FD4A1C6" w14:textId="77777777" w:rsidR="008E2B43" w:rsidRPr="006645DC" w:rsidRDefault="008E2B43" w:rsidP="00BC027E">
            <w:pPr>
              <w:keepNext/>
              <w:keepLines/>
              <w:spacing w:before="0" w:after="0"/>
              <w:jc w:val="right"/>
              <w:outlineLvl w:val="1"/>
              <w:rPr>
                <w:rFonts w:cs="Calibri"/>
                <w:lang w:val="en-GB"/>
              </w:rPr>
            </w:pPr>
            <w:bookmarkStart w:id="668" w:name="_Toc376198906"/>
            <w:r w:rsidRPr="006645DC">
              <w:rPr>
                <w:rFonts w:cs="Calibri"/>
                <w:lang w:val="en-GB"/>
              </w:rPr>
              <w:t>57.40</w:t>
            </w:r>
            <w:bookmarkEnd w:id="668"/>
          </w:p>
        </w:tc>
        <w:tc>
          <w:tcPr>
            <w:tcW w:w="1081" w:type="dxa"/>
            <w:tcBorders>
              <w:top w:val="nil"/>
              <w:left w:val="nil"/>
              <w:bottom w:val="single" w:sz="8" w:space="0" w:color="auto"/>
              <w:right w:val="single" w:sz="4" w:space="0" w:color="auto"/>
            </w:tcBorders>
            <w:shd w:val="clear" w:color="000000" w:fill="FFFFFF"/>
            <w:noWrap/>
            <w:vAlign w:val="center"/>
          </w:tcPr>
          <w:p w14:paraId="5B4EED7D" w14:textId="77777777" w:rsidR="008E2B43" w:rsidRPr="006645DC" w:rsidRDefault="008E2B43" w:rsidP="00BC027E">
            <w:pPr>
              <w:keepNext/>
              <w:keepLines/>
              <w:spacing w:before="0" w:after="0"/>
              <w:jc w:val="right"/>
              <w:outlineLvl w:val="1"/>
              <w:rPr>
                <w:rFonts w:cs="Calibri"/>
                <w:color w:val="000000"/>
                <w:lang w:val="en-GB"/>
              </w:rPr>
            </w:pPr>
            <w:bookmarkStart w:id="669" w:name="_Toc376198907"/>
            <w:r w:rsidRPr="006645DC">
              <w:rPr>
                <w:rFonts w:cs="Calibri"/>
                <w:color w:val="000000"/>
                <w:lang w:val="en-GB"/>
              </w:rPr>
              <w:t>36.09</w:t>
            </w:r>
            <w:bookmarkEnd w:id="669"/>
          </w:p>
        </w:tc>
        <w:tc>
          <w:tcPr>
            <w:tcW w:w="1081" w:type="dxa"/>
            <w:tcBorders>
              <w:top w:val="nil"/>
              <w:left w:val="nil"/>
              <w:bottom w:val="single" w:sz="8" w:space="0" w:color="auto"/>
              <w:right w:val="single" w:sz="4" w:space="0" w:color="auto"/>
            </w:tcBorders>
            <w:shd w:val="clear" w:color="000000" w:fill="FFFFFF"/>
            <w:noWrap/>
            <w:vAlign w:val="center"/>
          </w:tcPr>
          <w:p w14:paraId="7DF9B5F7" w14:textId="77777777" w:rsidR="008E2B43" w:rsidRPr="006645DC" w:rsidRDefault="008E2B43" w:rsidP="00BC027E">
            <w:pPr>
              <w:keepNext/>
              <w:keepLines/>
              <w:spacing w:before="0" w:after="0"/>
              <w:jc w:val="right"/>
              <w:outlineLvl w:val="1"/>
              <w:rPr>
                <w:rFonts w:cs="Calibri"/>
                <w:color w:val="000000"/>
                <w:lang w:val="en-GB"/>
              </w:rPr>
            </w:pPr>
            <w:bookmarkStart w:id="670" w:name="_Toc376198908"/>
            <w:r w:rsidRPr="006645DC">
              <w:rPr>
                <w:rFonts w:cs="Calibri"/>
                <w:color w:val="000000"/>
                <w:lang w:val="en-GB"/>
              </w:rPr>
              <w:t>5.11</w:t>
            </w:r>
            <w:bookmarkEnd w:id="670"/>
          </w:p>
        </w:tc>
        <w:tc>
          <w:tcPr>
            <w:tcW w:w="1021" w:type="dxa"/>
            <w:tcBorders>
              <w:top w:val="nil"/>
              <w:left w:val="nil"/>
              <w:bottom w:val="single" w:sz="8" w:space="0" w:color="auto"/>
              <w:right w:val="single" w:sz="4" w:space="0" w:color="auto"/>
            </w:tcBorders>
            <w:shd w:val="clear" w:color="000000" w:fill="FFFFFF"/>
            <w:noWrap/>
            <w:vAlign w:val="center"/>
          </w:tcPr>
          <w:p w14:paraId="6FC6B199" w14:textId="77777777" w:rsidR="008E2B43" w:rsidRPr="006645DC" w:rsidRDefault="008E2B43" w:rsidP="00BC027E">
            <w:pPr>
              <w:keepNext/>
              <w:keepLines/>
              <w:spacing w:before="0" w:after="0"/>
              <w:jc w:val="right"/>
              <w:outlineLvl w:val="1"/>
              <w:rPr>
                <w:rFonts w:cs="Calibri"/>
                <w:color w:val="000000"/>
                <w:lang w:val="en-GB"/>
              </w:rPr>
            </w:pPr>
            <w:bookmarkStart w:id="671" w:name="_Toc376198909"/>
            <w:r w:rsidRPr="006645DC">
              <w:rPr>
                <w:rFonts w:cs="Calibri"/>
                <w:color w:val="000000"/>
                <w:lang w:val="en-GB"/>
              </w:rPr>
              <w:t>0.87</w:t>
            </w:r>
            <w:bookmarkEnd w:id="671"/>
          </w:p>
        </w:tc>
        <w:tc>
          <w:tcPr>
            <w:tcW w:w="1304" w:type="dxa"/>
            <w:tcBorders>
              <w:top w:val="nil"/>
              <w:left w:val="nil"/>
              <w:bottom w:val="single" w:sz="8" w:space="0" w:color="auto"/>
              <w:right w:val="single" w:sz="8" w:space="0" w:color="auto"/>
            </w:tcBorders>
            <w:shd w:val="clear" w:color="000000" w:fill="FFFFFF"/>
            <w:noWrap/>
            <w:vAlign w:val="center"/>
          </w:tcPr>
          <w:p w14:paraId="349837F0" w14:textId="77777777" w:rsidR="008E2B43" w:rsidRPr="006645DC" w:rsidRDefault="008E2B43" w:rsidP="00BC027E">
            <w:pPr>
              <w:keepNext/>
              <w:keepLines/>
              <w:spacing w:before="0" w:after="0"/>
              <w:jc w:val="right"/>
              <w:outlineLvl w:val="1"/>
              <w:rPr>
                <w:rFonts w:cs="Calibri"/>
                <w:color w:val="000000"/>
                <w:lang w:val="en-GB"/>
              </w:rPr>
            </w:pPr>
            <w:bookmarkStart w:id="672" w:name="_Toc376198910"/>
            <w:r w:rsidRPr="006645DC">
              <w:rPr>
                <w:rFonts w:cs="Calibri"/>
                <w:color w:val="000000"/>
                <w:lang w:val="en-GB"/>
              </w:rPr>
              <w:t>0.53</w:t>
            </w:r>
            <w:bookmarkEnd w:id="672"/>
          </w:p>
        </w:tc>
      </w:tr>
    </w:tbl>
    <w:p w14:paraId="6F4741B7" w14:textId="77777777" w:rsidR="008E2B43" w:rsidRPr="006645DC" w:rsidRDefault="00A24688" w:rsidP="00A24688">
      <w:pPr>
        <w:pStyle w:val="Caption"/>
        <w:rPr>
          <w:rFonts w:eastAsia="MS Gothic"/>
          <w:lang w:val="en-GB"/>
        </w:rPr>
      </w:pPr>
      <w:bookmarkStart w:id="673" w:name="_Toc391150119"/>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22</w:t>
      </w:r>
      <w:r w:rsidR="005979EB" w:rsidRPr="006645DC">
        <w:rPr>
          <w:lang w:val="en-GB"/>
        </w:rPr>
        <w:fldChar w:fldCharType="end"/>
      </w:r>
      <w:r w:rsidRPr="006645DC">
        <w:rPr>
          <w:lang w:val="en-GB"/>
        </w:rPr>
        <w:t xml:space="preserve"> - </w:t>
      </w:r>
      <w:r w:rsidR="008E2B43" w:rsidRPr="006645DC">
        <w:rPr>
          <w:rFonts w:eastAsia="MS Gothic"/>
          <w:lang w:val="en-GB"/>
        </w:rPr>
        <w:t>Ethnic structure of the population in the cross-border area, by districts, at the population and housing censuses in Bulgaria (2011)</w:t>
      </w:r>
      <w:bookmarkEnd w:id="673"/>
    </w:p>
    <w:p w14:paraId="1BB0EBB7" w14:textId="77777777" w:rsidR="008E2B43" w:rsidRPr="006645DC" w:rsidRDefault="003B52C5" w:rsidP="003B52C5">
      <w:pPr>
        <w:pStyle w:val="Heading4"/>
        <w:rPr>
          <w:lang w:val="en-GB"/>
        </w:rPr>
      </w:pPr>
      <w:r w:rsidRPr="006645DC">
        <w:rPr>
          <w:lang w:val="en-GB"/>
        </w:rPr>
        <w:t>Source:</w:t>
      </w:r>
      <w:r w:rsidR="00492077" w:rsidRPr="006645DC">
        <w:rPr>
          <w:lang w:val="en-GB" w:eastAsia="ro-RO"/>
        </w:rPr>
        <w:t>NSI Bulgaria, INS Romania</w:t>
      </w:r>
    </w:p>
    <w:p w14:paraId="6D4F840D" w14:textId="77777777" w:rsidR="003B52C5" w:rsidRPr="006645DC" w:rsidRDefault="003B52C5" w:rsidP="003B52C5">
      <w:pPr>
        <w:rPr>
          <w:lang w:val="en-GB"/>
        </w:rPr>
      </w:pPr>
    </w:p>
    <w:tbl>
      <w:tblPr>
        <w:tblW w:w="8801" w:type="dxa"/>
        <w:jc w:val="center"/>
        <w:tblLayout w:type="fixed"/>
        <w:tblLook w:val="00A0" w:firstRow="1" w:lastRow="0" w:firstColumn="1" w:lastColumn="0" w:noHBand="0" w:noVBand="0"/>
      </w:tblPr>
      <w:tblGrid>
        <w:gridCol w:w="1417"/>
        <w:gridCol w:w="1233"/>
        <w:gridCol w:w="1251"/>
        <w:gridCol w:w="850"/>
        <w:gridCol w:w="887"/>
        <w:gridCol w:w="967"/>
        <w:gridCol w:w="749"/>
        <w:gridCol w:w="1447"/>
      </w:tblGrid>
      <w:tr w:rsidR="008E2B43" w:rsidRPr="006645DC" w14:paraId="1719747B" w14:textId="77777777" w:rsidTr="005E0FF1">
        <w:trPr>
          <w:trHeight w:val="645"/>
          <w:jc w:val="center"/>
        </w:trPr>
        <w:tc>
          <w:tcPr>
            <w:tcW w:w="1417" w:type="dxa"/>
            <w:tcBorders>
              <w:top w:val="single" w:sz="8" w:space="0" w:color="auto"/>
              <w:left w:val="single" w:sz="8" w:space="0" w:color="auto"/>
              <w:bottom w:val="single" w:sz="8" w:space="0" w:color="auto"/>
              <w:right w:val="single" w:sz="4" w:space="0" w:color="auto"/>
            </w:tcBorders>
            <w:shd w:val="clear" w:color="000000" w:fill="D8D8D8"/>
            <w:vAlign w:val="center"/>
          </w:tcPr>
          <w:p w14:paraId="1E89C5E2" w14:textId="77777777" w:rsidR="008E2B43" w:rsidRPr="006645DC" w:rsidRDefault="008E2B43" w:rsidP="005E0FF1">
            <w:pPr>
              <w:spacing w:before="0" w:after="0" w:line="280" w:lineRule="auto"/>
              <w:jc w:val="center"/>
              <w:rPr>
                <w:rFonts w:cs="Calibri"/>
                <w:b/>
                <w:lang w:val="en-GB"/>
              </w:rPr>
            </w:pPr>
            <w:r w:rsidRPr="006645DC">
              <w:rPr>
                <w:rFonts w:cs="Calibri"/>
                <w:b/>
                <w:lang w:val="en-GB"/>
              </w:rPr>
              <w:lastRenderedPageBreak/>
              <w:t>District</w:t>
            </w:r>
          </w:p>
        </w:tc>
        <w:tc>
          <w:tcPr>
            <w:tcW w:w="1233" w:type="dxa"/>
            <w:tcBorders>
              <w:top w:val="single" w:sz="8" w:space="0" w:color="auto"/>
              <w:left w:val="nil"/>
              <w:bottom w:val="single" w:sz="8" w:space="0" w:color="auto"/>
              <w:right w:val="single" w:sz="4" w:space="0" w:color="auto"/>
            </w:tcBorders>
            <w:shd w:val="clear" w:color="000000" w:fill="D8D8D8"/>
            <w:vAlign w:val="center"/>
          </w:tcPr>
          <w:p w14:paraId="26793CF4" w14:textId="77777777" w:rsidR="008E2B43" w:rsidRPr="006645DC" w:rsidRDefault="008E2B43" w:rsidP="005E0FF1">
            <w:pPr>
              <w:spacing w:before="0" w:after="0" w:line="280" w:lineRule="auto"/>
              <w:jc w:val="center"/>
              <w:rPr>
                <w:rFonts w:cs="Calibri"/>
                <w:b/>
                <w:lang w:val="en-GB"/>
              </w:rPr>
            </w:pPr>
            <w:r w:rsidRPr="006645DC">
              <w:rPr>
                <w:rFonts w:cs="Calibri"/>
                <w:b/>
                <w:lang w:val="en-GB"/>
              </w:rPr>
              <w:t>Romanians</w:t>
            </w:r>
          </w:p>
        </w:tc>
        <w:tc>
          <w:tcPr>
            <w:tcW w:w="1251" w:type="dxa"/>
            <w:tcBorders>
              <w:top w:val="single" w:sz="8" w:space="0" w:color="auto"/>
              <w:left w:val="nil"/>
              <w:bottom w:val="single" w:sz="8" w:space="0" w:color="auto"/>
              <w:right w:val="single" w:sz="4" w:space="0" w:color="auto"/>
            </w:tcBorders>
            <w:shd w:val="clear" w:color="000000" w:fill="D8D8D8"/>
            <w:vAlign w:val="center"/>
          </w:tcPr>
          <w:p w14:paraId="14242BEB" w14:textId="77777777" w:rsidR="008E2B43" w:rsidRPr="006645DC" w:rsidRDefault="008E2B43" w:rsidP="005E0FF1">
            <w:pPr>
              <w:spacing w:before="0" w:after="0" w:line="280" w:lineRule="auto"/>
              <w:jc w:val="center"/>
              <w:rPr>
                <w:rFonts w:cs="Calibri"/>
                <w:b/>
                <w:lang w:val="en-GB"/>
              </w:rPr>
            </w:pPr>
            <w:r w:rsidRPr="006645DC">
              <w:rPr>
                <w:rFonts w:cs="Calibri"/>
                <w:b/>
                <w:lang w:val="en-GB"/>
              </w:rPr>
              <w:t>Hungarians</w:t>
            </w:r>
          </w:p>
        </w:tc>
        <w:tc>
          <w:tcPr>
            <w:tcW w:w="850" w:type="dxa"/>
            <w:tcBorders>
              <w:top w:val="single" w:sz="8" w:space="0" w:color="auto"/>
              <w:left w:val="nil"/>
              <w:bottom w:val="single" w:sz="8" w:space="0" w:color="auto"/>
              <w:right w:val="single" w:sz="4" w:space="0" w:color="auto"/>
            </w:tcBorders>
            <w:shd w:val="clear" w:color="000000" w:fill="D8D8D8"/>
            <w:vAlign w:val="center"/>
          </w:tcPr>
          <w:p w14:paraId="4AB59097" w14:textId="77777777" w:rsidR="008E2B43" w:rsidRPr="006645DC" w:rsidRDefault="008E2B43" w:rsidP="005E0FF1">
            <w:pPr>
              <w:spacing w:before="0" w:after="0" w:line="280" w:lineRule="auto"/>
              <w:jc w:val="center"/>
              <w:rPr>
                <w:rFonts w:cs="Calibri"/>
                <w:b/>
                <w:lang w:val="en-GB"/>
              </w:rPr>
            </w:pPr>
            <w:r w:rsidRPr="006645DC">
              <w:rPr>
                <w:rFonts w:cs="Calibri"/>
                <w:b/>
                <w:lang w:val="en-GB"/>
              </w:rPr>
              <w:t>Roma</w:t>
            </w:r>
          </w:p>
        </w:tc>
        <w:tc>
          <w:tcPr>
            <w:tcW w:w="887" w:type="dxa"/>
            <w:tcBorders>
              <w:top w:val="single" w:sz="8" w:space="0" w:color="auto"/>
              <w:left w:val="nil"/>
              <w:bottom w:val="single" w:sz="8" w:space="0" w:color="auto"/>
              <w:right w:val="single" w:sz="4" w:space="0" w:color="auto"/>
            </w:tcBorders>
            <w:shd w:val="clear" w:color="000000" w:fill="D8D8D8"/>
            <w:vAlign w:val="center"/>
          </w:tcPr>
          <w:p w14:paraId="3278CFDE" w14:textId="77777777" w:rsidR="008E2B43" w:rsidRPr="006645DC" w:rsidRDefault="008E2B43" w:rsidP="005E0FF1">
            <w:pPr>
              <w:spacing w:before="0" w:after="0" w:line="280" w:lineRule="auto"/>
              <w:jc w:val="center"/>
              <w:rPr>
                <w:rFonts w:cs="Calibri"/>
                <w:b/>
                <w:lang w:val="en-GB"/>
              </w:rPr>
            </w:pPr>
            <w:r w:rsidRPr="006645DC">
              <w:rPr>
                <w:rFonts w:cs="Calibri"/>
                <w:b/>
                <w:lang w:val="en-GB"/>
              </w:rPr>
              <w:t>Turkish</w:t>
            </w:r>
          </w:p>
        </w:tc>
        <w:tc>
          <w:tcPr>
            <w:tcW w:w="967" w:type="dxa"/>
            <w:tcBorders>
              <w:top w:val="single" w:sz="8" w:space="0" w:color="auto"/>
              <w:left w:val="single" w:sz="4" w:space="0" w:color="auto"/>
              <w:bottom w:val="single" w:sz="8" w:space="0" w:color="auto"/>
              <w:right w:val="single" w:sz="4" w:space="0" w:color="auto"/>
            </w:tcBorders>
            <w:shd w:val="clear" w:color="000000" w:fill="D8D8D8"/>
            <w:vAlign w:val="center"/>
          </w:tcPr>
          <w:p w14:paraId="5FCB3769" w14:textId="77777777" w:rsidR="008E2B43" w:rsidRPr="006645DC" w:rsidRDefault="008E2B43" w:rsidP="005E0FF1">
            <w:pPr>
              <w:spacing w:before="0" w:after="0" w:line="280" w:lineRule="auto"/>
              <w:jc w:val="center"/>
              <w:rPr>
                <w:rFonts w:cs="Calibri"/>
                <w:b/>
                <w:lang w:val="en-GB"/>
              </w:rPr>
            </w:pPr>
            <w:r w:rsidRPr="006645DC">
              <w:rPr>
                <w:rFonts w:cs="Calibri"/>
                <w:b/>
                <w:lang w:val="en-GB"/>
              </w:rPr>
              <w:t>Tatars</w:t>
            </w:r>
          </w:p>
        </w:tc>
        <w:tc>
          <w:tcPr>
            <w:tcW w:w="749" w:type="dxa"/>
            <w:tcBorders>
              <w:top w:val="single" w:sz="8" w:space="0" w:color="auto"/>
              <w:left w:val="nil"/>
              <w:bottom w:val="single" w:sz="8" w:space="0" w:color="auto"/>
              <w:right w:val="single" w:sz="4" w:space="0" w:color="auto"/>
            </w:tcBorders>
            <w:shd w:val="clear" w:color="000000" w:fill="D8D8D8"/>
            <w:vAlign w:val="center"/>
          </w:tcPr>
          <w:p w14:paraId="1219A717" w14:textId="77777777" w:rsidR="008E2B43" w:rsidRPr="006645DC" w:rsidRDefault="008E2B43" w:rsidP="005E0FF1">
            <w:pPr>
              <w:spacing w:before="0" w:after="0" w:line="280" w:lineRule="auto"/>
              <w:jc w:val="center"/>
              <w:rPr>
                <w:rFonts w:cs="Calibri"/>
                <w:b/>
                <w:lang w:val="en-GB"/>
              </w:rPr>
            </w:pPr>
            <w:r w:rsidRPr="006645DC">
              <w:rPr>
                <w:rFonts w:cs="Calibri"/>
                <w:b/>
                <w:lang w:val="en-GB"/>
              </w:rPr>
              <w:t>Other</w:t>
            </w:r>
          </w:p>
        </w:tc>
        <w:tc>
          <w:tcPr>
            <w:tcW w:w="1447" w:type="dxa"/>
            <w:tcBorders>
              <w:top w:val="single" w:sz="8" w:space="0" w:color="auto"/>
              <w:left w:val="single" w:sz="4" w:space="0" w:color="auto"/>
              <w:bottom w:val="single" w:sz="8" w:space="0" w:color="auto"/>
              <w:right w:val="single" w:sz="8" w:space="0" w:color="auto"/>
            </w:tcBorders>
            <w:shd w:val="clear" w:color="000000" w:fill="D8D8D8"/>
            <w:vAlign w:val="center"/>
          </w:tcPr>
          <w:p w14:paraId="7D2BDF10" w14:textId="77777777" w:rsidR="008E2B43" w:rsidRPr="006645DC" w:rsidRDefault="008E2B43" w:rsidP="005E0FF1">
            <w:pPr>
              <w:spacing w:before="0" w:after="0"/>
              <w:jc w:val="center"/>
              <w:rPr>
                <w:rFonts w:cs="Calibri"/>
                <w:b/>
                <w:lang w:val="en-GB"/>
              </w:rPr>
            </w:pPr>
            <w:r w:rsidRPr="006645DC">
              <w:rPr>
                <w:rFonts w:cs="Calibri"/>
                <w:b/>
                <w:lang w:val="en-GB"/>
              </w:rPr>
              <w:t>Not self -  determined</w:t>
            </w:r>
          </w:p>
        </w:tc>
      </w:tr>
      <w:tr w:rsidR="008E2B43" w:rsidRPr="006645DC" w14:paraId="246A305E" w14:textId="77777777" w:rsidTr="005E0FF1">
        <w:trPr>
          <w:trHeight w:val="300"/>
          <w:jc w:val="center"/>
        </w:trPr>
        <w:tc>
          <w:tcPr>
            <w:tcW w:w="1417" w:type="dxa"/>
            <w:tcBorders>
              <w:top w:val="nil"/>
              <w:left w:val="single" w:sz="8" w:space="0" w:color="auto"/>
              <w:bottom w:val="single" w:sz="4" w:space="0" w:color="auto"/>
              <w:right w:val="single" w:sz="4" w:space="0" w:color="auto"/>
            </w:tcBorders>
            <w:shd w:val="clear" w:color="000000" w:fill="FFFFFF"/>
            <w:noWrap/>
            <w:vAlign w:val="center"/>
          </w:tcPr>
          <w:p w14:paraId="46965C57" w14:textId="77777777" w:rsidR="008E2B43" w:rsidRPr="006645DC" w:rsidRDefault="008E2B43" w:rsidP="005E0FF1">
            <w:pPr>
              <w:spacing w:before="0" w:after="0"/>
              <w:jc w:val="left"/>
              <w:rPr>
                <w:rFonts w:cs="Calibri"/>
                <w:color w:val="000000"/>
                <w:lang w:val="en-GB"/>
              </w:rPr>
            </w:pPr>
            <w:r w:rsidRPr="006645DC">
              <w:rPr>
                <w:rFonts w:cs="Calibri"/>
                <w:color w:val="000000"/>
                <w:lang w:val="en-GB"/>
              </w:rPr>
              <w:t>Mehedinţi</w:t>
            </w:r>
          </w:p>
        </w:tc>
        <w:tc>
          <w:tcPr>
            <w:tcW w:w="1233" w:type="dxa"/>
            <w:tcBorders>
              <w:top w:val="nil"/>
              <w:left w:val="nil"/>
              <w:bottom w:val="single" w:sz="4" w:space="0" w:color="auto"/>
              <w:right w:val="single" w:sz="4" w:space="0" w:color="auto"/>
            </w:tcBorders>
            <w:shd w:val="clear" w:color="000000" w:fill="FFFFFF"/>
            <w:noWrap/>
            <w:vAlign w:val="center"/>
          </w:tcPr>
          <w:p w14:paraId="11613E4A" w14:textId="77777777" w:rsidR="008E2B43" w:rsidRPr="006645DC" w:rsidRDefault="008E2B43" w:rsidP="005E0FF1">
            <w:pPr>
              <w:keepNext/>
              <w:keepLines/>
              <w:spacing w:before="0" w:after="0"/>
              <w:jc w:val="right"/>
              <w:outlineLvl w:val="1"/>
              <w:rPr>
                <w:rFonts w:cs="Calibri"/>
                <w:lang w:val="en-GB"/>
              </w:rPr>
            </w:pPr>
            <w:bookmarkStart w:id="674" w:name="_Toc376198911"/>
            <w:r w:rsidRPr="006645DC">
              <w:rPr>
                <w:rFonts w:cs="Calibri"/>
                <w:lang w:val="en-GB"/>
              </w:rPr>
              <w:t>94.9</w:t>
            </w:r>
            <w:bookmarkEnd w:id="674"/>
          </w:p>
        </w:tc>
        <w:tc>
          <w:tcPr>
            <w:tcW w:w="1251" w:type="dxa"/>
            <w:tcBorders>
              <w:top w:val="nil"/>
              <w:left w:val="nil"/>
              <w:bottom w:val="single" w:sz="4" w:space="0" w:color="auto"/>
              <w:right w:val="single" w:sz="4" w:space="0" w:color="auto"/>
            </w:tcBorders>
            <w:shd w:val="clear" w:color="000000" w:fill="FFFFFF"/>
            <w:noWrap/>
            <w:vAlign w:val="center"/>
          </w:tcPr>
          <w:p w14:paraId="5A9F57B3" w14:textId="77777777" w:rsidR="008E2B43" w:rsidRPr="006645DC" w:rsidRDefault="008E2B43" w:rsidP="005E0FF1">
            <w:pPr>
              <w:keepNext/>
              <w:keepLines/>
              <w:spacing w:before="0" w:after="0"/>
              <w:jc w:val="right"/>
              <w:outlineLvl w:val="1"/>
              <w:rPr>
                <w:rFonts w:cs="Calibri"/>
                <w:lang w:val="en-GB"/>
              </w:rPr>
            </w:pPr>
            <w:bookmarkStart w:id="675" w:name="_Toc376198912"/>
            <w:r w:rsidRPr="006645DC">
              <w:rPr>
                <w:rFonts w:cs="Calibri"/>
                <w:lang w:val="en-GB"/>
              </w:rPr>
              <w:t>0.1</w:t>
            </w:r>
            <w:bookmarkEnd w:id="675"/>
          </w:p>
        </w:tc>
        <w:tc>
          <w:tcPr>
            <w:tcW w:w="850" w:type="dxa"/>
            <w:tcBorders>
              <w:top w:val="nil"/>
              <w:left w:val="nil"/>
              <w:bottom w:val="single" w:sz="4" w:space="0" w:color="auto"/>
              <w:right w:val="single" w:sz="4" w:space="0" w:color="auto"/>
            </w:tcBorders>
            <w:shd w:val="clear" w:color="000000" w:fill="FFFFFF"/>
            <w:noWrap/>
            <w:vAlign w:val="center"/>
          </w:tcPr>
          <w:p w14:paraId="2DF45E6C" w14:textId="77777777" w:rsidR="008E2B43" w:rsidRPr="006645DC" w:rsidRDefault="008E2B43" w:rsidP="005E0FF1">
            <w:pPr>
              <w:keepNext/>
              <w:keepLines/>
              <w:spacing w:before="0" w:after="0"/>
              <w:jc w:val="right"/>
              <w:outlineLvl w:val="1"/>
              <w:rPr>
                <w:rFonts w:cs="Calibri"/>
                <w:lang w:val="en-GB"/>
              </w:rPr>
            </w:pPr>
            <w:bookmarkStart w:id="676" w:name="_Toc376198913"/>
            <w:r w:rsidRPr="006645DC">
              <w:rPr>
                <w:rFonts w:cs="Calibri"/>
                <w:lang w:val="en-GB"/>
              </w:rPr>
              <w:t>4.3</w:t>
            </w:r>
            <w:bookmarkEnd w:id="676"/>
          </w:p>
        </w:tc>
        <w:tc>
          <w:tcPr>
            <w:tcW w:w="887" w:type="dxa"/>
            <w:tcBorders>
              <w:top w:val="nil"/>
              <w:left w:val="nil"/>
              <w:bottom w:val="single" w:sz="4" w:space="0" w:color="auto"/>
              <w:right w:val="single" w:sz="4" w:space="0" w:color="auto"/>
            </w:tcBorders>
            <w:shd w:val="clear" w:color="000000" w:fill="FFFFFF"/>
            <w:vAlign w:val="center"/>
          </w:tcPr>
          <w:p w14:paraId="12D71A65" w14:textId="77777777" w:rsidR="008E2B43" w:rsidRPr="006645DC" w:rsidRDefault="008E2B43" w:rsidP="005E0FF1">
            <w:pPr>
              <w:keepNext/>
              <w:keepLines/>
              <w:spacing w:before="0" w:after="0"/>
              <w:jc w:val="right"/>
              <w:outlineLvl w:val="1"/>
              <w:rPr>
                <w:rFonts w:cs="Calibri"/>
                <w:lang w:val="en-GB"/>
              </w:rPr>
            </w:pPr>
            <w:bookmarkStart w:id="677" w:name="_Toc376198914"/>
            <w:r w:rsidRPr="006645DC">
              <w:rPr>
                <w:rFonts w:cs="Calibri"/>
                <w:lang w:val="en-GB"/>
              </w:rPr>
              <w:t>0</w:t>
            </w:r>
            <w:bookmarkEnd w:id="677"/>
          </w:p>
        </w:tc>
        <w:tc>
          <w:tcPr>
            <w:tcW w:w="967" w:type="dxa"/>
            <w:tcBorders>
              <w:top w:val="nil"/>
              <w:left w:val="single" w:sz="4" w:space="0" w:color="auto"/>
              <w:bottom w:val="single" w:sz="4" w:space="0" w:color="auto"/>
              <w:right w:val="single" w:sz="4" w:space="0" w:color="auto"/>
            </w:tcBorders>
            <w:shd w:val="clear" w:color="000000" w:fill="FFFFFF"/>
            <w:noWrap/>
            <w:vAlign w:val="center"/>
          </w:tcPr>
          <w:p w14:paraId="611C6144" w14:textId="77777777" w:rsidR="008E2B43" w:rsidRPr="006645DC" w:rsidRDefault="008E2B43" w:rsidP="005E0FF1">
            <w:pPr>
              <w:keepNext/>
              <w:keepLines/>
              <w:spacing w:before="0" w:after="0"/>
              <w:jc w:val="right"/>
              <w:outlineLvl w:val="1"/>
              <w:rPr>
                <w:rFonts w:cs="Calibri"/>
                <w:lang w:val="en-GB"/>
              </w:rPr>
            </w:pPr>
            <w:bookmarkStart w:id="678" w:name="_Toc376198915"/>
            <w:r w:rsidRPr="006645DC">
              <w:rPr>
                <w:rFonts w:cs="Calibri"/>
                <w:lang w:val="en-GB"/>
              </w:rPr>
              <w:t>0</w:t>
            </w:r>
            <w:bookmarkEnd w:id="678"/>
          </w:p>
        </w:tc>
        <w:tc>
          <w:tcPr>
            <w:tcW w:w="749" w:type="dxa"/>
            <w:tcBorders>
              <w:top w:val="nil"/>
              <w:left w:val="nil"/>
              <w:bottom w:val="single" w:sz="4" w:space="0" w:color="auto"/>
              <w:right w:val="single" w:sz="4" w:space="0" w:color="auto"/>
            </w:tcBorders>
            <w:shd w:val="clear" w:color="000000" w:fill="FFFFFF"/>
            <w:vAlign w:val="center"/>
          </w:tcPr>
          <w:p w14:paraId="18CC5FF9" w14:textId="77777777" w:rsidR="008E2B43" w:rsidRPr="006645DC" w:rsidRDefault="008E2B43" w:rsidP="005E0FF1">
            <w:pPr>
              <w:keepNext/>
              <w:keepLines/>
              <w:spacing w:before="0" w:after="0"/>
              <w:jc w:val="right"/>
              <w:outlineLvl w:val="1"/>
              <w:rPr>
                <w:rFonts w:cs="Calibri"/>
                <w:lang w:val="en-GB"/>
              </w:rPr>
            </w:pPr>
            <w:bookmarkStart w:id="679" w:name="_Toc376198916"/>
            <w:r w:rsidRPr="006645DC">
              <w:rPr>
                <w:rFonts w:cs="Calibri"/>
                <w:lang w:val="en-GB"/>
              </w:rPr>
              <w:t>0.9</w:t>
            </w:r>
            <w:bookmarkEnd w:id="679"/>
          </w:p>
        </w:tc>
        <w:tc>
          <w:tcPr>
            <w:tcW w:w="1447" w:type="dxa"/>
            <w:tcBorders>
              <w:top w:val="nil"/>
              <w:left w:val="single" w:sz="4" w:space="0" w:color="auto"/>
              <w:bottom w:val="single" w:sz="4" w:space="0" w:color="auto"/>
              <w:right w:val="single" w:sz="8" w:space="0" w:color="auto"/>
            </w:tcBorders>
            <w:shd w:val="clear" w:color="000000" w:fill="FFFFFF"/>
            <w:noWrap/>
            <w:vAlign w:val="center"/>
          </w:tcPr>
          <w:p w14:paraId="738A8701" w14:textId="77777777" w:rsidR="008E2B43" w:rsidRPr="006645DC" w:rsidRDefault="008E2B43" w:rsidP="005E0FF1">
            <w:pPr>
              <w:keepNext/>
              <w:keepLines/>
              <w:spacing w:before="0" w:after="0"/>
              <w:jc w:val="right"/>
              <w:outlineLvl w:val="1"/>
              <w:rPr>
                <w:rFonts w:cs="Calibri"/>
                <w:lang w:val="en-GB"/>
              </w:rPr>
            </w:pPr>
            <w:bookmarkStart w:id="680" w:name="_Toc376198917"/>
            <w:r w:rsidRPr="006645DC">
              <w:rPr>
                <w:rFonts w:cs="Calibri"/>
                <w:lang w:val="en-GB"/>
              </w:rPr>
              <w:t>0.1</w:t>
            </w:r>
            <w:bookmarkEnd w:id="680"/>
          </w:p>
        </w:tc>
      </w:tr>
      <w:tr w:rsidR="008E2B43" w:rsidRPr="006645DC" w14:paraId="7501BEAA" w14:textId="77777777" w:rsidTr="005E0FF1">
        <w:trPr>
          <w:trHeight w:val="300"/>
          <w:jc w:val="center"/>
        </w:trPr>
        <w:tc>
          <w:tcPr>
            <w:tcW w:w="1417" w:type="dxa"/>
            <w:tcBorders>
              <w:top w:val="nil"/>
              <w:left w:val="single" w:sz="8" w:space="0" w:color="auto"/>
              <w:bottom w:val="single" w:sz="4" w:space="0" w:color="auto"/>
              <w:right w:val="single" w:sz="4" w:space="0" w:color="auto"/>
            </w:tcBorders>
            <w:shd w:val="clear" w:color="000000" w:fill="FFFFFF"/>
            <w:noWrap/>
            <w:vAlign w:val="center"/>
          </w:tcPr>
          <w:p w14:paraId="18CE5B7F" w14:textId="77777777" w:rsidR="008E2B43" w:rsidRPr="006645DC" w:rsidRDefault="008E2B43" w:rsidP="005E0FF1">
            <w:pPr>
              <w:keepNext/>
              <w:keepLines/>
              <w:spacing w:before="0" w:after="0"/>
              <w:jc w:val="left"/>
              <w:outlineLvl w:val="1"/>
              <w:rPr>
                <w:rFonts w:cs="Calibri"/>
                <w:color w:val="000000"/>
                <w:lang w:val="en-GB"/>
              </w:rPr>
            </w:pPr>
            <w:bookmarkStart w:id="681" w:name="_Toc376198918"/>
            <w:r w:rsidRPr="006645DC">
              <w:rPr>
                <w:rFonts w:cs="Calibri"/>
                <w:color w:val="000000"/>
                <w:lang w:val="en-GB"/>
              </w:rPr>
              <w:t>Dolj</w:t>
            </w:r>
            <w:bookmarkEnd w:id="681"/>
          </w:p>
        </w:tc>
        <w:tc>
          <w:tcPr>
            <w:tcW w:w="1233" w:type="dxa"/>
            <w:tcBorders>
              <w:top w:val="nil"/>
              <w:left w:val="nil"/>
              <w:bottom w:val="single" w:sz="4" w:space="0" w:color="auto"/>
              <w:right w:val="single" w:sz="4" w:space="0" w:color="auto"/>
            </w:tcBorders>
            <w:shd w:val="clear" w:color="000000" w:fill="FFFFFF"/>
            <w:noWrap/>
            <w:vAlign w:val="center"/>
          </w:tcPr>
          <w:p w14:paraId="3F98C658" w14:textId="77777777" w:rsidR="008E2B43" w:rsidRPr="006645DC" w:rsidRDefault="008E2B43" w:rsidP="005E0FF1">
            <w:pPr>
              <w:keepNext/>
              <w:keepLines/>
              <w:spacing w:before="0" w:after="0"/>
              <w:jc w:val="right"/>
              <w:outlineLvl w:val="1"/>
              <w:rPr>
                <w:rFonts w:cs="Calibri"/>
                <w:color w:val="000000"/>
                <w:lang w:val="en-GB"/>
              </w:rPr>
            </w:pPr>
            <w:bookmarkStart w:id="682" w:name="_Toc376198919"/>
            <w:r w:rsidRPr="006645DC">
              <w:rPr>
                <w:rFonts w:cs="Calibri"/>
                <w:color w:val="000000"/>
                <w:lang w:val="en-GB"/>
              </w:rPr>
              <w:t>95.0</w:t>
            </w:r>
            <w:bookmarkEnd w:id="682"/>
          </w:p>
        </w:tc>
        <w:tc>
          <w:tcPr>
            <w:tcW w:w="1251" w:type="dxa"/>
            <w:tcBorders>
              <w:top w:val="nil"/>
              <w:left w:val="nil"/>
              <w:bottom w:val="single" w:sz="4" w:space="0" w:color="auto"/>
              <w:right w:val="single" w:sz="4" w:space="0" w:color="auto"/>
            </w:tcBorders>
            <w:shd w:val="clear" w:color="000000" w:fill="FFFFFF"/>
            <w:noWrap/>
            <w:vAlign w:val="center"/>
          </w:tcPr>
          <w:p w14:paraId="62FDE214" w14:textId="77777777" w:rsidR="008E2B43" w:rsidRPr="006645DC" w:rsidRDefault="008E2B43" w:rsidP="005E0FF1">
            <w:pPr>
              <w:keepNext/>
              <w:keepLines/>
              <w:spacing w:before="0" w:after="0"/>
              <w:jc w:val="right"/>
              <w:outlineLvl w:val="1"/>
              <w:rPr>
                <w:rFonts w:cs="Calibri"/>
                <w:color w:val="000000"/>
                <w:lang w:val="en-GB"/>
              </w:rPr>
            </w:pPr>
            <w:bookmarkStart w:id="683" w:name="_Toc376198920"/>
            <w:r w:rsidRPr="006645DC">
              <w:rPr>
                <w:rFonts w:cs="Calibri"/>
                <w:color w:val="000000"/>
                <w:lang w:val="en-GB"/>
              </w:rPr>
              <w:t>0</w:t>
            </w:r>
            <w:bookmarkEnd w:id="683"/>
          </w:p>
        </w:tc>
        <w:tc>
          <w:tcPr>
            <w:tcW w:w="850" w:type="dxa"/>
            <w:tcBorders>
              <w:top w:val="nil"/>
              <w:left w:val="nil"/>
              <w:bottom w:val="single" w:sz="4" w:space="0" w:color="auto"/>
              <w:right w:val="single" w:sz="4" w:space="0" w:color="auto"/>
            </w:tcBorders>
            <w:shd w:val="clear" w:color="000000" w:fill="FFFFFF"/>
            <w:noWrap/>
            <w:vAlign w:val="center"/>
          </w:tcPr>
          <w:p w14:paraId="40D6F760" w14:textId="77777777" w:rsidR="008E2B43" w:rsidRPr="006645DC" w:rsidRDefault="008E2B43" w:rsidP="005E0FF1">
            <w:pPr>
              <w:keepNext/>
              <w:keepLines/>
              <w:spacing w:before="0" w:after="0"/>
              <w:jc w:val="right"/>
              <w:outlineLvl w:val="1"/>
              <w:rPr>
                <w:rFonts w:cs="Calibri"/>
                <w:color w:val="000000"/>
                <w:lang w:val="en-GB"/>
              </w:rPr>
            </w:pPr>
            <w:bookmarkStart w:id="684" w:name="_Toc376198921"/>
            <w:r w:rsidRPr="006645DC">
              <w:rPr>
                <w:rFonts w:cs="Calibri"/>
                <w:color w:val="000000"/>
                <w:lang w:val="en-GB"/>
              </w:rPr>
              <w:t>4.7</w:t>
            </w:r>
            <w:bookmarkEnd w:id="684"/>
          </w:p>
        </w:tc>
        <w:tc>
          <w:tcPr>
            <w:tcW w:w="887" w:type="dxa"/>
            <w:tcBorders>
              <w:top w:val="nil"/>
              <w:left w:val="nil"/>
              <w:bottom w:val="single" w:sz="4" w:space="0" w:color="auto"/>
              <w:right w:val="single" w:sz="4" w:space="0" w:color="auto"/>
            </w:tcBorders>
            <w:shd w:val="clear" w:color="000000" w:fill="FFFFFF"/>
            <w:vAlign w:val="center"/>
          </w:tcPr>
          <w:p w14:paraId="11DCFD1D" w14:textId="77777777" w:rsidR="008E2B43" w:rsidRPr="006645DC" w:rsidRDefault="008E2B43" w:rsidP="005E0FF1">
            <w:pPr>
              <w:keepNext/>
              <w:keepLines/>
              <w:spacing w:before="0" w:after="0"/>
              <w:jc w:val="right"/>
              <w:outlineLvl w:val="1"/>
              <w:rPr>
                <w:rFonts w:cs="Calibri"/>
                <w:color w:val="000000"/>
                <w:lang w:val="en-GB"/>
              </w:rPr>
            </w:pPr>
            <w:bookmarkStart w:id="685" w:name="_Toc376198922"/>
            <w:r w:rsidRPr="006645DC">
              <w:rPr>
                <w:rFonts w:cs="Calibri"/>
                <w:color w:val="000000"/>
                <w:lang w:val="en-GB"/>
              </w:rPr>
              <w:t>0</w:t>
            </w:r>
            <w:bookmarkEnd w:id="685"/>
          </w:p>
        </w:tc>
        <w:tc>
          <w:tcPr>
            <w:tcW w:w="967" w:type="dxa"/>
            <w:tcBorders>
              <w:top w:val="nil"/>
              <w:left w:val="single" w:sz="4" w:space="0" w:color="auto"/>
              <w:bottom w:val="single" w:sz="4" w:space="0" w:color="auto"/>
              <w:right w:val="single" w:sz="4" w:space="0" w:color="auto"/>
            </w:tcBorders>
            <w:shd w:val="clear" w:color="000000" w:fill="FFFFFF"/>
            <w:noWrap/>
            <w:vAlign w:val="center"/>
          </w:tcPr>
          <w:p w14:paraId="65E6EFD7" w14:textId="77777777" w:rsidR="008E2B43" w:rsidRPr="006645DC" w:rsidRDefault="008E2B43" w:rsidP="005E0FF1">
            <w:pPr>
              <w:keepNext/>
              <w:keepLines/>
              <w:spacing w:before="0" w:after="0"/>
              <w:jc w:val="right"/>
              <w:outlineLvl w:val="1"/>
              <w:rPr>
                <w:rFonts w:cs="Calibri"/>
                <w:color w:val="000000"/>
                <w:lang w:val="en-GB"/>
              </w:rPr>
            </w:pPr>
            <w:bookmarkStart w:id="686" w:name="_Toc376198923"/>
            <w:r w:rsidRPr="006645DC">
              <w:rPr>
                <w:rFonts w:cs="Calibri"/>
                <w:color w:val="000000"/>
                <w:lang w:val="en-GB"/>
              </w:rPr>
              <w:t>0</w:t>
            </w:r>
            <w:bookmarkEnd w:id="686"/>
          </w:p>
        </w:tc>
        <w:tc>
          <w:tcPr>
            <w:tcW w:w="749" w:type="dxa"/>
            <w:tcBorders>
              <w:top w:val="nil"/>
              <w:left w:val="nil"/>
              <w:bottom w:val="single" w:sz="4" w:space="0" w:color="auto"/>
              <w:right w:val="single" w:sz="4" w:space="0" w:color="auto"/>
            </w:tcBorders>
            <w:shd w:val="clear" w:color="000000" w:fill="FFFFFF"/>
            <w:vAlign w:val="center"/>
          </w:tcPr>
          <w:p w14:paraId="678BEEAF" w14:textId="77777777" w:rsidR="008E2B43" w:rsidRPr="006645DC" w:rsidRDefault="008E2B43" w:rsidP="005E0FF1">
            <w:pPr>
              <w:keepNext/>
              <w:keepLines/>
              <w:spacing w:before="0" w:after="0"/>
              <w:jc w:val="right"/>
              <w:outlineLvl w:val="1"/>
              <w:rPr>
                <w:rFonts w:cs="Calibri"/>
                <w:color w:val="000000"/>
                <w:lang w:val="en-GB"/>
              </w:rPr>
            </w:pPr>
            <w:bookmarkStart w:id="687" w:name="_Toc376198924"/>
            <w:r w:rsidRPr="006645DC">
              <w:rPr>
                <w:rFonts w:cs="Calibri"/>
                <w:color w:val="000000"/>
                <w:lang w:val="en-GB"/>
              </w:rPr>
              <w:t>0.3</w:t>
            </w:r>
            <w:bookmarkEnd w:id="687"/>
          </w:p>
        </w:tc>
        <w:tc>
          <w:tcPr>
            <w:tcW w:w="1447" w:type="dxa"/>
            <w:tcBorders>
              <w:top w:val="nil"/>
              <w:left w:val="single" w:sz="4" w:space="0" w:color="auto"/>
              <w:bottom w:val="single" w:sz="4" w:space="0" w:color="auto"/>
              <w:right w:val="single" w:sz="8" w:space="0" w:color="auto"/>
            </w:tcBorders>
            <w:shd w:val="clear" w:color="000000" w:fill="FFFFFF"/>
            <w:noWrap/>
            <w:vAlign w:val="center"/>
          </w:tcPr>
          <w:p w14:paraId="7E5098C5" w14:textId="77777777" w:rsidR="008E2B43" w:rsidRPr="006645DC" w:rsidRDefault="008E2B43" w:rsidP="005E0FF1">
            <w:pPr>
              <w:keepNext/>
              <w:keepLines/>
              <w:spacing w:before="0" w:after="0"/>
              <w:jc w:val="right"/>
              <w:outlineLvl w:val="1"/>
              <w:rPr>
                <w:rFonts w:cs="Calibri"/>
                <w:color w:val="000000"/>
                <w:lang w:val="en-GB"/>
              </w:rPr>
            </w:pPr>
            <w:bookmarkStart w:id="688" w:name="_Toc376198925"/>
            <w:r w:rsidRPr="006645DC">
              <w:rPr>
                <w:rFonts w:cs="Calibri"/>
                <w:color w:val="000000"/>
                <w:lang w:val="en-GB"/>
              </w:rPr>
              <w:t>0.1</w:t>
            </w:r>
            <w:bookmarkEnd w:id="688"/>
          </w:p>
        </w:tc>
      </w:tr>
      <w:tr w:rsidR="008E2B43" w:rsidRPr="006645DC" w14:paraId="42961E4B" w14:textId="77777777" w:rsidTr="005E0FF1">
        <w:trPr>
          <w:trHeight w:val="300"/>
          <w:jc w:val="center"/>
        </w:trPr>
        <w:tc>
          <w:tcPr>
            <w:tcW w:w="1417" w:type="dxa"/>
            <w:tcBorders>
              <w:top w:val="nil"/>
              <w:left w:val="single" w:sz="8" w:space="0" w:color="auto"/>
              <w:bottom w:val="single" w:sz="4" w:space="0" w:color="auto"/>
              <w:right w:val="single" w:sz="4" w:space="0" w:color="auto"/>
            </w:tcBorders>
            <w:shd w:val="clear" w:color="000000" w:fill="FFFFFF"/>
            <w:noWrap/>
            <w:vAlign w:val="center"/>
          </w:tcPr>
          <w:p w14:paraId="5EFC7EC2" w14:textId="77777777" w:rsidR="008E2B43" w:rsidRPr="006645DC" w:rsidRDefault="008E2B43" w:rsidP="005E0FF1">
            <w:pPr>
              <w:keepNext/>
              <w:keepLines/>
              <w:spacing w:before="0" w:after="0"/>
              <w:jc w:val="left"/>
              <w:outlineLvl w:val="1"/>
              <w:rPr>
                <w:rFonts w:cs="Calibri"/>
                <w:color w:val="000000"/>
                <w:lang w:val="en-GB"/>
              </w:rPr>
            </w:pPr>
            <w:bookmarkStart w:id="689" w:name="_Toc376198926"/>
            <w:r w:rsidRPr="006645DC">
              <w:rPr>
                <w:rFonts w:cs="Calibri"/>
                <w:color w:val="000000"/>
                <w:lang w:val="en-GB"/>
              </w:rPr>
              <w:t>Olt</w:t>
            </w:r>
            <w:bookmarkEnd w:id="689"/>
          </w:p>
        </w:tc>
        <w:tc>
          <w:tcPr>
            <w:tcW w:w="1233" w:type="dxa"/>
            <w:tcBorders>
              <w:top w:val="nil"/>
              <w:left w:val="nil"/>
              <w:bottom w:val="single" w:sz="4" w:space="0" w:color="auto"/>
              <w:right w:val="single" w:sz="4" w:space="0" w:color="auto"/>
            </w:tcBorders>
            <w:shd w:val="clear" w:color="000000" w:fill="FFFFFF"/>
            <w:noWrap/>
            <w:vAlign w:val="center"/>
          </w:tcPr>
          <w:p w14:paraId="1797D430" w14:textId="77777777" w:rsidR="008E2B43" w:rsidRPr="006645DC" w:rsidRDefault="008E2B43" w:rsidP="005E0FF1">
            <w:pPr>
              <w:keepNext/>
              <w:keepLines/>
              <w:spacing w:before="0" w:after="0"/>
              <w:jc w:val="right"/>
              <w:outlineLvl w:val="1"/>
              <w:rPr>
                <w:rFonts w:cs="Calibri"/>
                <w:lang w:val="en-GB"/>
              </w:rPr>
            </w:pPr>
            <w:bookmarkStart w:id="690" w:name="_Toc376198927"/>
            <w:r w:rsidRPr="006645DC">
              <w:rPr>
                <w:rFonts w:cs="Calibri"/>
                <w:lang w:val="en-GB"/>
              </w:rPr>
              <w:t>97.6</w:t>
            </w:r>
            <w:bookmarkEnd w:id="690"/>
          </w:p>
        </w:tc>
        <w:tc>
          <w:tcPr>
            <w:tcW w:w="1251" w:type="dxa"/>
            <w:tcBorders>
              <w:top w:val="nil"/>
              <w:left w:val="nil"/>
              <w:bottom w:val="single" w:sz="4" w:space="0" w:color="auto"/>
              <w:right w:val="single" w:sz="4" w:space="0" w:color="auto"/>
            </w:tcBorders>
            <w:shd w:val="clear" w:color="000000" w:fill="FFFFFF"/>
            <w:noWrap/>
            <w:vAlign w:val="center"/>
          </w:tcPr>
          <w:p w14:paraId="36B3E4A5" w14:textId="77777777" w:rsidR="008E2B43" w:rsidRPr="006645DC" w:rsidRDefault="008E2B43" w:rsidP="005E0FF1">
            <w:pPr>
              <w:keepNext/>
              <w:keepLines/>
              <w:spacing w:before="0" w:after="0"/>
              <w:jc w:val="right"/>
              <w:outlineLvl w:val="1"/>
              <w:rPr>
                <w:rFonts w:cs="Calibri"/>
                <w:color w:val="000000"/>
                <w:lang w:val="en-GB"/>
              </w:rPr>
            </w:pPr>
            <w:bookmarkStart w:id="691" w:name="_Toc376198928"/>
            <w:r w:rsidRPr="006645DC">
              <w:rPr>
                <w:rFonts w:cs="Calibri"/>
                <w:color w:val="000000"/>
                <w:lang w:val="en-GB"/>
              </w:rPr>
              <w:t>0.1</w:t>
            </w:r>
            <w:bookmarkEnd w:id="691"/>
          </w:p>
        </w:tc>
        <w:tc>
          <w:tcPr>
            <w:tcW w:w="850" w:type="dxa"/>
            <w:tcBorders>
              <w:top w:val="nil"/>
              <w:left w:val="nil"/>
              <w:bottom w:val="single" w:sz="4" w:space="0" w:color="auto"/>
              <w:right w:val="single" w:sz="4" w:space="0" w:color="auto"/>
            </w:tcBorders>
            <w:shd w:val="clear" w:color="000000" w:fill="FFFFFF"/>
            <w:noWrap/>
            <w:vAlign w:val="center"/>
          </w:tcPr>
          <w:p w14:paraId="2E57520D" w14:textId="77777777" w:rsidR="008E2B43" w:rsidRPr="006645DC" w:rsidRDefault="008E2B43" w:rsidP="005E0FF1">
            <w:pPr>
              <w:keepNext/>
              <w:keepLines/>
              <w:spacing w:before="0" w:after="0"/>
              <w:jc w:val="right"/>
              <w:outlineLvl w:val="1"/>
              <w:rPr>
                <w:rFonts w:cs="Calibri"/>
                <w:color w:val="000000"/>
                <w:lang w:val="en-GB"/>
              </w:rPr>
            </w:pPr>
            <w:bookmarkStart w:id="692" w:name="_Toc376198929"/>
            <w:r w:rsidRPr="006645DC">
              <w:rPr>
                <w:rFonts w:cs="Calibri"/>
                <w:color w:val="000000"/>
                <w:lang w:val="en-GB"/>
              </w:rPr>
              <w:t>2.3</w:t>
            </w:r>
            <w:bookmarkEnd w:id="692"/>
          </w:p>
        </w:tc>
        <w:tc>
          <w:tcPr>
            <w:tcW w:w="887" w:type="dxa"/>
            <w:tcBorders>
              <w:top w:val="nil"/>
              <w:left w:val="nil"/>
              <w:bottom w:val="single" w:sz="4" w:space="0" w:color="auto"/>
              <w:right w:val="single" w:sz="4" w:space="0" w:color="auto"/>
            </w:tcBorders>
            <w:shd w:val="clear" w:color="000000" w:fill="FFFFFF"/>
            <w:vAlign w:val="center"/>
          </w:tcPr>
          <w:p w14:paraId="66F39AD5" w14:textId="77777777" w:rsidR="008E2B43" w:rsidRPr="006645DC" w:rsidRDefault="008E2B43" w:rsidP="005E0FF1">
            <w:pPr>
              <w:keepNext/>
              <w:keepLines/>
              <w:spacing w:before="0" w:after="0"/>
              <w:jc w:val="right"/>
              <w:outlineLvl w:val="1"/>
              <w:rPr>
                <w:rFonts w:cs="Calibri"/>
                <w:color w:val="000000"/>
                <w:lang w:val="en-GB"/>
              </w:rPr>
            </w:pPr>
            <w:bookmarkStart w:id="693" w:name="_Toc376198930"/>
            <w:r w:rsidRPr="006645DC">
              <w:rPr>
                <w:rFonts w:cs="Calibri"/>
                <w:color w:val="000000"/>
                <w:lang w:val="en-GB"/>
              </w:rPr>
              <w:t>0</w:t>
            </w:r>
            <w:bookmarkEnd w:id="693"/>
          </w:p>
        </w:tc>
        <w:tc>
          <w:tcPr>
            <w:tcW w:w="967" w:type="dxa"/>
            <w:tcBorders>
              <w:top w:val="nil"/>
              <w:left w:val="single" w:sz="4" w:space="0" w:color="auto"/>
              <w:bottom w:val="single" w:sz="4" w:space="0" w:color="auto"/>
              <w:right w:val="single" w:sz="4" w:space="0" w:color="auto"/>
            </w:tcBorders>
            <w:shd w:val="clear" w:color="000000" w:fill="FFFFFF"/>
            <w:noWrap/>
            <w:vAlign w:val="center"/>
          </w:tcPr>
          <w:p w14:paraId="2A87BC9D" w14:textId="77777777" w:rsidR="008E2B43" w:rsidRPr="006645DC" w:rsidRDefault="008E2B43" w:rsidP="005E0FF1">
            <w:pPr>
              <w:keepNext/>
              <w:keepLines/>
              <w:spacing w:before="0" w:after="0"/>
              <w:jc w:val="right"/>
              <w:outlineLvl w:val="1"/>
              <w:rPr>
                <w:rFonts w:cs="Calibri"/>
                <w:color w:val="000000"/>
                <w:lang w:val="en-GB"/>
              </w:rPr>
            </w:pPr>
            <w:bookmarkStart w:id="694" w:name="_Toc376198931"/>
            <w:r w:rsidRPr="006645DC">
              <w:rPr>
                <w:rFonts w:cs="Calibri"/>
                <w:color w:val="000000"/>
                <w:lang w:val="en-GB"/>
              </w:rPr>
              <w:t>0</w:t>
            </w:r>
            <w:bookmarkEnd w:id="694"/>
          </w:p>
        </w:tc>
        <w:tc>
          <w:tcPr>
            <w:tcW w:w="749" w:type="dxa"/>
            <w:tcBorders>
              <w:top w:val="nil"/>
              <w:left w:val="nil"/>
              <w:bottom w:val="single" w:sz="4" w:space="0" w:color="auto"/>
              <w:right w:val="single" w:sz="4" w:space="0" w:color="auto"/>
            </w:tcBorders>
            <w:shd w:val="clear" w:color="000000" w:fill="FFFFFF"/>
            <w:vAlign w:val="center"/>
          </w:tcPr>
          <w:p w14:paraId="345BA7B5" w14:textId="77777777" w:rsidR="008E2B43" w:rsidRPr="006645DC" w:rsidRDefault="008E2B43" w:rsidP="005E0FF1">
            <w:pPr>
              <w:keepNext/>
              <w:keepLines/>
              <w:spacing w:before="0" w:after="0"/>
              <w:jc w:val="right"/>
              <w:outlineLvl w:val="1"/>
              <w:rPr>
                <w:rFonts w:cs="Calibri"/>
                <w:color w:val="000000"/>
                <w:lang w:val="en-GB"/>
              </w:rPr>
            </w:pPr>
            <w:bookmarkStart w:id="695" w:name="_Toc376198932"/>
            <w:r w:rsidRPr="006645DC">
              <w:rPr>
                <w:rFonts w:cs="Calibri"/>
                <w:color w:val="000000"/>
                <w:lang w:val="en-GB"/>
              </w:rPr>
              <w:t>0.1</w:t>
            </w:r>
            <w:bookmarkEnd w:id="695"/>
          </w:p>
        </w:tc>
        <w:tc>
          <w:tcPr>
            <w:tcW w:w="1447" w:type="dxa"/>
            <w:tcBorders>
              <w:top w:val="nil"/>
              <w:left w:val="single" w:sz="4" w:space="0" w:color="auto"/>
              <w:bottom w:val="single" w:sz="4" w:space="0" w:color="auto"/>
              <w:right w:val="single" w:sz="8" w:space="0" w:color="auto"/>
            </w:tcBorders>
            <w:shd w:val="clear" w:color="000000" w:fill="FFFFFF"/>
            <w:noWrap/>
            <w:vAlign w:val="center"/>
          </w:tcPr>
          <w:p w14:paraId="3B3D87F9" w14:textId="77777777" w:rsidR="008E2B43" w:rsidRPr="006645DC" w:rsidRDefault="008E2B43" w:rsidP="005E0FF1">
            <w:pPr>
              <w:keepNext/>
              <w:keepLines/>
              <w:spacing w:before="0" w:after="0"/>
              <w:jc w:val="right"/>
              <w:outlineLvl w:val="1"/>
              <w:rPr>
                <w:rFonts w:cs="Calibri"/>
                <w:color w:val="000000"/>
                <w:lang w:val="en-GB"/>
              </w:rPr>
            </w:pPr>
            <w:bookmarkStart w:id="696" w:name="_Toc376198933"/>
            <w:r w:rsidRPr="006645DC">
              <w:rPr>
                <w:rFonts w:cs="Calibri"/>
                <w:color w:val="000000"/>
                <w:lang w:val="en-GB"/>
              </w:rPr>
              <w:t>0</w:t>
            </w:r>
            <w:bookmarkEnd w:id="696"/>
          </w:p>
        </w:tc>
      </w:tr>
      <w:tr w:rsidR="008E2B43" w:rsidRPr="006645DC" w14:paraId="0FC944D6" w14:textId="77777777" w:rsidTr="005E0FF1">
        <w:trPr>
          <w:trHeight w:val="300"/>
          <w:jc w:val="center"/>
        </w:trPr>
        <w:tc>
          <w:tcPr>
            <w:tcW w:w="1417" w:type="dxa"/>
            <w:tcBorders>
              <w:top w:val="nil"/>
              <w:left w:val="single" w:sz="8" w:space="0" w:color="auto"/>
              <w:bottom w:val="single" w:sz="4" w:space="0" w:color="auto"/>
              <w:right w:val="single" w:sz="4" w:space="0" w:color="auto"/>
            </w:tcBorders>
            <w:shd w:val="clear" w:color="000000" w:fill="FFFFFF"/>
            <w:noWrap/>
            <w:vAlign w:val="center"/>
          </w:tcPr>
          <w:p w14:paraId="1414FDFD" w14:textId="77777777" w:rsidR="008E2B43" w:rsidRPr="006645DC" w:rsidRDefault="008E2B43" w:rsidP="005E0FF1">
            <w:pPr>
              <w:keepNext/>
              <w:keepLines/>
              <w:spacing w:before="0" w:after="0"/>
              <w:jc w:val="left"/>
              <w:outlineLvl w:val="1"/>
              <w:rPr>
                <w:rFonts w:cs="Calibri"/>
                <w:color w:val="000000"/>
                <w:lang w:val="en-GB"/>
              </w:rPr>
            </w:pPr>
            <w:bookmarkStart w:id="697" w:name="_Toc376198934"/>
            <w:r w:rsidRPr="006645DC">
              <w:rPr>
                <w:rFonts w:cs="Calibri"/>
                <w:color w:val="000000"/>
                <w:lang w:val="en-GB"/>
              </w:rPr>
              <w:t>Teleorman</w:t>
            </w:r>
            <w:bookmarkEnd w:id="697"/>
          </w:p>
        </w:tc>
        <w:tc>
          <w:tcPr>
            <w:tcW w:w="1233" w:type="dxa"/>
            <w:tcBorders>
              <w:top w:val="nil"/>
              <w:left w:val="nil"/>
              <w:bottom w:val="single" w:sz="4" w:space="0" w:color="auto"/>
              <w:right w:val="single" w:sz="4" w:space="0" w:color="auto"/>
            </w:tcBorders>
            <w:shd w:val="clear" w:color="000000" w:fill="FFFFFF"/>
            <w:noWrap/>
            <w:vAlign w:val="center"/>
          </w:tcPr>
          <w:p w14:paraId="0460851E" w14:textId="77777777" w:rsidR="008E2B43" w:rsidRPr="006645DC" w:rsidRDefault="008E2B43" w:rsidP="005E0FF1">
            <w:pPr>
              <w:keepNext/>
              <w:keepLines/>
              <w:spacing w:before="0" w:after="0"/>
              <w:jc w:val="right"/>
              <w:outlineLvl w:val="1"/>
              <w:rPr>
                <w:rFonts w:cs="Calibri"/>
                <w:lang w:val="en-GB"/>
              </w:rPr>
            </w:pPr>
            <w:bookmarkStart w:id="698" w:name="_Toc376198935"/>
            <w:r w:rsidRPr="006645DC">
              <w:rPr>
                <w:rFonts w:cs="Calibri"/>
                <w:lang w:val="en-GB"/>
              </w:rPr>
              <w:t>96.7</w:t>
            </w:r>
            <w:bookmarkEnd w:id="698"/>
          </w:p>
        </w:tc>
        <w:tc>
          <w:tcPr>
            <w:tcW w:w="1251" w:type="dxa"/>
            <w:tcBorders>
              <w:top w:val="nil"/>
              <w:left w:val="nil"/>
              <w:bottom w:val="single" w:sz="4" w:space="0" w:color="auto"/>
              <w:right w:val="single" w:sz="4" w:space="0" w:color="auto"/>
            </w:tcBorders>
            <w:shd w:val="clear" w:color="000000" w:fill="FFFFFF"/>
            <w:noWrap/>
            <w:vAlign w:val="center"/>
          </w:tcPr>
          <w:p w14:paraId="05DF77D7" w14:textId="77777777" w:rsidR="008E2B43" w:rsidRPr="006645DC" w:rsidRDefault="008E2B43" w:rsidP="005E0FF1">
            <w:pPr>
              <w:keepNext/>
              <w:keepLines/>
              <w:spacing w:before="0" w:after="0"/>
              <w:jc w:val="right"/>
              <w:outlineLvl w:val="1"/>
              <w:rPr>
                <w:rFonts w:cs="Calibri"/>
                <w:color w:val="000000"/>
                <w:lang w:val="en-GB"/>
              </w:rPr>
            </w:pPr>
            <w:bookmarkStart w:id="699" w:name="_Toc376198936"/>
            <w:r w:rsidRPr="006645DC">
              <w:rPr>
                <w:rFonts w:cs="Calibri"/>
                <w:color w:val="000000"/>
                <w:lang w:val="en-GB"/>
              </w:rPr>
              <w:t>0</w:t>
            </w:r>
            <w:bookmarkEnd w:id="699"/>
          </w:p>
        </w:tc>
        <w:tc>
          <w:tcPr>
            <w:tcW w:w="850" w:type="dxa"/>
            <w:tcBorders>
              <w:top w:val="nil"/>
              <w:left w:val="nil"/>
              <w:bottom w:val="single" w:sz="4" w:space="0" w:color="auto"/>
              <w:right w:val="single" w:sz="4" w:space="0" w:color="auto"/>
            </w:tcBorders>
            <w:shd w:val="clear" w:color="000000" w:fill="FFFFFF"/>
            <w:noWrap/>
            <w:vAlign w:val="center"/>
          </w:tcPr>
          <w:p w14:paraId="69051F76" w14:textId="77777777" w:rsidR="008E2B43" w:rsidRPr="006645DC" w:rsidRDefault="008E2B43" w:rsidP="005E0FF1">
            <w:pPr>
              <w:keepNext/>
              <w:keepLines/>
              <w:spacing w:before="0" w:after="0"/>
              <w:jc w:val="right"/>
              <w:outlineLvl w:val="1"/>
              <w:rPr>
                <w:rFonts w:cs="Calibri"/>
                <w:color w:val="000000"/>
                <w:lang w:val="en-GB"/>
              </w:rPr>
            </w:pPr>
            <w:bookmarkStart w:id="700" w:name="_Toc376198937"/>
            <w:r w:rsidRPr="006645DC">
              <w:rPr>
                <w:rFonts w:cs="Calibri"/>
                <w:color w:val="000000"/>
                <w:lang w:val="en-GB"/>
              </w:rPr>
              <w:t>2.9</w:t>
            </w:r>
            <w:bookmarkEnd w:id="700"/>
          </w:p>
        </w:tc>
        <w:tc>
          <w:tcPr>
            <w:tcW w:w="887" w:type="dxa"/>
            <w:tcBorders>
              <w:top w:val="nil"/>
              <w:left w:val="nil"/>
              <w:bottom w:val="single" w:sz="4" w:space="0" w:color="auto"/>
              <w:right w:val="single" w:sz="4" w:space="0" w:color="auto"/>
            </w:tcBorders>
            <w:shd w:val="clear" w:color="000000" w:fill="FFFFFF"/>
            <w:vAlign w:val="center"/>
          </w:tcPr>
          <w:p w14:paraId="0494E017" w14:textId="77777777" w:rsidR="008E2B43" w:rsidRPr="006645DC" w:rsidRDefault="008E2B43" w:rsidP="005E0FF1">
            <w:pPr>
              <w:keepNext/>
              <w:keepLines/>
              <w:spacing w:before="0" w:after="0"/>
              <w:jc w:val="right"/>
              <w:outlineLvl w:val="1"/>
              <w:rPr>
                <w:rFonts w:cs="Calibri"/>
                <w:color w:val="000000"/>
                <w:lang w:val="en-GB"/>
              </w:rPr>
            </w:pPr>
            <w:bookmarkStart w:id="701" w:name="_Toc376198938"/>
            <w:r w:rsidRPr="006645DC">
              <w:rPr>
                <w:rFonts w:cs="Calibri"/>
                <w:color w:val="000000"/>
                <w:lang w:val="en-GB"/>
              </w:rPr>
              <w:t>0</w:t>
            </w:r>
            <w:bookmarkEnd w:id="701"/>
          </w:p>
        </w:tc>
        <w:tc>
          <w:tcPr>
            <w:tcW w:w="967" w:type="dxa"/>
            <w:tcBorders>
              <w:top w:val="nil"/>
              <w:left w:val="single" w:sz="4" w:space="0" w:color="auto"/>
              <w:bottom w:val="single" w:sz="4" w:space="0" w:color="auto"/>
              <w:right w:val="single" w:sz="4" w:space="0" w:color="auto"/>
            </w:tcBorders>
            <w:shd w:val="clear" w:color="000000" w:fill="FFFFFF"/>
            <w:noWrap/>
            <w:vAlign w:val="center"/>
          </w:tcPr>
          <w:p w14:paraId="5E658D3F" w14:textId="77777777" w:rsidR="008E2B43" w:rsidRPr="006645DC" w:rsidRDefault="008E2B43" w:rsidP="005E0FF1">
            <w:pPr>
              <w:keepNext/>
              <w:keepLines/>
              <w:spacing w:before="0" w:after="0"/>
              <w:jc w:val="right"/>
              <w:outlineLvl w:val="1"/>
              <w:rPr>
                <w:rFonts w:cs="Calibri"/>
                <w:color w:val="000000"/>
                <w:lang w:val="en-GB"/>
              </w:rPr>
            </w:pPr>
            <w:bookmarkStart w:id="702" w:name="_Toc376198939"/>
            <w:r w:rsidRPr="006645DC">
              <w:rPr>
                <w:rFonts w:cs="Calibri"/>
                <w:color w:val="000000"/>
                <w:lang w:val="en-GB"/>
              </w:rPr>
              <w:t>0</w:t>
            </w:r>
            <w:bookmarkEnd w:id="702"/>
          </w:p>
        </w:tc>
        <w:tc>
          <w:tcPr>
            <w:tcW w:w="749" w:type="dxa"/>
            <w:tcBorders>
              <w:top w:val="nil"/>
              <w:left w:val="nil"/>
              <w:bottom w:val="single" w:sz="4" w:space="0" w:color="auto"/>
              <w:right w:val="single" w:sz="4" w:space="0" w:color="auto"/>
            </w:tcBorders>
            <w:shd w:val="clear" w:color="000000" w:fill="FFFFFF"/>
            <w:vAlign w:val="center"/>
          </w:tcPr>
          <w:p w14:paraId="78E8A13F" w14:textId="77777777" w:rsidR="008E2B43" w:rsidRPr="006645DC" w:rsidRDefault="008E2B43" w:rsidP="005E0FF1">
            <w:pPr>
              <w:keepNext/>
              <w:keepLines/>
              <w:spacing w:before="0" w:after="0"/>
              <w:jc w:val="right"/>
              <w:outlineLvl w:val="1"/>
              <w:rPr>
                <w:rFonts w:cs="Calibri"/>
                <w:color w:val="000000"/>
                <w:lang w:val="en-GB"/>
              </w:rPr>
            </w:pPr>
            <w:bookmarkStart w:id="703" w:name="_Toc376198940"/>
            <w:r w:rsidRPr="006645DC">
              <w:rPr>
                <w:rFonts w:cs="Calibri"/>
                <w:color w:val="000000"/>
                <w:lang w:val="en-GB"/>
              </w:rPr>
              <w:t>0.5</w:t>
            </w:r>
            <w:bookmarkEnd w:id="703"/>
          </w:p>
        </w:tc>
        <w:tc>
          <w:tcPr>
            <w:tcW w:w="1447" w:type="dxa"/>
            <w:tcBorders>
              <w:top w:val="nil"/>
              <w:left w:val="single" w:sz="4" w:space="0" w:color="auto"/>
              <w:bottom w:val="single" w:sz="4" w:space="0" w:color="auto"/>
              <w:right w:val="single" w:sz="8" w:space="0" w:color="auto"/>
            </w:tcBorders>
            <w:shd w:val="clear" w:color="000000" w:fill="FFFFFF"/>
            <w:noWrap/>
            <w:vAlign w:val="center"/>
          </w:tcPr>
          <w:p w14:paraId="0F7ED54B" w14:textId="77777777" w:rsidR="008E2B43" w:rsidRPr="006645DC" w:rsidRDefault="008E2B43" w:rsidP="005E0FF1">
            <w:pPr>
              <w:keepNext/>
              <w:keepLines/>
              <w:spacing w:before="0" w:after="0"/>
              <w:jc w:val="right"/>
              <w:outlineLvl w:val="1"/>
              <w:rPr>
                <w:rFonts w:cs="Calibri"/>
                <w:color w:val="000000"/>
                <w:lang w:val="en-GB"/>
              </w:rPr>
            </w:pPr>
            <w:bookmarkStart w:id="704" w:name="_Toc376198941"/>
            <w:r w:rsidRPr="006645DC">
              <w:rPr>
                <w:rFonts w:cs="Calibri"/>
                <w:color w:val="000000"/>
                <w:lang w:val="en-GB"/>
              </w:rPr>
              <w:t>0.1</w:t>
            </w:r>
            <w:bookmarkEnd w:id="704"/>
          </w:p>
        </w:tc>
      </w:tr>
      <w:tr w:rsidR="008E2B43" w:rsidRPr="006645DC" w14:paraId="59951262" w14:textId="77777777" w:rsidTr="005E0FF1">
        <w:trPr>
          <w:trHeight w:val="300"/>
          <w:jc w:val="center"/>
        </w:trPr>
        <w:tc>
          <w:tcPr>
            <w:tcW w:w="1417" w:type="dxa"/>
            <w:tcBorders>
              <w:top w:val="nil"/>
              <w:left w:val="single" w:sz="8" w:space="0" w:color="auto"/>
              <w:bottom w:val="single" w:sz="4" w:space="0" w:color="auto"/>
              <w:right w:val="single" w:sz="4" w:space="0" w:color="auto"/>
            </w:tcBorders>
            <w:shd w:val="clear" w:color="000000" w:fill="FFFFFF"/>
            <w:noWrap/>
            <w:vAlign w:val="center"/>
          </w:tcPr>
          <w:p w14:paraId="37628E20" w14:textId="77777777" w:rsidR="008E2B43" w:rsidRPr="006645DC" w:rsidRDefault="008E2B43" w:rsidP="005E0FF1">
            <w:pPr>
              <w:keepNext/>
              <w:keepLines/>
              <w:spacing w:before="0" w:after="0"/>
              <w:jc w:val="left"/>
              <w:outlineLvl w:val="1"/>
              <w:rPr>
                <w:rFonts w:cs="Calibri"/>
                <w:color w:val="000000"/>
                <w:lang w:val="en-GB"/>
              </w:rPr>
            </w:pPr>
            <w:bookmarkStart w:id="705" w:name="_Toc376198942"/>
            <w:r w:rsidRPr="006645DC">
              <w:rPr>
                <w:rFonts w:cs="Calibri"/>
                <w:color w:val="000000"/>
                <w:lang w:val="en-GB"/>
              </w:rPr>
              <w:t>Giurgiu</w:t>
            </w:r>
            <w:bookmarkEnd w:id="705"/>
          </w:p>
        </w:tc>
        <w:tc>
          <w:tcPr>
            <w:tcW w:w="1233" w:type="dxa"/>
            <w:tcBorders>
              <w:top w:val="nil"/>
              <w:left w:val="nil"/>
              <w:bottom w:val="single" w:sz="4" w:space="0" w:color="auto"/>
              <w:right w:val="single" w:sz="4" w:space="0" w:color="auto"/>
            </w:tcBorders>
            <w:shd w:val="clear" w:color="000000" w:fill="FFFFFF"/>
            <w:noWrap/>
            <w:vAlign w:val="center"/>
          </w:tcPr>
          <w:p w14:paraId="5AF326EF" w14:textId="77777777" w:rsidR="008E2B43" w:rsidRPr="006645DC" w:rsidRDefault="008E2B43" w:rsidP="005E0FF1">
            <w:pPr>
              <w:keepNext/>
              <w:keepLines/>
              <w:spacing w:before="0" w:after="0"/>
              <w:jc w:val="right"/>
              <w:outlineLvl w:val="1"/>
              <w:rPr>
                <w:rFonts w:cs="Calibri"/>
                <w:lang w:val="en-GB"/>
              </w:rPr>
            </w:pPr>
            <w:bookmarkStart w:id="706" w:name="_Toc376198943"/>
            <w:r w:rsidRPr="006645DC">
              <w:rPr>
                <w:rFonts w:cs="Calibri"/>
                <w:lang w:val="en-GB"/>
              </w:rPr>
              <w:t>94.1</w:t>
            </w:r>
            <w:bookmarkEnd w:id="706"/>
          </w:p>
        </w:tc>
        <w:tc>
          <w:tcPr>
            <w:tcW w:w="1251" w:type="dxa"/>
            <w:tcBorders>
              <w:top w:val="nil"/>
              <w:left w:val="nil"/>
              <w:bottom w:val="single" w:sz="4" w:space="0" w:color="auto"/>
              <w:right w:val="single" w:sz="4" w:space="0" w:color="auto"/>
            </w:tcBorders>
            <w:shd w:val="clear" w:color="000000" w:fill="FFFFFF"/>
            <w:noWrap/>
            <w:vAlign w:val="center"/>
          </w:tcPr>
          <w:p w14:paraId="3D297957" w14:textId="77777777" w:rsidR="008E2B43" w:rsidRPr="006645DC" w:rsidRDefault="008E2B43" w:rsidP="005E0FF1">
            <w:pPr>
              <w:keepNext/>
              <w:keepLines/>
              <w:spacing w:before="0" w:after="0"/>
              <w:jc w:val="right"/>
              <w:outlineLvl w:val="1"/>
              <w:rPr>
                <w:rFonts w:cs="Calibri"/>
                <w:color w:val="000000"/>
                <w:lang w:val="en-GB"/>
              </w:rPr>
            </w:pPr>
            <w:bookmarkStart w:id="707" w:name="_Toc376198944"/>
            <w:r w:rsidRPr="006645DC">
              <w:rPr>
                <w:rFonts w:cs="Calibri"/>
                <w:color w:val="000000"/>
                <w:lang w:val="en-GB"/>
              </w:rPr>
              <w:t>0.1</w:t>
            </w:r>
            <w:bookmarkEnd w:id="707"/>
          </w:p>
        </w:tc>
        <w:tc>
          <w:tcPr>
            <w:tcW w:w="850" w:type="dxa"/>
            <w:tcBorders>
              <w:top w:val="nil"/>
              <w:left w:val="nil"/>
              <w:bottom w:val="single" w:sz="4" w:space="0" w:color="auto"/>
              <w:right w:val="single" w:sz="4" w:space="0" w:color="auto"/>
            </w:tcBorders>
            <w:shd w:val="clear" w:color="000000" w:fill="FFFFFF"/>
            <w:noWrap/>
            <w:vAlign w:val="center"/>
          </w:tcPr>
          <w:p w14:paraId="7B20C243" w14:textId="77777777" w:rsidR="008E2B43" w:rsidRPr="006645DC" w:rsidRDefault="008E2B43" w:rsidP="005E0FF1">
            <w:pPr>
              <w:keepNext/>
              <w:keepLines/>
              <w:spacing w:before="0" w:after="0"/>
              <w:jc w:val="right"/>
              <w:outlineLvl w:val="1"/>
              <w:rPr>
                <w:rFonts w:cs="Calibri"/>
                <w:color w:val="000000"/>
                <w:lang w:val="en-GB"/>
              </w:rPr>
            </w:pPr>
            <w:bookmarkStart w:id="708" w:name="_Toc376198945"/>
            <w:r w:rsidRPr="006645DC">
              <w:rPr>
                <w:rFonts w:cs="Calibri"/>
                <w:color w:val="000000"/>
                <w:lang w:val="en-GB"/>
              </w:rPr>
              <w:t>5.6</w:t>
            </w:r>
            <w:bookmarkEnd w:id="708"/>
          </w:p>
        </w:tc>
        <w:tc>
          <w:tcPr>
            <w:tcW w:w="887" w:type="dxa"/>
            <w:tcBorders>
              <w:top w:val="nil"/>
              <w:left w:val="nil"/>
              <w:bottom w:val="single" w:sz="4" w:space="0" w:color="auto"/>
              <w:right w:val="single" w:sz="4" w:space="0" w:color="auto"/>
            </w:tcBorders>
            <w:shd w:val="clear" w:color="000000" w:fill="FFFFFF"/>
            <w:vAlign w:val="center"/>
          </w:tcPr>
          <w:p w14:paraId="32C9855E" w14:textId="77777777" w:rsidR="008E2B43" w:rsidRPr="006645DC" w:rsidRDefault="008E2B43" w:rsidP="005E0FF1">
            <w:pPr>
              <w:keepNext/>
              <w:keepLines/>
              <w:spacing w:before="0" w:after="0"/>
              <w:jc w:val="right"/>
              <w:outlineLvl w:val="1"/>
              <w:rPr>
                <w:rFonts w:cs="Calibri"/>
                <w:color w:val="000000"/>
                <w:lang w:val="en-GB"/>
              </w:rPr>
            </w:pPr>
            <w:bookmarkStart w:id="709" w:name="_Toc376198946"/>
            <w:r w:rsidRPr="006645DC">
              <w:rPr>
                <w:rFonts w:cs="Calibri"/>
                <w:color w:val="000000"/>
                <w:lang w:val="en-GB"/>
              </w:rPr>
              <w:t>0.02</w:t>
            </w:r>
            <w:bookmarkEnd w:id="709"/>
          </w:p>
        </w:tc>
        <w:tc>
          <w:tcPr>
            <w:tcW w:w="967" w:type="dxa"/>
            <w:tcBorders>
              <w:top w:val="nil"/>
              <w:left w:val="single" w:sz="4" w:space="0" w:color="auto"/>
              <w:bottom w:val="single" w:sz="4" w:space="0" w:color="auto"/>
              <w:right w:val="single" w:sz="4" w:space="0" w:color="auto"/>
            </w:tcBorders>
            <w:shd w:val="clear" w:color="000000" w:fill="FFFFFF"/>
            <w:noWrap/>
            <w:vAlign w:val="center"/>
          </w:tcPr>
          <w:p w14:paraId="780E38E4" w14:textId="77777777" w:rsidR="008E2B43" w:rsidRPr="006645DC" w:rsidRDefault="008E2B43" w:rsidP="005E0FF1">
            <w:pPr>
              <w:keepNext/>
              <w:keepLines/>
              <w:spacing w:before="0" w:after="0"/>
              <w:jc w:val="right"/>
              <w:outlineLvl w:val="1"/>
              <w:rPr>
                <w:rFonts w:cs="Calibri"/>
                <w:color w:val="000000"/>
                <w:lang w:val="en-GB"/>
              </w:rPr>
            </w:pPr>
            <w:bookmarkStart w:id="710" w:name="_Toc376198947"/>
            <w:r w:rsidRPr="006645DC">
              <w:rPr>
                <w:rFonts w:cs="Calibri"/>
                <w:color w:val="000000"/>
                <w:lang w:val="en-GB"/>
              </w:rPr>
              <w:t>0</w:t>
            </w:r>
            <w:bookmarkEnd w:id="710"/>
          </w:p>
        </w:tc>
        <w:tc>
          <w:tcPr>
            <w:tcW w:w="749" w:type="dxa"/>
            <w:tcBorders>
              <w:top w:val="nil"/>
              <w:left w:val="nil"/>
              <w:bottom w:val="single" w:sz="4" w:space="0" w:color="auto"/>
              <w:right w:val="single" w:sz="4" w:space="0" w:color="auto"/>
            </w:tcBorders>
            <w:shd w:val="clear" w:color="000000" w:fill="FFFFFF"/>
            <w:vAlign w:val="center"/>
          </w:tcPr>
          <w:p w14:paraId="54A9898C" w14:textId="77777777" w:rsidR="008E2B43" w:rsidRPr="006645DC" w:rsidRDefault="008E2B43" w:rsidP="005E0FF1">
            <w:pPr>
              <w:keepNext/>
              <w:keepLines/>
              <w:spacing w:before="0" w:after="0"/>
              <w:jc w:val="right"/>
              <w:outlineLvl w:val="1"/>
              <w:rPr>
                <w:rFonts w:cs="Calibri"/>
                <w:color w:val="000000"/>
                <w:lang w:val="en-GB"/>
              </w:rPr>
            </w:pPr>
            <w:bookmarkStart w:id="711" w:name="_Toc376198948"/>
            <w:r w:rsidRPr="006645DC">
              <w:rPr>
                <w:rFonts w:cs="Calibri"/>
                <w:color w:val="000000"/>
                <w:lang w:val="en-GB"/>
              </w:rPr>
              <w:t>0.2</w:t>
            </w:r>
            <w:bookmarkEnd w:id="711"/>
          </w:p>
        </w:tc>
        <w:tc>
          <w:tcPr>
            <w:tcW w:w="1447" w:type="dxa"/>
            <w:tcBorders>
              <w:top w:val="nil"/>
              <w:left w:val="single" w:sz="4" w:space="0" w:color="auto"/>
              <w:bottom w:val="single" w:sz="4" w:space="0" w:color="auto"/>
              <w:right w:val="single" w:sz="8" w:space="0" w:color="auto"/>
            </w:tcBorders>
            <w:shd w:val="clear" w:color="000000" w:fill="FFFFFF"/>
            <w:noWrap/>
            <w:vAlign w:val="center"/>
          </w:tcPr>
          <w:p w14:paraId="070EB07B" w14:textId="77777777" w:rsidR="008E2B43" w:rsidRPr="006645DC" w:rsidRDefault="008E2B43" w:rsidP="005E0FF1">
            <w:pPr>
              <w:keepNext/>
              <w:keepLines/>
              <w:spacing w:before="0" w:after="0"/>
              <w:jc w:val="right"/>
              <w:outlineLvl w:val="1"/>
              <w:rPr>
                <w:rFonts w:cs="Calibri"/>
                <w:color w:val="000000"/>
                <w:lang w:val="en-GB"/>
              </w:rPr>
            </w:pPr>
            <w:bookmarkStart w:id="712" w:name="_Toc376198949"/>
            <w:r w:rsidRPr="006645DC">
              <w:rPr>
                <w:rFonts w:cs="Calibri"/>
                <w:color w:val="000000"/>
                <w:lang w:val="en-GB"/>
              </w:rPr>
              <w:t>0.2</w:t>
            </w:r>
            <w:bookmarkEnd w:id="712"/>
          </w:p>
        </w:tc>
      </w:tr>
      <w:tr w:rsidR="008E2B43" w:rsidRPr="006645DC" w14:paraId="2D799B4B" w14:textId="77777777" w:rsidTr="005E0FF1">
        <w:trPr>
          <w:trHeight w:val="300"/>
          <w:jc w:val="center"/>
        </w:trPr>
        <w:tc>
          <w:tcPr>
            <w:tcW w:w="1417" w:type="dxa"/>
            <w:tcBorders>
              <w:top w:val="nil"/>
              <w:left w:val="single" w:sz="8" w:space="0" w:color="auto"/>
              <w:bottom w:val="single" w:sz="4" w:space="0" w:color="auto"/>
              <w:right w:val="single" w:sz="4" w:space="0" w:color="auto"/>
            </w:tcBorders>
            <w:shd w:val="clear" w:color="000000" w:fill="FFFFFF"/>
            <w:noWrap/>
            <w:vAlign w:val="center"/>
          </w:tcPr>
          <w:p w14:paraId="46EF202E" w14:textId="77777777" w:rsidR="008E2B43" w:rsidRPr="006645DC" w:rsidRDefault="008E2B43" w:rsidP="005E0FF1">
            <w:pPr>
              <w:keepNext/>
              <w:keepLines/>
              <w:spacing w:before="0" w:after="0"/>
              <w:jc w:val="left"/>
              <w:outlineLvl w:val="1"/>
              <w:rPr>
                <w:rFonts w:cs="Calibri"/>
                <w:color w:val="000000"/>
                <w:lang w:val="en-GB"/>
              </w:rPr>
            </w:pPr>
            <w:bookmarkStart w:id="713" w:name="_Toc376198950"/>
            <w:r w:rsidRPr="006645DC">
              <w:rPr>
                <w:rFonts w:cs="Calibri"/>
                <w:color w:val="000000"/>
                <w:lang w:val="en-GB"/>
              </w:rPr>
              <w:t>Călăraşi</w:t>
            </w:r>
            <w:bookmarkEnd w:id="713"/>
          </w:p>
        </w:tc>
        <w:tc>
          <w:tcPr>
            <w:tcW w:w="1233" w:type="dxa"/>
            <w:tcBorders>
              <w:top w:val="nil"/>
              <w:left w:val="nil"/>
              <w:bottom w:val="single" w:sz="4" w:space="0" w:color="auto"/>
              <w:right w:val="single" w:sz="4" w:space="0" w:color="auto"/>
            </w:tcBorders>
            <w:shd w:val="clear" w:color="000000" w:fill="FFFFFF"/>
            <w:noWrap/>
            <w:vAlign w:val="center"/>
          </w:tcPr>
          <w:p w14:paraId="5EB251BC" w14:textId="77777777" w:rsidR="008E2B43" w:rsidRPr="006645DC" w:rsidRDefault="008E2B43" w:rsidP="005E0FF1">
            <w:pPr>
              <w:keepNext/>
              <w:keepLines/>
              <w:spacing w:before="0" w:after="0"/>
              <w:jc w:val="right"/>
              <w:outlineLvl w:val="1"/>
              <w:rPr>
                <w:rFonts w:cs="Calibri"/>
                <w:lang w:val="en-GB"/>
              </w:rPr>
            </w:pPr>
            <w:bookmarkStart w:id="714" w:name="_Toc376198951"/>
            <w:r w:rsidRPr="006645DC">
              <w:rPr>
                <w:rFonts w:cs="Calibri"/>
                <w:lang w:val="en-GB"/>
              </w:rPr>
              <w:t>91.5</w:t>
            </w:r>
            <w:bookmarkEnd w:id="714"/>
          </w:p>
        </w:tc>
        <w:tc>
          <w:tcPr>
            <w:tcW w:w="1251" w:type="dxa"/>
            <w:tcBorders>
              <w:top w:val="nil"/>
              <w:left w:val="nil"/>
              <w:bottom w:val="single" w:sz="4" w:space="0" w:color="auto"/>
              <w:right w:val="single" w:sz="4" w:space="0" w:color="auto"/>
            </w:tcBorders>
            <w:shd w:val="clear" w:color="000000" w:fill="FFFFFF"/>
            <w:noWrap/>
            <w:vAlign w:val="center"/>
          </w:tcPr>
          <w:p w14:paraId="79F68F02" w14:textId="77777777" w:rsidR="008E2B43" w:rsidRPr="006645DC" w:rsidRDefault="008E2B43" w:rsidP="005E0FF1">
            <w:pPr>
              <w:keepNext/>
              <w:keepLines/>
              <w:spacing w:before="0" w:after="0"/>
              <w:jc w:val="right"/>
              <w:outlineLvl w:val="1"/>
              <w:rPr>
                <w:rFonts w:cs="Calibri"/>
                <w:color w:val="000000"/>
                <w:lang w:val="en-GB"/>
              </w:rPr>
            </w:pPr>
            <w:bookmarkStart w:id="715" w:name="_Toc376198952"/>
            <w:r w:rsidRPr="006645DC">
              <w:rPr>
                <w:rFonts w:cs="Calibri"/>
                <w:color w:val="000000"/>
                <w:lang w:val="en-GB"/>
              </w:rPr>
              <w:t>0.1</w:t>
            </w:r>
            <w:bookmarkEnd w:id="715"/>
          </w:p>
        </w:tc>
        <w:tc>
          <w:tcPr>
            <w:tcW w:w="850" w:type="dxa"/>
            <w:tcBorders>
              <w:top w:val="nil"/>
              <w:left w:val="nil"/>
              <w:bottom w:val="single" w:sz="4" w:space="0" w:color="auto"/>
              <w:right w:val="single" w:sz="4" w:space="0" w:color="auto"/>
            </w:tcBorders>
            <w:shd w:val="clear" w:color="000000" w:fill="FFFFFF"/>
            <w:noWrap/>
            <w:vAlign w:val="center"/>
          </w:tcPr>
          <w:p w14:paraId="02D92748" w14:textId="77777777" w:rsidR="008E2B43" w:rsidRPr="006645DC" w:rsidRDefault="008E2B43" w:rsidP="005E0FF1">
            <w:pPr>
              <w:keepNext/>
              <w:keepLines/>
              <w:spacing w:before="0" w:after="0"/>
              <w:jc w:val="right"/>
              <w:outlineLvl w:val="1"/>
              <w:rPr>
                <w:rFonts w:cs="Calibri"/>
                <w:color w:val="000000"/>
                <w:lang w:val="en-GB"/>
              </w:rPr>
            </w:pPr>
            <w:bookmarkStart w:id="716" w:name="_Toc376198953"/>
            <w:r w:rsidRPr="006645DC">
              <w:rPr>
                <w:rFonts w:cs="Calibri"/>
                <w:color w:val="000000"/>
                <w:lang w:val="en-GB"/>
              </w:rPr>
              <w:t>8.1</w:t>
            </w:r>
            <w:bookmarkEnd w:id="716"/>
          </w:p>
        </w:tc>
        <w:tc>
          <w:tcPr>
            <w:tcW w:w="887" w:type="dxa"/>
            <w:tcBorders>
              <w:top w:val="nil"/>
              <w:left w:val="nil"/>
              <w:bottom w:val="single" w:sz="4" w:space="0" w:color="auto"/>
              <w:right w:val="single" w:sz="4" w:space="0" w:color="auto"/>
            </w:tcBorders>
            <w:shd w:val="clear" w:color="000000" w:fill="FFFFFF"/>
            <w:vAlign w:val="center"/>
          </w:tcPr>
          <w:p w14:paraId="5FC4A9D4" w14:textId="77777777" w:rsidR="008E2B43" w:rsidRPr="006645DC" w:rsidRDefault="008E2B43" w:rsidP="005E0FF1">
            <w:pPr>
              <w:keepNext/>
              <w:keepLines/>
              <w:spacing w:before="0" w:after="0"/>
              <w:jc w:val="right"/>
              <w:outlineLvl w:val="1"/>
              <w:rPr>
                <w:rFonts w:cs="Calibri"/>
                <w:color w:val="000000"/>
                <w:lang w:val="en-GB"/>
              </w:rPr>
            </w:pPr>
            <w:bookmarkStart w:id="717" w:name="_Toc376198954"/>
            <w:r w:rsidRPr="006645DC">
              <w:rPr>
                <w:rFonts w:cs="Calibri"/>
                <w:color w:val="000000"/>
                <w:lang w:val="en-GB"/>
              </w:rPr>
              <w:t>0.2</w:t>
            </w:r>
            <w:bookmarkEnd w:id="717"/>
          </w:p>
        </w:tc>
        <w:tc>
          <w:tcPr>
            <w:tcW w:w="967" w:type="dxa"/>
            <w:tcBorders>
              <w:top w:val="nil"/>
              <w:left w:val="single" w:sz="4" w:space="0" w:color="auto"/>
              <w:bottom w:val="single" w:sz="4" w:space="0" w:color="auto"/>
              <w:right w:val="single" w:sz="4" w:space="0" w:color="auto"/>
            </w:tcBorders>
            <w:shd w:val="clear" w:color="000000" w:fill="FFFFFF"/>
            <w:noWrap/>
            <w:vAlign w:val="center"/>
          </w:tcPr>
          <w:p w14:paraId="16B41E76" w14:textId="77777777" w:rsidR="008E2B43" w:rsidRPr="006645DC" w:rsidRDefault="008E2B43" w:rsidP="005E0FF1">
            <w:pPr>
              <w:keepNext/>
              <w:keepLines/>
              <w:spacing w:before="0" w:after="0"/>
              <w:jc w:val="right"/>
              <w:outlineLvl w:val="1"/>
              <w:rPr>
                <w:rFonts w:cs="Calibri"/>
                <w:color w:val="000000"/>
                <w:lang w:val="en-GB"/>
              </w:rPr>
            </w:pPr>
            <w:bookmarkStart w:id="718" w:name="_Toc376198955"/>
            <w:r w:rsidRPr="006645DC">
              <w:rPr>
                <w:rFonts w:cs="Calibri"/>
                <w:color w:val="000000"/>
                <w:lang w:val="en-GB"/>
              </w:rPr>
              <w:t>0</w:t>
            </w:r>
            <w:bookmarkEnd w:id="718"/>
          </w:p>
        </w:tc>
        <w:tc>
          <w:tcPr>
            <w:tcW w:w="749" w:type="dxa"/>
            <w:tcBorders>
              <w:top w:val="nil"/>
              <w:left w:val="nil"/>
              <w:bottom w:val="single" w:sz="4" w:space="0" w:color="auto"/>
              <w:right w:val="single" w:sz="4" w:space="0" w:color="auto"/>
            </w:tcBorders>
            <w:shd w:val="clear" w:color="000000" w:fill="FFFFFF"/>
            <w:vAlign w:val="center"/>
          </w:tcPr>
          <w:p w14:paraId="17014353" w14:textId="77777777" w:rsidR="008E2B43" w:rsidRPr="006645DC" w:rsidRDefault="008E2B43" w:rsidP="005E0FF1">
            <w:pPr>
              <w:keepNext/>
              <w:keepLines/>
              <w:spacing w:before="0" w:after="0"/>
              <w:jc w:val="right"/>
              <w:outlineLvl w:val="1"/>
              <w:rPr>
                <w:rFonts w:cs="Calibri"/>
                <w:color w:val="000000"/>
                <w:lang w:val="en-GB"/>
              </w:rPr>
            </w:pPr>
            <w:bookmarkStart w:id="719" w:name="_Toc376198956"/>
            <w:r w:rsidRPr="006645DC">
              <w:rPr>
                <w:rFonts w:cs="Calibri"/>
                <w:color w:val="000000"/>
                <w:lang w:val="en-GB"/>
              </w:rPr>
              <w:t>0.3</w:t>
            </w:r>
            <w:bookmarkEnd w:id="719"/>
          </w:p>
        </w:tc>
        <w:tc>
          <w:tcPr>
            <w:tcW w:w="1447" w:type="dxa"/>
            <w:tcBorders>
              <w:top w:val="nil"/>
              <w:left w:val="single" w:sz="4" w:space="0" w:color="auto"/>
              <w:bottom w:val="single" w:sz="4" w:space="0" w:color="auto"/>
              <w:right w:val="single" w:sz="8" w:space="0" w:color="auto"/>
            </w:tcBorders>
            <w:shd w:val="clear" w:color="000000" w:fill="FFFFFF"/>
            <w:noWrap/>
            <w:vAlign w:val="center"/>
          </w:tcPr>
          <w:p w14:paraId="2680924F" w14:textId="77777777" w:rsidR="008E2B43" w:rsidRPr="006645DC" w:rsidRDefault="008E2B43" w:rsidP="005E0FF1">
            <w:pPr>
              <w:keepNext/>
              <w:keepLines/>
              <w:spacing w:before="0" w:after="0"/>
              <w:jc w:val="right"/>
              <w:outlineLvl w:val="1"/>
              <w:rPr>
                <w:rFonts w:cs="Calibri"/>
                <w:color w:val="000000"/>
                <w:lang w:val="en-GB"/>
              </w:rPr>
            </w:pPr>
            <w:bookmarkStart w:id="720" w:name="_Toc376198957"/>
            <w:r w:rsidRPr="006645DC">
              <w:rPr>
                <w:rFonts w:cs="Calibri"/>
                <w:color w:val="000000"/>
                <w:lang w:val="en-GB"/>
              </w:rPr>
              <w:t>0.1</w:t>
            </w:r>
            <w:bookmarkEnd w:id="720"/>
          </w:p>
        </w:tc>
      </w:tr>
      <w:tr w:rsidR="008E2B43" w:rsidRPr="006645DC" w14:paraId="69029803" w14:textId="77777777" w:rsidTr="005E0FF1">
        <w:trPr>
          <w:trHeight w:val="300"/>
          <w:jc w:val="center"/>
        </w:trPr>
        <w:tc>
          <w:tcPr>
            <w:tcW w:w="1417" w:type="dxa"/>
            <w:tcBorders>
              <w:top w:val="nil"/>
              <w:left w:val="single" w:sz="8" w:space="0" w:color="auto"/>
              <w:bottom w:val="single" w:sz="4" w:space="0" w:color="auto"/>
              <w:right w:val="single" w:sz="4" w:space="0" w:color="auto"/>
            </w:tcBorders>
            <w:shd w:val="clear" w:color="000000" w:fill="FFFFFF"/>
            <w:noWrap/>
            <w:vAlign w:val="center"/>
          </w:tcPr>
          <w:p w14:paraId="2D4767BC" w14:textId="77777777" w:rsidR="008E2B43" w:rsidRPr="006645DC" w:rsidRDefault="008E2B43" w:rsidP="005E0FF1">
            <w:pPr>
              <w:keepNext/>
              <w:keepLines/>
              <w:spacing w:before="0" w:after="0"/>
              <w:jc w:val="left"/>
              <w:outlineLvl w:val="1"/>
              <w:rPr>
                <w:rFonts w:cs="Calibri"/>
                <w:color w:val="000000"/>
                <w:lang w:val="en-GB"/>
              </w:rPr>
            </w:pPr>
            <w:bookmarkStart w:id="721" w:name="_Toc376198958"/>
            <w:r w:rsidRPr="006645DC">
              <w:rPr>
                <w:rFonts w:cs="Calibri"/>
                <w:color w:val="000000"/>
                <w:lang w:val="en-GB"/>
              </w:rPr>
              <w:t>Constanţa</w:t>
            </w:r>
            <w:bookmarkEnd w:id="721"/>
          </w:p>
        </w:tc>
        <w:tc>
          <w:tcPr>
            <w:tcW w:w="1233" w:type="dxa"/>
            <w:tcBorders>
              <w:top w:val="nil"/>
              <w:left w:val="nil"/>
              <w:bottom w:val="single" w:sz="4" w:space="0" w:color="auto"/>
              <w:right w:val="single" w:sz="4" w:space="0" w:color="auto"/>
            </w:tcBorders>
            <w:shd w:val="clear" w:color="000000" w:fill="FFFFFF"/>
            <w:noWrap/>
            <w:vAlign w:val="center"/>
          </w:tcPr>
          <w:p w14:paraId="276368D2" w14:textId="77777777" w:rsidR="008E2B43" w:rsidRPr="006645DC" w:rsidRDefault="008E2B43" w:rsidP="005E0FF1">
            <w:pPr>
              <w:keepNext/>
              <w:keepLines/>
              <w:spacing w:before="0" w:after="0"/>
              <w:jc w:val="right"/>
              <w:outlineLvl w:val="1"/>
              <w:rPr>
                <w:rFonts w:cs="Calibri"/>
                <w:lang w:val="en-GB"/>
              </w:rPr>
            </w:pPr>
            <w:bookmarkStart w:id="722" w:name="_Toc376198959"/>
            <w:r w:rsidRPr="006645DC">
              <w:rPr>
                <w:rFonts w:cs="Calibri"/>
                <w:lang w:val="en-GB"/>
              </w:rPr>
              <w:t>90.0</w:t>
            </w:r>
            <w:bookmarkEnd w:id="722"/>
          </w:p>
        </w:tc>
        <w:tc>
          <w:tcPr>
            <w:tcW w:w="1251" w:type="dxa"/>
            <w:tcBorders>
              <w:top w:val="nil"/>
              <w:left w:val="nil"/>
              <w:bottom w:val="single" w:sz="4" w:space="0" w:color="auto"/>
              <w:right w:val="single" w:sz="4" w:space="0" w:color="auto"/>
            </w:tcBorders>
            <w:shd w:val="clear" w:color="000000" w:fill="FFFFFF"/>
            <w:noWrap/>
            <w:vAlign w:val="center"/>
          </w:tcPr>
          <w:p w14:paraId="2BB90BBE" w14:textId="77777777" w:rsidR="008E2B43" w:rsidRPr="006645DC" w:rsidRDefault="008E2B43" w:rsidP="005E0FF1">
            <w:pPr>
              <w:keepNext/>
              <w:keepLines/>
              <w:spacing w:before="0" w:after="0"/>
              <w:jc w:val="right"/>
              <w:outlineLvl w:val="1"/>
              <w:rPr>
                <w:rFonts w:cs="Calibri"/>
                <w:color w:val="000000"/>
                <w:lang w:val="en-GB"/>
              </w:rPr>
            </w:pPr>
            <w:bookmarkStart w:id="723" w:name="_Toc376198960"/>
            <w:r w:rsidRPr="006645DC">
              <w:rPr>
                <w:rFonts w:cs="Calibri"/>
                <w:color w:val="000000"/>
                <w:lang w:val="en-GB"/>
              </w:rPr>
              <w:t>0.1</w:t>
            </w:r>
            <w:bookmarkEnd w:id="723"/>
          </w:p>
        </w:tc>
        <w:tc>
          <w:tcPr>
            <w:tcW w:w="850" w:type="dxa"/>
            <w:tcBorders>
              <w:top w:val="nil"/>
              <w:left w:val="nil"/>
              <w:bottom w:val="single" w:sz="4" w:space="0" w:color="auto"/>
              <w:right w:val="single" w:sz="4" w:space="0" w:color="auto"/>
            </w:tcBorders>
            <w:shd w:val="clear" w:color="000000" w:fill="FFFFFF"/>
            <w:noWrap/>
            <w:vAlign w:val="center"/>
          </w:tcPr>
          <w:p w14:paraId="75044E7D" w14:textId="77777777" w:rsidR="008E2B43" w:rsidRPr="006645DC" w:rsidRDefault="008E2B43" w:rsidP="005E0FF1">
            <w:pPr>
              <w:keepNext/>
              <w:keepLines/>
              <w:spacing w:before="0" w:after="0"/>
              <w:jc w:val="right"/>
              <w:outlineLvl w:val="1"/>
              <w:rPr>
                <w:rFonts w:cs="Calibri"/>
                <w:color w:val="000000"/>
                <w:lang w:val="en-GB"/>
              </w:rPr>
            </w:pPr>
            <w:bookmarkStart w:id="724" w:name="_Toc376198961"/>
            <w:r w:rsidRPr="006645DC">
              <w:rPr>
                <w:rFonts w:cs="Calibri"/>
                <w:color w:val="000000"/>
                <w:lang w:val="en-GB"/>
              </w:rPr>
              <w:t>1.3</w:t>
            </w:r>
            <w:bookmarkEnd w:id="724"/>
          </w:p>
        </w:tc>
        <w:tc>
          <w:tcPr>
            <w:tcW w:w="887" w:type="dxa"/>
            <w:tcBorders>
              <w:top w:val="nil"/>
              <w:left w:val="nil"/>
              <w:bottom w:val="single" w:sz="4" w:space="0" w:color="auto"/>
              <w:right w:val="single" w:sz="4" w:space="0" w:color="auto"/>
            </w:tcBorders>
            <w:shd w:val="clear" w:color="000000" w:fill="FFFFFF"/>
            <w:vAlign w:val="center"/>
          </w:tcPr>
          <w:p w14:paraId="414402C7" w14:textId="77777777" w:rsidR="008E2B43" w:rsidRPr="006645DC" w:rsidRDefault="008E2B43" w:rsidP="005E0FF1">
            <w:pPr>
              <w:keepNext/>
              <w:keepLines/>
              <w:spacing w:before="0" w:after="0"/>
              <w:jc w:val="right"/>
              <w:outlineLvl w:val="1"/>
              <w:rPr>
                <w:rFonts w:cs="Calibri"/>
                <w:color w:val="000000"/>
                <w:lang w:val="en-GB"/>
              </w:rPr>
            </w:pPr>
            <w:bookmarkStart w:id="725" w:name="_Toc376198962"/>
            <w:r w:rsidRPr="006645DC">
              <w:rPr>
                <w:rFonts w:cs="Calibri"/>
                <w:color w:val="000000"/>
                <w:lang w:val="en-GB"/>
              </w:rPr>
              <w:t>3.3</w:t>
            </w:r>
            <w:bookmarkEnd w:id="725"/>
          </w:p>
        </w:tc>
        <w:tc>
          <w:tcPr>
            <w:tcW w:w="967" w:type="dxa"/>
            <w:tcBorders>
              <w:top w:val="nil"/>
              <w:left w:val="single" w:sz="4" w:space="0" w:color="auto"/>
              <w:bottom w:val="single" w:sz="4" w:space="0" w:color="auto"/>
              <w:right w:val="single" w:sz="4" w:space="0" w:color="auto"/>
            </w:tcBorders>
            <w:shd w:val="clear" w:color="000000" w:fill="FFFFFF"/>
            <w:noWrap/>
            <w:vAlign w:val="center"/>
          </w:tcPr>
          <w:p w14:paraId="692B5F63" w14:textId="77777777" w:rsidR="008E2B43" w:rsidRPr="006645DC" w:rsidRDefault="008E2B43" w:rsidP="005E0FF1">
            <w:pPr>
              <w:keepNext/>
              <w:keepLines/>
              <w:spacing w:before="0" w:after="0"/>
              <w:jc w:val="right"/>
              <w:outlineLvl w:val="1"/>
              <w:rPr>
                <w:rFonts w:cs="Calibri"/>
                <w:color w:val="000000"/>
                <w:lang w:val="en-GB"/>
              </w:rPr>
            </w:pPr>
            <w:bookmarkStart w:id="726" w:name="_Toc376198963"/>
            <w:r w:rsidRPr="006645DC">
              <w:rPr>
                <w:rFonts w:cs="Calibri"/>
                <w:color w:val="000000"/>
                <w:lang w:val="en-GB"/>
              </w:rPr>
              <w:t>3.1</w:t>
            </w:r>
            <w:bookmarkEnd w:id="726"/>
          </w:p>
        </w:tc>
        <w:tc>
          <w:tcPr>
            <w:tcW w:w="749" w:type="dxa"/>
            <w:tcBorders>
              <w:top w:val="nil"/>
              <w:left w:val="nil"/>
              <w:bottom w:val="single" w:sz="4" w:space="0" w:color="auto"/>
              <w:right w:val="single" w:sz="4" w:space="0" w:color="auto"/>
            </w:tcBorders>
            <w:shd w:val="clear" w:color="000000" w:fill="FFFFFF"/>
            <w:vAlign w:val="center"/>
          </w:tcPr>
          <w:p w14:paraId="3FF743AA" w14:textId="77777777" w:rsidR="008E2B43" w:rsidRPr="006645DC" w:rsidRDefault="008E2B43" w:rsidP="005E0FF1">
            <w:pPr>
              <w:keepNext/>
              <w:keepLines/>
              <w:spacing w:before="0" w:after="0"/>
              <w:jc w:val="right"/>
              <w:outlineLvl w:val="1"/>
              <w:rPr>
                <w:rFonts w:cs="Calibri"/>
                <w:color w:val="000000"/>
                <w:lang w:val="en-GB"/>
              </w:rPr>
            </w:pPr>
            <w:bookmarkStart w:id="727" w:name="_Toc376198964"/>
            <w:r w:rsidRPr="006645DC">
              <w:rPr>
                <w:rFonts w:cs="Calibri"/>
                <w:color w:val="000000"/>
                <w:lang w:val="en-GB"/>
              </w:rPr>
              <w:t>3.3</w:t>
            </w:r>
            <w:bookmarkEnd w:id="727"/>
          </w:p>
        </w:tc>
        <w:tc>
          <w:tcPr>
            <w:tcW w:w="1447" w:type="dxa"/>
            <w:tcBorders>
              <w:top w:val="nil"/>
              <w:left w:val="single" w:sz="4" w:space="0" w:color="auto"/>
              <w:bottom w:val="single" w:sz="4" w:space="0" w:color="auto"/>
              <w:right w:val="single" w:sz="8" w:space="0" w:color="auto"/>
            </w:tcBorders>
            <w:shd w:val="clear" w:color="000000" w:fill="FFFFFF"/>
            <w:noWrap/>
            <w:vAlign w:val="center"/>
          </w:tcPr>
          <w:p w14:paraId="0BEB9D6A" w14:textId="77777777" w:rsidR="008E2B43" w:rsidRPr="006645DC" w:rsidRDefault="008E2B43" w:rsidP="005E0FF1">
            <w:pPr>
              <w:keepNext/>
              <w:keepLines/>
              <w:spacing w:before="0" w:after="0"/>
              <w:jc w:val="right"/>
              <w:outlineLvl w:val="1"/>
              <w:rPr>
                <w:rFonts w:cs="Calibri"/>
                <w:color w:val="000000"/>
                <w:lang w:val="en-GB"/>
              </w:rPr>
            </w:pPr>
            <w:bookmarkStart w:id="728" w:name="_Toc376198965"/>
            <w:r w:rsidRPr="006645DC">
              <w:rPr>
                <w:rFonts w:cs="Calibri"/>
                <w:color w:val="000000"/>
                <w:lang w:val="en-GB"/>
              </w:rPr>
              <w:t>0.2</w:t>
            </w:r>
            <w:bookmarkEnd w:id="728"/>
          </w:p>
        </w:tc>
      </w:tr>
    </w:tbl>
    <w:p w14:paraId="238EA740" w14:textId="77777777" w:rsidR="008E2B43" w:rsidRPr="006645DC" w:rsidRDefault="00A24688" w:rsidP="00A24688">
      <w:pPr>
        <w:pStyle w:val="Caption"/>
        <w:rPr>
          <w:rFonts w:eastAsia="MS Gothic"/>
          <w:lang w:val="en-GB"/>
        </w:rPr>
      </w:pPr>
      <w:bookmarkStart w:id="729" w:name="_Toc391150120"/>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23</w:t>
      </w:r>
      <w:r w:rsidR="005979EB" w:rsidRPr="006645DC">
        <w:rPr>
          <w:lang w:val="en-GB"/>
        </w:rPr>
        <w:fldChar w:fldCharType="end"/>
      </w:r>
      <w:r w:rsidRPr="006645DC">
        <w:rPr>
          <w:lang w:val="en-GB"/>
        </w:rPr>
        <w:t xml:space="preserve"> - </w:t>
      </w:r>
      <w:r w:rsidR="008E2B43" w:rsidRPr="006645DC">
        <w:rPr>
          <w:rFonts w:eastAsia="MS Gothic"/>
          <w:lang w:val="en-GB"/>
        </w:rPr>
        <w:t>Ethnic structure of the population in the cross-border area, by counties, at the population and housing censuses in Romania (2011)</w:t>
      </w:r>
      <w:bookmarkEnd w:id="729"/>
    </w:p>
    <w:p w14:paraId="32B2F4E7" w14:textId="77777777" w:rsidR="003B52C5" w:rsidRPr="006645DC" w:rsidRDefault="003B52C5" w:rsidP="003B52C5">
      <w:pPr>
        <w:pStyle w:val="Heading4"/>
        <w:rPr>
          <w:lang w:val="en-GB" w:eastAsia="ro-RO"/>
        </w:rPr>
      </w:pPr>
      <w:r w:rsidRPr="006645DC">
        <w:rPr>
          <w:lang w:val="en-GB" w:eastAsia="ro-RO"/>
        </w:rPr>
        <w:t>Source:</w:t>
      </w:r>
      <w:r w:rsidR="00DF2276" w:rsidRPr="006645DC">
        <w:rPr>
          <w:lang w:val="en-GB" w:eastAsia="ro-RO"/>
        </w:rPr>
        <w:t xml:space="preserve"> NSI Bulgaria, INS Romania</w:t>
      </w:r>
    </w:p>
    <w:p w14:paraId="166A13AB" w14:textId="5B917C93" w:rsidR="008E2B43" w:rsidRPr="006645DC" w:rsidRDefault="008E2B43" w:rsidP="00A24688">
      <w:pPr>
        <w:rPr>
          <w:lang w:val="en-GB"/>
        </w:rPr>
      </w:pPr>
      <w:r w:rsidRPr="006645DC">
        <w:rPr>
          <w:lang w:val="en-GB"/>
        </w:rPr>
        <w:t>During the last 15 years, we can notice different demographic patterns between the minorities a</w:t>
      </w:r>
      <w:r w:rsidR="00625139">
        <w:rPr>
          <w:lang w:val="en-GB"/>
        </w:rPr>
        <w:t xml:space="preserve">nd the rest of the population </w:t>
      </w:r>
      <w:r w:rsidRPr="006645DC">
        <w:rPr>
          <w:lang w:val="en-GB"/>
        </w:rPr>
        <w:t xml:space="preserve">fertility between ethnic groups. Roma and Turkish minorities have generally a relatively higher birth rate than the national average. This highlights the importance for the future social cohesion of the area of better integrating minorities into the labour market and the society at large. The accessibility and availability of key public services (education, training, healthcare, etc.) are becoming crucial for creating a more inclusive local society for minorities in the Romanian-Bulgaria cross-border area. </w:t>
      </w:r>
    </w:p>
    <w:p w14:paraId="7E81411D" w14:textId="77777777" w:rsidR="00FB4D40" w:rsidRPr="006645DC" w:rsidRDefault="00FB4D40" w:rsidP="00FB4D40">
      <w:pPr>
        <w:rPr>
          <w:lang w:val="en-GB"/>
        </w:rPr>
        <w:sectPr w:rsidR="00FB4D40" w:rsidRPr="006645DC" w:rsidSect="00187E88">
          <w:pgSz w:w="12240" w:h="15840"/>
          <w:pgMar w:top="1440" w:right="1440" w:bottom="1440" w:left="1440" w:header="720" w:footer="720" w:gutter="0"/>
          <w:cols w:space="720"/>
          <w:docGrid w:linePitch="360"/>
        </w:sectPr>
      </w:pPr>
    </w:p>
    <w:p w14:paraId="3FABE601" w14:textId="77777777" w:rsidR="008E2B43" w:rsidRPr="006645DC" w:rsidRDefault="008E2B43" w:rsidP="003B52C5">
      <w:pPr>
        <w:pStyle w:val="Heading2"/>
        <w:rPr>
          <w:lang w:val="en-GB"/>
        </w:rPr>
      </w:pPr>
      <w:bookmarkStart w:id="730" w:name="_Toc376198966"/>
      <w:bookmarkStart w:id="731" w:name="_Toc254543789"/>
      <w:bookmarkStart w:id="732" w:name="_Toc391150179"/>
      <w:r w:rsidRPr="006645DC">
        <w:rPr>
          <w:lang w:val="en-GB"/>
        </w:rPr>
        <w:lastRenderedPageBreak/>
        <w:t>SWOT and problem tree</w:t>
      </w:r>
      <w:bookmarkEnd w:id="730"/>
      <w:bookmarkEnd w:id="731"/>
      <w:bookmarkEnd w:id="732"/>
    </w:p>
    <w:tbl>
      <w:tblPr>
        <w:tblW w:w="10204" w:type="dxa"/>
        <w:jc w:val="center"/>
        <w:tblCellMar>
          <w:left w:w="0" w:type="dxa"/>
          <w:right w:w="0" w:type="dxa"/>
        </w:tblCellMar>
        <w:tblLook w:val="0600" w:firstRow="0" w:lastRow="0" w:firstColumn="0" w:lastColumn="0" w:noHBand="1" w:noVBand="1"/>
      </w:tblPr>
      <w:tblGrid>
        <w:gridCol w:w="5102"/>
        <w:gridCol w:w="5102"/>
      </w:tblGrid>
      <w:tr w:rsidR="003B5C36" w:rsidRPr="006645DC" w14:paraId="0CF84F9B" w14:textId="77777777" w:rsidTr="003B5C36">
        <w:trPr>
          <w:trHeight w:val="20"/>
          <w:jc w:val="center"/>
        </w:trPr>
        <w:tc>
          <w:tcPr>
            <w:tcW w:w="5102" w:type="dxa"/>
            <w:tcBorders>
              <w:top w:val="single" w:sz="8" w:space="0" w:color="000000"/>
              <w:left w:val="single" w:sz="8" w:space="0" w:color="000000"/>
              <w:bottom w:val="single" w:sz="8" w:space="0" w:color="000000"/>
              <w:right w:val="single" w:sz="8" w:space="0" w:color="000000"/>
            </w:tcBorders>
            <w:shd w:val="clear" w:color="auto" w:fill="9BBB59"/>
            <w:tcMar>
              <w:top w:w="15" w:type="dxa"/>
              <w:left w:w="108" w:type="dxa"/>
              <w:bottom w:w="0" w:type="dxa"/>
              <w:right w:w="108" w:type="dxa"/>
            </w:tcMar>
            <w:vAlign w:val="center"/>
            <w:hideMark/>
          </w:tcPr>
          <w:p w14:paraId="40A38091" w14:textId="77777777" w:rsidR="003B5C36" w:rsidRPr="006645DC" w:rsidRDefault="003B5C36" w:rsidP="003B5C36">
            <w:pPr>
              <w:spacing w:before="0" w:after="0"/>
              <w:jc w:val="center"/>
              <w:rPr>
                <w:rFonts w:eastAsia="Times New Roman" w:cs="Calibri"/>
                <w:lang w:val="en-GB" w:eastAsia="fr-FR"/>
              </w:rPr>
            </w:pPr>
            <w:r w:rsidRPr="006645DC">
              <w:rPr>
                <w:rFonts w:cs="Calibri"/>
                <w:b/>
                <w:bCs/>
                <w:color w:val="FFFFFF"/>
                <w:kern w:val="24"/>
                <w:lang w:val="en-GB" w:eastAsia="fr-FR"/>
              </w:rPr>
              <w:t>Strengths</w:t>
            </w:r>
          </w:p>
        </w:tc>
        <w:tc>
          <w:tcPr>
            <w:tcW w:w="5102" w:type="dxa"/>
            <w:tcBorders>
              <w:top w:val="single" w:sz="8" w:space="0" w:color="000000"/>
              <w:left w:val="single" w:sz="8" w:space="0" w:color="000000"/>
              <w:bottom w:val="single" w:sz="8" w:space="0" w:color="000000"/>
              <w:right w:val="single" w:sz="8" w:space="0" w:color="000000"/>
            </w:tcBorders>
            <w:shd w:val="clear" w:color="auto" w:fill="F79646"/>
            <w:tcMar>
              <w:top w:w="15" w:type="dxa"/>
              <w:left w:w="108" w:type="dxa"/>
              <w:bottom w:w="0" w:type="dxa"/>
              <w:right w:w="108" w:type="dxa"/>
            </w:tcMar>
            <w:vAlign w:val="center"/>
            <w:hideMark/>
          </w:tcPr>
          <w:p w14:paraId="5B880A19" w14:textId="77777777" w:rsidR="003B5C36" w:rsidRPr="006645DC" w:rsidRDefault="003B5C36" w:rsidP="003B5C36">
            <w:pPr>
              <w:spacing w:before="0" w:after="0"/>
              <w:jc w:val="center"/>
              <w:rPr>
                <w:rFonts w:eastAsia="Times New Roman" w:cs="Calibri"/>
                <w:lang w:val="en-GB" w:eastAsia="fr-FR"/>
              </w:rPr>
            </w:pPr>
            <w:r w:rsidRPr="006645DC">
              <w:rPr>
                <w:rFonts w:cs="Calibri"/>
                <w:b/>
                <w:bCs/>
                <w:color w:val="FFFFFF"/>
                <w:kern w:val="24"/>
                <w:lang w:val="en-GB" w:eastAsia="fr-FR"/>
              </w:rPr>
              <w:t>Weaknesses</w:t>
            </w:r>
          </w:p>
        </w:tc>
      </w:tr>
      <w:tr w:rsidR="003B5C36" w:rsidRPr="006645DC" w14:paraId="7EEBB3EB" w14:textId="77777777" w:rsidTr="003B5C36">
        <w:trPr>
          <w:trHeight w:val="20"/>
          <w:jc w:val="center"/>
        </w:trPr>
        <w:tc>
          <w:tcPr>
            <w:tcW w:w="510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D129DB7" w14:textId="517D2376" w:rsidR="003B5C36" w:rsidRPr="006645DC" w:rsidRDefault="00625139" w:rsidP="00C951D5">
            <w:pPr>
              <w:pStyle w:val="ListParagraph"/>
              <w:numPr>
                <w:ilvl w:val="0"/>
                <w:numId w:val="52"/>
              </w:numPr>
              <w:spacing w:before="0" w:after="0"/>
              <w:ind w:left="283" w:hanging="170"/>
              <w:jc w:val="left"/>
              <w:rPr>
                <w:rFonts w:cs="Calibri"/>
                <w:lang w:val="en-GB" w:eastAsia="fr-FR"/>
              </w:rPr>
            </w:pPr>
            <w:r>
              <w:rPr>
                <w:rFonts w:cs="Calibri"/>
                <w:color w:val="000000"/>
                <w:kern w:val="24"/>
                <w:lang w:val="en-GB" w:eastAsia="fr-FR"/>
              </w:rPr>
              <w:t>N</w:t>
            </w:r>
            <w:r w:rsidR="003B5C36" w:rsidRPr="006645DC">
              <w:rPr>
                <w:rFonts w:cs="Calibri"/>
                <w:color w:val="000000"/>
                <w:kern w:val="24"/>
                <w:lang w:val="en-GB" w:eastAsia="fr-FR"/>
              </w:rPr>
              <w:t>atural p</w:t>
            </w:r>
            <w:r>
              <w:rPr>
                <w:rFonts w:cs="Calibri"/>
                <w:color w:val="000000"/>
                <w:kern w:val="24"/>
                <w:lang w:val="en-GB" w:eastAsia="fr-FR"/>
              </w:rPr>
              <w:t>opulation growth in the areas with important</w:t>
            </w:r>
            <w:r w:rsidR="003B5C36" w:rsidRPr="006645DC">
              <w:rPr>
                <w:rFonts w:cs="Calibri"/>
                <w:color w:val="000000"/>
                <w:kern w:val="24"/>
                <w:lang w:val="en-GB" w:eastAsia="fr-FR"/>
              </w:rPr>
              <w:t xml:space="preserve"> ethnic minorities</w:t>
            </w:r>
          </w:p>
          <w:p w14:paraId="3E3935FF" w14:textId="77777777" w:rsidR="003B5C36" w:rsidRPr="006645DC" w:rsidRDefault="003B5C36" w:rsidP="00C951D5">
            <w:pPr>
              <w:pStyle w:val="ListParagraph"/>
              <w:numPr>
                <w:ilvl w:val="0"/>
                <w:numId w:val="52"/>
              </w:numPr>
              <w:spacing w:before="0" w:after="0"/>
              <w:ind w:left="283" w:hanging="170"/>
              <w:jc w:val="left"/>
              <w:rPr>
                <w:rFonts w:cs="Calibri"/>
                <w:lang w:val="en-GB" w:eastAsia="fr-FR"/>
              </w:rPr>
            </w:pPr>
            <w:r w:rsidRPr="006645DC">
              <w:rPr>
                <w:rFonts w:eastAsia="Calibri" w:cs="Calibri"/>
                <w:color w:val="000000"/>
                <w:kern w:val="24"/>
                <w:lang w:val="en-GB" w:eastAsia="fr-FR"/>
              </w:rPr>
              <w:t>Continuous grow of  life expectancy</w:t>
            </w:r>
          </w:p>
        </w:tc>
        <w:tc>
          <w:tcPr>
            <w:tcW w:w="510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D93A2D" w14:textId="77777777" w:rsidR="003B5C36" w:rsidRPr="006645DC" w:rsidRDefault="003B5C36" w:rsidP="00C951D5">
            <w:pPr>
              <w:pStyle w:val="ListParagraph"/>
              <w:keepNext/>
              <w:keepLines/>
              <w:numPr>
                <w:ilvl w:val="0"/>
                <w:numId w:val="52"/>
              </w:numPr>
              <w:spacing w:before="0" w:after="0"/>
              <w:ind w:left="283" w:hanging="170"/>
              <w:jc w:val="left"/>
              <w:outlineLvl w:val="1"/>
              <w:rPr>
                <w:rFonts w:cs="Calibri"/>
                <w:lang w:val="en-GB" w:eastAsia="fr-FR"/>
              </w:rPr>
            </w:pPr>
            <w:bookmarkStart w:id="733" w:name="_Toc376198967"/>
            <w:r w:rsidRPr="006645DC">
              <w:rPr>
                <w:rFonts w:cs="Calibri"/>
                <w:color w:val="000000"/>
                <w:kern w:val="24"/>
                <w:lang w:val="en-GB" w:eastAsia="fr-FR"/>
              </w:rPr>
              <w:t xml:space="preserve">The Cross Border Area is depopulating and ageing </w:t>
            </w:r>
            <w:r w:rsidRPr="006645DC">
              <w:rPr>
                <w:rFonts w:eastAsia="Calibri" w:cs="Calibri"/>
                <w:color w:val="000000"/>
                <w:kern w:val="24"/>
                <w:lang w:val="en-GB" w:eastAsia="fr-FR"/>
              </w:rPr>
              <w:t xml:space="preserve">especially in rural areas </w:t>
            </w:r>
            <w:r w:rsidRPr="006645DC">
              <w:rPr>
                <w:rFonts w:cs="Calibri"/>
                <w:color w:val="000000"/>
                <w:kern w:val="24"/>
                <w:lang w:val="en-GB" w:eastAsia="fr-FR"/>
              </w:rPr>
              <w:t>– there is a negative natural population growth</w:t>
            </w:r>
            <w:r w:rsidRPr="006645DC">
              <w:rPr>
                <w:rFonts w:eastAsia="Calibri" w:cs="Calibri"/>
                <w:color w:val="000000"/>
                <w:kern w:val="24"/>
                <w:lang w:val="en-GB" w:eastAsia="fr-FR"/>
              </w:rPr>
              <w:t>, a low fertility rate and a high mortality rate,</w:t>
            </w:r>
            <w:bookmarkEnd w:id="733"/>
          </w:p>
          <w:p w14:paraId="2F998F37" w14:textId="0F647743" w:rsidR="003B5C36" w:rsidRPr="006645DC" w:rsidRDefault="003B5C36" w:rsidP="00C951D5">
            <w:pPr>
              <w:pStyle w:val="ListParagraph"/>
              <w:numPr>
                <w:ilvl w:val="0"/>
                <w:numId w:val="52"/>
              </w:numPr>
              <w:spacing w:before="0" w:after="0"/>
              <w:ind w:left="283" w:hanging="170"/>
              <w:jc w:val="left"/>
              <w:rPr>
                <w:rFonts w:cs="Calibri"/>
                <w:lang w:val="en-GB" w:eastAsia="fr-FR"/>
              </w:rPr>
            </w:pPr>
            <w:r w:rsidRPr="006645DC">
              <w:rPr>
                <w:rFonts w:cs="Calibri"/>
                <w:color w:val="000000"/>
                <w:kern w:val="24"/>
                <w:lang w:val="en-GB" w:eastAsia="fr-FR"/>
              </w:rPr>
              <w:t xml:space="preserve">Migration of skilled </w:t>
            </w:r>
            <w:r w:rsidR="00625139" w:rsidRPr="006645DC">
              <w:rPr>
                <w:rFonts w:cs="Calibri"/>
                <w:color w:val="000000"/>
                <w:kern w:val="24"/>
                <w:lang w:val="en-GB" w:eastAsia="fr-FR"/>
              </w:rPr>
              <w:t>labour</w:t>
            </w:r>
            <w:r w:rsidRPr="006645DC">
              <w:rPr>
                <w:rFonts w:cs="Calibri"/>
                <w:color w:val="000000"/>
                <w:kern w:val="24"/>
                <w:lang w:val="en-GB" w:eastAsia="fr-FR"/>
              </w:rPr>
              <w:t xml:space="preserve"> force abroad and </w:t>
            </w:r>
            <w:r w:rsidR="00625139">
              <w:rPr>
                <w:rFonts w:cs="Calibri"/>
                <w:color w:val="000000"/>
                <w:kern w:val="24"/>
                <w:lang w:val="en-GB" w:eastAsia="fr-FR"/>
              </w:rPr>
              <w:t>to</w:t>
            </w:r>
            <w:r w:rsidRPr="006645DC">
              <w:rPr>
                <w:rFonts w:cs="Calibri"/>
                <w:color w:val="000000"/>
                <w:kern w:val="24"/>
                <w:lang w:val="en-GB" w:eastAsia="fr-FR"/>
              </w:rPr>
              <w:t xml:space="preserve"> the main </w:t>
            </w:r>
            <w:r w:rsidRPr="006645DC">
              <w:rPr>
                <w:rFonts w:eastAsia="Calibri" w:cs="Calibri"/>
                <w:color w:val="000000"/>
                <w:kern w:val="24"/>
                <w:lang w:val="en-GB" w:eastAsia="fr-FR"/>
              </w:rPr>
              <w:t xml:space="preserve">urban </w:t>
            </w:r>
            <w:r w:rsidR="00625139" w:rsidRPr="006645DC">
              <w:rPr>
                <w:rFonts w:eastAsia="Calibri" w:cs="Calibri"/>
                <w:color w:val="000000"/>
                <w:kern w:val="24"/>
                <w:lang w:val="en-GB" w:eastAsia="fr-FR"/>
              </w:rPr>
              <w:t>centres</w:t>
            </w:r>
            <w:r w:rsidRPr="006645DC">
              <w:rPr>
                <w:rFonts w:eastAsia="Calibri" w:cs="Calibri"/>
                <w:color w:val="000000"/>
                <w:kern w:val="24"/>
                <w:lang w:val="en-GB" w:eastAsia="fr-FR"/>
              </w:rPr>
              <w:t xml:space="preserve"> located  outside the Cross Border Area</w:t>
            </w:r>
          </w:p>
          <w:p w14:paraId="3117F3AB" w14:textId="77777777" w:rsidR="007657D0" w:rsidRPr="006645DC" w:rsidRDefault="007657D0" w:rsidP="00C951D5">
            <w:pPr>
              <w:pStyle w:val="ListParagraph"/>
              <w:numPr>
                <w:ilvl w:val="0"/>
                <w:numId w:val="52"/>
              </w:numPr>
              <w:spacing w:before="0" w:after="0"/>
              <w:ind w:left="283" w:hanging="170"/>
              <w:jc w:val="left"/>
              <w:rPr>
                <w:rFonts w:cs="Calibri"/>
                <w:lang w:val="en-GB" w:eastAsia="fr-FR"/>
              </w:rPr>
            </w:pPr>
            <w:r w:rsidRPr="006645DC">
              <w:rPr>
                <w:rFonts w:cs="Calibri"/>
                <w:color w:val="000000"/>
                <w:kern w:val="24"/>
                <w:lang w:val="en-GB" w:eastAsia="fr-FR"/>
              </w:rPr>
              <w:t>Strong tendency of definitive migration (BG area)</w:t>
            </w:r>
          </w:p>
        </w:tc>
      </w:tr>
      <w:tr w:rsidR="003B5C36" w:rsidRPr="006645DC" w14:paraId="546BAD1F" w14:textId="77777777" w:rsidTr="003B5C36">
        <w:trPr>
          <w:trHeight w:val="20"/>
          <w:jc w:val="center"/>
        </w:trPr>
        <w:tc>
          <w:tcPr>
            <w:tcW w:w="5102" w:type="dxa"/>
            <w:tcBorders>
              <w:top w:val="single" w:sz="8" w:space="0" w:color="000000"/>
              <w:left w:val="single" w:sz="8" w:space="0" w:color="000000"/>
              <w:bottom w:val="single" w:sz="8" w:space="0" w:color="000000"/>
              <w:right w:val="single" w:sz="8" w:space="0" w:color="000000"/>
            </w:tcBorders>
            <w:shd w:val="clear" w:color="auto" w:fill="4BACC6"/>
            <w:tcMar>
              <w:top w:w="15" w:type="dxa"/>
              <w:left w:w="108" w:type="dxa"/>
              <w:bottom w:w="0" w:type="dxa"/>
              <w:right w:w="108" w:type="dxa"/>
            </w:tcMar>
            <w:vAlign w:val="center"/>
            <w:hideMark/>
          </w:tcPr>
          <w:p w14:paraId="3362458B" w14:textId="77777777" w:rsidR="003B5C36" w:rsidRPr="006645DC" w:rsidRDefault="003B5C36" w:rsidP="003B5C36">
            <w:pPr>
              <w:keepNext/>
              <w:keepLines/>
              <w:spacing w:before="0" w:after="0"/>
              <w:ind w:left="757" w:hanging="360"/>
              <w:jc w:val="center"/>
              <w:outlineLvl w:val="1"/>
              <w:rPr>
                <w:rFonts w:eastAsia="Times New Roman" w:cs="Calibri"/>
                <w:lang w:val="en-GB" w:eastAsia="fr-FR"/>
              </w:rPr>
            </w:pPr>
            <w:bookmarkStart w:id="734" w:name="_Toc376198968"/>
            <w:r w:rsidRPr="006645DC">
              <w:rPr>
                <w:rFonts w:cs="Calibri"/>
                <w:b/>
                <w:bCs/>
                <w:color w:val="FFFFFF"/>
                <w:kern w:val="24"/>
                <w:lang w:val="en-GB" w:eastAsia="fr-FR"/>
              </w:rPr>
              <w:t>Opportunities</w:t>
            </w:r>
            <w:bookmarkEnd w:id="734"/>
          </w:p>
        </w:tc>
        <w:tc>
          <w:tcPr>
            <w:tcW w:w="5102" w:type="dxa"/>
            <w:tcBorders>
              <w:top w:val="single" w:sz="8" w:space="0" w:color="000000"/>
              <w:left w:val="single" w:sz="8" w:space="0" w:color="000000"/>
              <w:bottom w:val="single" w:sz="8" w:space="0" w:color="000000"/>
              <w:right w:val="single" w:sz="8" w:space="0" w:color="000000"/>
            </w:tcBorders>
            <w:shd w:val="clear" w:color="auto" w:fill="B2A1C7"/>
            <w:tcMar>
              <w:top w:w="15" w:type="dxa"/>
              <w:left w:w="108" w:type="dxa"/>
              <w:bottom w:w="0" w:type="dxa"/>
              <w:right w:w="108" w:type="dxa"/>
            </w:tcMar>
            <w:vAlign w:val="center"/>
            <w:hideMark/>
          </w:tcPr>
          <w:p w14:paraId="5C12B30C" w14:textId="77777777" w:rsidR="003B5C36" w:rsidRPr="006645DC" w:rsidRDefault="003B5C36" w:rsidP="003B5C36">
            <w:pPr>
              <w:keepNext/>
              <w:keepLines/>
              <w:spacing w:before="0" w:after="0"/>
              <w:ind w:left="757" w:hanging="360"/>
              <w:jc w:val="center"/>
              <w:outlineLvl w:val="1"/>
              <w:rPr>
                <w:rFonts w:eastAsia="Times New Roman" w:cs="Calibri"/>
                <w:lang w:val="en-GB" w:eastAsia="fr-FR"/>
              </w:rPr>
            </w:pPr>
            <w:bookmarkStart w:id="735" w:name="_Toc376198969"/>
            <w:r w:rsidRPr="006645DC">
              <w:rPr>
                <w:rFonts w:cs="Calibri"/>
                <w:b/>
                <w:bCs/>
                <w:color w:val="FFFFFF"/>
                <w:kern w:val="24"/>
                <w:lang w:val="en-GB" w:eastAsia="fr-FR"/>
              </w:rPr>
              <w:t>Threats</w:t>
            </w:r>
            <w:bookmarkEnd w:id="735"/>
          </w:p>
        </w:tc>
      </w:tr>
      <w:tr w:rsidR="003B5C36" w:rsidRPr="006645DC" w14:paraId="3537B730" w14:textId="77777777" w:rsidTr="003B5C36">
        <w:trPr>
          <w:trHeight w:val="20"/>
          <w:jc w:val="center"/>
        </w:trPr>
        <w:tc>
          <w:tcPr>
            <w:tcW w:w="510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DD6F54" w14:textId="77777777" w:rsidR="003B5C36" w:rsidRPr="006645DC" w:rsidRDefault="003B5C36" w:rsidP="00C951D5">
            <w:pPr>
              <w:pStyle w:val="ListParagraph"/>
              <w:keepNext/>
              <w:keepLines/>
              <w:numPr>
                <w:ilvl w:val="0"/>
                <w:numId w:val="53"/>
              </w:numPr>
              <w:spacing w:before="0" w:after="0"/>
              <w:ind w:left="283" w:hanging="170"/>
              <w:jc w:val="left"/>
              <w:outlineLvl w:val="1"/>
              <w:rPr>
                <w:rFonts w:cs="Calibri"/>
                <w:lang w:val="en-GB" w:eastAsia="fr-FR"/>
              </w:rPr>
            </w:pPr>
            <w:bookmarkStart w:id="736" w:name="_Toc376198970"/>
            <w:r w:rsidRPr="006645DC">
              <w:rPr>
                <w:rFonts w:eastAsia="Calibri" w:cs="Calibri"/>
                <w:color w:val="000000"/>
                <w:kern w:val="24"/>
                <w:lang w:val="en-GB" w:eastAsia="fr-FR"/>
              </w:rPr>
              <w:t>Better integrating of ethnic minorities into the labour market</w:t>
            </w:r>
            <w:bookmarkEnd w:id="736"/>
          </w:p>
          <w:p w14:paraId="6704C706" w14:textId="5FAEBF46" w:rsidR="003B5C36" w:rsidRPr="006645DC" w:rsidRDefault="003B5C36" w:rsidP="00C951D5">
            <w:pPr>
              <w:pStyle w:val="ListParagraph"/>
              <w:numPr>
                <w:ilvl w:val="0"/>
                <w:numId w:val="53"/>
              </w:numPr>
              <w:spacing w:before="0" w:after="0"/>
              <w:ind w:left="283" w:hanging="170"/>
              <w:jc w:val="left"/>
              <w:rPr>
                <w:rFonts w:cs="Calibri"/>
                <w:lang w:val="en-GB" w:eastAsia="fr-FR"/>
              </w:rPr>
            </w:pPr>
            <w:r w:rsidRPr="006645DC">
              <w:rPr>
                <w:rFonts w:cs="Calibri"/>
                <w:color w:val="000000"/>
                <w:kern w:val="24"/>
                <w:lang w:val="en-GB" w:eastAsia="fr-FR"/>
              </w:rPr>
              <w:t xml:space="preserve">Further concentration of the population </w:t>
            </w:r>
            <w:r w:rsidR="00625139">
              <w:rPr>
                <w:rFonts w:cs="Calibri"/>
                <w:color w:val="000000"/>
                <w:kern w:val="24"/>
                <w:lang w:val="en-GB" w:eastAsia="fr-FR"/>
              </w:rPr>
              <w:t>in</w:t>
            </w:r>
            <w:r w:rsidRPr="006645DC">
              <w:rPr>
                <w:rFonts w:cs="Calibri"/>
                <w:color w:val="000000"/>
                <w:kern w:val="24"/>
                <w:lang w:val="en-GB" w:eastAsia="fr-FR"/>
              </w:rPr>
              <w:t xml:space="preserve"> Cross Border urban areas</w:t>
            </w:r>
          </w:p>
          <w:p w14:paraId="3D542565" w14:textId="77777777" w:rsidR="003B5C36" w:rsidRPr="006645DC" w:rsidRDefault="003B5C36" w:rsidP="00C951D5">
            <w:pPr>
              <w:pStyle w:val="ListParagraph"/>
              <w:numPr>
                <w:ilvl w:val="0"/>
                <w:numId w:val="53"/>
              </w:numPr>
              <w:spacing w:before="0" w:after="0"/>
              <w:ind w:left="283" w:hanging="170"/>
              <w:jc w:val="left"/>
              <w:rPr>
                <w:rFonts w:cs="Calibri"/>
                <w:lang w:val="en-GB" w:eastAsia="fr-FR"/>
              </w:rPr>
            </w:pPr>
            <w:r w:rsidRPr="006645DC">
              <w:rPr>
                <w:rFonts w:eastAsia="Calibri" w:cs="Calibri"/>
                <w:color w:val="000000"/>
                <w:kern w:val="24"/>
                <w:lang w:val="en-GB" w:eastAsia="fr-FR"/>
              </w:rPr>
              <w:t>Best practices adoption for the provision of public services in depopulating areas</w:t>
            </w:r>
          </w:p>
          <w:p w14:paraId="602B62F7" w14:textId="77777777" w:rsidR="003B5C36" w:rsidRPr="006645DC" w:rsidRDefault="003B5C36" w:rsidP="00C951D5">
            <w:pPr>
              <w:pStyle w:val="ListParagraph"/>
              <w:numPr>
                <w:ilvl w:val="0"/>
                <w:numId w:val="53"/>
              </w:numPr>
              <w:spacing w:before="0" w:after="0"/>
              <w:ind w:left="283" w:hanging="170"/>
              <w:jc w:val="left"/>
              <w:rPr>
                <w:rFonts w:cs="Calibri"/>
                <w:lang w:val="en-GB" w:eastAsia="fr-FR"/>
              </w:rPr>
            </w:pPr>
            <w:r w:rsidRPr="006645DC">
              <w:rPr>
                <w:rFonts w:eastAsia="Calibri" w:cs="Calibri"/>
                <w:color w:val="000000"/>
                <w:kern w:val="24"/>
                <w:lang w:val="en-GB" w:eastAsia="fr-FR"/>
              </w:rPr>
              <w:t>Measures for combining the labour and family life</w:t>
            </w:r>
          </w:p>
          <w:p w14:paraId="7B807E4F" w14:textId="77777777" w:rsidR="003B5C36" w:rsidRPr="006645DC" w:rsidRDefault="003B5C36" w:rsidP="00C951D5">
            <w:pPr>
              <w:pStyle w:val="ListParagraph"/>
              <w:numPr>
                <w:ilvl w:val="0"/>
                <w:numId w:val="53"/>
              </w:numPr>
              <w:spacing w:before="0" w:after="0"/>
              <w:ind w:left="283" w:hanging="170"/>
              <w:jc w:val="left"/>
              <w:rPr>
                <w:rFonts w:cs="Calibri"/>
                <w:lang w:val="en-GB" w:eastAsia="fr-FR"/>
              </w:rPr>
            </w:pPr>
            <w:r w:rsidRPr="006645DC">
              <w:rPr>
                <w:rFonts w:eastAsia="Calibri" w:cs="Calibri"/>
                <w:color w:val="000000"/>
                <w:kern w:val="24"/>
                <w:lang w:val="en-GB" w:eastAsia="fr-FR"/>
              </w:rPr>
              <w:t>Increasing the attractiveness of the region to potential residents by  enhancing natural, cultural and touristic assets</w:t>
            </w:r>
          </w:p>
          <w:p w14:paraId="0B7AA213" w14:textId="77777777" w:rsidR="00EF342A" w:rsidRPr="006645DC" w:rsidRDefault="003B5C36" w:rsidP="00C951D5">
            <w:pPr>
              <w:pStyle w:val="ListParagraph"/>
              <w:numPr>
                <w:ilvl w:val="0"/>
                <w:numId w:val="53"/>
              </w:numPr>
              <w:spacing w:before="0" w:after="0"/>
              <w:ind w:left="283" w:hanging="170"/>
              <w:jc w:val="left"/>
              <w:rPr>
                <w:rFonts w:cs="Calibri"/>
                <w:lang w:val="en-GB" w:eastAsia="fr-FR"/>
              </w:rPr>
            </w:pPr>
            <w:r w:rsidRPr="006645DC">
              <w:rPr>
                <w:rFonts w:cs="Calibri"/>
                <w:color w:val="000000"/>
                <w:kern w:val="24"/>
                <w:lang w:val="en-GB" w:eastAsia="fr-FR"/>
              </w:rPr>
              <w:t>Possibility of reverse migration trends from abroad</w:t>
            </w:r>
          </w:p>
          <w:p w14:paraId="7AA872AA" w14:textId="77777777" w:rsidR="00EF342A" w:rsidRPr="006645DC" w:rsidRDefault="00EF342A" w:rsidP="00C951D5">
            <w:pPr>
              <w:pStyle w:val="ListParagraph"/>
              <w:numPr>
                <w:ilvl w:val="0"/>
                <w:numId w:val="53"/>
              </w:numPr>
              <w:spacing w:before="0" w:after="0"/>
              <w:ind w:left="283" w:hanging="170"/>
              <w:jc w:val="left"/>
              <w:rPr>
                <w:rFonts w:cs="Calibri"/>
                <w:lang w:val="en-GB" w:eastAsia="fr-FR"/>
              </w:rPr>
            </w:pPr>
            <w:r w:rsidRPr="006645DC">
              <w:rPr>
                <w:rFonts w:cs="Calibri"/>
                <w:lang w:val="en-GB" w:eastAsia="fr-FR"/>
              </w:rPr>
              <w:t>Improving the environmental, social and business infrastructure of the regions</w:t>
            </w:r>
          </w:p>
        </w:tc>
        <w:tc>
          <w:tcPr>
            <w:tcW w:w="510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B43D3B4" w14:textId="0391867C" w:rsidR="003B5C36" w:rsidRPr="006645DC" w:rsidRDefault="00625139" w:rsidP="00C951D5">
            <w:pPr>
              <w:pStyle w:val="ListParagraph"/>
              <w:keepNext/>
              <w:keepLines/>
              <w:numPr>
                <w:ilvl w:val="0"/>
                <w:numId w:val="53"/>
              </w:numPr>
              <w:spacing w:before="0" w:after="0"/>
              <w:ind w:left="283" w:hanging="170"/>
              <w:jc w:val="left"/>
              <w:outlineLvl w:val="1"/>
              <w:rPr>
                <w:rFonts w:cs="Calibri"/>
                <w:lang w:val="en-GB" w:eastAsia="fr-FR"/>
              </w:rPr>
            </w:pPr>
            <w:bookmarkStart w:id="737" w:name="_Toc376198971"/>
            <w:r>
              <w:rPr>
                <w:rFonts w:eastAsia="Calibri" w:cs="Calibri"/>
                <w:color w:val="000000"/>
                <w:kern w:val="24"/>
                <w:lang w:val="en-GB" w:eastAsia="fr-FR"/>
              </w:rPr>
              <w:t>Peri</w:t>
            </w:r>
            <w:r w:rsidR="003B5C36" w:rsidRPr="006645DC">
              <w:rPr>
                <w:rFonts w:eastAsia="Calibri" w:cs="Calibri"/>
                <w:color w:val="000000"/>
                <w:kern w:val="24"/>
                <w:lang w:val="en-GB" w:eastAsia="fr-FR"/>
              </w:rPr>
              <w:t>ph</w:t>
            </w:r>
            <w:r>
              <w:rPr>
                <w:rFonts w:eastAsia="Calibri" w:cs="Calibri"/>
                <w:color w:val="000000"/>
                <w:kern w:val="24"/>
                <w:lang w:val="en-GB" w:eastAsia="fr-FR"/>
              </w:rPr>
              <w:t>er</w:t>
            </w:r>
            <w:r w:rsidR="003B5C36" w:rsidRPr="006645DC">
              <w:rPr>
                <w:rFonts w:eastAsia="Calibri" w:cs="Calibri"/>
                <w:color w:val="000000"/>
                <w:kern w:val="24"/>
                <w:lang w:val="en-GB" w:eastAsia="fr-FR"/>
              </w:rPr>
              <w:t>al areas don’t show any strong sign of recovery from the economic crisis</w:t>
            </w:r>
            <w:bookmarkEnd w:id="737"/>
          </w:p>
          <w:p w14:paraId="641D6240" w14:textId="77777777" w:rsidR="003B5C36" w:rsidRPr="006645DC" w:rsidRDefault="003B5C36" w:rsidP="00C951D5">
            <w:pPr>
              <w:pStyle w:val="ListParagraph"/>
              <w:numPr>
                <w:ilvl w:val="0"/>
                <w:numId w:val="53"/>
              </w:numPr>
              <w:spacing w:before="0" w:after="0"/>
              <w:ind w:left="283" w:hanging="170"/>
              <w:jc w:val="left"/>
              <w:rPr>
                <w:rFonts w:cs="Calibri"/>
                <w:lang w:val="en-GB" w:eastAsia="fr-FR"/>
              </w:rPr>
            </w:pPr>
            <w:r w:rsidRPr="006645DC">
              <w:rPr>
                <w:rFonts w:cs="Calibri"/>
                <w:color w:val="000000"/>
                <w:kern w:val="24"/>
                <w:lang w:val="en-GB" w:eastAsia="fr-FR"/>
              </w:rPr>
              <w:t>Continuous low natural population growth</w:t>
            </w:r>
          </w:p>
          <w:p w14:paraId="564F247D" w14:textId="78D9D6D7" w:rsidR="003B5C36" w:rsidRPr="006645DC" w:rsidRDefault="003B5C36" w:rsidP="00C951D5">
            <w:pPr>
              <w:pStyle w:val="ListParagraph"/>
              <w:numPr>
                <w:ilvl w:val="0"/>
                <w:numId w:val="53"/>
              </w:numPr>
              <w:spacing w:before="0" w:after="0"/>
              <w:ind w:left="283" w:hanging="170"/>
              <w:jc w:val="left"/>
              <w:rPr>
                <w:rFonts w:cs="Calibri"/>
                <w:lang w:val="en-GB" w:eastAsia="fr-FR"/>
              </w:rPr>
            </w:pPr>
            <w:r w:rsidRPr="006645DC">
              <w:rPr>
                <w:rFonts w:cs="Calibri"/>
                <w:color w:val="000000"/>
                <w:kern w:val="24"/>
                <w:lang w:val="en-GB" w:eastAsia="fr-FR"/>
              </w:rPr>
              <w:t xml:space="preserve">Low capacity of provision of public/social services: education, healthcare, </w:t>
            </w:r>
            <w:r w:rsidR="00A67738" w:rsidRPr="006645DC">
              <w:rPr>
                <w:rFonts w:cs="Calibri"/>
                <w:color w:val="000000"/>
                <w:kern w:val="24"/>
                <w:lang w:val="en-GB" w:eastAsia="fr-FR"/>
              </w:rPr>
              <w:t xml:space="preserve">support to jobseekers and </w:t>
            </w:r>
            <w:r w:rsidR="00625139" w:rsidRPr="006645DC">
              <w:rPr>
                <w:rFonts w:cs="Calibri"/>
                <w:color w:val="000000"/>
                <w:kern w:val="24"/>
                <w:lang w:val="en-GB" w:eastAsia="fr-FR"/>
              </w:rPr>
              <w:t>job changers</w:t>
            </w:r>
            <w:r w:rsidR="00A67738" w:rsidRPr="006645DC">
              <w:rPr>
                <w:rFonts w:cs="Calibri"/>
                <w:color w:val="000000"/>
                <w:kern w:val="24"/>
                <w:lang w:val="en-GB" w:eastAsia="fr-FR"/>
              </w:rPr>
              <w:t xml:space="preserve">, </w:t>
            </w:r>
            <w:r w:rsidRPr="006645DC">
              <w:rPr>
                <w:rFonts w:cs="Calibri"/>
                <w:color w:val="000000"/>
                <w:kern w:val="24"/>
                <w:lang w:val="en-GB" w:eastAsia="fr-FR"/>
              </w:rPr>
              <w:t>etc.</w:t>
            </w:r>
          </w:p>
        </w:tc>
      </w:tr>
    </w:tbl>
    <w:p w14:paraId="357B75DE" w14:textId="77777777" w:rsidR="00FB4D40" w:rsidRPr="006645DC" w:rsidRDefault="00FB4D40" w:rsidP="008E2B43">
      <w:pPr>
        <w:pStyle w:val="Sub-capitol1"/>
        <w:numPr>
          <w:ilvl w:val="0"/>
          <w:numId w:val="2"/>
        </w:numPr>
        <w:rPr>
          <w:lang w:val="en-GB"/>
        </w:rPr>
        <w:sectPr w:rsidR="00FB4D40" w:rsidRPr="006645DC" w:rsidSect="00187E88">
          <w:pgSz w:w="12240" w:h="15840"/>
          <w:pgMar w:top="1440" w:right="1440" w:bottom="1440" w:left="1440" w:header="720" w:footer="720" w:gutter="0"/>
          <w:cols w:space="720"/>
          <w:docGrid w:linePitch="360"/>
        </w:sectPr>
      </w:pPr>
    </w:p>
    <w:p w14:paraId="5C659FC9" w14:textId="77777777" w:rsidR="00FB4D40" w:rsidRPr="006645DC" w:rsidRDefault="00AA4C82" w:rsidP="00FB4D40">
      <w:pPr>
        <w:jc w:val="center"/>
        <w:rPr>
          <w:lang w:val="en-GB"/>
        </w:rPr>
        <w:sectPr w:rsidR="00FB4D40" w:rsidRPr="006645DC" w:rsidSect="00187E88">
          <w:pgSz w:w="12240" w:h="15840"/>
          <w:pgMar w:top="1440" w:right="1440" w:bottom="1440" w:left="1440" w:header="720" w:footer="720" w:gutter="0"/>
          <w:cols w:space="720"/>
          <w:docGrid w:linePitch="360"/>
        </w:sectPr>
      </w:pPr>
      <w:bookmarkStart w:id="738" w:name="_Toc373503228"/>
      <w:bookmarkStart w:id="739" w:name="_Toc373507192"/>
      <w:r w:rsidRPr="006645DC">
        <w:rPr>
          <w:rFonts w:eastAsia="MS Gothic"/>
          <w:b/>
          <w:noProof/>
          <w:color w:val="365F91"/>
          <w:sz w:val="28"/>
          <w:szCs w:val="26"/>
          <w:lang w:val="bg-BG" w:eastAsia="bg-BG"/>
        </w:rPr>
        <w:lastRenderedPageBreak/>
        <w:drawing>
          <wp:inline distT="0" distB="0" distL="0" distR="0" wp14:anchorId="6A2D5B2E" wp14:editId="690FF1AA">
            <wp:extent cx="5943600" cy="5010150"/>
            <wp:effectExtent l="19050" t="0" r="0" b="0"/>
            <wp:docPr id="60"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90"/>
                    <a:srcRect/>
                    <a:stretch>
                      <a:fillRect/>
                    </a:stretch>
                  </pic:blipFill>
                  <pic:spPr bwMode="auto">
                    <a:xfrm>
                      <a:off x="0" y="0"/>
                      <a:ext cx="5943600" cy="5010150"/>
                    </a:xfrm>
                    <a:prstGeom prst="rect">
                      <a:avLst/>
                    </a:prstGeom>
                    <a:noFill/>
                    <a:ln w="9525">
                      <a:noFill/>
                      <a:miter lim="800000"/>
                      <a:headEnd/>
                      <a:tailEnd/>
                    </a:ln>
                  </pic:spPr>
                </pic:pic>
              </a:graphicData>
            </a:graphic>
          </wp:inline>
        </w:drawing>
      </w:r>
      <w:bookmarkEnd w:id="738"/>
      <w:bookmarkEnd w:id="739"/>
    </w:p>
    <w:p w14:paraId="41AFCF91" w14:textId="77777777" w:rsidR="008E2B43" w:rsidRPr="006645DC" w:rsidRDefault="008E2B43" w:rsidP="008E2B43">
      <w:pPr>
        <w:pStyle w:val="Sub-capitol1"/>
        <w:numPr>
          <w:ilvl w:val="0"/>
          <w:numId w:val="2"/>
        </w:numPr>
        <w:rPr>
          <w:lang w:val="en-GB"/>
        </w:rPr>
      </w:pPr>
      <w:bookmarkStart w:id="740" w:name="_Toc376198972"/>
      <w:bookmarkStart w:id="741" w:name="_Toc254543790"/>
      <w:bookmarkStart w:id="742" w:name="_Toc391150180"/>
      <w:r w:rsidRPr="006645DC">
        <w:rPr>
          <w:lang w:val="en-GB"/>
        </w:rPr>
        <w:lastRenderedPageBreak/>
        <w:t>Challenges and needs</w:t>
      </w:r>
      <w:bookmarkEnd w:id="740"/>
      <w:bookmarkEnd w:id="741"/>
      <w:bookmarkEnd w:id="742"/>
    </w:p>
    <w:p w14:paraId="10BAB696" w14:textId="77777777" w:rsidR="008E2B43" w:rsidRPr="006645DC" w:rsidRDefault="008E2B43" w:rsidP="00C22A61">
      <w:pPr>
        <w:pStyle w:val="Heading3"/>
        <w:numPr>
          <w:ilvl w:val="0"/>
          <w:numId w:val="15"/>
        </w:numPr>
        <w:rPr>
          <w:rFonts w:eastAsia="MS Gothic"/>
          <w:lang w:val="en-GB"/>
        </w:rPr>
      </w:pPr>
      <w:bookmarkStart w:id="743" w:name="_Toc254543791"/>
      <w:r w:rsidRPr="006645DC">
        <w:rPr>
          <w:rFonts w:eastAsia="MS Gothic"/>
          <w:lang w:val="en-GB"/>
        </w:rPr>
        <w:t>Territorial challenges</w:t>
      </w:r>
      <w:bookmarkEnd w:id="743"/>
      <w:r w:rsidRPr="006645DC">
        <w:rPr>
          <w:rFonts w:eastAsia="MS Gothic"/>
          <w:lang w:val="en-GB"/>
        </w:rPr>
        <w:t xml:space="preserve"> </w:t>
      </w:r>
    </w:p>
    <w:p w14:paraId="65FB41DA" w14:textId="25ABAA86" w:rsidR="008E2B43" w:rsidRPr="006645DC" w:rsidRDefault="008E2B43" w:rsidP="00F35E83">
      <w:pPr>
        <w:pStyle w:val="ListParagraph"/>
        <w:rPr>
          <w:lang w:val="en-GB"/>
        </w:rPr>
      </w:pPr>
      <w:r w:rsidRPr="006645DC">
        <w:rPr>
          <w:lang w:val="en-GB"/>
        </w:rPr>
        <w:t>Constant decrease of the population</w:t>
      </w:r>
      <w:r w:rsidR="00625139">
        <w:rPr>
          <w:lang w:val="en-GB"/>
        </w:rPr>
        <w:t xml:space="preserve"> especially in the areas</w:t>
      </w:r>
      <w:r w:rsidRPr="006645DC">
        <w:rPr>
          <w:lang w:val="en-GB"/>
        </w:rPr>
        <w:t xml:space="preserve"> along the Danube River – depopulation issues</w:t>
      </w:r>
    </w:p>
    <w:p w14:paraId="731A2C39" w14:textId="77777777" w:rsidR="008E2B43" w:rsidRPr="006645DC" w:rsidRDefault="008E2B43" w:rsidP="00F35E83">
      <w:pPr>
        <w:pStyle w:val="ListParagraph"/>
        <w:rPr>
          <w:lang w:val="en-GB"/>
        </w:rPr>
      </w:pPr>
      <w:r w:rsidRPr="006645DC">
        <w:rPr>
          <w:lang w:val="en-GB"/>
        </w:rPr>
        <w:t>Even though life expectancy at birth is increasing in both areas, the fertility is still depressed, which means that depopulation remains a critical issue.</w:t>
      </w:r>
    </w:p>
    <w:p w14:paraId="4E1F735A" w14:textId="16C6A983" w:rsidR="008E2B43" w:rsidRPr="006645DC" w:rsidRDefault="008E2B43" w:rsidP="00F35E83">
      <w:pPr>
        <w:pStyle w:val="ListParagraph"/>
        <w:rPr>
          <w:lang w:val="en-GB"/>
        </w:rPr>
      </w:pPr>
      <w:r w:rsidRPr="006645DC">
        <w:rPr>
          <w:lang w:val="en-GB"/>
        </w:rPr>
        <w:t>Over the last years, there is an accented phenomenon of demographic ageing in the cross-border region. Significant differences</w:t>
      </w:r>
      <w:r w:rsidR="00625139">
        <w:rPr>
          <w:lang w:val="en-GB"/>
        </w:rPr>
        <w:t xml:space="preserve"> exist </w:t>
      </w:r>
      <w:r w:rsidRPr="006645DC">
        <w:rPr>
          <w:lang w:val="en-GB"/>
        </w:rPr>
        <w:t xml:space="preserve"> between the main urban areas, such as </w:t>
      </w:r>
      <w:r w:rsidR="00625139" w:rsidRPr="006645DC">
        <w:rPr>
          <w:lang w:val="en-GB"/>
        </w:rPr>
        <w:t>Constanta</w:t>
      </w:r>
      <w:r w:rsidRPr="006645DC">
        <w:rPr>
          <w:lang w:val="en-GB"/>
        </w:rPr>
        <w:t xml:space="preserve"> and Ruse (over 70% urban population) and those with a low urban ratio - Giurgiu and Silistra (with 31% an</w:t>
      </w:r>
      <w:r w:rsidR="00EF342A" w:rsidRPr="006645DC">
        <w:rPr>
          <w:lang w:val="en-GB"/>
        </w:rPr>
        <w:t>d 45% urban population)</w:t>
      </w:r>
    </w:p>
    <w:p w14:paraId="27992C39" w14:textId="77777777" w:rsidR="00EF342A" w:rsidRPr="006645DC" w:rsidRDefault="00EF342A" w:rsidP="00F35E83">
      <w:pPr>
        <w:pStyle w:val="ListParagraph"/>
        <w:rPr>
          <w:lang w:val="en-GB"/>
        </w:rPr>
      </w:pPr>
      <w:r w:rsidRPr="006645DC">
        <w:rPr>
          <w:lang w:val="en-GB"/>
        </w:rPr>
        <w:t>The cross border region faces significant population migration either to urban economically better-developed urban areas inside</w:t>
      </w:r>
      <w:r w:rsidR="003A340A" w:rsidRPr="006645DC">
        <w:rPr>
          <w:lang w:val="en-GB"/>
        </w:rPr>
        <w:t xml:space="preserve"> </w:t>
      </w:r>
      <w:r w:rsidRPr="006645DC">
        <w:rPr>
          <w:lang w:val="en-GB"/>
        </w:rPr>
        <w:t xml:space="preserve">the cross border region, or outside  the cross border area; </w:t>
      </w:r>
    </w:p>
    <w:p w14:paraId="3A424918" w14:textId="3739E445" w:rsidR="00EF342A" w:rsidRPr="006645DC" w:rsidRDefault="00EF342A" w:rsidP="00F35E83">
      <w:pPr>
        <w:pStyle w:val="ListParagraph"/>
        <w:rPr>
          <w:lang w:val="en-GB"/>
        </w:rPr>
      </w:pPr>
      <w:r w:rsidRPr="006645DC">
        <w:rPr>
          <w:lang w:val="en-GB"/>
        </w:rPr>
        <w:t xml:space="preserve">The imbalance of population trends between urban </w:t>
      </w:r>
      <w:r w:rsidR="00625139" w:rsidRPr="006645DC">
        <w:rPr>
          <w:lang w:val="en-GB"/>
        </w:rPr>
        <w:t>centres</w:t>
      </w:r>
      <w:r w:rsidRPr="006645DC">
        <w:rPr>
          <w:lang w:val="en-GB"/>
        </w:rPr>
        <w:t xml:space="preserve"> and rural areas, </w:t>
      </w:r>
    </w:p>
    <w:p w14:paraId="1BFAF503" w14:textId="77777777" w:rsidR="008E2B43" w:rsidRPr="006645DC" w:rsidRDefault="008E2B43" w:rsidP="00F35E83">
      <w:pPr>
        <w:pStyle w:val="ListParagraph"/>
        <w:rPr>
          <w:lang w:val="en-GB"/>
        </w:rPr>
      </w:pPr>
      <w:r w:rsidRPr="006645DC">
        <w:rPr>
          <w:lang w:val="en-GB"/>
        </w:rPr>
        <w:t xml:space="preserve">Both in Romania and in Bulgaria, the overall death rate is higher than the European average </w:t>
      </w:r>
    </w:p>
    <w:p w14:paraId="05963F06" w14:textId="77777777" w:rsidR="008E2B43" w:rsidRPr="006645DC" w:rsidRDefault="008E2B43" w:rsidP="00F35E83">
      <w:pPr>
        <w:pStyle w:val="ListParagraph"/>
        <w:rPr>
          <w:lang w:val="en-GB"/>
        </w:rPr>
      </w:pPr>
      <w:r w:rsidRPr="006645DC">
        <w:rPr>
          <w:lang w:val="en-GB"/>
        </w:rPr>
        <w:t xml:space="preserve">The net migration is mostly negative </w:t>
      </w:r>
    </w:p>
    <w:p w14:paraId="6FFC6EDE" w14:textId="77777777" w:rsidR="008E2B43" w:rsidRPr="006645DC" w:rsidRDefault="008E2B43" w:rsidP="00F35E83">
      <w:pPr>
        <w:pStyle w:val="ListParagraph"/>
        <w:rPr>
          <w:lang w:val="en-GB"/>
        </w:rPr>
      </w:pPr>
      <w:r w:rsidRPr="006645DC">
        <w:rPr>
          <w:lang w:val="en-GB"/>
        </w:rPr>
        <w:t>Qualified and unqualified workforce emigration to western EU states;</w:t>
      </w:r>
    </w:p>
    <w:p w14:paraId="42362280" w14:textId="77777777" w:rsidR="008E2B43" w:rsidRPr="006645DC" w:rsidRDefault="008E2B43" w:rsidP="00F35E83">
      <w:pPr>
        <w:pStyle w:val="ListParagraph"/>
        <w:rPr>
          <w:lang w:val="en-GB"/>
        </w:rPr>
      </w:pPr>
      <w:r w:rsidRPr="006645DC">
        <w:rPr>
          <w:lang w:val="en-GB"/>
        </w:rPr>
        <w:t>The integration of ethnic minorities</w:t>
      </w:r>
      <w:r w:rsidR="00A67738" w:rsidRPr="006645DC">
        <w:rPr>
          <w:lang w:val="en-GB"/>
        </w:rPr>
        <w:t>, especially in the labour market</w:t>
      </w:r>
    </w:p>
    <w:p w14:paraId="31D6590D" w14:textId="77777777" w:rsidR="00492077" w:rsidRPr="006645DC" w:rsidRDefault="00492077" w:rsidP="003B52C5">
      <w:pPr>
        <w:pStyle w:val="Heading3"/>
        <w:rPr>
          <w:lang w:val="en-GB"/>
        </w:rPr>
        <w:sectPr w:rsidR="00492077" w:rsidRPr="006645DC" w:rsidSect="00187E88">
          <w:pgSz w:w="12240" w:h="15840"/>
          <w:pgMar w:top="1440" w:right="1440" w:bottom="1440" w:left="1440" w:header="720" w:footer="720" w:gutter="0"/>
          <w:cols w:space="720"/>
          <w:docGrid w:linePitch="360"/>
        </w:sectPr>
      </w:pPr>
    </w:p>
    <w:p w14:paraId="07230551" w14:textId="77777777" w:rsidR="008E2B43" w:rsidRPr="006645DC" w:rsidRDefault="008E2B43" w:rsidP="003B52C5">
      <w:pPr>
        <w:pStyle w:val="Heading3"/>
        <w:rPr>
          <w:lang w:val="en-GB"/>
        </w:rPr>
      </w:pPr>
      <w:bookmarkStart w:id="744" w:name="_Toc254543792"/>
      <w:r w:rsidRPr="006645DC">
        <w:rPr>
          <w:lang w:val="en-GB"/>
        </w:rPr>
        <w:lastRenderedPageBreak/>
        <w:t>Needs</w:t>
      </w:r>
      <w:bookmarkEnd w:id="744"/>
    </w:p>
    <w:tbl>
      <w:tblPr>
        <w:tblW w:w="5000" w:type="pct"/>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597"/>
        <w:gridCol w:w="4219"/>
        <w:gridCol w:w="954"/>
        <w:gridCol w:w="956"/>
        <w:gridCol w:w="956"/>
        <w:gridCol w:w="948"/>
        <w:gridCol w:w="946"/>
      </w:tblGrid>
      <w:tr w:rsidR="00625139" w:rsidRPr="006645DC" w14:paraId="06CF3FBE" w14:textId="35B800B3" w:rsidTr="00625139">
        <w:trPr>
          <w:jc w:val="center"/>
        </w:trPr>
        <w:tc>
          <w:tcPr>
            <w:tcW w:w="312" w:type="pct"/>
            <w:vMerge w:val="restart"/>
            <w:shd w:val="clear" w:color="auto" w:fill="auto"/>
            <w:vAlign w:val="center"/>
          </w:tcPr>
          <w:p w14:paraId="658FB3BD" w14:textId="77777777" w:rsidR="00625139" w:rsidRPr="006645DC" w:rsidRDefault="00625139" w:rsidP="00393EB7">
            <w:pPr>
              <w:spacing w:before="0" w:after="0"/>
              <w:jc w:val="center"/>
              <w:rPr>
                <w:rFonts w:eastAsia="MS Gothic" w:cs="Calibri"/>
                <w:b/>
                <w:bCs/>
                <w:lang w:val="en-GB"/>
              </w:rPr>
            </w:pPr>
            <w:r w:rsidRPr="006645DC">
              <w:rPr>
                <w:rFonts w:eastAsia="MS Gothic" w:cs="Calibri"/>
                <w:b/>
                <w:bCs/>
                <w:lang w:val="en-GB"/>
              </w:rPr>
              <w:t>No.</w:t>
            </w:r>
          </w:p>
        </w:tc>
        <w:tc>
          <w:tcPr>
            <w:tcW w:w="2203" w:type="pct"/>
            <w:vMerge w:val="restart"/>
            <w:shd w:val="clear" w:color="auto" w:fill="auto"/>
            <w:vAlign w:val="center"/>
          </w:tcPr>
          <w:p w14:paraId="54EF4628" w14:textId="77777777" w:rsidR="00625139" w:rsidRPr="006645DC" w:rsidRDefault="00625139" w:rsidP="00393EB7">
            <w:pPr>
              <w:spacing w:before="0" w:after="0"/>
              <w:jc w:val="left"/>
              <w:rPr>
                <w:rFonts w:eastAsia="MS Gothic" w:cs="Calibri"/>
                <w:b/>
                <w:bCs/>
                <w:lang w:val="en-GB"/>
              </w:rPr>
            </w:pPr>
            <w:r w:rsidRPr="006645DC">
              <w:rPr>
                <w:rFonts w:eastAsia="MS Gothic" w:cs="Calibri"/>
                <w:b/>
                <w:bCs/>
                <w:lang w:val="en-GB"/>
              </w:rPr>
              <w:t>Identified need</w:t>
            </w:r>
          </w:p>
        </w:tc>
        <w:tc>
          <w:tcPr>
            <w:tcW w:w="997" w:type="pct"/>
            <w:gridSpan w:val="2"/>
            <w:shd w:val="clear" w:color="auto" w:fill="auto"/>
            <w:vAlign w:val="center"/>
          </w:tcPr>
          <w:p w14:paraId="7A6346F7" w14:textId="77777777" w:rsidR="00625139" w:rsidRPr="006645DC" w:rsidRDefault="00625139" w:rsidP="00393EB7">
            <w:pPr>
              <w:spacing w:before="0" w:after="0"/>
              <w:jc w:val="center"/>
              <w:rPr>
                <w:rFonts w:eastAsia="MS Gothic" w:cs="Calibri"/>
                <w:b/>
                <w:bCs/>
                <w:lang w:val="en-GB"/>
              </w:rPr>
            </w:pPr>
            <w:r w:rsidRPr="006645DC">
              <w:rPr>
                <w:rFonts w:eastAsia="MS Gothic" w:cs="Calibri"/>
                <w:b/>
                <w:bCs/>
                <w:lang w:val="en-GB"/>
              </w:rPr>
              <w:t>Relevance for each national cross-border area</w:t>
            </w:r>
          </w:p>
        </w:tc>
        <w:tc>
          <w:tcPr>
            <w:tcW w:w="1488" w:type="pct"/>
            <w:gridSpan w:val="3"/>
            <w:shd w:val="clear" w:color="auto" w:fill="auto"/>
            <w:vAlign w:val="center"/>
          </w:tcPr>
          <w:p w14:paraId="6EFF96D6" w14:textId="2905E554" w:rsidR="00625139" w:rsidRPr="006645DC" w:rsidRDefault="00625139" w:rsidP="00393EB7">
            <w:pPr>
              <w:spacing w:before="0" w:after="0"/>
              <w:jc w:val="center"/>
              <w:rPr>
                <w:rFonts w:eastAsia="MS Gothic" w:cs="Calibri"/>
                <w:b/>
                <w:bCs/>
                <w:lang w:val="en-GB"/>
              </w:rPr>
            </w:pPr>
            <w:r w:rsidRPr="006645DC">
              <w:rPr>
                <w:rFonts w:eastAsia="MS Gothic" w:cs="Calibri"/>
                <w:b/>
                <w:bCs/>
                <w:lang w:val="en-GB"/>
              </w:rPr>
              <w:t>Relevance for the ERDF Thematic Objectives</w:t>
            </w:r>
          </w:p>
        </w:tc>
      </w:tr>
      <w:tr w:rsidR="00625139" w:rsidRPr="006645DC" w14:paraId="0BB89675" w14:textId="69F79152" w:rsidTr="00625139">
        <w:trPr>
          <w:jc w:val="center"/>
        </w:trPr>
        <w:tc>
          <w:tcPr>
            <w:tcW w:w="312" w:type="pct"/>
            <w:vMerge/>
            <w:shd w:val="clear" w:color="auto" w:fill="auto"/>
            <w:vAlign w:val="center"/>
          </w:tcPr>
          <w:p w14:paraId="57CD14D1" w14:textId="77777777" w:rsidR="00625139" w:rsidRPr="006645DC" w:rsidRDefault="00625139" w:rsidP="00393EB7">
            <w:pPr>
              <w:keepNext/>
              <w:keepLines/>
              <w:spacing w:before="0" w:after="0"/>
              <w:ind w:left="680"/>
              <w:jc w:val="center"/>
              <w:outlineLvl w:val="4"/>
              <w:rPr>
                <w:rFonts w:eastAsia="MS Gothic" w:cs="Calibri"/>
                <w:b/>
                <w:bCs/>
                <w:lang w:val="en-GB"/>
              </w:rPr>
            </w:pPr>
          </w:p>
        </w:tc>
        <w:tc>
          <w:tcPr>
            <w:tcW w:w="2203" w:type="pct"/>
            <w:vMerge/>
            <w:shd w:val="clear" w:color="auto" w:fill="auto"/>
            <w:vAlign w:val="center"/>
          </w:tcPr>
          <w:p w14:paraId="71A489FD" w14:textId="77777777" w:rsidR="00625139" w:rsidRPr="006645DC" w:rsidRDefault="00625139" w:rsidP="00393EB7">
            <w:pPr>
              <w:spacing w:before="0" w:after="0"/>
              <w:jc w:val="left"/>
              <w:rPr>
                <w:rFonts w:cs="Calibri"/>
                <w:lang w:val="en-GB"/>
              </w:rPr>
            </w:pPr>
          </w:p>
        </w:tc>
        <w:tc>
          <w:tcPr>
            <w:tcW w:w="498" w:type="pct"/>
            <w:shd w:val="clear" w:color="auto" w:fill="auto"/>
            <w:vAlign w:val="center"/>
          </w:tcPr>
          <w:p w14:paraId="504E969C" w14:textId="77777777" w:rsidR="00625139" w:rsidRPr="006645DC" w:rsidRDefault="00625139" w:rsidP="00393EB7">
            <w:pPr>
              <w:keepNext/>
              <w:keepLines/>
              <w:spacing w:before="0" w:after="0"/>
              <w:jc w:val="center"/>
              <w:outlineLvl w:val="1"/>
              <w:rPr>
                <w:rFonts w:cs="Calibri"/>
                <w:b/>
                <w:lang w:val="en-GB"/>
              </w:rPr>
            </w:pPr>
            <w:bookmarkStart w:id="745" w:name="_Toc376198973"/>
            <w:r w:rsidRPr="006645DC">
              <w:rPr>
                <w:rFonts w:cs="Calibri"/>
                <w:b/>
                <w:lang w:val="en-GB"/>
              </w:rPr>
              <w:t>RO</w:t>
            </w:r>
            <w:bookmarkEnd w:id="745"/>
          </w:p>
        </w:tc>
        <w:tc>
          <w:tcPr>
            <w:tcW w:w="498" w:type="pct"/>
            <w:shd w:val="clear" w:color="auto" w:fill="auto"/>
            <w:vAlign w:val="center"/>
          </w:tcPr>
          <w:p w14:paraId="71F4C77E" w14:textId="77777777" w:rsidR="00625139" w:rsidRPr="006645DC" w:rsidRDefault="00625139" w:rsidP="00393EB7">
            <w:pPr>
              <w:keepNext/>
              <w:keepLines/>
              <w:spacing w:before="0" w:after="0"/>
              <w:jc w:val="center"/>
              <w:outlineLvl w:val="1"/>
              <w:rPr>
                <w:rFonts w:cs="Calibri"/>
                <w:b/>
                <w:lang w:val="en-GB"/>
              </w:rPr>
            </w:pPr>
            <w:bookmarkStart w:id="746" w:name="_Toc376198974"/>
            <w:r w:rsidRPr="006645DC">
              <w:rPr>
                <w:rFonts w:cs="Calibri"/>
                <w:b/>
                <w:lang w:val="en-GB"/>
              </w:rPr>
              <w:t>BG</w:t>
            </w:r>
            <w:bookmarkEnd w:id="746"/>
          </w:p>
        </w:tc>
        <w:tc>
          <w:tcPr>
            <w:tcW w:w="499" w:type="pct"/>
            <w:shd w:val="clear" w:color="auto" w:fill="auto"/>
            <w:vAlign w:val="center"/>
          </w:tcPr>
          <w:p w14:paraId="56963165" w14:textId="77777777" w:rsidR="00625139" w:rsidRPr="006645DC" w:rsidRDefault="00625139" w:rsidP="00393EB7">
            <w:pPr>
              <w:keepNext/>
              <w:keepLines/>
              <w:spacing w:before="0" w:after="0"/>
              <w:jc w:val="center"/>
              <w:outlineLvl w:val="1"/>
              <w:rPr>
                <w:rFonts w:cs="Calibri"/>
                <w:b/>
                <w:lang w:val="en-GB"/>
              </w:rPr>
            </w:pPr>
            <w:bookmarkStart w:id="747" w:name="_Toc376198975"/>
            <w:r w:rsidRPr="006645DC">
              <w:rPr>
                <w:rFonts w:cs="Calibri"/>
                <w:b/>
                <w:lang w:val="en-GB"/>
              </w:rPr>
              <w:t>TO8</w:t>
            </w:r>
            <w:bookmarkEnd w:id="747"/>
          </w:p>
        </w:tc>
        <w:tc>
          <w:tcPr>
            <w:tcW w:w="495" w:type="pct"/>
            <w:shd w:val="clear" w:color="auto" w:fill="auto"/>
            <w:vAlign w:val="center"/>
          </w:tcPr>
          <w:p w14:paraId="5AF1DD03" w14:textId="77777777" w:rsidR="00625139" w:rsidRPr="006645DC" w:rsidRDefault="00625139" w:rsidP="00393EB7">
            <w:pPr>
              <w:spacing w:before="0" w:after="0"/>
              <w:jc w:val="center"/>
              <w:rPr>
                <w:rFonts w:cs="Calibri"/>
                <w:b/>
                <w:lang w:val="en-GB"/>
              </w:rPr>
            </w:pPr>
            <w:r w:rsidRPr="006645DC">
              <w:rPr>
                <w:rFonts w:cs="Calibri"/>
                <w:b/>
                <w:lang w:val="en-GB"/>
              </w:rPr>
              <w:t>TO9</w:t>
            </w:r>
          </w:p>
        </w:tc>
        <w:tc>
          <w:tcPr>
            <w:tcW w:w="495" w:type="pct"/>
          </w:tcPr>
          <w:p w14:paraId="598EF052" w14:textId="623BA061" w:rsidR="00625139" w:rsidRPr="006645DC" w:rsidRDefault="00625139" w:rsidP="00393EB7">
            <w:pPr>
              <w:spacing w:before="0" w:after="0"/>
              <w:jc w:val="center"/>
              <w:rPr>
                <w:rFonts w:cs="Calibri"/>
                <w:b/>
                <w:lang w:val="en-GB"/>
              </w:rPr>
            </w:pPr>
            <w:r>
              <w:rPr>
                <w:rFonts w:cs="Calibri"/>
                <w:b/>
                <w:lang w:val="en-GB"/>
              </w:rPr>
              <w:t>TO 11</w:t>
            </w:r>
          </w:p>
        </w:tc>
      </w:tr>
      <w:tr w:rsidR="00625139" w:rsidRPr="006645DC" w14:paraId="68C6A664" w14:textId="1A75300A" w:rsidTr="00625139">
        <w:trPr>
          <w:jc w:val="center"/>
        </w:trPr>
        <w:tc>
          <w:tcPr>
            <w:tcW w:w="312" w:type="pct"/>
            <w:shd w:val="clear" w:color="auto" w:fill="auto"/>
            <w:vAlign w:val="center"/>
          </w:tcPr>
          <w:p w14:paraId="4370BC3A" w14:textId="77777777" w:rsidR="00625139" w:rsidRPr="006645DC" w:rsidRDefault="00625139" w:rsidP="00393EB7">
            <w:pPr>
              <w:spacing w:before="0" w:after="0"/>
              <w:jc w:val="center"/>
              <w:rPr>
                <w:rFonts w:eastAsia="MS Gothic" w:cs="Calibri"/>
                <w:b/>
                <w:bCs/>
                <w:lang w:val="en-GB"/>
              </w:rPr>
            </w:pPr>
            <w:r w:rsidRPr="006645DC">
              <w:rPr>
                <w:rFonts w:eastAsia="MS Gothic" w:cs="Calibri"/>
                <w:b/>
                <w:bCs/>
                <w:lang w:val="en-GB"/>
              </w:rPr>
              <w:t>1</w:t>
            </w:r>
          </w:p>
        </w:tc>
        <w:tc>
          <w:tcPr>
            <w:tcW w:w="2203" w:type="pct"/>
            <w:shd w:val="clear" w:color="auto" w:fill="auto"/>
            <w:vAlign w:val="center"/>
          </w:tcPr>
          <w:p w14:paraId="56F1DFF9" w14:textId="77777777" w:rsidR="00625139" w:rsidRPr="006645DC" w:rsidRDefault="00625139" w:rsidP="00393EB7">
            <w:pPr>
              <w:keepNext/>
              <w:keepLines/>
              <w:spacing w:before="0" w:after="0"/>
              <w:jc w:val="left"/>
              <w:outlineLvl w:val="1"/>
              <w:rPr>
                <w:rFonts w:cs="Calibri"/>
                <w:lang w:val="en-GB"/>
              </w:rPr>
            </w:pPr>
            <w:bookmarkStart w:id="748" w:name="_Toc376198976"/>
            <w:r w:rsidRPr="006645DC">
              <w:rPr>
                <w:rFonts w:cs="Calibri"/>
                <w:lang w:val="en-GB"/>
              </w:rPr>
              <w:t>Provide market-oriented training for working-age active/non-active people in order to ensure a better insertion on the labour market and provide skills for a more diversified local economy</w:t>
            </w:r>
            <w:bookmarkEnd w:id="748"/>
          </w:p>
        </w:tc>
        <w:tc>
          <w:tcPr>
            <w:tcW w:w="498" w:type="pct"/>
            <w:shd w:val="clear" w:color="auto" w:fill="auto"/>
            <w:vAlign w:val="center"/>
          </w:tcPr>
          <w:p w14:paraId="182A4AAC" w14:textId="77777777" w:rsidR="00625139" w:rsidRPr="006645DC" w:rsidRDefault="00625139" w:rsidP="00393EB7">
            <w:pPr>
              <w:keepNext/>
              <w:keepLines/>
              <w:spacing w:before="0" w:after="0"/>
              <w:jc w:val="center"/>
              <w:outlineLvl w:val="1"/>
              <w:rPr>
                <w:rFonts w:cs="Calibri"/>
                <w:lang w:val="en-GB"/>
              </w:rPr>
            </w:pPr>
            <w:bookmarkStart w:id="749" w:name="_Toc376198977"/>
            <w:r w:rsidRPr="006645DC">
              <w:rPr>
                <w:rFonts w:cs="Calibri"/>
                <w:lang w:val="en-GB"/>
              </w:rPr>
              <w:t>+++</w:t>
            </w:r>
            <w:bookmarkEnd w:id="749"/>
          </w:p>
        </w:tc>
        <w:tc>
          <w:tcPr>
            <w:tcW w:w="498" w:type="pct"/>
            <w:shd w:val="clear" w:color="auto" w:fill="auto"/>
            <w:vAlign w:val="center"/>
          </w:tcPr>
          <w:p w14:paraId="297F5B96" w14:textId="77777777" w:rsidR="00625139" w:rsidRPr="006645DC" w:rsidRDefault="00625139" w:rsidP="00393EB7">
            <w:pPr>
              <w:keepNext/>
              <w:keepLines/>
              <w:spacing w:before="0" w:after="0"/>
              <w:jc w:val="center"/>
              <w:outlineLvl w:val="1"/>
              <w:rPr>
                <w:rFonts w:cs="Calibri"/>
                <w:lang w:val="en-GB"/>
              </w:rPr>
            </w:pPr>
            <w:bookmarkStart w:id="750" w:name="_Toc376198978"/>
            <w:r w:rsidRPr="006645DC">
              <w:rPr>
                <w:rFonts w:cs="Calibri"/>
                <w:lang w:val="en-GB"/>
              </w:rPr>
              <w:t>+++</w:t>
            </w:r>
            <w:bookmarkEnd w:id="750"/>
          </w:p>
        </w:tc>
        <w:tc>
          <w:tcPr>
            <w:tcW w:w="499" w:type="pct"/>
            <w:shd w:val="clear" w:color="auto" w:fill="auto"/>
            <w:vAlign w:val="center"/>
          </w:tcPr>
          <w:p w14:paraId="15E95EB0" w14:textId="77777777" w:rsidR="00625139" w:rsidRPr="006645DC" w:rsidRDefault="00625139" w:rsidP="00393EB7">
            <w:pPr>
              <w:keepNext/>
              <w:keepLines/>
              <w:spacing w:before="0" w:after="0"/>
              <w:jc w:val="center"/>
              <w:outlineLvl w:val="1"/>
              <w:rPr>
                <w:rFonts w:cs="Calibri"/>
                <w:b/>
                <w:lang w:val="en-GB"/>
              </w:rPr>
            </w:pPr>
            <w:bookmarkStart w:id="751" w:name="_Toc376198979"/>
            <w:r w:rsidRPr="006645DC">
              <w:rPr>
                <w:rFonts w:cs="Calibri"/>
                <w:b/>
                <w:lang w:val="en-GB"/>
              </w:rPr>
              <w:t>√</w:t>
            </w:r>
            <w:bookmarkEnd w:id="751"/>
          </w:p>
        </w:tc>
        <w:tc>
          <w:tcPr>
            <w:tcW w:w="495" w:type="pct"/>
            <w:shd w:val="clear" w:color="auto" w:fill="auto"/>
            <w:vAlign w:val="center"/>
          </w:tcPr>
          <w:p w14:paraId="34E24D92" w14:textId="7FDE1A9C" w:rsidR="00625139" w:rsidRPr="006645DC" w:rsidRDefault="00625139" w:rsidP="00393EB7">
            <w:pPr>
              <w:keepNext/>
              <w:keepLines/>
              <w:spacing w:before="0" w:after="0"/>
              <w:jc w:val="center"/>
              <w:outlineLvl w:val="1"/>
              <w:rPr>
                <w:rFonts w:cs="Calibri"/>
                <w:b/>
                <w:lang w:val="en-GB"/>
              </w:rPr>
            </w:pPr>
          </w:p>
        </w:tc>
        <w:tc>
          <w:tcPr>
            <w:tcW w:w="495" w:type="pct"/>
          </w:tcPr>
          <w:p w14:paraId="1CC09C84" w14:textId="77777777" w:rsidR="00625139" w:rsidRPr="006645DC" w:rsidRDefault="00625139" w:rsidP="00393EB7">
            <w:pPr>
              <w:keepNext/>
              <w:keepLines/>
              <w:spacing w:before="0" w:after="0"/>
              <w:jc w:val="center"/>
              <w:outlineLvl w:val="1"/>
              <w:rPr>
                <w:rFonts w:cs="Calibri"/>
                <w:b/>
                <w:lang w:val="en-GB"/>
              </w:rPr>
            </w:pPr>
          </w:p>
        </w:tc>
      </w:tr>
      <w:tr w:rsidR="00625139" w:rsidRPr="006645DC" w14:paraId="763F8771" w14:textId="772FE37A" w:rsidTr="00625139">
        <w:trPr>
          <w:jc w:val="center"/>
        </w:trPr>
        <w:tc>
          <w:tcPr>
            <w:tcW w:w="312" w:type="pct"/>
            <w:shd w:val="clear" w:color="auto" w:fill="auto"/>
            <w:vAlign w:val="center"/>
          </w:tcPr>
          <w:p w14:paraId="27EA27B1" w14:textId="77777777" w:rsidR="00625139" w:rsidRPr="006645DC" w:rsidRDefault="00625139" w:rsidP="00393EB7">
            <w:pPr>
              <w:keepNext/>
              <w:keepLines/>
              <w:spacing w:before="0" w:after="0"/>
              <w:jc w:val="center"/>
              <w:outlineLvl w:val="1"/>
              <w:rPr>
                <w:rFonts w:eastAsia="MS Gothic" w:cs="Calibri"/>
                <w:b/>
                <w:bCs/>
                <w:lang w:val="en-GB"/>
              </w:rPr>
            </w:pPr>
            <w:bookmarkStart w:id="752" w:name="_Toc376198981"/>
            <w:r w:rsidRPr="006645DC">
              <w:rPr>
                <w:rFonts w:eastAsia="MS Gothic" w:cs="Calibri"/>
                <w:b/>
                <w:bCs/>
                <w:lang w:val="en-GB"/>
              </w:rPr>
              <w:t>2</w:t>
            </w:r>
            <w:bookmarkEnd w:id="752"/>
          </w:p>
        </w:tc>
        <w:tc>
          <w:tcPr>
            <w:tcW w:w="2203" w:type="pct"/>
            <w:shd w:val="clear" w:color="auto" w:fill="auto"/>
            <w:vAlign w:val="center"/>
          </w:tcPr>
          <w:p w14:paraId="5D017137" w14:textId="77777777" w:rsidR="00625139" w:rsidRPr="006645DC" w:rsidRDefault="00625139" w:rsidP="00393EB7">
            <w:pPr>
              <w:keepNext/>
              <w:keepLines/>
              <w:spacing w:before="0" w:after="0"/>
              <w:jc w:val="left"/>
              <w:outlineLvl w:val="1"/>
              <w:rPr>
                <w:rFonts w:cs="Calibri"/>
                <w:lang w:val="en-GB"/>
              </w:rPr>
            </w:pPr>
            <w:bookmarkStart w:id="753" w:name="_Toc376198982"/>
            <w:r w:rsidRPr="006645DC">
              <w:rPr>
                <w:rFonts w:cs="Calibri"/>
                <w:lang w:val="en-GB"/>
              </w:rPr>
              <w:t>Foster social economy through trainings and pilot projects in order to develop social enterprise models that are relevant to local conditions in the cross-border area</w:t>
            </w:r>
            <w:bookmarkEnd w:id="753"/>
          </w:p>
        </w:tc>
        <w:tc>
          <w:tcPr>
            <w:tcW w:w="498" w:type="pct"/>
            <w:shd w:val="clear" w:color="auto" w:fill="auto"/>
            <w:vAlign w:val="center"/>
          </w:tcPr>
          <w:p w14:paraId="1B612280" w14:textId="77777777" w:rsidR="00625139" w:rsidRPr="006645DC" w:rsidRDefault="00625139" w:rsidP="00393EB7">
            <w:pPr>
              <w:keepNext/>
              <w:keepLines/>
              <w:spacing w:before="0" w:after="0"/>
              <w:jc w:val="center"/>
              <w:outlineLvl w:val="1"/>
              <w:rPr>
                <w:rFonts w:cs="Calibri"/>
                <w:lang w:val="en-GB"/>
              </w:rPr>
            </w:pPr>
            <w:bookmarkStart w:id="754" w:name="_Toc376198983"/>
            <w:r w:rsidRPr="006645DC">
              <w:rPr>
                <w:rFonts w:cs="Calibri"/>
                <w:lang w:val="en-GB"/>
              </w:rPr>
              <w:t>++</w:t>
            </w:r>
            <w:bookmarkEnd w:id="754"/>
          </w:p>
        </w:tc>
        <w:tc>
          <w:tcPr>
            <w:tcW w:w="498" w:type="pct"/>
            <w:shd w:val="clear" w:color="auto" w:fill="auto"/>
            <w:vAlign w:val="center"/>
          </w:tcPr>
          <w:p w14:paraId="787541F8" w14:textId="77777777" w:rsidR="00625139" w:rsidRPr="006645DC" w:rsidRDefault="00625139" w:rsidP="00393EB7">
            <w:pPr>
              <w:keepNext/>
              <w:keepLines/>
              <w:spacing w:before="0" w:after="0"/>
              <w:jc w:val="center"/>
              <w:outlineLvl w:val="1"/>
              <w:rPr>
                <w:rFonts w:cs="Calibri"/>
                <w:lang w:val="en-GB"/>
              </w:rPr>
            </w:pPr>
            <w:bookmarkStart w:id="755" w:name="_Toc376198984"/>
            <w:r w:rsidRPr="006645DC">
              <w:rPr>
                <w:rFonts w:cs="Calibri"/>
                <w:lang w:val="en-GB"/>
              </w:rPr>
              <w:t>+++</w:t>
            </w:r>
            <w:bookmarkEnd w:id="755"/>
          </w:p>
        </w:tc>
        <w:tc>
          <w:tcPr>
            <w:tcW w:w="499" w:type="pct"/>
            <w:shd w:val="clear" w:color="auto" w:fill="auto"/>
            <w:vAlign w:val="center"/>
          </w:tcPr>
          <w:p w14:paraId="4570AD25" w14:textId="77777777" w:rsidR="00625139" w:rsidRPr="006645DC" w:rsidRDefault="00625139" w:rsidP="00393EB7">
            <w:pPr>
              <w:keepNext/>
              <w:keepLines/>
              <w:spacing w:before="0" w:after="0"/>
              <w:jc w:val="center"/>
              <w:outlineLvl w:val="1"/>
              <w:rPr>
                <w:rFonts w:cs="Calibri"/>
                <w:b/>
                <w:lang w:val="en-GB"/>
              </w:rPr>
            </w:pPr>
            <w:bookmarkStart w:id="756" w:name="_Toc376198985"/>
            <w:r w:rsidRPr="006645DC">
              <w:rPr>
                <w:rFonts w:cs="Calibri"/>
                <w:b/>
                <w:lang w:val="en-GB"/>
              </w:rPr>
              <w:t>√</w:t>
            </w:r>
            <w:bookmarkEnd w:id="756"/>
          </w:p>
        </w:tc>
        <w:tc>
          <w:tcPr>
            <w:tcW w:w="495" w:type="pct"/>
            <w:shd w:val="clear" w:color="auto" w:fill="auto"/>
            <w:vAlign w:val="center"/>
          </w:tcPr>
          <w:p w14:paraId="0EAF4D92" w14:textId="77777777" w:rsidR="00625139" w:rsidRPr="006645DC" w:rsidRDefault="00625139" w:rsidP="00393EB7">
            <w:pPr>
              <w:keepNext/>
              <w:keepLines/>
              <w:spacing w:before="0" w:after="0"/>
              <w:jc w:val="center"/>
              <w:outlineLvl w:val="1"/>
              <w:rPr>
                <w:rFonts w:cs="Calibri"/>
                <w:b/>
                <w:lang w:val="en-GB"/>
              </w:rPr>
            </w:pPr>
            <w:bookmarkStart w:id="757" w:name="_Toc376198986"/>
            <w:r w:rsidRPr="006645DC">
              <w:rPr>
                <w:rFonts w:cs="Calibri"/>
                <w:b/>
                <w:lang w:val="en-GB"/>
              </w:rPr>
              <w:t>√</w:t>
            </w:r>
            <w:bookmarkEnd w:id="757"/>
          </w:p>
        </w:tc>
        <w:tc>
          <w:tcPr>
            <w:tcW w:w="495" w:type="pct"/>
            <w:vAlign w:val="center"/>
          </w:tcPr>
          <w:p w14:paraId="0336B94F" w14:textId="7201560D" w:rsidR="00625139" w:rsidRPr="006645DC" w:rsidRDefault="00625139" w:rsidP="00625139">
            <w:pPr>
              <w:keepNext/>
              <w:keepLines/>
              <w:spacing w:before="0" w:after="0"/>
              <w:jc w:val="center"/>
              <w:outlineLvl w:val="1"/>
              <w:rPr>
                <w:rFonts w:cs="Calibri"/>
                <w:b/>
                <w:lang w:val="en-GB"/>
              </w:rPr>
            </w:pPr>
            <w:r w:rsidRPr="00625139">
              <w:rPr>
                <w:rFonts w:cs="Calibri"/>
                <w:b/>
                <w:lang w:val="en-GB"/>
              </w:rPr>
              <w:t>√</w:t>
            </w:r>
          </w:p>
        </w:tc>
      </w:tr>
      <w:tr w:rsidR="00625139" w:rsidRPr="006645DC" w14:paraId="1EE3E8BE" w14:textId="095C862A" w:rsidTr="00625139">
        <w:trPr>
          <w:jc w:val="center"/>
        </w:trPr>
        <w:tc>
          <w:tcPr>
            <w:tcW w:w="312" w:type="pct"/>
            <w:shd w:val="clear" w:color="auto" w:fill="auto"/>
            <w:vAlign w:val="center"/>
          </w:tcPr>
          <w:p w14:paraId="7E3BFD19" w14:textId="77777777" w:rsidR="00625139" w:rsidRPr="006645DC" w:rsidRDefault="00625139" w:rsidP="00393EB7">
            <w:pPr>
              <w:keepNext/>
              <w:keepLines/>
              <w:spacing w:before="0" w:after="0"/>
              <w:jc w:val="center"/>
              <w:outlineLvl w:val="1"/>
              <w:rPr>
                <w:rFonts w:eastAsia="MS Gothic" w:cs="Calibri"/>
                <w:b/>
                <w:bCs/>
                <w:lang w:val="en-GB"/>
              </w:rPr>
            </w:pPr>
            <w:bookmarkStart w:id="758" w:name="_Toc376198987"/>
            <w:r w:rsidRPr="006645DC">
              <w:rPr>
                <w:rFonts w:eastAsia="MS Gothic" w:cs="Calibri"/>
                <w:b/>
                <w:bCs/>
                <w:lang w:val="en-GB"/>
              </w:rPr>
              <w:t>3</w:t>
            </w:r>
            <w:bookmarkEnd w:id="758"/>
          </w:p>
        </w:tc>
        <w:tc>
          <w:tcPr>
            <w:tcW w:w="2203" w:type="pct"/>
            <w:shd w:val="clear" w:color="auto" w:fill="auto"/>
            <w:vAlign w:val="center"/>
          </w:tcPr>
          <w:p w14:paraId="5E699C72" w14:textId="77777777" w:rsidR="00625139" w:rsidRPr="006645DC" w:rsidRDefault="00625139" w:rsidP="002E1E36">
            <w:pPr>
              <w:keepNext/>
              <w:keepLines/>
              <w:spacing w:before="0" w:after="0"/>
              <w:jc w:val="left"/>
              <w:outlineLvl w:val="1"/>
              <w:rPr>
                <w:rFonts w:cs="Calibri"/>
                <w:lang w:val="en-GB"/>
              </w:rPr>
            </w:pPr>
            <w:bookmarkStart w:id="759" w:name="_Toc376198988"/>
            <w:r w:rsidRPr="006645DC">
              <w:rPr>
                <w:rFonts w:cs="Calibri"/>
                <w:lang w:val="en-GB"/>
              </w:rPr>
              <w:t>Foster the adoption and adaptation of best-practices from other depopulating EU areas concerning the provision of public services : healthcare, education, local transport</w:t>
            </w:r>
            <w:bookmarkEnd w:id="759"/>
          </w:p>
        </w:tc>
        <w:tc>
          <w:tcPr>
            <w:tcW w:w="498" w:type="pct"/>
            <w:shd w:val="clear" w:color="auto" w:fill="auto"/>
            <w:vAlign w:val="center"/>
          </w:tcPr>
          <w:p w14:paraId="14A39EB4" w14:textId="77777777" w:rsidR="00625139" w:rsidRPr="006645DC" w:rsidRDefault="00625139" w:rsidP="00393EB7">
            <w:pPr>
              <w:keepNext/>
              <w:keepLines/>
              <w:spacing w:before="0" w:after="0"/>
              <w:jc w:val="center"/>
              <w:outlineLvl w:val="1"/>
              <w:rPr>
                <w:rFonts w:cs="Calibri"/>
                <w:lang w:val="en-GB"/>
              </w:rPr>
            </w:pPr>
            <w:bookmarkStart w:id="760" w:name="_Toc376198989"/>
            <w:r w:rsidRPr="006645DC">
              <w:rPr>
                <w:rFonts w:cs="Calibri"/>
                <w:lang w:val="en-GB"/>
              </w:rPr>
              <w:t>+++</w:t>
            </w:r>
            <w:bookmarkEnd w:id="760"/>
          </w:p>
        </w:tc>
        <w:tc>
          <w:tcPr>
            <w:tcW w:w="498" w:type="pct"/>
            <w:shd w:val="clear" w:color="auto" w:fill="auto"/>
            <w:vAlign w:val="center"/>
          </w:tcPr>
          <w:p w14:paraId="640C1856" w14:textId="77777777" w:rsidR="00625139" w:rsidRPr="006645DC" w:rsidRDefault="00625139" w:rsidP="00393EB7">
            <w:pPr>
              <w:keepNext/>
              <w:keepLines/>
              <w:spacing w:before="0" w:after="0"/>
              <w:jc w:val="center"/>
              <w:outlineLvl w:val="1"/>
              <w:rPr>
                <w:rFonts w:cs="Calibri"/>
                <w:lang w:val="en-GB"/>
              </w:rPr>
            </w:pPr>
            <w:bookmarkStart w:id="761" w:name="_Toc376198990"/>
            <w:r w:rsidRPr="006645DC">
              <w:rPr>
                <w:rFonts w:cs="Calibri"/>
                <w:lang w:val="en-GB"/>
              </w:rPr>
              <w:t>+++</w:t>
            </w:r>
            <w:bookmarkEnd w:id="761"/>
          </w:p>
        </w:tc>
        <w:tc>
          <w:tcPr>
            <w:tcW w:w="499" w:type="pct"/>
            <w:shd w:val="clear" w:color="auto" w:fill="auto"/>
            <w:vAlign w:val="center"/>
          </w:tcPr>
          <w:p w14:paraId="3F0E76E1" w14:textId="77777777" w:rsidR="00625139" w:rsidRPr="006645DC" w:rsidRDefault="00625139" w:rsidP="00393EB7">
            <w:pPr>
              <w:spacing w:before="0" w:after="0"/>
              <w:jc w:val="center"/>
              <w:rPr>
                <w:rFonts w:cs="Calibri"/>
                <w:b/>
                <w:lang w:val="en-GB"/>
              </w:rPr>
            </w:pPr>
          </w:p>
        </w:tc>
        <w:tc>
          <w:tcPr>
            <w:tcW w:w="495" w:type="pct"/>
            <w:shd w:val="clear" w:color="auto" w:fill="auto"/>
            <w:vAlign w:val="center"/>
          </w:tcPr>
          <w:p w14:paraId="28F37533" w14:textId="04C0C069" w:rsidR="00625139" w:rsidRPr="006645DC" w:rsidRDefault="00625139" w:rsidP="00393EB7">
            <w:pPr>
              <w:keepNext/>
              <w:keepLines/>
              <w:spacing w:before="0" w:after="0"/>
              <w:jc w:val="center"/>
              <w:outlineLvl w:val="1"/>
              <w:rPr>
                <w:rFonts w:cs="Calibri"/>
                <w:b/>
                <w:lang w:val="en-GB"/>
              </w:rPr>
            </w:pPr>
            <w:r w:rsidRPr="00625139">
              <w:rPr>
                <w:rFonts w:cs="Calibri"/>
                <w:b/>
                <w:lang w:val="en-GB"/>
              </w:rPr>
              <w:t>√</w:t>
            </w:r>
          </w:p>
        </w:tc>
        <w:tc>
          <w:tcPr>
            <w:tcW w:w="495" w:type="pct"/>
            <w:vAlign w:val="center"/>
          </w:tcPr>
          <w:p w14:paraId="3D93BF64" w14:textId="32B7C478" w:rsidR="00625139" w:rsidRPr="006645DC" w:rsidRDefault="00625139" w:rsidP="00625139">
            <w:pPr>
              <w:keepNext/>
              <w:keepLines/>
              <w:spacing w:before="0" w:after="0"/>
              <w:jc w:val="center"/>
              <w:outlineLvl w:val="1"/>
              <w:rPr>
                <w:rFonts w:cs="Calibri"/>
                <w:b/>
                <w:lang w:val="en-GB"/>
              </w:rPr>
            </w:pPr>
            <w:r w:rsidRPr="00625139">
              <w:rPr>
                <w:rFonts w:cs="Calibri"/>
                <w:b/>
                <w:lang w:val="en-GB"/>
              </w:rPr>
              <w:t>√</w:t>
            </w:r>
          </w:p>
        </w:tc>
      </w:tr>
      <w:tr w:rsidR="00625139" w:rsidRPr="006645DC" w14:paraId="6EF42369" w14:textId="040EF743" w:rsidTr="00625139">
        <w:trPr>
          <w:trHeight w:val="727"/>
          <w:jc w:val="center"/>
        </w:trPr>
        <w:tc>
          <w:tcPr>
            <w:tcW w:w="312" w:type="pct"/>
            <w:shd w:val="clear" w:color="auto" w:fill="auto"/>
            <w:vAlign w:val="center"/>
          </w:tcPr>
          <w:p w14:paraId="286471E1" w14:textId="77777777" w:rsidR="00625139" w:rsidRPr="006645DC" w:rsidRDefault="00625139" w:rsidP="00393EB7">
            <w:pPr>
              <w:keepNext/>
              <w:keepLines/>
              <w:spacing w:before="0" w:after="0"/>
              <w:jc w:val="center"/>
              <w:outlineLvl w:val="1"/>
              <w:rPr>
                <w:rFonts w:eastAsia="MS Gothic" w:cs="Calibri"/>
                <w:b/>
                <w:bCs/>
                <w:lang w:val="en-GB"/>
              </w:rPr>
            </w:pPr>
            <w:bookmarkStart w:id="762" w:name="_Toc376198992"/>
            <w:r w:rsidRPr="006645DC">
              <w:rPr>
                <w:rFonts w:eastAsia="MS Gothic" w:cs="Calibri"/>
                <w:b/>
                <w:bCs/>
                <w:lang w:val="en-GB"/>
              </w:rPr>
              <w:t>4</w:t>
            </w:r>
            <w:bookmarkEnd w:id="762"/>
          </w:p>
        </w:tc>
        <w:tc>
          <w:tcPr>
            <w:tcW w:w="2203" w:type="pct"/>
            <w:shd w:val="clear" w:color="auto" w:fill="auto"/>
            <w:vAlign w:val="center"/>
          </w:tcPr>
          <w:p w14:paraId="307188B3" w14:textId="77777777" w:rsidR="00625139" w:rsidRPr="006645DC" w:rsidRDefault="00625139" w:rsidP="00393EB7">
            <w:pPr>
              <w:keepNext/>
              <w:keepLines/>
              <w:spacing w:before="0" w:after="0"/>
              <w:jc w:val="left"/>
              <w:outlineLvl w:val="1"/>
              <w:rPr>
                <w:rFonts w:cs="Calibri"/>
                <w:lang w:val="en-GB"/>
              </w:rPr>
            </w:pPr>
            <w:bookmarkStart w:id="763" w:name="_Toc376198993"/>
            <w:r w:rsidRPr="006645DC">
              <w:rPr>
                <w:rFonts w:cs="Calibri"/>
                <w:lang w:val="en-GB"/>
              </w:rPr>
              <w:t>Provide information and training for active ageing and prevalent chronic diseases, adapted to the local lifestyle and conditions</w:t>
            </w:r>
            <w:bookmarkEnd w:id="763"/>
          </w:p>
        </w:tc>
        <w:tc>
          <w:tcPr>
            <w:tcW w:w="498" w:type="pct"/>
            <w:shd w:val="clear" w:color="auto" w:fill="auto"/>
            <w:vAlign w:val="center"/>
          </w:tcPr>
          <w:p w14:paraId="0E960B34" w14:textId="77777777" w:rsidR="00625139" w:rsidRPr="006645DC" w:rsidRDefault="00625139" w:rsidP="00393EB7">
            <w:pPr>
              <w:keepNext/>
              <w:keepLines/>
              <w:spacing w:before="0" w:after="0"/>
              <w:jc w:val="center"/>
              <w:outlineLvl w:val="1"/>
              <w:rPr>
                <w:rFonts w:cs="Calibri"/>
                <w:lang w:val="en-GB"/>
              </w:rPr>
            </w:pPr>
            <w:bookmarkStart w:id="764" w:name="_Toc376198994"/>
            <w:r w:rsidRPr="006645DC">
              <w:rPr>
                <w:rFonts w:cs="Calibri"/>
                <w:lang w:val="en-GB"/>
              </w:rPr>
              <w:t>+</w:t>
            </w:r>
            <w:bookmarkEnd w:id="764"/>
          </w:p>
        </w:tc>
        <w:tc>
          <w:tcPr>
            <w:tcW w:w="498" w:type="pct"/>
            <w:shd w:val="clear" w:color="auto" w:fill="auto"/>
            <w:vAlign w:val="center"/>
          </w:tcPr>
          <w:p w14:paraId="2D388B01" w14:textId="77777777" w:rsidR="00625139" w:rsidRPr="006645DC" w:rsidRDefault="00625139" w:rsidP="00393EB7">
            <w:pPr>
              <w:keepNext/>
              <w:keepLines/>
              <w:spacing w:before="0" w:after="0"/>
              <w:jc w:val="center"/>
              <w:outlineLvl w:val="1"/>
              <w:rPr>
                <w:rFonts w:cs="Calibri"/>
                <w:lang w:val="en-GB"/>
              </w:rPr>
            </w:pPr>
            <w:bookmarkStart w:id="765" w:name="_Toc376198995"/>
            <w:r w:rsidRPr="006645DC">
              <w:rPr>
                <w:rFonts w:cs="Calibri"/>
                <w:lang w:val="en-GB"/>
              </w:rPr>
              <w:t>+</w:t>
            </w:r>
            <w:bookmarkEnd w:id="765"/>
          </w:p>
        </w:tc>
        <w:tc>
          <w:tcPr>
            <w:tcW w:w="499" w:type="pct"/>
            <w:shd w:val="clear" w:color="auto" w:fill="auto"/>
            <w:vAlign w:val="center"/>
          </w:tcPr>
          <w:p w14:paraId="6D397948" w14:textId="77777777" w:rsidR="00625139" w:rsidRPr="006645DC" w:rsidRDefault="00625139" w:rsidP="00393EB7">
            <w:pPr>
              <w:spacing w:before="0" w:after="0"/>
              <w:jc w:val="center"/>
              <w:rPr>
                <w:rFonts w:cs="Calibri"/>
                <w:b/>
                <w:lang w:val="en-GB"/>
              </w:rPr>
            </w:pPr>
          </w:p>
        </w:tc>
        <w:tc>
          <w:tcPr>
            <w:tcW w:w="495" w:type="pct"/>
            <w:shd w:val="clear" w:color="auto" w:fill="auto"/>
            <w:vAlign w:val="center"/>
          </w:tcPr>
          <w:p w14:paraId="50EEA9C7" w14:textId="77777777" w:rsidR="00625139" w:rsidRPr="006645DC" w:rsidRDefault="00625139" w:rsidP="00393EB7">
            <w:pPr>
              <w:keepNext/>
              <w:keepLines/>
              <w:spacing w:before="0" w:after="0"/>
              <w:jc w:val="center"/>
              <w:outlineLvl w:val="1"/>
              <w:rPr>
                <w:rFonts w:cs="Calibri"/>
                <w:b/>
                <w:lang w:val="en-GB"/>
              </w:rPr>
            </w:pPr>
            <w:bookmarkStart w:id="766" w:name="_Toc376198996"/>
            <w:r w:rsidRPr="006645DC">
              <w:rPr>
                <w:rFonts w:cs="Calibri"/>
                <w:b/>
                <w:lang w:val="en-GB"/>
              </w:rPr>
              <w:t>√</w:t>
            </w:r>
            <w:bookmarkEnd w:id="766"/>
          </w:p>
        </w:tc>
        <w:tc>
          <w:tcPr>
            <w:tcW w:w="495" w:type="pct"/>
          </w:tcPr>
          <w:p w14:paraId="4D307DC3" w14:textId="77777777" w:rsidR="00625139" w:rsidRPr="006645DC" w:rsidRDefault="00625139" w:rsidP="00393EB7">
            <w:pPr>
              <w:keepNext/>
              <w:keepLines/>
              <w:spacing w:before="0" w:after="0"/>
              <w:jc w:val="center"/>
              <w:outlineLvl w:val="1"/>
              <w:rPr>
                <w:rFonts w:cs="Calibri"/>
                <w:b/>
                <w:lang w:val="en-GB"/>
              </w:rPr>
            </w:pPr>
          </w:p>
        </w:tc>
      </w:tr>
      <w:tr w:rsidR="00625139" w:rsidRPr="006645DC" w14:paraId="63FC6A3E" w14:textId="612C02C1" w:rsidTr="00625139">
        <w:trPr>
          <w:jc w:val="center"/>
        </w:trPr>
        <w:tc>
          <w:tcPr>
            <w:tcW w:w="312" w:type="pct"/>
            <w:shd w:val="clear" w:color="auto" w:fill="auto"/>
            <w:vAlign w:val="center"/>
          </w:tcPr>
          <w:p w14:paraId="26FF7778" w14:textId="77777777" w:rsidR="00625139" w:rsidRPr="006645DC" w:rsidRDefault="00625139" w:rsidP="00393EB7">
            <w:pPr>
              <w:keepNext/>
              <w:keepLines/>
              <w:spacing w:before="0" w:after="0"/>
              <w:jc w:val="center"/>
              <w:outlineLvl w:val="1"/>
              <w:rPr>
                <w:rFonts w:eastAsia="MS Gothic" w:cs="Calibri"/>
                <w:b/>
                <w:bCs/>
                <w:lang w:val="en-GB"/>
              </w:rPr>
            </w:pPr>
            <w:bookmarkStart w:id="767" w:name="_Toc376198997"/>
            <w:r w:rsidRPr="006645DC">
              <w:rPr>
                <w:rFonts w:eastAsia="MS Gothic" w:cs="Calibri"/>
                <w:b/>
                <w:bCs/>
                <w:lang w:val="en-GB"/>
              </w:rPr>
              <w:t>5</w:t>
            </w:r>
            <w:bookmarkEnd w:id="767"/>
          </w:p>
        </w:tc>
        <w:tc>
          <w:tcPr>
            <w:tcW w:w="2203" w:type="pct"/>
            <w:shd w:val="clear" w:color="auto" w:fill="auto"/>
            <w:vAlign w:val="center"/>
          </w:tcPr>
          <w:p w14:paraId="3197080B" w14:textId="77777777" w:rsidR="00625139" w:rsidRPr="006645DC" w:rsidRDefault="00625139" w:rsidP="00393EB7">
            <w:pPr>
              <w:keepNext/>
              <w:keepLines/>
              <w:spacing w:before="0" w:after="0"/>
              <w:jc w:val="left"/>
              <w:outlineLvl w:val="1"/>
              <w:rPr>
                <w:rFonts w:cs="Calibri"/>
                <w:lang w:val="en-GB"/>
              </w:rPr>
            </w:pPr>
            <w:bookmarkStart w:id="768" w:name="_Toc376198998"/>
            <w:r w:rsidRPr="006645DC">
              <w:rPr>
                <w:rFonts w:cs="Calibri"/>
                <w:lang w:val="en-GB"/>
              </w:rPr>
              <w:t>Promoting social inclusion measures for minorities</w:t>
            </w:r>
            <w:bookmarkEnd w:id="768"/>
            <w:r w:rsidRPr="006645DC">
              <w:rPr>
                <w:rFonts w:cs="Calibri"/>
                <w:lang w:val="en-GB"/>
              </w:rPr>
              <w:t>, including strategies and measure for better integration in the labour market.</w:t>
            </w:r>
          </w:p>
        </w:tc>
        <w:tc>
          <w:tcPr>
            <w:tcW w:w="498" w:type="pct"/>
            <w:shd w:val="clear" w:color="auto" w:fill="auto"/>
            <w:vAlign w:val="center"/>
          </w:tcPr>
          <w:p w14:paraId="0A1C527C" w14:textId="77777777" w:rsidR="00625139" w:rsidRPr="006645DC" w:rsidRDefault="00625139" w:rsidP="00393EB7">
            <w:pPr>
              <w:keepNext/>
              <w:keepLines/>
              <w:spacing w:before="0" w:after="0"/>
              <w:jc w:val="center"/>
              <w:outlineLvl w:val="1"/>
              <w:rPr>
                <w:rFonts w:cs="Calibri"/>
                <w:lang w:val="en-GB"/>
              </w:rPr>
            </w:pPr>
            <w:bookmarkStart w:id="769" w:name="_Toc376198999"/>
            <w:r w:rsidRPr="006645DC">
              <w:rPr>
                <w:rFonts w:cs="Calibri"/>
                <w:lang w:val="en-GB"/>
              </w:rPr>
              <w:t>+++</w:t>
            </w:r>
            <w:bookmarkEnd w:id="769"/>
          </w:p>
        </w:tc>
        <w:tc>
          <w:tcPr>
            <w:tcW w:w="498" w:type="pct"/>
            <w:shd w:val="clear" w:color="auto" w:fill="auto"/>
            <w:vAlign w:val="center"/>
          </w:tcPr>
          <w:p w14:paraId="7B951345" w14:textId="77777777" w:rsidR="00625139" w:rsidRPr="006645DC" w:rsidRDefault="00625139" w:rsidP="00393EB7">
            <w:pPr>
              <w:keepNext/>
              <w:keepLines/>
              <w:spacing w:before="0" w:after="0"/>
              <w:jc w:val="center"/>
              <w:outlineLvl w:val="1"/>
              <w:rPr>
                <w:rFonts w:cs="Calibri"/>
                <w:lang w:val="en-GB"/>
              </w:rPr>
            </w:pPr>
            <w:bookmarkStart w:id="770" w:name="_Toc376199000"/>
            <w:r w:rsidRPr="006645DC">
              <w:rPr>
                <w:rFonts w:cs="Calibri"/>
                <w:lang w:val="en-GB"/>
              </w:rPr>
              <w:t>+++</w:t>
            </w:r>
            <w:bookmarkEnd w:id="770"/>
          </w:p>
        </w:tc>
        <w:tc>
          <w:tcPr>
            <w:tcW w:w="499" w:type="pct"/>
            <w:shd w:val="clear" w:color="auto" w:fill="auto"/>
            <w:vAlign w:val="center"/>
          </w:tcPr>
          <w:p w14:paraId="21112F0F" w14:textId="77777777" w:rsidR="00625139" w:rsidRPr="006645DC" w:rsidRDefault="00625139" w:rsidP="00393EB7">
            <w:pPr>
              <w:spacing w:before="0" w:after="0"/>
              <w:jc w:val="center"/>
              <w:rPr>
                <w:rFonts w:cs="Calibri"/>
                <w:b/>
                <w:lang w:val="en-GB"/>
              </w:rPr>
            </w:pPr>
            <w:r w:rsidRPr="006645DC">
              <w:rPr>
                <w:rFonts w:cs="Calibri"/>
                <w:b/>
                <w:lang w:val="en-GB"/>
              </w:rPr>
              <w:t>√</w:t>
            </w:r>
          </w:p>
        </w:tc>
        <w:tc>
          <w:tcPr>
            <w:tcW w:w="495" w:type="pct"/>
            <w:shd w:val="clear" w:color="auto" w:fill="auto"/>
            <w:vAlign w:val="center"/>
          </w:tcPr>
          <w:p w14:paraId="2B4728FE" w14:textId="77777777" w:rsidR="00625139" w:rsidRPr="006645DC" w:rsidRDefault="00625139" w:rsidP="00393EB7">
            <w:pPr>
              <w:keepNext/>
              <w:keepLines/>
              <w:spacing w:before="0" w:after="0"/>
              <w:jc w:val="center"/>
              <w:outlineLvl w:val="1"/>
              <w:rPr>
                <w:rFonts w:cs="Calibri"/>
                <w:b/>
                <w:lang w:val="en-GB"/>
              </w:rPr>
            </w:pPr>
            <w:bookmarkStart w:id="771" w:name="_Toc376199001"/>
            <w:r w:rsidRPr="006645DC">
              <w:rPr>
                <w:rFonts w:cs="Calibri"/>
                <w:b/>
                <w:lang w:val="en-GB"/>
              </w:rPr>
              <w:t>√</w:t>
            </w:r>
            <w:bookmarkEnd w:id="771"/>
          </w:p>
        </w:tc>
        <w:tc>
          <w:tcPr>
            <w:tcW w:w="495" w:type="pct"/>
            <w:vAlign w:val="center"/>
          </w:tcPr>
          <w:p w14:paraId="70728D10" w14:textId="669B5B48" w:rsidR="00625139" w:rsidRPr="006645DC" w:rsidRDefault="00625139" w:rsidP="00625139">
            <w:pPr>
              <w:keepNext/>
              <w:keepLines/>
              <w:spacing w:before="0" w:after="0"/>
              <w:jc w:val="center"/>
              <w:outlineLvl w:val="1"/>
              <w:rPr>
                <w:rFonts w:cs="Calibri"/>
                <w:b/>
                <w:lang w:val="en-GB"/>
              </w:rPr>
            </w:pPr>
            <w:bookmarkStart w:id="772" w:name="_Toc376198991"/>
            <w:r w:rsidRPr="00625139">
              <w:rPr>
                <w:rFonts w:cs="Calibri"/>
                <w:b/>
                <w:lang w:val="en-GB"/>
              </w:rPr>
              <w:t>√</w:t>
            </w:r>
            <w:bookmarkEnd w:id="772"/>
          </w:p>
        </w:tc>
      </w:tr>
      <w:tr w:rsidR="00625139" w:rsidRPr="006645DC" w14:paraId="5EEE8FDB" w14:textId="45608A65" w:rsidTr="00625139">
        <w:trPr>
          <w:jc w:val="center"/>
        </w:trPr>
        <w:tc>
          <w:tcPr>
            <w:tcW w:w="312" w:type="pct"/>
            <w:shd w:val="clear" w:color="auto" w:fill="auto"/>
            <w:vAlign w:val="center"/>
          </w:tcPr>
          <w:p w14:paraId="6584C1C9" w14:textId="77777777" w:rsidR="00625139" w:rsidRPr="006645DC" w:rsidRDefault="00625139" w:rsidP="00393EB7">
            <w:pPr>
              <w:keepNext/>
              <w:keepLines/>
              <w:spacing w:before="0" w:after="0"/>
              <w:jc w:val="center"/>
              <w:outlineLvl w:val="1"/>
              <w:rPr>
                <w:rFonts w:eastAsia="MS Gothic" w:cs="Calibri"/>
                <w:b/>
                <w:bCs/>
                <w:lang w:val="en-GB"/>
              </w:rPr>
            </w:pPr>
            <w:bookmarkStart w:id="773" w:name="_Toc376199002"/>
            <w:r w:rsidRPr="006645DC">
              <w:rPr>
                <w:rFonts w:eastAsia="MS Gothic" w:cs="Calibri"/>
                <w:b/>
                <w:bCs/>
                <w:lang w:val="en-GB"/>
              </w:rPr>
              <w:t>6</w:t>
            </w:r>
            <w:bookmarkEnd w:id="773"/>
          </w:p>
        </w:tc>
        <w:tc>
          <w:tcPr>
            <w:tcW w:w="2203" w:type="pct"/>
            <w:shd w:val="clear" w:color="auto" w:fill="auto"/>
            <w:vAlign w:val="center"/>
          </w:tcPr>
          <w:p w14:paraId="310B2020" w14:textId="2EAB6212" w:rsidR="00625139" w:rsidRPr="006645DC" w:rsidRDefault="00625139" w:rsidP="00393EB7">
            <w:pPr>
              <w:keepNext/>
              <w:keepLines/>
              <w:spacing w:before="0" w:after="0"/>
              <w:jc w:val="left"/>
              <w:outlineLvl w:val="1"/>
              <w:rPr>
                <w:rFonts w:cs="Calibri"/>
                <w:lang w:val="en-GB"/>
              </w:rPr>
            </w:pPr>
            <w:bookmarkStart w:id="774" w:name="_Toc376199003"/>
            <w:r w:rsidRPr="006645DC">
              <w:rPr>
                <w:rFonts w:cs="Calibri"/>
                <w:lang w:val="en-GB"/>
              </w:rPr>
              <w:t>Promoting creation and retention of quality jobs (including local business incubators) and opportunities for young people, qualified workforce and people with higher education to address the brain drain issue</w:t>
            </w:r>
            <w:bookmarkEnd w:id="774"/>
          </w:p>
        </w:tc>
        <w:tc>
          <w:tcPr>
            <w:tcW w:w="498" w:type="pct"/>
            <w:shd w:val="clear" w:color="auto" w:fill="auto"/>
            <w:vAlign w:val="center"/>
          </w:tcPr>
          <w:p w14:paraId="12DC38E1" w14:textId="77777777" w:rsidR="00625139" w:rsidRPr="006645DC" w:rsidRDefault="00625139" w:rsidP="00393EB7">
            <w:pPr>
              <w:keepNext/>
              <w:keepLines/>
              <w:spacing w:before="0" w:after="0"/>
              <w:jc w:val="center"/>
              <w:outlineLvl w:val="1"/>
              <w:rPr>
                <w:rFonts w:cs="Calibri"/>
                <w:lang w:val="en-GB"/>
              </w:rPr>
            </w:pPr>
            <w:bookmarkStart w:id="775" w:name="_Toc376199004"/>
            <w:r w:rsidRPr="006645DC">
              <w:rPr>
                <w:rFonts w:cs="Calibri"/>
                <w:lang w:val="en-GB"/>
              </w:rPr>
              <w:t>++</w:t>
            </w:r>
            <w:bookmarkEnd w:id="775"/>
          </w:p>
        </w:tc>
        <w:tc>
          <w:tcPr>
            <w:tcW w:w="498" w:type="pct"/>
            <w:shd w:val="clear" w:color="auto" w:fill="auto"/>
            <w:vAlign w:val="center"/>
          </w:tcPr>
          <w:p w14:paraId="257ECDA2" w14:textId="77777777" w:rsidR="00625139" w:rsidRPr="006645DC" w:rsidRDefault="00625139" w:rsidP="00393EB7">
            <w:pPr>
              <w:keepNext/>
              <w:keepLines/>
              <w:spacing w:before="0" w:after="0"/>
              <w:jc w:val="center"/>
              <w:outlineLvl w:val="1"/>
              <w:rPr>
                <w:rFonts w:cs="Calibri"/>
                <w:lang w:val="en-GB"/>
              </w:rPr>
            </w:pPr>
            <w:bookmarkStart w:id="776" w:name="_Toc376199005"/>
            <w:r w:rsidRPr="006645DC">
              <w:rPr>
                <w:rFonts w:cs="Calibri"/>
                <w:lang w:val="en-GB"/>
              </w:rPr>
              <w:t>+++</w:t>
            </w:r>
            <w:bookmarkEnd w:id="776"/>
          </w:p>
        </w:tc>
        <w:tc>
          <w:tcPr>
            <w:tcW w:w="499" w:type="pct"/>
            <w:shd w:val="clear" w:color="auto" w:fill="auto"/>
            <w:vAlign w:val="center"/>
          </w:tcPr>
          <w:p w14:paraId="0CA374AE" w14:textId="77777777" w:rsidR="00625139" w:rsidRPr="006645DC" w:rsidRDefault="00625139" w:rsidP="00393EB7">
            <w:pPr>
              <w:keepNext/>
              <w:keepLines/>
              <w:spacing w:before="0" w:after="0"/>
              <w:jc w:val="center"/>
              <w:outlineLvl w:val="1"/>
              <w:rPr>
                <w:rFonts w:cs="Calibri"/>
                <w:b/>
                <w:lang w:val="en-GB"/>
              </w:rPr>
            </w:pPr>
            <w:bookmarkStart w:id="777" w:name="_Toc376199006"/>
            <w:r w:rsidRPr="006645DC">
              <w:rPr>
                <w:rFonts w:cs="Calibri"/>
                <w:b/>
                <w:lang w:val="en-GB"/>
              </w:rPr>
              <w:t>√</w:t>
            </w:r>
            <w:bookmarkEnd w:id="777"/>
          </w:p>
        </w:tc>
        <w:tc>
          <w:tcPr>
            <w:tcW w:w="495" w:type="pct"/>
            <w:shd w:val="clear" w:color="auto" w:fill="auto"/>
            <w:vAlign w:val="center"/>
          </w:tcPr>
          <w:p w14:paraId="75BFECDB" w14:textId="2102D561" w:rsidR="00625139" w:rsidRPr="006645DC" w:rsidRDefault="00625139" w:rsidP="00393EB7">
            <w:pPr>
              <w:keepNext/>
              <w:keepLines/>
              <w:spacing w:before="0" w:after="0"/>
              <w:jc w:val="center"/>
              <w:outlineLvl w:val="1"/>
              <w:rPr>
                <w:rFonts w:cs="Calibri"/>
                <w:b/>
                <w:lang w:val="en-GB"/>
              </w:rPr>
            </w:pPr>
          </w:p>
        </w:tc>
        <w:tc>
          <w:tcPr>
            <w:tcW w:w="495" w:type="pct"/>
          </w:tcPr>
          <w:p w14:paraId="23AA0ECC" w14:textId="77777777" w:rsidR="00625139" w:rsidRPr="006645DC" w:rsidRDefault="00625139" w:rsidP="00393EB7">
            <w:pPr>
              <w:keepNext/>
              <w:keepLines/>
              <w:spacing w:before="0" w:after="0"/>
              <w:jc w:val="center"/>
              <w:outlineLvl w:val="1"/>
              <w:rPr>
                <w:rFonts w:cs="Calibri"/>
                <w:b/>
                <w:lang w:val="en-GB"/>
              </w:rPr>
            </w:pPr>
          </w:p>
        </w:tc>
      </w:tr>
    </w:tbl>
    <w:p w14:paraId="0111BFF8" w14:textId="77777777" w:rsidR="008E2B43" w:rsidRPr="006645DC" w:rsidRDefault="008E2B43" w:rsidP="003B52C5">
      <w:pPr>
        <w:autoSpaceDE w:val="0"/>
        <w:autoSpaceDN w:val="0"/>
        <w:adjustRightInd w:val="0"/>
        <w:spacing w:before="0" w:after="0"/>
        <w:rPr>
          <w:rFonts w:eastAsia="Times New Roman" w:cs="Calibri"/>
          <w:b/>
          <w:snapToGrid w:val="0"/>
          <w:color w:val="000000"/>
          <w:lang w:val="en-GB" w:eastAsia="ro-RO"/>
        </w:rPr>
      </w:pPr>
      <w:r w:rsidRPr="006645DC">
        <w:rPr>
          <w:rFonts w:eastAsia="Times New Roman" w:cs="Calibri"/>
          <w:b/>
          <w:snapToGrid w:val="0"/>
          <w:color w:val="000000"/>
          <w:lang w:val="en-GB" w:eastAsia="ro-RO"/>
        </w:rPr>
        <w:t>Table key:</w:t>
      </w:r>
    </w:p>
    <w:tbl>
      <w:tblPr>
        <w:tblW w:w="0" w:type="auto"/>
        <w:jc w:val="center"/>
        <w:tblLook w:val="04A0" w:firstRow="1" w:lastRow="0" w:firstColumn="1" w:lastColumn="0" w:noHBand="0" w:noVBand="1"/>
      </w:tblPr>
      <w:tblGrid>
        <w:gridCol w:w="3192"/>
        <w:gridCol w:w="3192"/>
        <w:gridCol w:w="3192"/>
      </w:tblGrid>
      <w:tr w:rsidR="008E2B43" w:rsidRPr="006645DC" w14:paraId="4163CB64" w14:textId="77777777" w:rsidTr="00393EB7">
        <w:trPr>
          <w:jc w:val="center"/>
        </w:trPr>
        <w:tc>
          <w:tcPr>
            <w:tcW w:w="3192" w:type="dxa"/>
            <w:shd w:val="clear" w:color="auto" w:fill="auto"/>
            <w:vAlign w:val="center"/>
          </w:tcPr>
          <w:p w14:paraId="20FE46CA" w14:textId="65150AFF" w:rsidR="008E2B43" w:rsidRPr="006645DC" w:rsidRDefault="00982AD8" w:rsidP="00393EB7">
            <w:pPr>
              <w:jc w:val="center"/>
              <w:rPr>
                <w:b/>
                <w:lang w:val="en-GB"/>
              </w:rPr>
            </w:pPr>
            <w:r w:rsidRPr="006645DC">
              <w:rPr>
                <w:b/>
                <w:noProof/>
                <w:lang w:val="bg-BG" w:eastAsia="bg-BG"/>
              </w:rPr>
              <mc:AlternateContent>
                <mc:Choice Requires="wps">
                  <w:drawing>
                    <wp:anchor distT="0" distB="0" distL="114300" distR="114300" simplePos="0" relativeHeight="251646976" behindDoc="0" locked="0" layoutInCell="1" allowOverlap="1" wp14:anchorId="23B6ED90" wp14:editId="14002841">
                      <wp:simplePos x="0" y="0"/>
                      <wp:positionH relativeFrom="column">
                        <wp:posOffset>41275</wp:posOffset>
                      </wp:positionH>
                      <wp:positionV relativeFrom="paragraph">
                        <wp:posOffset>241935</wp:posOffset>
                      </wp:positionV>
                      <wp:extent cx="5848350" cy="232410"/>
                      <wp:effectExtent l="0" t="0" r="0" b="53340"/>
                      <wp:wrapNone/>
                      <wp:docPr id="493" name="Right Arrow 1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8350" cy="232410"/>
                              </a:xfrm>
                              <a:prstGeom prst="rightArrow">
                                <a:avLst>
                                  <a:gd name="adj1" fmla="val 50000"/>
                                  <a:gd name="adj2" fmla="val 49978"/>
                                </a:avLst>
                              </a:prstGeom>
                              <a:gradFill rotWithShape="1">
                                <a:gsLst>
                                  <a:gs pos="0">
                                    <a:srgbClr val="FF0000"/>
                                  </a:gs>
                                  <a:gs pos="74001">
                                    <a:srgbClr val="C2D1ED"/>
                                  </a:gs>
                                  <a:gs pos="100000">
                                    <a:srgbClr val="E1E8F5"/>
                                  </a:gs>
                                </a:gsLst>
                                <a:lin ang="10800000" scaled="1"/>
                              </a:gradFill>
                              <a:ln>
                                <a:noFill/>
                              </a:ln>
                              <a:effectLst>
                                <a:outerShdw dist="50800" dir="5400000" algn="ctr" rotWithShape="0">
                                  <a:srgbClr val="808080"/>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14:paraId="2F382A81" w14:textId="77777777" w:rsidR="00F14D1E" w:rsidRDefault="00F14D1E" w:rsidP="008E2B43">
                                  <w:pPr>
                                    <w:jc w:val="center"/>
                                  </w:pPr>
                                  <w:r w:rsidRPr="00393EB7">
                                    <w:rPr>
                                      <w:color w:val="000000"/>
                                    </w:rPr>
                                    <w:t>ImportaceImportance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Right Arrow 140" o:spid="_x0000_s1028" type="#_x0000_t13" style="position:absolute;left:0;text-align:left;margin-left:3.25pt;margin-top:19.05pt;width:460.5pt;height:18.3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" adj="21171" fillcolor="red" stroked="f" strokeweight="2pt">
                      <v:fill color2="#e1e8f5" rotate="t" angle="270" colors="0 red;48497f #c2d1ed;1 #e1e8f5" focus="100%" type="gradient"/>
                      <v:shadow on="t" offset="0,4pt"/>
                      <v:textbox>
                        <w:txbxContent>
                          <w:p w14:paraId="2F382A81" w14:textId="77777777" w:rsidR="00F14D1E" w:rsidRDefault="00F14D1E" w:rsidP="008E2B43">
                            <w:pPr>
                              <w:jc w:val="center"/>
                            </w:pPr>
                            <w:r w:rsidRPr="00393EB7">
                              <w:rPr>
                                <w:color w:val="000000"/>
                              </w:rPr>
                              <w:t>ImportaceImportance</w:t>
                            </w:r>
                          </w:p>
                        </w:txbxContent>
                      </v:textbox>
                    </v:shape>
                  </w:pict>
                </mc:Fallback>
              </mc:AlternateContent>
            </w:r>
            <w:r w:rsidR="008E2B43" w:rsidRPr="006645DC">
              <w:rPr>
                <w:b/>
                <w:lang w:val="en-GB"/>
              </w:rPr>
              <w:t>+</w:t>
            </w:r>
          </w:p>
        </w:tc>
        <w:tc>
          <w:tcPr>
            <w:tcW w:w="3192" w:type="dxa"/>
            <w:shd w:val="clear" w:color="auto" w:fill="auto"/>
            <w:vAlign w:val="center"/>
          </w:tcPr>
          <w:p w14:paraId="55EE87FA" w14:textId="77777777" w:rsidR="008E2B43" w:rsidRPr="006645DC" w:rsidRDefault="008E2B43" w:rsidP="00393EB7">
            <w:pPr>
              <w:jc w:val="center"/>
              <w:rPr>
                <w:b/>
                <w:lang w:val="en-GB"/>
              </w:rPr>
            </w:pPr>
            <w:r w:rsidRPr="006645DC">
              <w:rPr>
                <w:b/>
                <w:lang w:val="en-GB"/>
              </w:rPr>
              <w:t>++</w:t>
            </w:r>
          </w:p>
        </w:tc>
        <w:tc>
          <w:tcPr>
            <w:tcW w:w="3192" w:type="dxa"/>
            <w:shd w:val="clear" w:color="auto" w:fill="auto"/>
            <w:vAlign w:val="center"/>
          </w:tcPr>
          <w:p w14:paraId="3AE369EF" w14:textId="77777777" w:rsidR="008E2B43" w:rsidRPr="006645DC" w:rsidRDefault="008E2B43" w:rsidP="00393EB7">
            <w:pPr>
              <w:jc w:val="center"/>
              <w:rPr>
                <w:b/>
                <w:lang w:val="en-GB"/>
              </w:rPr>
            </w:pPr>
            <w:r w:rsidRPr="006645DC">
              <w:rPr>
                <w:b/>
                <w:lang w:val="en-GB"/>
              </w:rPr>
              <w:t>+++</w:t>
            </w:r>
          </w:p>
        </w:tc>
      </w:tr>
    </w:tbl>
    <w:p w14:paraId="2C7EA5CE" w14:textId="77777777" w:rsidR="008E2B43" w:rsidRPr="006645DC" w:rsidRDefault="008E2B43" w:rsidP="003B52C5">
      <w:pPr>
        <w:spacing w:before="0" w:after="0"/>
        <w:rPr>
          <w:b/>
          <w:lang w:val="en-GB"/>
        </w:rPr>
      </w:pPr>
    </w:p>
    <w:p w14:paraId="11AB8796" w14:textId="77777777" w:rsidR="008E2B43" w:rsidRPr="006645DC" w:rsidRDefault="008E2B43" w:rsidP="008E2B43">
      <w:pPr>
        <w:jc w:val="center"/>
        <w:rPr>
          <w:i/>
          <w:lang w:val="en-GB"/>
        </w:rPr>
      </w:pPr>
      <w:r w:rsidRPr="006645DC">
        <w:rPr>
          <w:i/>
          <w:lang w:val="en-GB"/>
        </w:rPr>
        <w:t>Degree of each need’s territorial relevance</w:t>
      </w:r>
    </w:p>
    <w:p w14:paraId="7C7D3E5C" w14:textId="77777777" w:rsidR="008E2B43" w:rsidRPr="006645DC" w:rsidRDefault="008E2B43" w:rsidP="008E2B43">
      <w:pPr>
        <w:rPr>
          <w:b/>
          <w:lang w:val="en-GB"/>
        </w:rPr>
      </w:pPr>
      <w:r w:rsidRPr="006645DC">
        <w:rPr>
          <w:b/>
          <w:lang w:val="en-GB"/>
        </w:rPr>
        <w:t>TO8 – promoting employment and supporting labour mobility</w:t>
      </w:r>
    </w:p>
    <w:p w14:paraId="6BCE4A74" w14:textId="77777777" w:rsidR="008E2B43" w:rsidRPr="006645DC" w:rsidRDefault="008E2B43" w:rsidP="008E2B43">
      <w:pPr>
        <w:rPr>
          <w:b/>
          <w:lang w:val="en-GB"/>
        </w:rPr>
      </w:pPr>
      <w:r w:rsidRPr="006645DC">
        <w:rPr>
          <w:b/>
          <w:lang w:val="en-GB"/>
        </w:rPr>
        <w:t>TO9 – Promoting social inclusion and combating poverty</w:t>
      </w:r>
    </w:p>
    <w:p w14:paraId="640B27DE" w14:textId="5FA5C69B" w:rsidR="008E2B43" w:rsidRPr="006645DC" w:rsidRDefault="00B21137" w:rsidP="008E2B43">
      <w:pPr>
        <w:rPr>
          <w:lang w:val="en-GB"/>
        </w:rPr>
      </w:pPr>
      <w:r w:rsidRPr="00B21137">
        <w:rPr>
          <w:b/>
          <w:lang w:val="en-GB"/>
        </w:rPr>
        <w:t>TO11 – Enhancing institutional capacity and en efficient public administration</w:t>
      </w:r>
    </w:p>
    <w:p w14:paraId="3947DF63" w14:textId="77777777" w:rsidR="00333CBE" w:rsidRPr="006645DC" w:rsidRDefault="00333CBE" w:rsidP="00333CBE">
      <w:pPr>
        <w:rPr>
          <w:lang w:val="en-GB"/>
        </w:rPr>
      </w:pPr>
    </w:p>
    <w:p w14:paraId="1551AE29" w14:textId="77777777" w:rsidR="003531E5" w:rsidRPr="006645DC" w:rsidRDefault="003531E5" w:rsidP="00874655">
      <w:pPr>
        <w:rPr>
          <w:lang w:val="en-GB"/>
        </w:rPr>
        <w:sectPr w:rsidR="003531E5" w:rsidRPr="006645DC" w:rsidSect="00187E88">
          <w:pgSz w:w="12240" w:h="15840"/>
          <w:pgMar w:top="1440" w:right="1440" w:bottom="1440" w:left="1440" w:header="720" w:footer="720" w:gutter="0"/>
          <w:cols w:space="720"/>
          <w:docGrid w:linePitch="360"/>
        </w:sectPr>
      </w:pPr>
    </w:p>
    <w:p w14:paraId="79932286" w14:textId="77777777" w:rsidR="0064018D" w:rsidRPr="006645DC" w:rsidRDefault="0064018D" w:rsidP="0064018D">
      <w:pPr>
        <w:pStyle w:val="Heading1"/>
        <w:rPr>
          <w:lang w:val="en-GB"/>
        </w:rPr>
      </w:pPr>
      <w:bookmarkStart w:id="778" w:name="_Toc373340839"/>
      <w:bookmarkStart w:id="779" w:name="_Toc376199008"/>
      <w:bookmarkStart w:id="780" w:name="_Toc254543793"/>
      <w:bookmarkStart w:id="781" w:name="_Toc391150181"/>
      <w:r w:rsidRPr="006645DC">
        <w:rPr>
          <w:lang w:val="en-GB"/>
        </w:rPr>
        <w:lastRenderedPageBreak/>
        <w:t>Social Cohesion</w:t>
      </w:r>
      <w:bookmarkEnd w:id="778"/>
      <w:bookmarkEnd w:id="779"/>
      <w:bookmarkEnd w:id="780"/>
      <w:bookmarkEnd w:id="781"/>
    </w:p>
    <w:p w14:paraId="1CA06166" w14:textId="77777777" w:rsidR="0064018D" w:rsidRPr="006645DC" w:rsidRDefault="0064018D" w:rsidP="0064018D">
      <w:pPr>
        <w:rPr>
          <w:lang w:val="en-GB"/>
        </w:rPr>
      </w:pPr>
      <w:r w:rsidRPr="006645DC">
        <w:rPr>
          <w:lang w:val="en-GB"/>
        </w:rPr>
        <w:t>The social cohesion of a certain territory describes how balanced and sustainable are the living conditions of its inhabitants. This indicator takes into consideration factors such as the poverty, the social exclusion and the inequality. In a public policy perspective, it is an indicator that supports the identification of the needs and the challenges for “</w:t>
      </w:r>
      <w:r w:rsidRPr="006645DC">
        <w:rPr>
          <w:i/>
          <w:lang w:val="en-GB"/>
        </w:rPr>
        <w:t>fighting against poverty, inequality and social exclusion</w:t>
      </w:r>
      <w:r w:rsidRPr="006645DC">
        <w:rPr>
          <w:lang w:val="en-GB"/>
        </w:rPr>
        <w:t>”</w:t>
      </w:r>
      <w:r w:rsidRPr="006645DC">
        <w:rPr>
          <w:sz w:val="16"/>
          <w:lang w:val="en-GB"/>
        </w:rPr>
        <w:footnoteReference w:id="20"/>
      </w:r>
      <w:r w:rsidRPr="006645DC">
        <w:rPr>
          <w:lang w:val="en-GB"/>
        </w:rPr>
        <w:t xml:space="preserve">and a holistic intervention tool in order to measure the effectiveness of public policies that targets social conditions. </w:t>
      </w:r>
    </w:p>
    <w:p w14:paraId="4FC53D20" w14:textId="77777777" w:rsidR="0064018D" w:rsidRPr="006645DC" w:rsidRDefault="0064018D" w:rsidP="0064018D">
      <w:pPr>
        <w:rPr>
          <w:lang w:val="en-GB"/>
        </w:rPr>
      </w:pPr>
      <w:r w:rsidRPr="006645DC">
        <w:rPr>
          <w:lang w:val="en-GB"/>
        </w:rPr>
        <w:t xml:space="preserve">At European level, the cohesion challenges are defined by different aspects/sectors (e.g.: income, employment, education infrastructure and accessibility, healthcare services and accessibility, demographic structure and trends, ICT accessibility) and by the territorial level they concern (national, regional, local, etc.). The cohesion policy is essentially addressing these challenges in a comparative approach. </w:t>
      </w:r>
    </w:p>
    <w:p w14:paraId="5CC6E1DE" w14:textId="77777777" w:rsidR="0064018D" w:rsidRPr="006645DC" w:rsidRDefault="0064018D" w:rsidP="0064018D">
      <w:pPr>
        <w:rPr>
          <w:lang w:val="en-GB"/>
        </w:rPr>
      </w:pPr>
      <w:r w:rsidRPr="006645DC">
        <w:rPr>
          <w:lang w:val="en-GB"/>
        </w:rPr>
        <w:t xml:space="preserve">The Romania-Bulgaria cross-border area displays, on one side, an internal social cohesion image at the programme area level with no major difference between its administrative units. But on the other side, given its largely rural society and agricultural economy, the gap with other European regions and their social characteristics in terms of income, employment, education and social services is very worrying and need urgent actions. All proposed solutions must take into account the local conditions and require better cooperation between all types of actors for the development of Services of General Economic Interests in this rural dominated area with depopulated small/medium sized cities. </w:t>
      </w:r>
    </w:p>
    <w:p w14:paraId="54D3FB68" w14:textId="07D0208F" w:rsidR="0064018D" w:rsidRPr="006645DC" w:rsidRDefault="0064018D" w:rsidP="00C22A61">
      <w:pPr>
        <w:pStyle w:val="Heading2"/>
        <w:numPr>
          <w:ilvl w:val="0"/>
          <w:numId w:val="19"/>
        </w:numPr>
        <w:rPr>
          <w:lang w:val="en-GB"/>
        </w:rPr>
      </w:pPr>
      <w:bookmarkStart w:id="782" w:name="_Toc373340840"/>
      <w:bookmarkStart w:id="783" w:name="_Toc376199009"/>
      <w:bookmarkStart w:id="784" w:name="_Toc254543794"/>
      <w:bookmarkStart w:id="785" w:name="_Toc391150182"/>
      <w:r w:rsidRPr="006645DC">
        <w:rPr>
          <w:lang w:val="en-GB"/>
        </w:rPr>
        <w:t xml:space="preserve">Employment and </w:t>
      </w:r>
      <w:r w:rsidR="00625139" w:rsidRPr="006645DC">
        <w:rPr>
          <w:lang w:val="en-GB"/>
        </w:rPr>
        <w:t>labour</w:t>
      </w:r>
      <w:r w:rsidRPr="006645DC">
        <w:rPr>
          <w:lang w:val="en-GB"/>
        </w:rPr>
        <w:t xml:space="preserve"> mobility</w:t>
      </w:r>
      <w:bookmarkEnd w:id="782"/>
      <w:bookmarkEnd w:id="783"/>
      <w:bookmarkEnd w:id="784"/>
      <w:bookmarkEnd w:id="785"/>
    </w:p>
    <w:p w14:paraId="6360A4FD" w14:textId="77777777" w:rsidR="0064018D" w:rsidRPr="006645DC" w:rsidRDefault="0064018D" w:rsidP="0064018D">
      <w:pPr>
        <w:rPr>
          <w:lang w:val="en-GB"/>
        </w:rPr>
      </w:pPr>
      <w:r w:rsidRPr="006645DC">
        <w:rPr>
          <w:lang w:val="en-GB"/>
        </w:rPr>
        <w:t xml:space="preserve">One of the main factors that contribute to the social cohesion of a territory is the population participation to the economic activity. We will look in this sub-chapter to the activity profile of the population and try thus to understand the main aspects/reasons (activity rate, unemployment rate, etc.) that are behind poverty and cohesion issues.  </w:t>
      </w:r>
    </w:p>
    <w:p w14:paraId="0DA66072" w14:textId="77777777" w:rsidR="0064018D" w:rsidRPr="006645DC" w:rsidRDefault="0064018D" w:rsidP="00C22A61">
      <w:pPr>
        <w:pStyle w:val="Heading3"/>
        <w:numPr>
          <w:ilvl w:val="0"/>
          <w:numId w:val="20"/>
        </w:numPr>
        <w:rPr>
          <w:lang w:val="en-GB"/>
        </w:rPr>
      </w:pPr>
      <w:bookmarkStart w:id="786" w:name="_Toc254543795"/>
      <w:r w:rsidRPr="006645DC">
        <w:rPr>
          <w:lang w:val="en-GB"/>
        </w:rPr>
        <w:t>Workforce</w:t>
      </w:r>
      <w:bookmarkEnd w:id="786"/>
    </w:p>
    <w:p w14:paraId="42CEA36C" w14:textId="77777777" w:rsidR="0064018D" w:rsidRPr="006645DC" w:rsidRDefault="0064018D" w:rsidP="0064018D">
      <w:pPr>
        <w:rPr>
          <w:lang w:val="en-GB"/>
        </w:rPr>
      </w:pPr>
      <w:r w:rsidRPr="006645DC">
        <w:rPr>
          <w:lang w:val="en-GB"/>
        </w:rPr>
        <w:t xml:space="preserve">In 2012, the </w:t>
      </w:r>
      <w:r w:rsidRPr="006645DC">
        <w:rPr>
          <w:b/>
          <w:lang w:val="en-GB"/>
        </w:rPr>
        <w:t xml:space="preserve">working age population </w:t>
      </w:r>
      <w:r w:rsidRPr="006645DC">
        <w:rPr>
          <w:lang w:val="en-GB"/>
        </w:rPr>
        <w:t>(15-64 years old) in the Romanian districts of the Romania-Bulgaria cross-border region was of 2.036 thousand people, representing 14.5% of Romania's working age population (14.033 thousand people).The districts of held together over 45% of the total working-age population on the Romanian side.</w:t>
      </w:r>
    </w:p>
    <w:p w14:paraId="0C602DF2" w14:textId="77777777" w:rsidR="0064018D" w:rsidRPr="006645DC" w:rsidRDefault="0064018D" w:rsidP="0064018D">
      <w:pPr>
        <w:rPr>
          <w:lang w:val="en-GB"/>
        </w:rPr>
      </w:pPr>
      <w:r w:rsidRPr="006645DC">
        <w:rPr>
          <w:lang w:val="en-GB"/>
        </w:rPr>
        <w:t xml:space="preserve">In the Bulgarian districts of the cross border area added up, there were 623 thousand working-age people, representing 18.6% of Bulgaria’s working age population (3,344,3 thousand people). The </w:t>
      </w:r>
      <w:r w:rsidRPr="006645DC">
        <w:rPr>
          <w:lang w:val="en-GB"/>
        </w:rPr>
        <w:lastRenderedPageBreak/>
        <w:t xml:space="preserve">districts of Veliko Turnovo, Pleven and Ruse represent together almost 52% of the total working age population in the Bulgarian cross-border area.  </w:t>
      </w:r>
    </w:p>
    <w:tbl>
      <w:tblPr>
        <w:tblW w:w="9991" w:type="dxa"/>
        <w:jc w:val="center"/>
        <w:tblLayout w:type="fixed"/>
        <w:tblLook w:val="0000" w:firstRow="0" w:lastRow="0" w:firstColumn="0" w:lastColumn="0" w:noHBand="0" w:noVBand="0"/>
      </w:tblPr>
      <w:tblGrid>
        <w:gridCol w:w="3447"/>
        <w:gridCol w:w="1894"/>
        <w:gridCol w:w="3477"/>
        <w:gridCol w:w="1173"/>
      </w:tblGrid>
      <w:tr w:rsidR="0064018D" w:rsidRPr="006645DC" w14:paraId="70C3FB3C" w14:textId="77777777" w:rsidTr="005E0FF1">
        <w:trPr>
          <w:trHeight w:val="300"/>
          <w:jc w:val="center"/>
        </w:trPr>
        <w:tc>
          <w:tcPr>
            <w:tcW w:w="3447" w:type="dxa"/>
            <w:tcBorders>
              <w:top w:val="single" w:sz="4" w:space="0" w:color="auto"/>
              <w:left w:val="single" w:sz="4" w:space="0" w:color="auto"/>
              <w:bottom w:val="single" w:sz="4" w:space="0" w:color="auto"/>
              <w:right w:val="single" w:sz="4" w:space="0" w:color="auto"/>
            </w:tcBorders>
            <w:vAlign w:val="center"/>
          </w:tcPr>
          <w:p w14:paraId="60CF49DF" w14:textId="77777777" w:rsidR="0064018D" w:rsidRPr="006645DC" w:rsidRDefault="0064018D" w:rsidP="00546086">
            <w:pPr>
              <w:snapToGrid w:val="0"/>
              <w:spacing w:before="0" w:after="0"/>
              <w:jc w:val="left"/>
              <w:rPr>
                <w:rFonts w:cs="Calibri"/>
                <w:b/>
                <w:i/>
                <w:lang w:val="en-GB"/>
              </w:rPr>
            </w:pPr>
            <w:r w:rsidRPr="006645DC">
              <w:rPr>
                <w:rFonts w:cs="Calibri"/>
                <w:b/>
                <w:i/>
                <w:lang w:val="en-GB"/>
              </w:rPr>
              <w:t>Romanian area (thousand people)</w:t>
            </w:r>
          </w:p>
        </w:tc>
        <w:tc>
          <w:tcPr>
            <w:tcW w:w="1894" w:type="dxa"/>
            <w:tcBorders>
              <w:top w:val="single" w:sz="4" w:space="0" w:color="auto"/>
              <w:left w:val="single" w:sz="4" w:space="0" w:color="auto"/>
              <w:bottom w:val="single" w:sz="4" w:space="0" w:color="auto"/>
              <w:right w:val="single" w:sz="4" w:space="0" w:color="auto"/>
            </w:tcBorders>
            <w:vAlign w:val="center"/>
          </w:tcPr>
          <w:p w14:paraId="0B51C941" w14:textId="77777777" w:rsidR="0064018D" w:rsidRPr="006645DC" w:rsidRDefault="0064018D" w:rsidP="005E0FF1">
            <w:pPr>
              <w:snapToGrid w:val="0"/>
              <w:spacing w:before="0" w:after="0"/>
              <w:jc w:val="center"/>
              <w:rPr>
                <w:rFonts w:cs="Calibri"/>
                <w:lang w:val="en-GB"/>
              </w:rPr>
            </w:pPr>
            <w:r w:rsidRPr="006645DC">
              <w:rPr>
                <w:rFonts w:cs="Calibri"/>
                <w:lang w:val="en-GB"/>
              </w:rPr>
              <w:t>2 036</w:t>
            </w:r>
          </w:p>
        </w:tc>
        <w:tc>
          <w:tcPr>
            <w:tcW w:w="3477" w:type="dxa"/>
            <w:tcBorders>
              <w:top w:val="single" w:sz="4" w:space="0" w:color="auto"/>
              <w:left w:val="single" w:sz="4" w:space="0" w:color="auto"/>
              <w:bottom w:val="single" w:sz="4" w:space="0" w:color="auto"/>
              <w:right w:val="single" w:sz="4" w:space="0" w:color="auto"/>
            </w:tcBorders>
            <w:vAlign w:val="center"/>
          </w:tcPr>
          <w:p w14:paraId="5BA282E7" w14:textId="77777777" w:rsidR="0064018D" w:rsidRPr="006645DC" w:rsidRDefault="0064018D" w:rsidP="00546086">
            <w:pPr>
              <w:snapToGrid w:val="0"/>
              <w:spacing w:before="0" w:after="0"/>
              <w:jc w:val="left"/>
              <w:rPr>
                <w:rFonts w:cs="Calibri"/>
                <w:b/>
                <w:i/>
                <w:lang w:val="en-GB"/>
              </w:rPr>
            </w:pPr>
            <w:r w:rsidRPr="006645DC">
              <w:rPr>
                <w:rFonts w:cs="Calibri"/>
                <w:b/>
                <w:i/>
                <w:lang w:val="en-GB"/>
              </w:rPr>
              <w:t>Bulgarian area (thousand people)</w:t>
            </w:r>
          </w:p>
        </w:tc>
        <w:tc>
          <w:tcPr>
            <w:tcW w:w="1173" w:type="dxa"/>
            <w:tcBorders>
              <w:top w:val="single" w:sz="4" w:space="0" w:color="auto"/>
              <w:left w:val="single" w:sz="4" w:space="0" w:color="auto"/>
              <w:bottom w:val="single" w:sz="4" w:space="0" w:color="auto"/>
              <w:right w:val="single" w:sz="4" w:space="0" w:color="auto"/>
            </w:tcBorders>
            <w:vAlign w:val="center"/>
          </w:tcPr>
          <w:p w14:paraId="0484ABEB" w14:textId="77777777" w:rsidR="0064018D" w:rsidRPr="006645DC" w:rsidRDefault="0064018D" w:rsidP="005E0FF1">
            <w:pPr>
              <w:snapToGrid w:val="0"/>
              <w:spacing w:before="0" w:after="0"/>
              <w:jc w:val="center"/>
              <w:rPr>
                <w:rFonts w:cs="Calibri"/>
                <w:lang w:val="en-GB"/>
              </w:rPr>
            </w:pPr>
            <w:r w:rsidRPr="006645DC">
              <w:rPr>
                <w:rFonts w:cs="Calibri"/>
                <w:lang w:val="en-GB"/>
              </w:rPr>
              <w:t>623</w:t>
            </w:r>
          </w:p>
        </w:tc>
      </w:tr>
      <w:tr w:rsidR="0064018D" w:rsidRPr="006645DC" w14:paraId="61F9C86B" w14:textId="77777777" w:rsidTr="005E0FF1">
        <w:trPr>
          <w:trHeight w:val="300"/>
          <w:jc w:val="center"/>
        </w:trPr>
        <w:tc>
          <w:tcPr>
            <w:tcW w:w="3447" w:type="dxa"/>
            <w:tcBorders>
              <w:top w:val="single" w:sz="4" w:space="0" w:color="auto"/>
              <w:left w:val="single" w:sz="4" w:space="0" w:color="auto"/>
              <w:bottom w:val="single" w:sz="4" w:space="0" w:color="auto"/>
              <w:right w:val="single" w:sz="4" w:space="0" w:color="auto"/>
            </w:tcBorders>
            <w:vAlign w:val="center"/>
          </w:tcPr>
          <w:p w14:paraId="298A14B9" w14:textId="77777777" w:rsidR="0064018D" w:rsidRPr="006645DC" w:rsidRDefault="0064018D" w:rsidP="00546086">
            <w:pPr>
              <w:snapToGrid w:val="0"/>
              <w:spacing w:before="0" w:after="0"/>
              <w:jc w:val="left"/>
              <w:rPr>
                <w:rFonts w:cs="Calibri"/>
                <w:lang w:val="en-GB"/>
              </w:rPr>
            </w:pPr>
          </w:p>
        </w:tc>
        <w:tc>
          <w:tcPr>
            <w:tcW w:w="1894" w:type="dxa"/>
            <w:tcBorders>
              <w:top w:val="single" w:sz="4" w:space="0" w:color="auto"/>
              <w:left w:val="single" w:sz="4" w:space="0" w:color="auto"/>
              <w:bottom w:val="single" w:sz="4" w:space="0" w:color="auto"/>
              <w:right w:val="single" w:sz="4" w:space="0" w:color="auto"/>
            </w:tcBorders>
            <w:vAlign w:val="center"/>
          </w:tcPr>
          <w:p w14:paraId="3149D4A6" w14:textId="77777777" w:rsidR="0064018D" w:rsidRPr="006645DC" w:rsidRDefault="0064018D" w:rsidP="005E0FF1">
            <w:pPr>
              <w:keepNext/>
              <w:keepLines/>
              <w:snapToGrid w:val="0"/>
              <w:spacing w:before="0" w:after="0"/>
              <w:jc w:val="center"/>
              <w:outlineLvl w:val="1"/>
              <w:rPr>
                <w:rFonts w:cs="Calibri"/>
                <w:lang w:val="en-GB"/>
              </w:rPr>
            </w:pPr>
            <w:bookmarkStart w:id="787" w:name="_Toc376199010"/>
            <w:r w:rsidRPr="006645DC">
              <w:rPr>
                <w:rFonts w:cs="Calibri"/>
                <w:lang w:val="en-GB"/>
              </w:rPr>
              <w:t>%</w:t>
            </w:r>
            <w:bookmarkEnd w:id="787"/>
          </w:p>
        </w:tc>
        <w:tc>
          <w:tcPr>
            <w:tcW w:w="3477" w:type="dxa"/>
            <w:tcBorders>
              <w:top w:val="single" w:sz="4" w:space="0" w:color="auto"/>
              <w:left w:val="single" w:sz="4" w:space="0" w:color="auto"/>
              <w:bottom w:val="single" w:sz="4" w:space="0" w:color="auto"/>
              <w:right w:val="single" w:sz="4" w:space="0" w:color="auto"/>
            </w:tcBorders>
            <w:vAlign w:val="center"/>
          </w:tcPr>
          <w:p w14:paraId="786FBD2B" w14:textId="77777777" w:rsidR="0064018D" w:rsidRPr="006645DC" w:rsidRDefault="0064018D" w:rsidP="00546086">
            <w:pPr>
              <w:snapToGrid w:val="0"/>
              <w:spacing w:before="0" w:after="0"/>
              <w:jc w:val="left"/>
              <w:rPr>
                <w:rFonts w:cs="Calibri"/>
                <w:lang w:val="en-GB"/>
              </w:rPr>
            </w:pPr>
          </w:p>
        </w:tc>
        <w:tc>
          <w:tcPr>
            <w:tcW w:w="1173" w:type="dxa"/>
            <w:tcBorders>
              <w:top w:val="single" w:sz="4" w:space="0" w:color="auto"/>
              <w:left w:val="single" w:sz="4" w:space="0" w:color="auto"/>
              <w:bottom w:val="single" w:sz="4" w:space="0" w:color="auto"/>
              <w:right w:val="single" w:sz="4" w:space="0" w:color="auto"/>
            </w:tcBorders>
            <w:vAlign w:val="center"/>
          </w:tcPr>
          <w:p w14:paraId="71B904CB" w14:textId="77777777" w:rsidR="0064018D" w:rsidRPr="006645DC" w:rsidRDefault="0064018D" w:rsidP="005E0FF1">
            <w:pPr>
              <w:keepNext/>
              <w:keepLines/>
              <w:snapToGrid w:val="0"/>
              <w:spacing w:before="0" w:after="0"/>
              <w:jc w:val="center"/>
              <w:outlineLvl w:val="1"/>
              <w:rPr>
                <w:rFonts w:cs="Calibri"/>
                <w:lang w:val="en-GB"/>
              </w:rPr>
            </w:pPr>
            <w:bookmarkStart w:id="788" w:name="_Toc376199011"/>
            <w:r w:rsidRPr="006645DC">
              <w:rPr>
                <w:rFonts w:cs="Calibri"/>
                <w:lang w:val="en-GB"/>
              </w:rPr>
              <w:t>%</w:t>
            </w:r>
            <w:bookmarkEnd w:id="788"/>
          </w:p>
        </w:tc>
      </w:tr>
      <w:tr w:rsidR="0064018D" w:rsidRPr="006645DC" w14:paraId="358383B8" w14:textId="77777777" w:rsidTr="005E0FF1">
        <w:trPr>
          <w:trHeight w:val="315"/>
          <w:jc w:val="center"/>
        </w:trPr>
        <w:tc>
          <w:tcPr>
            <w:tcW w:w="3447" w:type="dxa"/>
            <w:tcBorders>
              <w:top w:val="single" w:sz="4" w:space="0" w:color="auto"/>
              <w:left w:val="single" w:sz="4" w:space="0" w:color="auto"/>
              <w:bottom w:val="single" w:sz="4" w:space="0" w:color="auto"/>
              <w:right w:val="single" w:sz="4" w:space="0" w:color="auto"/>
            </w:tcBorders>
            <w:vAlign w:val="center"/>
          </w:tcPr>
          <w:p w14:paraId="468AA7A2" w14:textId="77777777" w:rsidR="0064018D" w:rsidRPr="006645DC" w:rsidRDefault="0064018D" w:rsidP="005E0FF1">
            <w:pPr>
              <w:keepNext/>
              <w:keepLines/>
              <w:snapToGrid w:val="0"/>
              <w:spacing w:before="0" w:after="0"/>
              <w:jc w:val="left"/>
              <w:outlineLvl w:val="1"/>
              <w:rPr>
                <w:rFonts w:cs="Calibri"/>
                <w:lang w:val="en-GB"/>
              </w:rPr>
            </w:pPr>
            <w:bookmarkStart w:id="789" w:name="_Toc376199012"/>
            <w:r w:rsidRPr="006645DC">
              <w:rPr>
                <w:rFonts w:cs="Calibri"/>
                <w:lang w:val="en-GB"/>
              </w:rPr>
              <w:t>Constanţa</w:t>
            </w:r>
            <w:bookmarkEnd w:id="789"/>
          </w:p>
        </w:tc>
        <w:tc>
          <w:tcPr>
            <w:tcW w:w="1894" w:type="dxa"/>
            <w:tcBorders>
              <w:top w:val="single" w:sz="4" w:space="0" w:color="auto"/>
              <w:left w:val="single" w:sz="4" w:space="0" w:color="auto"/>
              <w:bottom w:val="single" w:sz="4" w:space="0" w:color="auto"/>
              <w:right w:val="single" w:sz="4" w:space="0" w:color="auto"/>
            </w:tcBorders>
            <w:vAlign w:val="center"/>
          </w:tcPr>
          <w:p w14:paraId="504DC7DE" w14:textId="77777777" w:rsidR="0064018D" w:rsidRPr="006645DC" w:rsidRDefault="0064018D" w:rsidP="005E0FF1">
            <w:pPr>
              <w:keepNext/>
              <w:keepLines/>
              <w:snapToGrid w:val="0"/>
              <w:spacing w:before="0" w:after="0"/>
              <w:jc w:val="center"/>
              <w:outlineLvl w:val="1"/>
              <w:rPr>
                <w:rFonts w:cs="Calibri"/>
                <w:lang w:val="en-GB"/>
              </w:rPr>
            </w:pPr>
            <w:bookmarkStart w:id="790" w:name="_Toc376199013"/>
            <w:r w:rsidRPr="006645DC">
              <w:rPr>
                <w:rFonts w:cs="Calibri"/>
                <w:color w:val="000000"/>
                <w:lang w:val="en-GB"/>
              </w:rPr>
              <w:t>24.2</w:t>
            </w:r>
            <w:bookmarkEnd w:id="790"/>
          </w:p>
        </w:tc>
        <w:tc>
          <w:tcPr>
            <w:tcW w:w="3477" w:type="dxa"/>
            <w:tcBorders>
              <w:top w:val="single" w:sz="4" w:space="0" w:color="auto"/>
              <w:left w:val="single" w:sz="4" w:space="0" w:color="auto"/>
              <w:bottom w:val="single" w:sz="4" w:space="0" w:color="auto"/>
              <w:right w:val="single" w:sz="4" w:space="0" w:color="auto"/>
            </w:tcBorders>
            <w:vAlign w:val="center"/>
          </w:tcPr>
          <w:p w14:paraId="52F97D91" w14:textId="77777777" w:rsidR="0064018D" w:rsidRPr="006645DC" w:rsidRDefault="0064018D" w:rsidP="005E0FF1">
            <w:pPr>
              <w:keepNext/>
              <w:keepLines/>
              <w:snapToGrid w:val="0"/>
              <w:spacing w:before="0" w:after="0"/>
              <w:jc w:val="left"/>
              <w:outlineLvl w:val="1"/>
              <w:rPr>
                <w:rFonts w:cs="Calibri"/>
                <w:lang w:val="en-GB"/>
              </w:rPr>
            </w:pPr>
            <w:bookmarkStart w:id="791" w:name="_Toc376199014"/>
            <w:r w:rsidRPr="006645DC">
              <w:rPr>
                <w:rFonts w:cs="Calibri"/>
                <w:lang w:val="en-GB"/>
              </w:rPr>
              <w:t>Vidin</w:t>
            </w:r>
            <w:bookmarkEnd w:id="791"/>
          </w:p>
        </w:tc>
        <w:tc>
          <w:tcPr>
            <w:tcW w:w="1173" w:type="dxa"/>
            <w:tcBorders>
              <w:top w:val="single" w:sz="4" w:space="0" w:color="auto"/>
              <w:left w:val="single" w:sz="4" w:space="0" w:color="auto"/>
              <w:bottom w:val="single" w:sz="4" w:space="0" w:color="auto"/>
              <w:right w:val="single" w:sz="4" w:space="0" w:color="auto"/>
            </w:tcBorders>
            <w:vAlign w:val="center"/>
          </w:tcPr>
          <w:p w14:paraId="48530F6C" w14:textId="77777777" w:rsidR="0064018D" w:rsidRPr="006645DC" w:rsidRDefault="0064018D" w:rsidP="005E0FF1">
            <w:pPr>
              <w:keepNext/>
              <w:keepLines/>
              <w:snapToGrid w:val="0"/>
              <w:spacing w:before="0" w:after="0"/>
              <w:jc w:val="center"/>
              <w:outlineLvl w:val="1"/>
              <w:rPr>
                <w:rFonts w:cs="Calibri"/>
                <w:lang w:val="en-GB"/>
              </w:rPr>
            </w:pPr>
            <w:bookmarkStart w:id="792" w:name="_Toc376199015"/>
            <w:r w:rsidRPr="006645DC">
              <w:rPr>
                <w:rFonts w:cs="Calibri"/>
                <w:color w:val="000000"/>
                <w:lang w:val="en-GB"/>
              </w:rPr>
              <w:t>6,2</w:t>
            </w:r>
            <w:bookmarkEnd w:id="792"/>
          </w:p>
        </w:tc>
      </w:tr>
      <w:tr w:rsidR="0064018D" w:rsidRPr="006645DC" w14:paraId="77DC6F0C" w14:textId="77777777" w:rsidTr="005E0FF1">
        <w:trPr>
          <w:trHeight w:val="315"/>
          <w:jc w:val="center"/>
        </w:trPr>
        <w:tc>
          <w:tcPr>
            <w:tcW w:w="3447" w:type="dxa"/>
            <w:tcBorders>
              <w:top w:val="single" w:sz="4" w:space="0" w:color="auto"/>
              <w:left w:val="single" w:sz="4" w:space="0" w:color="auto"/>
              <w:bottom w:val="single" w:sz="4" w:space="0" w:color="auto"/>
              <w:right w:val="single" w:sz="4" w:space="0" w:color="auto"/>
            </w:tcBorders>
            <w:vAlign w:val="center"/>
          </w:tcPr>
          <w:p w14:paraId="1160E963" w14:textId="77777777" w:rsidR="0064018D" w:rsidRPr="006645DC" w:rsidRDefault="0064018D" w:rsidP="005E0FF1">
            <w:pPr>
              <w:keepNext/>
              <w:keepLines/>
              <w:snapToGrid w:val="0"/>
              <w:spacing w:before="0" w:after="0"/>
              <w:jc w:val="left"/>
              <w:outlineLvl w:val="1"/>
              <w:rPr>
                <w:rFonts w:cs="Calibri"/>
                <w:lang w:val="en-GB"/>
              </w:rPr>
            </w:pPr>
            <w:bookmarkStart w:id="793" w:name="_Toc376199016"/>
            <w:r w:rsidRPr="006645DC">
              <w:rPr>
                <w:rFonts w:cs="Calibri"/>
                <w:lang w:val="en-GB"/>
              </w:rPr>
              <w:t>Călăraşi</w:t>
            </w:r>
            <w:bookmarkEnd w:id="793"/>
          </w:p>
        </w:tc>
        <w:tc>
          <w:tcPr>
            <w:tcW w:w="1894" w:type="dxa"/>
            <w:tcBorders>
              <w:top w:val="single" w:sz="4" w:space="0" w:color="auto"/>
              <w:left w:val="single" w:sz="4" w:space="0" w:color="auto"/>
              <w:bottom w:val="single" w:sz="4" w:space="0" w:color="auto"/>
              <w:right w:val="single" w:sz="4" w:space="0" w:color="auto"/>
            </w:tcBorders>
            <w:vAlign w:val="center"/>
          </w:tcPr>
          <w:p w14:paraId="4DE62FA4" w14:textId="77777777" w:rsidR="0064018D" w:rsidRPr="006645DC" w:rsidRDefault="0064018D" w:rsidP="005E0FF1">
            <w:pPr>
              <w:keepNext/>
              <w:keepLines/>
              <w:snapToGrid w:val="0"/>
              <w:spacing w:before="0" w:after="0"/>
              <w:jc w:val="center"/>
              <w:outlineLvl w:val="1"/>
              <w:rPr>
                <w:rFonts w:cs="Calibri"/>
                <w:lang w:val="en-GB"/>
              </w:rPr>
            </w:pPr>
            <w:bookmarkStart w:id="794" w:name="_Toc376199017"/>
            <w:r w:rsidRPr="006645DC">
              <w:rPr>
                <w:rFonts w:cs="Calibri"/>
                <w:color w:val="000000"/>
                <w:lang w:val="en-GB"/>
              </w:rPr>
              <w:t>9.60</w:t>
            </w:r>
            <w:bookmarkEnd w:id="794"/>
          </w:p>
        </w:tc>
        <w:tc>
          <w:tcPr>
            <w:tcW w:w="3477" w:type="dxa"/>
            <w:tcBorders>
              <w:top w:val="single" w:sz="4" w:space="0" w:color="auto"/>
              <w:left w:val="single" w:sz="4" w:space="0" w:color="auto"/>
              <w:bottom w:val="single" w:sz="4" w:space="0" w:color="auto"/>
              <w:right w:val="single" w:sz="4" w:space="0" w:color="auto"/>
            </w:tcBorders>
            <w:vAlign w:val="center"/>
          </w:tcPr>
          <w:p w14:paraId="12BE74A8" w14:textId="77777777" w:rsidR="0064018D" w:rsidRPr="006645DC" w:rsidRDefault="0064018D" w:rsidP="005E0FF1">
            <w:pPr>
              <w:keepNext/>
              <w:keepLines/>
              <w:snapToGrid w:val="0"/>
              <w:spacing w:before="0" w:after="0"/>
              <w:jc w:val="left"/>
              <w:outlineLvl w:val="1"/>
              <w:rPr>
                <w:rFonts w:cs="Calibri"/>
                <w:lang w:val="en-GB"/>
              </w:rPr>
            </w:pPr>
            <w:bookmarkStart w:id="795" w:name="_Toc376199018"/>
            <w:r w:rsidRPr="006645DC">
              <w:rPr>
                <w:rFonts w:cs="Calibri"/>
                <w:lang w:val="en-GB"/>
              </w:rPr>
              <w:t>Vratsa</w:t>
            </w:r>
            <w:bookmarkEnd w:id="795"/>
          </w:p>
        </w:tc>
        <w:tc>
          <w:tcPr>
            <w:tcW w:w="1173" w:type="dxa"/>
            <w:tcBorders>
              <w:top w:val="single" w:sz="4" w:space="0" w:color="auto"/>
              <w:left w:val="single" w:sz="4" w:space="0" w:color="auto"/>
              <w:bottom w:val="single" w:sz="4" w:space="0" w:color="auto"/>
              <w:right w:val="single" w:sz="4" w:space="0" w:color="auto"/>
            </w:tcBorders>
            <w:vAlign w:val="center"/>
          </w:tcPr>
          <w:p w14:paraId="2F8E0ED9" w14:textId="77777777" w:rsidR="0064018D" w:rsidRPr="006645DC" w:rsidRDefault="0064018D" w:rsidP="005E0FF1">
            <w:pPr>
              <w:keepNext/>
              <w:keepLines/>
              <w:snapToGrid w:val="0"/>
              <w:spacing w:before="0" w:after="0"/>
              <w:jc w:val="center"/>
              <w:outlineLvl w:val="1"/>
              <w:rPr>
                <w:rFonts w:cs="Calibri"/>
                <w:lang w:val="en-GB"/>
              </w:rPr>
            </w:pPr>
            <w:bookmarkStart w:id="796" w:name="_Toc376199019"/>
            <w:r w:rsidRPr="006645DC">
              <w:rPr>
                <w:rFonts w:cs="Calibri"/>
                <w:color w:val="000000"/>
                <w:lang w:val="en-GB"/>
              </w:rPr>
              <w:t>11,2</w:t>
            </w:r>
            <w:bookmarkEnd w:id="796"/>
          </w:p>
        </w:tc>
      </w:tr>
      <w:tr w:rsidR="0064018D" w:rsidRPr="006645DC" w14:paraId="0060FE77" w14:textId="77777777" w:rsidTr="005E0FF1">
        <w:trPr>
          <w:trHeight w:val="315"/>
          <w:jc w:val="center"/>
        </w:trPr>
        <w:tc>
          <w:tcPr>
            <w:tcW w:w="3447" w:type="dxa"/>
            <w:tcBorders>
              <w:top w:val="single" w:sz="4" w:space="0" w:color="auto"/>
              <w:left w:val="single" w:sz="4" w:space="0" w:color="auto"/>
              <w:bottom w:val="single" w:sz="4" w:space="0" w:color="auto"/>
              <w:right w:val="single" w:sz="4" w:space="0" w:color="auto"/>
            </w:tcBorders>
            <w:vAlign w:val="center"/>
          </w:tcPr>
          <w:p w14:paraId="5E9D25DB" w14:textId="77777777" w:rsidR="0064018D" w:rsidRPr="006645DC" w:rsidRDefault="0064018D" w:rsidP="005E0FF1">
            <w:pPr>
              <w:keepNext/>
              <w:keepLines/>
              <w:snapToGrid w:val="0"/>
              <w:spacing w:before="0" w:after="0"/>
              <w:jc w:val="left"/>
              <w:outlineLvl w:val="1"/>
              <w:rPr>
                <w:rFonts w:cs="Calibri"/>
                <w:lang w:val="en-GB"/>
              </w:rPr>
            </w:pPr>
            <w:bookmarkStart w:id="797" w:name="_Toc376199020"/>
            <w:r w:rsidRPr="006645DC">
              <w:rPr>
                <w:rFonts w:cs="Calibri"/>
                <w:lang w:val="en-GB"/>
              </w:rPr>
              <w:t>Giurgiu</w:t>
            </w:r>
            <w:bookmarkEnd w:id="797"/>
          </w:p>
        </w:tc>
        <w:tc>
          <w:tcPr>
            <w:tcW w:w="1894" w:type="dxa"/>
            <w:tcBorders>
              <w:top w:val="single" w:sz="4" w:space="0" w:color="auto"/>
              <w:left w:val="single" w:sz="4" w:space="0" w:color="auto"/>
              <w:bottom w:val="single" w:sz="4" w:space="0" w:color="auto"/>
              <w:right w:val="single" w:sz="4" w:space="0" w:color="auto"/>
            </w:tcBorders>
            <w:vAlign w:val="center"/>
          </w:tcPr>
          <w:p w14:paraId="4DC21E32" w14:textId="77777777" w:rsidR="0064018D" w:rsidRPr="006645DC" w:rsidRDefault="0064018D" w:rsidP="005E0FF1">
            <w:pPr>
              <w:keepNext/>
              <w:keepLines/>
              <w:snapToGrid w:val="0"/>
              <w:spacing w:before="0" w:after="0"/>
              <w:jc w:val="center"/>
              <w:outlineLvl w:val="1"/>
              <w:rPr>
                <w:rFonts w:cs="Calibri"/>
                <w:lang w:val="en-GB"/>
              </w:rPr>
            </w:pPr>
            <w:bookmarkStart w:id="798" w:name="_Toc376199021"/>
            <w:r w:rsidRPr="006645DC">
              <w:rPr>
                <w:rFonts w:cs="Calibri"/>
                <w:color w:val="000000"/>
                <w:lang w:val="en-GB"/>
              </w:rPr>
              <w:t>8.70</w:t>
            </w:r>
            <w:bookmarkEnd w:id="798"/>
          </w:p>
        </w:tc>
        <w:tc>
          <w:tcPr>
            <w:tcW w:w="3477" w:type="dxa"/>
            <w:tcBorders>
              <w:top w:val="single" w:sz="4" w:space="0" w:color="auto"/>
              <w:left w:val="single" w:sz="4" w:space="0" w:color="auto"/>
              <w:bottom w:val="single" w:sz="4" w:space="0" w:color="auto"/>
              <w:right w:val="single" w:sz="4" w:space="0" w:color="auto"/>
            </w:tcBorders>
            <w:vAlign w:val="center"/>
          </w:tcPr>
          <w:p w14:paraId="2B0D43A0" w14:textId="77777777" w:rsidR="0064018D" w:rsidRPr="006645DC" w:rsidRDefault="0064018D" w:rsidP="005E0FF1">
            <w:pPr>
              <w:keepNext/>
              <w:keepLines/>
              <w:snapToGrid w:val="0"/>
              <w:spacing w:before="0" w:after="0"/>
              <w:jc w:val="left"/>
              <w:outlineLvl w:val="1"/>
              <w:rPr>
                <w:rFonts w:cs="Calibri"/>
                <w:lang w:val="en-GB"/>
              </w:rPr>
            </w:pPr>
            <w:bookmarkStart w:id="799" w:name="_Toc376199022"/>
            <w:r w:rsidRPr="006645DC">
              <w:rPr>
                <w:rFonts w:cs="Calibri"/>
                <w:lang w:val="en-GB"/>
              </w:rPr>
              <w:t>Montana</w:t>
            </w:r>
            <w:bookmarkEnd w:id="799"/>
          </w:p>
        </w:tc>
        <w:tc>
          <w:tcPr>
            <w:tcW w:w="1173" w:type="dxa"/>
            <w:tcBorders>
              <w:top w:val="single" w:sz="4" w:space="0" w:color="auto"/>
              <w:left w:val="single" w:sz="4" w:space="0" w:color="auto"/>
              <w:bottom w:val="single" w:sz="4" w:space="0" w:color="auto"/>
              <w:right w:val="single" w:sz="4" w:space="0" w:color="auto"/>
            </w:tcBorders>
            <w:vAlign w:val="center"/>
          </w:tcPr>
          <w:p w14:paraId="36E81456" w14:textId="77777777" w:rsidR="0064018D" w:rsidRPr="006645DC" w:rsidRDefault="0064018D" w:rsidP="005E0FF1">
            <w:pPr>
              <w:keepNext/>
              <w:keepLines/>
              <w:snapToGrid w:val="0"/>
              <w:spacing w:before="0" w:after="0"/>
              <w:jc w:val="center"/>
              <w:outlineLvl w:val="1"/>
              <w:rPr>
                <w:rFonts w:cs="Calibri"/>
                <w:lang w:val="en-GB"/>
              </w:rPr>
            </w:pPr>
            <w:bookmarkStart w:id="800" w:name="_Toc376199023"/>
            <w:r w:rsidRPr="006645DC">
              <w:rPr>
                <w:rFonts w:cs="Calibri"/>
                <w:color w:val="000000"/>
                <w:lang w:val="en-GB"/>
              </w:rPr>
              <w:t>9,3</w:t>
            </w:r>
            <w:bookmarkEnd w:id="800"/>
          </w:p>
        </w:tc>
      </w:tr>
      <w:tr w:rsidR="0064018D" w:rsidRPr="006645DC" w14:paraId="540FA6BA" w14:textId="77777777" w:rsidTr="005E0FF1">
        <w:trPr>
          <w:trHeight w:val="315"/>
          <w:jc w:val="center"/>
        </w:trPr>
        <w:tc>
          <w:tcPr>
            <w:tcW w:w="3447" w:type="dxa"/>
            <w:tcBorders>
              <w:top w:val="single" w:sz="4" w:space="0" w:color="auto"/>
              <w:left w:val="single" w:sz="4" w:space="0" w:color="auto"/>
              <w:bottom w:val="single" w:sz="4" w:space="0" w:color="auto"/>
              <w:right w:val="single" w:sz="4" w:space="0" w:color="auto"/>
            </w:tcBorders>
            <w:vAlign w:val="center"/>
          </w:tcPr>
          <w:p w14:paraId="240EB8D4" w14:textId="77777777" w:rsidR="0064018D" w:rsidRPr="006645DC" w:rsidRDefault="0064018D" w:rsidP="005E0FF1">
            <w:pPr>
              <w:keepNext/>
              <w:keepLines/>
              <w:snapToGrid w:val="0"/>
              <w:spacing w:before="0" w:after="0"/>
              <w:jc w:val="left"/>
              <w:outlineLvl w:val="1"/>
              <w:rPr>
                <w:rFonts w:cs="Calibri"/>
                <w:lang w:val="en-GB"/>
              </w:rPr>
            </w:pPr>
            <w:bookmarkStart w:id="801" w:name="_Toc376199024"/>
            <w:r w:rsidRPr="006645DC">
              <w:rPr>
                <w:rFonts w:cs="Calibri"/>
                <w:lang w:val="en-GB"/>
              </w:rPr>
              <w:t>Teleorman</w:t>
            </w:r>
            <w:bookmarkEnd w:id="801"/>
          </w:p>
        </w:tc>
        <w:tc>
          <w:tcPr>
            <w:tcW w:w="1894" w:type="dxa"/>
            <w:tcBorders>
              <w:top w:val="single" w:sz="4" w:space="0" w:color="auto"/>
              <w:left w:val="single" w:sz="4" w:space="0" w:color="auto"/>
              <w:bottom w:val="single" w:sz="4" w:space="0" w:color="auto"/>
              <w:right w:val="single" w:sz="4" w:space="0" w:color="auto"/>
            </w:tcBorders>
            <w:vAlign w:val="center"/>
          </w:tcPr>
          <w:p w14:paraId="63D56D30" w14:textId="77777777" w:rsidR="0064018D" w:rsidRPr="006645DC" w:rsidRDefault="0064018D" w:rsidP="005E0FF1">
            <w:pPr>
              <w:keepNext/>
              <w:keepLines/>
              <w:snapToGrid w:val="0"/>
              <w:spacing w:before="0" w:after="0"/>
              <w:jc w:val="center"/>
              <w:outlineLvl w:val="1"/>
              <w:rPr>
                <w:rFonts w:cs="Calibri"/>
                <w:lang w:val="en-GB"/>
              </w:rPr>
            </w:pPr>
            <w:bookmarkStart w:id="802" w:name="_Toc376199025"/>
            <w:r w:rsidRPr="006645DC">
              <w:rPr>
                <w:rFonts w:cs="Calibri"/>
                <w:color w:val="000000"/>
                <w:lang w:val="en-GB"/>
              </w:rPr>
              <w:t>11.7</w:t>
            </w:r>
            <w:bookmarkEnd w:id="802"/>
          </w:p>
        </w:tc>
        <w:tc>
          <w:tcPr>
            <w:tcW w:w="3477" w:type="dxa"/>
            <w:tcBorders>
              <w:top w:val="single" w:sz="4" w:space="0" w:color="auto"/>
              <w:left w:val="single" w:sz="4" w:space="0" w:color="auto"/>
              <w:bottom w:val="single" w:sz="4" w:space="0" w:color="auto"/>
              <w:right w:val="single" w:sz="4" w:space="0" w:color="auto"/>
            </w:tcBorders>
            <w:vAlign w:val="center"/>
          </w:tcPr>
          <w:p w14:paraId="0DCAC04E" w14:textId="77777777" w:rsidR="0064018D" w:rsidRPr="006645DC" w:rsidRDefault="0064018D" w:rsidP="005E0FF1">
            <w:pPr>
              <w:keepNext/>
              <w:keepLines/>
              <w:snapToGrid w:val="0"/>
              <w:spacing w:before="0" w:after="0"/>
              <w:jc w:val="left"/>
              <w:outlineLvl w:val="1"/>
              <w:rPr>
                <w:rFonts w:cs="Calibri"/>
                <w:lang w:val="en-GB"/>
              </w:rPr>
            </w:pPr>
            <w:bookmarkStart w:id="803" w:name="_Toc376199026"/>
            <w:r w:rsidRPr="006645DC">
              <w:rPr>
                <w:rFonts w:cs="Calibri"/>
                <w:lang w:val="en-GB"/>
              </w:rPr>
              <w:t>Pleven</w:t>
            </w:r>
            <w:bookmarkEnd w:id="803"/>
          </w:p>
        </w:tc>
        <w:tc>
          <w:tcPr>
            <w:tcW w:w="1173" w:type="dxa"/>
            <w:tcBorders>
              <w:top w:val="single" w:sz="4" w:space="0" w:color="auto"/>
              <w:left w:val="single" w:sz="4" w:space="0" w:color="auto"/>
              <w:bottom w:val="single" w:sz="4" w:space="0" w:color="auto"/>
              <w:right w:val="single" w:sz="4" w:space="0" w:color="auto"/>
            </w:tcBorders>
            <w:vAlign w:val="center"/>
          </w:tcPr>
          <w:p w14:paraId="36401919" w14:textId="77777777" w:rsidR="0064018D" w:rsidRPr="006645DC" w:rsidRDefault="0064018D" w:rsidP="005E0FF1">
            <w:pPr>
              <w:keepNext/>
              <w:keepLines/>
              <w:snapToGrid w:val="0"/>
              <w:spacing w:before="0" w:after="0"/>
              <w:jc w:val="center"/>
              <w:outlineLvl w:val="1"/>
              <w:rPr>
                <w:rFonts w:cs="Calibri"/>
                <w:lang w:val="en-GB"/>
              </w:rPr>
            </w:pPr>
            <w:bookmarkStart w:id="804" w:name="_Toc376199027"/>
            <w:r w:rsidRPr="006645DC">
              <w:rPr>
                <w:rFonts w:cs="Calibri"/>
                <w:color w:val="000000"/>
                <w:lang w:val="en-GB"/>
              </w:rPr>
              <w:t>16,9</w:t>
            </w:r>
            <w:bookmarkEnd w:id="804"/>
          </w:p>
        </w:tc>
      </w:tr>
      <w:tr w:rsidR="0064018D" w:rsidRPr="006645DC" w14:paraId="1DF17B3C" w14:textId="77777777" w:rsidTr="005E0FF1">
        <w:trPr>
          <w:trHeight w:val="323"/>
          <w:jc w:val="center"/>
        </w:trPr>
        <w:tc>
          <w:tcPr>
            <w:tcW w:w="3447" w:type="dxa"/>
            <w:tcBorders>
              <w:top w:val="single" w:sz="4" w:space="0" w:color="auto"/>
              <w:left w:val="single" w:sz="4" w:space="0" w:color="auto"/>
              <w:bottom w:val="single" w:sz="4" w:space="0" w:color="auto"/>
              <w:right w:val="single" w:sz="4" w:space="0" w:color="auto"/>
            </w:tcBorders>
            <w:vAlign w:val="center"/>
          </w:tcPr>
          <w:p w14:paraId="777C14D2" w14:textId="77777777" w:rsidR="0064018D" w:rsidRPr="006645DC" w:rsidRDefault="0064018D" w:rsidP="005E0FF1">
            <w:pPr>
              <w:keepNext/>
              <w:keepLines/>
              <w:snapToGrid w:val="0"/>
              <w:spacing w:before="0" w:after="0"/>
              <w:jc w:val="left"/>
              <w:outlineLvl w:val="1"/>
              <w:rPr>
                <w:rFonts w:cs="Calibri"/>
                <w:lang w:val="en-GB"/>
              </w:rPr>
            </w:pPr>
            <w:bookmarkStart w:id="805" w:name="_Toc376199028"/>
            <w:r w:rsidRPr="006645DC">
              <w:rPr>
                <w:rFonts w:cs="Calibri"/>
                <w:lang w:val="en-GB"/>
              </w:rPr>
              <w:t>Dolj</w:t>
            </w:r>
            <w:bookmarkEnd w:id="805"/>
          </w:p>
        </w:tc>
        <w:tc>
          <w:tcPr>
            <w:tcW w:w="1894" w:type="dxa"/>
            <w:tcBorders>
              <w:top w:val="single" w:sz="4" w:space="0" w:color="auto"/>
              <w:left w:val="single" w:sz="4" w:space="0" w:color="auto"/>
              <w:bottom w:val="single" w:sz="4" w:space="0" w:color="auto"/>
              <w:right w:val="single" w:sz="4" w:space="0" w:color="auto"/>
            </w:tcBorders>
            <w:vAlign w:val="center"/>
          </w:tcPr>
          <w:p w14:paraId="6E37A1AA" w14:textId="77777777" w:rsidR="0064018D" w:rsidRPr="006645DC" w:rsidRDefault="0064018D" w:rsidP="005E0FF1">
            <w:pPr>
              <w:keepNext/>
              <w:keepLines/>
              <w:snapToGrid w:val="0"/>
              <w:spacing w:before="0" w:after="0"/>
              <w:jc w:val="center"/>
              <w:outlineLvl w:val="1"/>
              <w:rPr>
                <w:rFonts w:cs="Calibri"/>
                <w:lang w:val="en-GB"/>
              </w:rPr>
            </w:pPr>
            <w:bookmarkStart w:id="806" w:name="_Toc376199029"/>
            <w:r w:rsidRPr="006645DC">
              <w:rPr>
                <w:rFonts w:cs="Calibri"/>
                <w:color w:val="000000"/>
                <w:lang w:val="en-GB"/>
              </w:rPr>
              <w:t>22.</w:t>
            </w:r>
            <w:bookmarkEnd w:id="806"/>
          </w:p>
        </w:tc>
        <w:tc>
          <w:tcPr>
            <w:tcW w:w="3477" w:type="dxa"/>
            <w:tcBorders>
              <w:top w:val="single" w:sz="4" w:space="0" w:color="auto"/>
              <w:left w:val="single" w:sz="4" w:space="0" w:color="auto"/>
              <w:bottom w:val="single" w:sz="4" w:space="0" w:color="auto"/>
              <w:right w:val="single" w:sz="4" w:space="0" w:color="auto"/>
            </w:tcBorders>
            <w:vAlign w:val="center"/>
          </w:tcPr>
          <w:p w14:paraId="6741EDD1" w14:textId="77777777" w:rsidR="0064018D" w:rsidRPr="006645DC" w:rsidRDefault="0064018D" w:rsidP="005E0FF1">
            <w:pPr>
              <w:keepNext/>
              <w:keepLines/>
              <w:snapToGrid w:val="0"/>
              <w:spacing w:before="0" w:after="0"/>
              <w:jc w:val="left"/>
              <w:outlineLvl w:val="1"/>
              <w:rPr>
                <w:rFonts w:cs="Calibri"/>
                <w:lang w:val="en-GB"/>
              </w:rPr>
            </w:pPr>
            <w:bookmarkStart w:id="807" w:name="_Toc376199030"/>
            <w:r w:rsidRPr="006645DC">
              <w:rPr>
                <w:rFonts w:cs="Calibri"/>
                <w:lang w:val="en-GB"/>
              </w:rPr>
              <w:t>Veliko Turnovo</w:t>
            </w:r>
            <w:bookmarkEnd w:id="807"/>
          </w:p>
        </w:tc>
        <w:tc>
          <w:tcPr>
            <w:tcW w:w="1173" w:type="dxa"/>
            <w:tcBorders>
              <w:top w:val="single" w:sz="4" w:space="0" w:color="auto"/>
              <w:left w:val="single" w:sz="4" w:space="0" w:color="auto"/>
              <w:bottom w:val="single" w:sz="4" w:space="0" w:color="auto"/>
              <w:right w:val="single" w:sz="4" w:space="0" w:color="auto"/>
            </w:tcBorders>
            <w:vAlign w:val="center"/>
          </w:tcPr>
          <w:p w14:paraId="674D5CE4" w14:textId="77777777" w:rsidR="0064018D" w:rsidRPr="006645DC" w:rsidRDefault="0064018D" w:rsidP="005E0FF1">
            <w:pPr>
              <w:keepNext/>
              <w:keepLines/>
              <w:spacing w:before="0" w:after="0"/>
              <w:jc w:val="center"/>
              <w:outlineLvl w:val="1"/>
              <w:rPr>
                <w:rFonts w:cs="Calibri"/>
                <w:color w:val="000000"/>
                <w:lang w:val="en-GB"/>
              </w:rPr>
            </w:pPr>
            <w:bookmarkStart w:id="808" w:name="_Toc376199031"/>
            <w:r w:rsidRPr="006645DC">
              <w:rPr>
                <w:rFonts w:cs="Calibri"/>
                <w:color w:val="000000"/>
                <w:lang w:val="en-GB"/>
              </w:rPr>
              <w:t>17,9</w:t>
            </w:r>
            <w:bookmarkEnd w:id="808"/>
          </w:p>
        </w:tc>
      </w:tr>
      <w:tr w:rsidR="0064018D" w:rsidRPr="006645DC" w14:paraId="442BB11F" w14:textId="77777777" w:rsidTr="005E0FF1">
        <w:trPr>
          <w:trHeight w:val="315"/>
          <w:jc w:val="center"/>
        </w:trPr>
        <w:tc>
          <w:tcPr>
            <w:tcW w:w="3447" w:type="dxa"/>
            <w:tcBorders>
              <w:top w:val="single" w:sz="4" w:space="0" w:color="auto"/>
              <w:left w:val="single" w:sz="4" w:space="0" w:color="auto"/>
              <w:bottom w:val="single" w:sz="4" w:space="0" w:color="auto"/>
              <w:right w:val="single" w:sz="4" w:space="0" w:color="auto"/>
            </w:tcBorders>
            <w:vAlign w:val="center"/>
          </w:tcPr>
          <w:p w14:paraId="54116F8F" w14:textId="77777777" w:rsidR="0064018D" w:rsidRPr="006645DC" w:rsidRDefault="0064018D" w:rsidP="005E0FF1">
            <w:pPr>
              <w:keepNext/>
              <w:keepLines/>
              <w:snapToGrid w:val="0"/>
              <w:spacing w:before="0" w:after="0"/>
              <w:jc w:val="left"/>
              <w:outlineLvl w:val="1"/>
              <w:rPr>
                <w:rFonts w:cs="Calibri"/>
                <w:lang w:val="en-GB"/>
              </w:rPr>
            </w:pPr>
            <w:bookmarkStart w:id="809" w:name="_Toc376199032"/>
            <w:r w:rsidRPr="006645DC">
              <w:rPr>
                <w:rFonts w:cs="Calibri"/>
                <w:lang w:val="en-GB"/>
              </w:rPr>
              <w:t>Mehedinţi</w:t>
            </w:r>
            <w:bookmarkEnd w:id="809"/>
          </w:p>
        </w:tc>
        <w:tc>
          <w:tcPr>
            <w:tcW w:w="1894" w:type="dxa"/>
            <w:tcBorders>
              <w:top w:val="single" w:sz="4" w:space="0" w:color="auto"/>
              <w:left w:val="single" w:sz="4" w:space="0" w:color="auto"/>
              <w:bottom w:val="single" w:sz="4" w:space="0" w:color="auto"/>
              <w:right w:val="single" w:sz="4" w:space="0" w:color="auto"/>
            </w:tcBorders>
            <w:vAlign w:val="center"/>
          </w:tcPr>
          <w:p w14:paraId="3BF194B8" w14:textId="77777777" w:rsidR="0064018D" w:rsidRPr="006645DC" w:rsidRDefault="0064018D" w:rsidP="005E0FF1">
            <w:pPr>
              <w:keepNext/>
              <w:keepLines/>
              <w:snapToGrid w:val="0"/>
              <w:spacing w:before="0" w:after="0"/>
              <w:jc w:val="center"/>
              <w:outlineLvl w:val="1"/>
              <w:rPr>
                <w:rFonts w:cs="Calibri"/>
                <w:lang w:val="en-GB"/>
              </w:rPr>
            </w:pPr>
            <w:bookmarkStart w:id="810" w:name="_Toc376199033"/>
            <w:r w:rsidRPr="006645DC">
              <w:rPr>
                <w:rFonts w:cs="Calibri"/>
                <w:color w:val="000000"/>
                <w:lang w:val="en-GB"/>
              </w:rPr>
              <w:t>9.20</w:t>
            </w:r>
            <w:bookmarkEnd w:id="810"/>
          </w:p>
        </w:tc>
        <w:tc>
          <w:tcPr>
            <w:tcW w:w="3477" w:type="dxa"/>
            <w:tcBorders>
              <w:top w:val="single" w:sz="4" w:space="0" w:color="auto"/>
              <w:left w:val="single" w:sz="4" w:space="0" w:color="auto"/>
              <w:bottom w:val="single" w:sz="4" w:space="0" w:color="auto"/>
              <w:right w:val="single" w:sz="4" w:space="0" w:color="auto"/>
            </w:tcBorders>
            <w:vAlign w:val="center"/>
          </w:tcPr>
          <w:p w14:paraId="3DE33388" w14:textId="77777777" w:rsidR="0064018D" w:rsidRPr="006645DC" w:rsidRDefault="0064018D" w:rsidP="005E0FF1">
            <w:pPr>
              <w:keepNext/>
              <w:keepLines/>
              <w:snapToGrid w:val="0"/>
              <w:spacing w:before="0" w:after="0"/>
              <w:jc w:val="left"/>
              <w:outlineLvl w:val="1"/>
              <w:rPr>
                <w:rFonts w:cs="Calibri"/>
                <w:lang w:val="en-GB"/>
              </w:rPr>
            </w:pPr>
            <w:bookmarkStart w:id="811" w:name="_Toc376199034"/>
            <w:r w:rsidRPr="006645DC">
              <w:rPr>
                <w:rFonts w:cs="Calibri"/>
                <w:lang w:val="en-GB"/>
              </w:rPr>
              <w:t>Ruse</w:t>
            </w:r>
            <w:bookmarkEnd w:id="811"/>
          </w:p>
        </w:tc>
        <w:tc>
          <w:tcPr>
            <w:tcW w:w="1173" w:type="dxa"/>
            <w:tcBorders>
              <w:top w:val="single" w:sz="4" w:space="0" w:color="auto"/>
              <w:left w:val="single" w:sz="4" w:space="0" w:color="auto"/>
              <w:bottom w:val="single" w:sz="4" w:space="0" w:color="auto"/>
              <w:right w:val="single" w:sz="4" w:space="0" w:color="auto"/>
            </w:tcBorders>
            <w:vAlign w:val="center"/>
          </w:tcPr>
          <w:p w14:paraId="503CB655" w14:textId="77777777" w:rsidR="0064018D" w:rsidRPr="006645DC" w:rsidRDefault="0064018D" w:rsidP="005E0FF1">
            <w:pPr>
              <w:keepNext/>
              <w:keepLines/>
              <w:snapToGrid w:val="0"/>
              <w:spacing w:before="0" w:after="0"/>
              <w:jc w:val="center"/>
              <w:outlineLvl w:val="1"/>
              <w:rPr>
                <w:rFonts w:cs="Calibri"/>
                <w:lang w:val="en-GB"/>
              </w:rPr>
            </w:pPr>
            <w:bookmarkStart w:id="812" w:name="_Toc376199035"/>
            <w:r w:rsidRPr="006645DC">
              <w:rPr>
                <w:rFonts w:cs="Calibri"/>
                <w:color w:val="000000"/>
                <w:lang w:val="en-GB"/>
              </w:rPr>
              <w:t>16,8</w:t>
            </w:r>
            <w:bookmarkEnd w:id="812"/>
          </w:p>
        </w:tc>
      </w:tr>
      <w:tr w:rsidR="0064018D" w:rsidRPr="006645DC" w14:paraId="0C6CD7D8" w14:textId="77777777" w:rsidTr="005E0FF1">
        <w:trPr>
          <w:trHeight w:val="255"/>
          <w:jc w:val="center"/>
        </w:trPr>
        <w:tc>
          <w:tcPr>
            <w:tcW w:w="3447" w:type="dxa"/>
            <w:tcBorders>
              <w:top w:val="single" w:sz="4" w:space="0" w:color="auto"/>
              <w:left w:val="single" w:sz="4" w:space="0" w:color="auto"/>
              <w:bottom w:val="single" w:sz="4" w:space="0" w:color="auto"/>
              <w:right w:val="single" w:sz="4" w:space="0" w:color="auto"/>
            </w:tcBorders>
            <w:vAlign w:val="center"/>
          </w:tcPr>
          <w:p w14:paraId="5B36CEB9" w14:textId="77777777" w:rsidR="0064018D" w:rsidRPr="006645DC" w:rsidRDefault="0064018D" w:rsidP="005E0FF1">
            <w:pPr>
              <w:keepNext/>
              <w:keepLines/>
              <w:snapToGrid w:val="0"/>
              <w:spacing w:before="0" w:after="0"/>
              <w:jc w:val="left"/>
              <w:outlineLvl w:val="1"/>
              <w:rPr>
                <w:rFonts w:cs="Calibri"/>
                <w:lang w:val="en-GB"/>
              </w:rPr>
            </w:pPr>
            <w:bookmarkStart w:id="813" w:name="_Toc376199036"/>
            <w:r w:rsidRPr="006645DC">
              <w:rPr>
                <w:rFonts w:cs="Calibri"/>
                <w:lang w:val="en-GB"/>
              </w:rPr>
              <w:t>Olt</w:t>
            </w:r>
            <w:bookmarkEnd w:id="813"/>
          </w:p>
        </w:tc>
        <w:tc>
          <w:tcPr>
            <w:tcW w:w="1894" w:type="dxa"/>
            <w:tcBorders>
              <w:top w:val="single" w:sz="4" w:space="0" w:color="auto"/>
              <w:left w:val="single" w:sz="4" w:space="0" w:color="auto"/>
              <w:bottom w:val="single" w:sz="4" w:space="0" w:color="auto"/>
              <w:right w:val="single" w:sz="4" w:space="0" w:color="auto"/>
            </w:tcBorders>
            <w:vAlign w:val="center"/>
          </w:tcPr>
          <w:p w14:paraId="60A56E97" w14:textId="77777777" w:rsidR="0064018D" w:rsidRPr="006645DC" w:rsidRDefault="0064018D" w:rsidP="005E0FF1">
            <w:pPr>
              <w:keepNext/>
              <w:keepLines/>
              <w:snapToGrid w:val="0"/>
              <w:spacing w:before="0" w:after="0"/>
              <w:jc w:val="center"/>
              <w:outlineLvl w:val="1"/>
              <w:rPr>
                <w:rFonts w:cs="Calibri"/>
                <w:lang w:val="en-GB"/>
              </w:rPr>
            </w:pPr>
            <w:bookmarkStart w:id="814" w:name="_Toc376199037"/>
            <w:r w:rsidRPr="006645DC">
              <w:rPr>
                <w:rFonts w:cs="Calibri"/>
                <w:color w:val="000000"/>
                <w:lang w:val="en-GB"/>
              </w:rPr>
              <w:t>14.5</w:t>
            </w:r>
            <w:bookmarkEnd w:id="814"/>
          </w:p>
        </w:tc>
        <w:tc>
          <w:tcPr>
            <w:tcW w:w="3477" w:type="dxa"/>
            <w:tcBorders>
              <w:top w:val="single" w:sz="4" w:space="0" w:color="auto"/>
              <w:left w:val="single" w:sz="4" w:space="0" w:color="auto"/>
              <w:bottom w:val="single" w:sz="4" w:space="0" w:color="auto"/>
              <w:right w:val="single" w:sz="4" w:space="0" w:color="auto"/>
            </w:tcBorders>
            <w:vAlign w:val="center"/>
          </w:tcPr>
          <w:p w14:paraId="45907976" w14:textId="77777777" w:rsidR="0064018D" w:rsidRPr="006645DC" w:rsidRDefault="0064018D" w:rsidP="005E0FF1">
            <w:pPr>
              <w:keepNext/>
              <w:keepLines/>
              <w:snapToGrid w:val="0"/>
              <w:spacing w:before="0" w:after="0"/>
              <w:jc w:val="left"/>
              <w:outlineLvl w:val="1"/>
              <w:rPr>
                <w:rFonts w:cs="Calibri"/>
                <w:lang w:val="en-GB"/>
              </w:rPr>
            </w:pPr>
            <w:bookmarkStart w:id="815" w:name="_Toc376199038"/>
            <w:r w:rsidRPr="006645DC">
              <w:rPr>
                <w:rFonts w:cs="Calibri"/>
                <w:lang w:val="en-GB"/>
              </w:rPr>
              <w:t>Silistra</w:t>
            </w:r>
            <w:bookmarkEnd w:id="815"/>
          </w:p>
        </w:tc>
        <w:tc>
          <w:tcPr>
            <w:tcW w:w="1173" w:type="dxa"/>
            <w:tcBorders>
              <w:top w:val="single" w:sz="4" w:space="0" w:color="auto"/>
              <w:left w:val="single" w:sz="4" w:space="0" w:color="auto"/>
              <w:bottom w:val="single" w:sz="4" w:space="0" w:color="auto"/>
              <w:right w:val="single" w:sz="4" w:space="0" w:color="auto"/>
            </w:tcBorders>
            <w:vAlign w:val="center"/>
          </w:tcPr>
          <w:p w14:paraId="52907F34" w14:textId="77777777" w:rsidR="0064018D" w:rsidRPr="006645DC" w:rsidRDefault="0064018D" w:rsidP="005E0FF1">
            <w:pPr>
              <w:keepNext/>
              <w:keepLines/>
              <w:snapToGrid w:val="0"/>
              <w:spacing w:before="0" w:after="0"/>
              <w:jc w:val="center"/>
              <w:outlineLvl w:val="1"/>
              <w:rPr>
                <w:rFonts w:cs="Calibri"/>
                <w:lang w:val="en-GB"/>
              </w:rPr>
            </w:pPr>
            <w:bookmarkStart w:id="816" w:name="_Toc376199039"/>
            <w:r w:rsidRPr="006645DC">
              <w:rPr>
                <w:rFonts w:cs="Calibri"/>
                <w:color w:val="000000"/>
                <w:lang w:val="en-GB"/>
              </w:rPr>
              <w:t>7,7</w:t>
            </w:r>
            <w:bookmarkEnd w:id="816"/>
          </w:p>
        </w:tc>
      </w:tr>
      <w:tr w:rsidR="0064018D" w:rsidRPr="006645DC" w14:paraId="77747BB2" w14:textId="77777777" w:rsidTr="005E0FF1">
        <w:trPr>
          <w:trHeight w:val="217"/>
          <w:jc w:val="center"/>
        </w:trPr>
        <w:tc>
          <w:tcPr>
            <w:tcW w:w="5341" w:type="dxa"/>
            <w:gridSpan w:val="2"/>
            <w:tcBorders>
              <w:top w:val="single" w:sz="4" w:space="0" w:color="auto"/>
              <w:right w:val="single" w:sz="4" w:space="0" w:color="auto"/>
            </w:tcBorders>
            <w:vAlign w:val="center"/>
          </w:tcPr>
          <w:p w14:paraId="46A126CD" w14:textId="77777777" w:rsidR="0064018D" w:rsidRPr="006645DC" w:rsidRDefault="0064018D" w:rsidP="00546086">
            <w:pPr>
              <w:snapToGrid w:val="0"/>
              <w:spacing w:before="0" w:after="0"/>
              <w:jc w:val="center"/>
              <w:rPr>
                <w:rFonts w:cs="Calibri"/>
                <w:lang w:val="en-GB"/>
              </w:rPr>
            </w:pPr>
          </w:p>
        </w:tc>
        <w:tc>
          <w:tcPr>
            <w:tcW w:w="3477" w:type="dxa"/>
            <w:tcBorders>
              <w:top w:val="single" w:sz="4" w:space="0" w:color="auto"/>
              <w:left w:val="single" w:sz="4" w:space="0" w:color="auto"/>
              <w:bottom w:val="single" w:sz="4" w:space="0" w:color="auto"/>
              <w:right w:val="single" w:sz="4" w:space="0" w:color="auto"/>
            </w:tcBorders>
            <w:vAlign w:val="center"/>
          </w:tcPr>
          <w:p w14:paraId="2F5A5C31" w14:textId="77777777" w:rsidR="0064018D" w:rsidRPr="006645DC" w:rsidRDefault="0064018D" w:rsidP="005E0FF1">
            <w:pPr>
              <w:keepNext/>
              <w:keepLines/>
              <w:snapToGrid w:val="0"/>
              <w:spacing w:before="0" w:after="0"/>
              <w:jc w:val="left"/>
              <w:outlineLvl w:val="1"/>
              <w:rPr>
                <w:rFonts w:cs="Calibri"/>
                <w:lang w:val="en-GB"/>
              </w:rPr>
            </w:pPr>
            <w:bookmarkStart w:id="817" w:name="_Toc376199040"/>
            <w:r w:rsidRPr="006645DC">
              <w:rPr>
                <w:rFonts w:cs="Calibri"/>
                <w:lang w:val="en-GB"/>
              </w:rPr>
              <w:t>Dobrich</w:t>
            </w:r>
            <w:bookmarkEnd w:id="817"/>
          </w:p>
        </w:tc>
        <w:tc>
          <w:tcPr>
            <w:tcW w:w="1173" w:type="dxa"/>
            <w:tcBorders>
              <w:top w:val="single" w:sz="4" w:space="0" w:color="auto"/>
              <w:left w:val="single" w:sz="4" w:space="0" w:color="auto"/>
              <w:bottom w:val="single" w:sz="4" w:space="0" w:color="auto"/>
              <w:right w:val="single" w:sz="4" w:space="0" w:color="auto"/>
            </w:tcBorders>
            <w:vAlign w:val="center"/>
          </w:tcPr>
          <w:p w14:paraId="388F95D9" w14:textId="77777777" w:rsidR="0064018D" w:rsidRPr="006645DC" w:rsidRDefault="0064018D" w:rsidP="005E0FF1">
            <w:pPr>
              <w:keepNext/>
              <w:keepLines/>
              <w:spacing w:before="0" w:after="0"/>
              <w:jc w:val="center"/>
              <w:outlineLvl w:val="1"/>
              <w:rPr>
                <w:rFonts w:cs="Calibri"/>
                <w:color w:val="000000"/>
                <w:lang w:val="en-GB"/>
              </w:rPr>
            </w:pPr>
            <w:bookmarkStart w:id="818" w:name="_Toc376199041"/>
            <w:r w:rsidRPr="006645DC">
              <w:rPr>
                <w:rFonts w:cs="Calibri"/>
                <w:color w:val="000000"/>
                <w:lang w:val="en-GB"/>
              </w:rPr>
              <w:t>14,2</w:t>
            </w:r>
            <w:bookmarkEnd w:id="818"/>
          </w:p>
        </w:tc>
      </w:tr>
    </w:tbl>
    <w:p w14:paraId="4ABA6203" w14:textId="77777777" w:rsidR="0064018D" w:rsidRPr="006645DC" w:rsidRDefault="0064018D" w:rsidP="0064018D">
      <w:pPr>
        <w:pStyle w:val="Caption"/>
        <w:rPr>
          <w:rStyle w:val="SubtleEmphasis"/>
          <w:rFonts w:eastAsia="Calibri" w:cs="Times New Roman"/>
          <w:bCs/>
          <w:i/>
          <w:iCs/>
          <w:lang w:val="en-GB"/>
        </w:rPr>
      </w:pPr>
      <w:bookmarkStart w:id="819" w:name="_Toc391150121"/>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24</w:t>
      </w:r>
      <w:r w:rsidR="005979EB" w:rsidRPr="006645DC">
        <w:rPr>
          <w:lang w:val="en-GB"/>
        </w:rPr>
        <w:fldChar w:fldCharType="end"/>
      </w:r>
      <w:r w:rsidRPr="006645DC">
        <w:rPr>
          <w:lang w:val="en-GB"/>
        </w:rPr>
        <w:t xml:space="preserve"> - </w:t>
      </w:r>
      <w:r w:rsidRPr="006645DC">
        <w:rPr>
          <w:rStyle w:val="SubtleEmphasis"/>
          <w:i/>
          <w:iCs/>
          <w:color w:val="0070C0"/>
          <w:sz w:val="20"/>
          <w:lang w:val="en-GB"/>
        </w:rPr>
        <w:t>Working</w:t>
      </w:r>
      <w:r w:rsidRPr="006645DC">
        <w:rPr>
          <w:rStyle w:val="SubtleEmphasis"/>
          <w:lang w:val="en-GB"/>
        </w:rPr>
        <w:t>-</w:t>
      </w:r>
      <w:r w:rsidRPr="006645DC">
        <w:rPr>
          <w:rStyle w:val="SubtleEmphasis"/>
          <w:i/>
          <w:iCs/>
          <w:color w:val="0070C0"/>
          <w:sz w:val="20"/>
          <w:lang w:val="en-GB"/>
        </w:rPr>
        <w:t>age</w:t>
      </w:r>
      <w:r w:rsidRPr="006645DC">
        <w:rPr>
          <w:lang w:val="en-GB"/>
        </w:rPr>
        <w:t>population in the Ro-Bg cross-border region (districts and counties), in 2012</w:t>
      </w:r>
      <w:bookmarkEnd w:id="819"/>
    </w:p>
    <w:p w14:paraId="6B4EDACA" w14:textId="77777777" w:rsidR="0064018D" w:rsidRPr="006645DC" w:rsidRDefault="0064018D" w:rsidP="0064018D">
      <w:pPr>
        <w:pStyle w:val="Heading4"/>
        <w:rPr>
          <w:lang w:val="en-GB"/>
        </w:rPr>
      </w:pPr>
      <w:r w:rsidRPr="006645DC">
        <w:rPr>
          <w:rStyle w:val="SubtleEmphasis"/>
          <w:lang w:val="en-GB"/>
        </w:rPr>
        <w:t>Source: The National Institute of Statistics – Romania; The National Institute of Statistics – Bulgaria</w:t>
      </w:r>
    </w:p>
    <w:p w14:paraId="4B2C5F15" w14:textId="77777777" w:rsidR="0064018D" w:rsidRPr="006645DC" w:rsidRDefault="0064018D" w:rsidP="0064018D">
      <w:pPr>
        <w:rPr>
          <w:lang w:val="en-GB"/>
        </w:rPr>
      </w:pPr>
      <w:r w:rsidRPr="006645DC">
        <w:rPr>
          <w:lang w:val="en-GB"/>
        </w:rPr>
        <w:t xml:space="preserve">Regarding the situation in Bulgaria, the table below shows the clear and steady tendency of decrease of the workforce in all districts of the cross-border area with a slight increase observed for Veliko Turnovo in 2011 and 2012. However, this does not change the overall picture of the working age population of the cross-border area. The reasons for this steady decrease could be found in the overall negative demographic situation of the country (negative population growth and outward migration flows towards the capital and Varna, as well as abroad) combined with the economic crisis impact. The slight increase in the workforce for some districts in 2012 can be explained with the gradual increase of the retirement age entered into force as from 2011. </w:t>
      </w:r>
    </w:p>
    <w:p w14:paraId="00489175" w14:textId="77777777" w:rsidR="001E3B84" w:rsidRPr="006645DC" w:rsidRDefault="001E3B84" w:rsidP="0064018D">
      <w:pPr>
        <w:rPr>
          <w:lang w:val="en-GB"/>
        </w:rPr>
      </w:pPr>
    </w:p>
    <w:p w14:paraId="7B00ED66" w14:textId="77777777" w:rsidR="001E3B84" w:rsidRPr="006645DC" w:rsidRDefault="001E3B84" w:rsidP="0064018D">
      <w:pPr>
        <w:rPr>
          <w:lang w:val="en-GB"/>
        </w:rPr>
      </w:pPr>
    </w:p>
    <w:p w14:paraId="6DA04F39" w14:textId="77777777" w:rsidR="001E3B84" w:rsidRPr="006645DC" w:rsidRDefault="001E3B84" w:rsidP="0064018D">
      <w:pPr>
        <w:rPr>
          <w:lang w:val="en-GB"/>
        </w:rPr>
      </w:pPr>
    </w:p>
    <w:p w14:paraId="3A0C3EF6" w14:textId="77777777" w:rsidR="001E3B84" w:rsidRPr="006645DC" w:rsidRDefault="001E3B84" w:rsidP="0064018D">
      <w:pPr>
        <w:rPr>
          <w:lang w:val="en-GB"/>
        </w:rPr>
      </w:pPr>
    </w:p>
    <w:p w14:paraId="02D82396" w14:textId="77777777" w:rsidR="001E3B84" w:rsidRPr="006645DC" w:rsidRDefault="001E3B84" w:rsidP="0064018D">
      <w:pPr>
        <w:rPr>
          <w:lang w:val="en-GB"/>
        </w:rPr>
      </w:pPr>
    </w:p>
    <w:p w14:paraId="38D9D828" w14:textId="77777777" w:rsidR="001E3B84" w:rsidRPr="006645DC" w:rsidRDefault="001E3B84" w:rsidP="0064018D">
      <w:pPr>
        <w:rPr>
          <w:lang w:val="en-GB"/>
        </w:rPr>
      </w:pPr>
    </w:p>
    <w:p w14:paraId="184645E3" w14:textId="77777777" w:rsidR="001E3B84" w:rsidRPr="006645DC" w:rsidRDefault="001E3B84" w:rsidP="0064018D">
      <w:pPr>
        <w:rPr>
          <w:lang w:val="en-GB"/>
        </w:rPr>
      </w:pPr>
    </w:p>
    <w:p w14:paraId="5AF3C74A" w14:textId="77777777" w:rsidR="001E3B84" w:rsidRPr="006645DC" w:rsidRDefault="001E3B84" w:rsidP="0064018D">
      <w:pPr>
        <w:rPr>
          <w:lang w:val="en-GB"/>
        </w:rPr>
      </w:pPr>
    </w:p>
    <w:p w14:paraId="55315A11" w14:textId="77777777" w:rsidR="001E3B84" w:rsidRPr="006645DC" w:rsidRDefault="001E3B84" w:rsidP="0064018D">
      <w:pPr>
        <w:rPr>
          <w:lang w:val="en-GB"/>
        </w:rPr>
      </w:pPr>
    </w:p>
    <w:p w14:paraId="61592580" w14:textId="77777777" w:rsidR="001E3B84" w:rsidRPr="006645DC" w:rsidRDefault="001E3B84" w:rsidP="0064018D">
      <w:pPr>
        <w:rPr>
          <w:lang w:val="en-GB"/>
        </w:rPr>
      </w:pPr>
    </w:p>
    <w:p w14:paraId="34008BD9" w14:textId="77777777" w:rsidR="001E3B84" w:rsidRPr="006645DC" w:rsidRDefault="001E3B84" w:rsidP="0064018D">
      <w:pPr>
        <w:rPr>
          <w:lang w:val="en-GB"/>
        </w:rPr>
      </w:pPr>
    </w:p>
    <w:p w14:paraId="1401D056" w14:textId="77777777" w:rsidR="001E3B84" w:rsidRPr="006645DC" w:rsidRDefault="001E3B84" w:rsidP="0064018D">
      <w:pPr>
        <w:rPr>
          <w:lang w:val="en-GB"/>
        </w:rPr>
      </w:pPr>
    </w:p>
    <w:tbl>
      <w:tblPr>
        <w:tblW w:w="75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1114"/>
        <w:gridCol w:w="1114"/>
        <w:gridCol w:w="1114"/>
        <w:gridCol w:w="1114"/>
        <w:gridCol w:w="1114"/>
      </w:tblGrid>
      <w:tr w:rsidR="0064018D" w:rsidRPr="006645DC" w14:paraId="4931D49C" w14:textId="77777777" w:rsidTr="000375AC">
        <w:trPr>
          <w:trHeight w:val="20"/>
          <w:jc w:val="center"/>
        </w:trPr>
        <w:tc>
          <w:tcPr>
            <w:tcW w:w="2090" w:type="dxa"/>
            <w:shd w:val="clear" w:color="auto" w:fill="auto"/>
            <w:noWrap/>
            <w:hideMark/>
          </w:tcPr>
          <w:p w14:paraId="24A2382E" w14:textId="77777777" w:rsidR="0064018D" w:rsidRPr="006645DC" w:rsidRDefault="0064018D" w:rsidP="00393EB7">
            <w:pPr>
              <w:spacing w:before="0" w:after="0"/>
              <w:jc w:val="center"/>
              <w:rPr>
                <w:rFonts w:eastAsia="Times New Roman" w:cs="Calibri"/>
                <w:b/>
                <w:bCs/>
                <w:color w:val="000000"/>
                <w:lang w:val="en-GB"/>
              </w:rPr>
            </w:pPr>
            <w:r w:rsidRPr="006645DC">
              <w:rPr>
                <w:rFonts w:eastAsia="Times New Roman" w:cs="Calibri"/>
                <w:b/>
                <w:bCs/>
                <w:color w:val="000000"/>
                <w:lang w:val="en-GB"/>
              </w:rPr>
              <w:lastRenderedPageBreak/>
              <w:t>District</w:t>
            </w:r>
            <w:r w:rsidR="00AF7E90" w:rsidRPr="006645DC">
              <w:rPr>
                <w:rFonts w:eastAsia="Times New Roman" w:cs="Calibri"/>
                <w:b/>
                <w:bCs/>
                <w:color w:val="000000"/>
                <w:lang w:val="en-GB"/>
              </w:rPr>
              <w:t>/</w:t>
            </w:r>
            <w:r w:rsidR="00DB49FA" w:rsidRPr="006645DC">
              <w:rPr>
                <w:rFonts w:eastAsia="Times New Roman" w:cs="Calibri"/>
                <w:b/>
                <w:bCs/>
                <w:color w:val="000000"/>
                <w:lang w:val="en-GB"/>
              </w:rPr>
              <w:t>C</w:t>
            </w:r>
            <w:r w:rsidR="00AF7E90" w:rsidRPr="006645DC">
              <w:rPr>
                <w:rFonts w:eastAsia="Times New Roman" w:cs="Calibri"/>
                <w:b/>
                <w:bCs/>
                <w:color w:val="000000"/>
                <w:lang w:val="en-GB"/>
              </w:rPr>
              <w:t>ounty</w:t>
            </w:r>
          </w:p>
        </w:tc>
        <w:tc>
          <w:tcPr>
            <w:tcW w:w="1010" w:type="dxa"/>
            <w:shd w:val="clear" w:color="auto" w:fill="auto"/>
            <w:noWrap/>
            <w:hideMark/>
          </w:tcPr>
          <w:p w14:paraId="7E51F461" w14:textId="77777777" w:rsidR="0064018D" w:rsidRPr="006645DC" w:rsidRDefault="0064018D" w:rsidP="00393EB7">
            <w:pPr>
              <w:spacing w:before="0" w:after="0"/>
              <w:jc w:val="center"/>
              <w:rPr>
                <w:rFonts w:eastAsia="Times New Roman" w:cs="Calibri"/>
                <w:b/>
                <w:bCs/>
                <w:color w:val="000000"/>
                <w:lang w:val="en-GB"/>
              </w:rPr>
            </w:pPr>
            <w:r w:rsidRPr="006645DC">
              <w:rPr>
                <w:rFonts w:eastAsia="Times New Roman" w:cs="Calibri"/>
                <w:b/>
                <w:bCs/>
                <w:color w:val="000000"/>
                <w:lang w:val="en-GB"/>
              </w:rPr>
              <w:t>2008</w:t>
            </w:r>
          </w:p>
        </w:tc>
        <w:tc>
          <w:tcPr>
            <w:tcW w:w="1114" w:type="dxa"/>
            <w:shd w:val="clear" w:color="auto" w:fill="auto"/>
            <w:noWrap/>
            <w:hideMark/>
          </w:tcPr>
          <w:p w14:paraId="29192BDE" w14:textId="77777777" w:rsidR="0064018D" w:rsidRPr="006645DC" w:rsidRDefault="0064018D" w:rsidP="00393EB7">
            <w:pPr>
              <w:spacing w:before="0" w:after="0"/>
              <w:jc w:val="center"/>
              <w:rPr>
                <w:rFonts w:eastAsia="Times New Roman" w:cs="Calibri"/>
                <w:b/>
                <w:bCs/>
                <w:color w:val="000000"/>
                <w:lang w:val="en-GB"/>
              </w:rPr>
            </w:pPr>
            <w:r w:rsidRPr="006645DC">
              <w:rPr>
                <w:rFonts w:eastAsia="Times New Roman" w:cs="Calibri"/>
                <w:b/>
                <w:bCs/>
                <w:color w:val="000000"/>
                <w:lang w:val="en-GB"/>
              </w:rPr>
              <w:t>2009</w:t>
            </w:r>
          </w:p>
        </w:tc>
        <w:tc>
          <w:tcPr>
            <w:tcW w:w="1114" w:type="dxa"/>
            <w:shd w:val="clear" w:color="auto" w:fill="auto"/>
            <w:noWrap/>
            <w:hideMark/>
          </w:tcPr>
          <w:p w14:paraId="45B4BC97" w14:textId="77777777" w:rsidR="0064018D" w:rsidRPr="006645DC" w:rsidRDefault="0064018D" w:rsidP="00393EB7">
            <w:pPr>
              <w:spacing w:before="0" w:after="0"/>
              <w:jc w:val="center"/>
              <w:rPr>
                <w:rFonts w:eastAsia="Times New Roman" w:cs="Calibri"/>
                <w:b/>
                <w:bCs/>
                <w:color w:val="000000"/>
                <w:lang w:val="en-GB"/>
              </w:rPr>
            </w:pPr>
            <w:r w:rsidRPr="006645DC">
              <w:rPr>
                <w:rFonts w:eastAsia="Times New Roman" w:cs="Calibri"/>
                <w:b/>
                <w:bCs/>
                <w:color w:val="000000"/>
                <w:lang w:val="en-GB"/>
              </w:rPr>
              <w:t>2010</w:t>
            </w:r>
          </w:p>
        </w:tc>
        <w:tc>
          <w:tcPr>
            <w:tcW w:w="1114" w:type="dxa"/>
            <w:shd w:val="clear" w:color="auto" w:fill="auto"/>
            <w:noWrap/>
            <w:hideMark/>
          </w:tcPr>
          <w:p w14:paraId="41B3B7A2" w14:textId="77777777" w:rsidR="0064018D" w:rsidRPr="006645DC" w:rsidRDefault="0064018D" w:rsidP="00393EB7">
            <w:pPr>
              <w:spacing w:before="0" w:after="0"/>
              <w:jc w:val="center"/>
              <w:rPr>
                <w:rFonts w:eastAsia="Times New Roman" w:cs="Calibri"/>
                <w:b/>
                <w:bCs/>
                <w:color w:val="000000"/>
                <w:lang w:val="en-GB"/>
              </w:rPr>
            </w:pPr>
            <w:r w:rsidRPr="006645DC">
              <w:rPr>
                <w:rFonts w:eastAsia="Times New Roman" w:cs="Calibri"/>
                <w:b/>
                <w:bCs/>
                <w:color w:val="000000"/>
                <w:lang w:val="en-GB"/>
              </w:rPr>
              <w:t>2011</w:t>
            </w:r>
          </w:p>
        </w:tc>
        <w:tc>
          <w:tcPr>
            <w:tcW w:w="1114" w:type="dxa"/>
            <w:shd w:val="clear" w:color="auto" w:fill="auto"/>
            <w:noWrap/>
            <w:hideMark/>
          </w:tcPr>
          <w:p w14:paraId="2698A655" w14:textId="77777777" w:rsidR="0064018D" w:rsidRPr="006645DC" w:rsidRDefault="0064018D" w:rsidP="00393EB7">
            <w:pPr>
              <w:spacing w:before="0" w:after="0"/>
              <w:jc w:val="center"/>
              <w:rPr>
                <w:rFonts w:eastAsia="Times New Roman" w:cs="Calibri"/>
                <w:b/>
                <w:bCs/>
                <w:color w:val="000000"/>
                <w:lang w:val="en-GB"/>
              </w:rPr>
            </w:pPr>
            <w:r w:rsidRPr="006645DC">
              <w:rPr>
                <w:rFonts w:eastAsia="Times New Roman" w:cs="Calibri"/>
                <w:b/>
                <w:bCs/>
                <w:color w:val="000000"/>
                <w:lang w:val="en-GB"/>
              </w:rPr>
              <w:t>2012</w:t>
            </w:r>
          </w:p>
        </w:tc>
      </w:tr>
      <w:tr w:rsidR="0064018D" w:rsidRPr="006645DC" w14:paraId="0A727E09" w14:textId="77777777" w:rsidTr="000375AC">
        <w:trPr>
          <w:trHeight w:val="20"/>
          <w:jc w:val="center"/>
        </w:trPr>
        <w:tc>
          <w:tcPr>
            <w:tcW w:w="2090" w:type="dxa"/>
            <w:shd w:val="clear" w:color="auto" w:fill="auto"/>
            <w:noWrap/>
            <w:hideMark/>
          </w:tcPr>
          <w:p w14:paraId="17B63453" w14:textId="77777777" w:rsidR="0064018D" w:rsidRPr="006645DC" w:rsidRDefault="0064018D" w:rsidP="00393EB7">
            <w:pPr>
              <w:spacing w:before="0" w:after="0"/>
              <w:rPr>
                <w:rFonts w:eastAsia="Times New Roman" w:cs="Calibri"/>
                <w:color w:val="000000"/>
                <w:lang w:val="en-GB"/>
              </w:rPr>
            </w:pPr>
            <w:r w:rsidRPr="006645DC">
              <w:rPr>
                <w:rFonts w:eastAsia="Times New Roman" w:cs="Calibri"/>
                <w:color w:val="000000"/>
                <w:lang w:val="en-GB"/>
              </w:rPr>
              <w:t>Vidin</w:t>
            </w:r>
          </w:p>
        </w:tc>
        <w:tc>
          <w:tcPr>
            <w:tcW w:w="1010" w:type="dxa"/>
            <w:shd w:val="clear" w:color="auto" w:fill="auto"/>
            <w:noWrap/>
            <w:vAlign w:val="center"/>
            <w:hideMark/>
          </w:tcPr>
          <w:p w14:paraId="44020ADA"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20" w:name="_Toc376199042"/>
            <w:r w:rsidRPr="006645DC">
              <w:rPr>
                <w:rFonts w:eastAsia="Times New Roman" w:cs="Calibri"/>
                <w:color w:val="000000"/>
                <w:lang w:val="en-GB"/>
              </w:rPr>
              <w:t>44,4</w:t>
            </w:r>
            <w:bookmarkEnd w:id="820"/>
          </w:p>
        </w:tc>
        <w:tc>
          <w:tcPr>
            <w:tcW w:w="1114" w:type="dxa"/>
            <w:shd w:val="clear" w:color="auto" w:fill="auto"/>
            <w:noWrap/>
            <w:vAlign w:val="center"/>
            <w:hideMark/>
          </w:tcPr>
          <w:p w14:paraId="1D67179A"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21" w:name="_Toc376199043"/>
            <w:r w:rsidRPr="006645DC">
              <w:rPr>
                <w:rFonts w:eastAsia="Times New Roman" w:cs="Calibri"/>
                <w:color w:val="000000"/>
                <w:lang w:val="en-GB"/>
              </w:rPr>
              <w:t>40,6</w:t>
            </w:r>
            <w:bookmarkEnd w:id="821"/>
          </w:p>
        </w:tc>
        <w:tc>
          <w:tcPr>
            <w:tcW w:w="1114" w:type="dxa"/>
            <w:shd w:val="clear" w:color="auto" w:fill="auto"/>
            <w:noWrap/>
            <w:vAlign w:val="center"/>
            <w:hideMark/>
          </w:tcPr>
          <w:p w14:paraId="17013096"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22" w:name="_Toc376199044"/>
            <w:r w:rsidRPr="006645DC">
              <w:rPr>
                <w:rFonts w:eastAsia="Times New Roman" w:cs="Calibri"/>
                <w:color w:val="000000"/>
                <w:lang w:val="en-GB"/>
              </w:rPr>
              <w:t>38,2</w:t>
            </w:r>
            <w:bookmarkEnd w:id="822"/>
          </w:p>
        </w:tc>
        <w:tc>
          <w:tcPr>
            <w:tcW w:w="1114" w:type="dxa"/>
            <w:shd w:val="clear" w:color="auto" w:fill="auto"/>
            <w:noWrap/>
            <w:vAlign w:val="center"/>
            <w:hideMark/>
          </w:tcPr>
          <w:p w14:paraId="23B1A277"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23" w:name="_Toc376199045"/>
            <w:r w:rsidRPr="006645DC">
              <w:rPr>
                <w:rFonts w:eastAsia="Times New Roman" w:cs="Calibri"/>
                <w:color w:val="000000"/>
                <w:lang w:val="en-GB"/>
              </w:rPr>
              <w:t>39,6</w:t>
            </w:r>
            <w:bookmarkEnd w:id="823"/>
          </w:p>
        </w:tc>
        <w:tc>
          <w:tcPr>
            <w:tcW w:w="1114" w:type="dxa"/>
            <w:shd w:val="clear" w:color="auto" w:fill="auto"/>
            <w:noWrap/>
            <w:vAlign w:val="center"/>
            <w:hideMark/>
          </w:tcPr>
          <w:p w14:paraId="70B27D01"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24" w:name="_Toc376199046"/>
            <w:r w:rsidRPr="006645DC">
              <w:rPr>
                <w:rFonts w:eastAsia="Times New Roman" w:cs="Calibri"/>
                <w:color w:val="000000"/>
                <w:lang w:val="en-GB"/>
              </w:rPr>
              <w:t>38,6</w:t>
            </w:r>
            <w:bookmarkEnd w:id="824"/>
          </w:p>
        </w:tc>
      </w:tr>
      <w:tr w:rsidR="0064018D" w:rsidRPr="006645DC" w14:paraId="6FE46372" w14:textId="77777777" w:rsidTr="000375AC">
        <w:trPr>
          <w:trHeight w:val="20"/>
          <w:jc w:val="center"/>
        </w:trPr>
        <w:tc>
          <w:tcPr>
            <w:tcW w:w="2090" w:type="dxa"/>
            <w:shd w:val="clear" w:color="auto" w:fill="auto"/>
            <w:noWrap/>
            <w:hideMark/>
          </w:tcPr>
          <w:p w14:paraId="6559DDAF" w14:textId="77777777" w:rsidR="0064018D" w:rsidRPr="006645DC" w:rsidRDefault="0064018D" w:rsidP="00393EB7">
            <w:pPr>
              <w:keepNext/>
              <w:keepLines/>
              <w:spacing w:before="0" w:after="0"/>
              <w:ind w:left="757" w:hanging="360"/>
              <w:outlineLvl w:val="1"/>
              <w:rPr>
                <w:rFonts w:eastAsia="Times New Roman" w:cs="Calibri"/>
                <w:color w:val="000000"/>
                <w:lang w:val="en-GB"/>
              </w:rPr>
            </w:pPr>
            <w:bookmarkStart w:id="825" w:name="_Toc376199047"/>
            <w:r w:rsidRPr="006645DC">
              <w:rPr>
                <w:rFonts w:eastAsia="Times New Roman" w:cs="Calibri"/>
                <w:color w:val="000000"/>
                <w:lang w:val="en-GB"/>
              </w:rPr>
              <w:t>Vratsa</w:t>
            </w:r>
            <w:bookmarkEnd w:id="825"/>
          </w:p>
        </w:tc>
        <w:tc>
          <w:tcPr>
            <w:tcW w:w="1010" w:type="dxa"/>
            <w:shd w:val="clear" w:color="auto" w:fill="auto"/>
            <w:noWrap/>
            <w:vAlign w:val="center"/>
            <w:hideMark/>
          </w:tcPr>
          <w:p w14:paraId="439A682D"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26" w:name="_Toc376199048"/>
            <w:r w:rsidRPr="006645DC">
              <w:rPr>
                <w:rFonts w:eastAsia="Times New Roman" w:cs="Calibri"/>
                <w:color w:val="000000"/>
                <w:lang w:val="en-GB"/>
              </w:rPr>
              <w:t>83,6</w:t>
            </w:r>
            <w:bookmarkEnd w:id="826"/>
          </w:p>
        </w:tc>
        <w:tc>
          <w:tcPr>
            <w:tcW w:w="1114" w:type="dxa"/>
            <w:shd w:val="clear" w:color="auto" w:fill="auto"/>
            <w:noWrap/>
            <w:vAlign w:val="center"/>
            <w:hideMark/>
          </w:tcPr>
          <w:p w14:paraId="159B6BE1"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27" w:name="_Toc376199049"/>
            <w:r w:rsidRPr="006645DC">
              <w:rPr>
                <w:rFonts w:eastAsia="Times New Roman" w:cs="Calibri"/>
                <w:color w:val="000000"/>
                <w:lang w:val="en-GB"/>
              </w:rPr>
              <w:t>79,0</w:t>
            </w:r>
            <w:bookmarkEnd w:id="827"/>
          </w:p>
        </w:tc>
        <w:tc>
          <w:tcPr>
            <w:tcW w:w="1114" w:type="dxa"/>
            <w:shd w:val="clear" w:color="auto" w:fill="auto"/>
            <w:noWrap/>
            <w:vAlign w:val="center"/>
            <w:hideMark/>
          </w:tcPr>
          <w:p w14:paraId="06864EF0"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28" w:name="_Toc376199050"/>
            <w:r w:rsidRPr="006645DC">
              <w:rPr>
                <w:rFonts w:eastAsia="Times New Roman" w:cs="Calibri"/>
                <w:color w:val="000000"/>
                <w:lang w:val="en-GB"/>
              </w:rPr>
              <w:t>74,3</w:t>
            </w:r>
            <w:bookmarkEnd w:id="828"/>
          </w:p>
        </w:tc>
        <w:tc>
          <w:tcPr>
            <w:tcW w:w="1114" w:type="dxa"/>
            <w:shd w:val="clear" w:color="auto" w:fill="auto"/>
            <w:noWrap/>
            <w:vAlign w:val="center"/>
            <w:hideMark/>
          </w:tcPr>
          <w:p w14:paraId="698F0981"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29" w:name="_Toc376199051"/>
            <w:r w:rsidRPr="006645DC">
              <w:rPr>
                <w:rFonts w:eastAsia="Times New Roman" w:cs="Calibri"/>
                <w:color w:val="000000"/>
                <w:lang w:val="en-GB"/>
              </w:rPr>
              <w:t>72,7</w:t>
            </w:r>
            <w:bookmarkEnd w:id="829"/>
          </w:p>
        </w:tc>
        <w:tc>
          <w:tcPr>
            <w:tcW w:w="1114" w:type="dxa"/>
            <w:shd w:val="clear" w:color="auto" w:fill="auto"/>
            <w:noWrap/>
            <w:vAlign w:val="center"/>
            <w:hideMark/>
          </w:tcPr>
          <w:p w14:paraId="2F6C7C2C"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30" w:name="_Toc376199052"/>
            <w:r w:rsidRPr="006645DC">
              <w:rPr>
                <w:rFonts w:eastAsia="Times New Roman" w:cs="Calibri"/>
                <w:color w:val="000000"/>
                <w:lang w:val="en-GB"/>
              </w:rPr>
              <w:t>69,5</w:t>
            </w:r>
            <w:bookmarkEnd w:id="830"/>
          </w:p>
        </w:tc>
      </w:tr>
      <w:tr w:rsidR="0064018D" w:rsidRPr="006645DC" w14:paraId="1A415D99" w14:textId="77777777" w:rsidTr="000375AC">
        <w:trPr>
          <w:trHeight w:val="20"/>
          <w:jc w:val="center"/>
        </w:trPr>
        <w:tc>
          <w:tcPr>
            <w:tcW w:w="2090" w:type="dxa"/>
            <w:shd w:val="clear" w:color="auto" w:fill="auto"/>
            <w:noWrap/>
            <w:hideMark/>
          </w:tcPr>
          <w:p w14:paraId="27C806D9" w14:textId="77777777" w:rsidR="0064018D" w:rsidRPr="006645DC" w:rsidRDefault="0064018D" w:rsidP="00393EB7">
            <w:pPr>
              <w:keepNext/>
              <w:keepLines/>
              <w:spacing w:before="0" w:after="0"/>
              <w:ind w:left="757" w:hanging="360"/>
              <w:outlineLvl w:val="1"/>
              <w:rPr>
                <w:rFonts w:eastAsia="Times New Roman" w:cs="Calibri"/>
                <w:color w:val="000000"/>
                <w:lang w:val="en-GB"/>
              </w:rPr>
            </w:pPr>
            <w:bookmarkStart w:id="831" w:name="_Toc376199053"/>
            <w:r w:rsidRPr="006645DC">
              <w:rPr>
                <w:rFonts w:eastAsia="Times New Roman" w:cs="Calibri"/>
                <w:color w:val="000000"/>
                <w:lang w:val="en-GB"/>
              </w:rPr>
              <w:t>Montana</w:t>
            </w:r>
            <w:bookmarkEnd w:id="831"/>
          </w:p>
        </w:tc>
        <w:tc>
          <w:tcPr>
            <w:tcW w:w="1010" w:type="dxa"/>
            <w:shd w:val="clear" w:color="auto" w:fill="auto"/>
            <w:noWrap/>
            <w:vAlign w:val="center"/>
            <w:hideMark/>
          </w:tcPr>
          <w:p w14:paraId="3FBB852E"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32" w:name="_Toc376199054"/>
            <w:r w:rsidRPr="006645DC">
              <w:rPr>
                <w:rFonts w:eastAsia="Times New Roman" w:cs="Calibri"/>
                <w:color w:val="000000"/>
                <w:lang w:val="en-GB"/>
              </w:rPr>
              <w:t>66,8</w:t>
            </w:r>
            <w:bookmarkEnd w:id="832"/>
          </w:p>
        </w:tc>
        <w:tc>
          <w:tcPr>
            <w:tcW w:w="1114" w:type="dxa"/>
            <w:shd w:val="clear" w:color="auto" w:fill="auto"/>
            <w:noWrap/>
            <w:vAlign w:val="center"/>
            <w:hideMark/>
          </w:tcPr>
          <w:p w14:paraId="17F10117"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33" w:name="_Toc376199055"/>
            <w:r w:rsidRPr="006645DC">
              <w:rPr>
                <w:rFonts w:eastAsia="Times New Roman" w:cs="Calibri"/>
                <w:color w:val="000000"/>
                <w:lang w:val="en-GB"/>
              </w:rPr>
              <w:t>65,8</w:t>
            </w:r>
            <w:bookmarkEnd w:id="833"/>
          </w:p>
        </w:tc>
        <w:tc>
          <w:tcPr>
            <w:tcW w:w="1114" w:type="dxa"/>
            <w:shd w:val="clear" w:color="auto" w:fill="auto"/>
            <w:noWrap/>
            <w:vAlign w:val="center"/>
            <w:hideMark/>
          </w:tcPr>
          <w:p w14:paraId="13C39EDB"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34" w:name="_Toc376199056"/>
            <w:r w:rsidRPr="006645DC">
              <w:rPr>
                <w:rFonts w:eastAsia="Times New Roman" w:cs="Calibri"/>
                <w:color w:val="000000"/>
                <w:lang w:val="en-GB"/>
              </w:rPr>
              <w:t>62,7</w:t>
            </w:r>
            <w:bookmarkEnd w:id="834"/>
          </w:p>
        </w:tc>
        <w:tc>
          <w:tcPr>
            <w:tcW w:w="1114" w:type="dxa"/>
            <w:shd w:val="clear" w:color="auto" w:fill="auto"/>
            <w:noWrap/>
            <w:vAlign w:val="center"/>
            <w:hideMark/>
          </w:tcPr>
          <w:p w14:paraId="52B206AF"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35" w:name="_Toc376199057"/>
            <w:r w:rsidRPr="006645DC">
              <w:rPr>
                <w:rFonts w:eastAsia="Times New Roman" w:cs="Calibri"/>
                <w:color w:val="000000"/>
                <w:lang w:val="en-GB"/>
              </w:rPr>
              <w:t>58,3</w:t>
            </w:r>
            <w:bookmarkEnd w:id="835"/>
          </w:p>
        </w:tc>
        <w:tc>
          <w:tcPr>
            <w:tcW w:w="1114" w:type="dxa"/>
            <w:shd w:val="clear" w:color="auto" w:fill="auto"/>
            <w:noWrap/>
            <w:vAlign w:val="center"/>
            <w:hideMark/>
          </w:tcPr>
          <w:p w14:paraId="12B73A39"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36" w:name="_Toc376199058"/>
            <w:r w:rsidRPr="006645DC">
              <w:rPr>
                <w:rFonts w:eastAsia="Times New Roman" w:cs="Calibri"/>
                <w:color w:val="000000"/>
                <w:lang w:val="en-GB"/>
              </w:rPr>
              <w:t>57,7</w:t>
            </w:r>
            <w:bookmarkEnd w:id="836"/>
          </w:p>
        </w:tc>
      </w:tr>
      <w:tr w:rsidR="0064018D" w:rsidRPr="006645DC" w14:paraId="200FDF27" w14:textId="77777777" w:rsidTr="000375AC">
        <w:trPr>
          <w:trHeight w:val="20"/>
          <w:jc w:val="center"/>
        </w:trPr>
        <w:tc>
          <w:tcPr>
            <w:tcW w:w="2090" w:type="dxa"/>
            <w:shd w:val="clear" w:color="auto" w:fill="auto"/>
            <w:noWrap/>
            <w:hideMark/>
          </w:tcPr>
          <w:p w14:paraId="58B07598" w14:textId="77777777" w:rsidR="0064018D" w:rsidRPr="006645DC" w:rsidRDefault="0064018D" w:rsidP="00393EB7">
            <w:pPr>
              <w:keepNext/>
              <w:keepLines/>
              <w:spacing w:before="0" w:after="0"/>
              <w:ind w:left="757" w:hanging="360"/>
              <w:outlineLvl w:val="1"/>
              <w:rPr>
                <w:rFonts w:eastAsia="Times New Roman" w:cs="Calibri"/>
                <w:color w:val="000000"/>
                <w:lang w:val="en-GB"/>
              </w:rPr>
            </w:pPr>
            <w:bookmarkStart w:id="837" w:name="_Toc376199059"/>
            <w:r w:rsidRPr="006645DC">
              <w:rPr>
                <w:rFonts w:eastAsia="Times New Roman" w:cs="Calibri"/>
                <w:color w:val="000000"/>
                <w:lang w:val="en-GB"/>
              </w:rPr>
              <w:t>Pleven</w:t>
            </w:r>
            <w:bookmarkEnd w:id="837"/>
          </w:p>
        </w:tc>
        <w:tc>
          <w:tcPr>
            <w:tcW w:w="1010" w:type="dxa"/>
            <w:shd w:val="clear" w:color="auto" w:fill="auto"/>
            <w:noWrap/>
            <w:vAlign w:val="center"/>
            <w:hideMark/>
          </w:tcPr>
          <w:p w14:paraId="049C3F35"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38" w:name="_Toc376199060"/>
            <w:r w:rsidRPr="006645DC">
              <w:rPr>
                <w:rFonts w:eastAsia="Times New Roman" w:cs="Calibri"/>
                <w:color w:val="000000"/>
                <w:lang w:val="en-GB"/>
              </w:rPr>
              <w:t>124,7</w:t>
            </w:r>
            <w:bookmarkEnd w:id="838"/>
          </w:p>
        </w:tc>
        <w:tc>
          <w:tcPr>
            <w:tcW w:w="1114" w:type="dxa"/>
            <w:shd w:val="clear" w:color="auto" w:fill="auto"/>
            <w:noWrap/>
            <w:vAlign w:val="center"/>
            <w:hideMark/>
          </w:tcPr>
          <w:p w14:paraId="793198CF"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39" w:name="_Toc376199061"/>
            <w:r w:rsidRPr="006645DC">
              <w:rPr>
                <w:rFonts w:eastAsia="Times New Roman" w:cs="Calibri"/>
                <w:color w:val="000000"/>
                <w:lang w:val="en-GB"/>
              </w:rPr>
              <w:t>120,2</w:t>
            </w:r>
            <w:bookmarkEnd w:id="839"/>
          </w:p>
        </w:tc>
        <w:tc>
          <w:tcPr>
            <w:tcW w:w="1114" w:type="dxa"/>
            <w:shd w:val="clear" w:color="auto" w:fill="auto"/>
            <w:noWrap/>
            <w:vAlign w:val="center"/>
            <w:hideMark/>
          </w:tcPr>
          <w:p w14:paraId="7EC0451E"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40" w:name="_Toc376199062"/>
            <w:r w:rsidRPr="006645DC">
              <w:rPr>
                <w:rFonts w:eastAsia="Times New Roman" w:cs="Calibri"/>
                <w:color w:val="000000"/>
                <w:lang w:val="en-GB"/>
              </w:rPr>
              <w:t>115,0</w:t>
            </w:r>
            <w:bookmarkEnd w:id="840"/>
          </w:p>
        </w:tc>
        <w:tc>
          <w:tcPr>
            <w:tcW w:w="1114" w:type="dxa"/>
            <w:shd w:val="clear" w:color="auto" w:fill="auto"/>
            <w:noWrap/>
            <w:vAlign w:val="center"/>
            <w:hideMark/>
          </w:tcPr>
          <w:p w14:paraId="31287CEC"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41" w:name="_Toc376199063"/>
            <w:r w:rsidRPr="006645DC">
              <w:rPr>
                <w:rFonts w:eastAsia="Times New Roman" w:cs="Calibri"/>
                <w:color w:val="000000"/>
                <w:lang w:val="en-GB"/>
              </w:rPr>
              <w:t>108,0</w:t>
            </w:r>
            <w:bookmarkEnd w:id="841"/>
          </w:p>
        </w:tc>
        <w:tc>
          <w:tcPr>
            <w:tcW w:w="1114" w:type="dxa"/>
            <w:shd w:val="clear" w:color="auto" w:fill="auto"/>
            <w:noWrap/>
            <w:vAlign w:val="center"/>
            <w:hideMark/>
          </w:tcPr>
          <w:p w14:paraId="794D284C"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42" w:name="_Toc376199064"/>
            <w:r w:rsidRPr="006645DC">
              <w:rPr>
                <w:rFonts w:eastAsia="Times New Roman" w:cs="Calibri"/>
                <w:color w:val="000000"/>
                <w:lang w:val="en-GB"/>
              </w:rPr>
              <w:t>105,4</w:t>
            </w:r>
            <w:bookmarkEnd w:id="842"/>
          </w:p>
        </w:tc>
      </w:tr>
      <w:tr w:rsidR="0064018D" w:rsidRPr="006645DC" w14:paraId="09205DFB" w14:textId="77777777" w:rsidTr="000375AC">
        <w:trPr>
          <w:trHeight w:val="20"/>
          <w:jc w:val="center"/>
        </w:trPr>
        <w:tc>
          <w:tcPr>
            <w:tcW w:w="2090" w:type="dxa"/>
            <w:shd w:val="clear" w:color="auto" w:fill="auto"/>
            <w:noWrap/>
            <w:hideMark/>
          </w:tcPr>
          <w:p w14:paraId="1BF0923E" w14:textId="5E54A2BF" w:rsidR="0064018D" w:rsidRPr="006645DC" w:rsidRDefault="00625139" w:rsidP="00625139">
            <w:pPr>
              <w:keepNext/>
              <w:keepLines/>
              <w:spacing w:before="0" w:after="0"/>
              <w:ind w:left="757" w:hanging="360"/>
              <w:outlineLvl w:val="1"/>
              <w:rPr>
                <w:rFonts w:eastAsia="Times New Roman" w:cs="Calibri"/>
                <w:color w:val="000000"/>
                <w:lang w:val="en-GB"/>
              </w:rPr>
            </w:pPr>
            <w:bookmarkStart w:id="843" w:name="_Toc376199065"/>
            <w:r>
              <w:rPr>
                <w:rFonts w:eastAsia="Times New Roman" w:cs="Calibri"/>
                <w:color w:val="000000"/>
                <w:lang w:val="en-GB"/>
              </w:rPr>
              <w:t xml:space="preserve">Veliko </w:t>
            </w:r>
            <w:r w:rsidR="0064018D" w:rsidRPr="006645DC">
              <w:rPr>
                <w:rFonts w:eastAsia="Times New Roman" w:cs="Calibri"/>
                <w:color w:val="000000"/>
                <w:lang w:val="en-GB"/>
              </w:rPr>
              <w:t>T</w:t>
            </w:r>
            <w:r>
              <w:rPr>
                <w:rFonts w:eastAsia="Times New Roman" w:cs="Calibri"/>
                <w:color w:val="000000"/>
                <w:lang w:val="en-GB"/>
              </w:rPr>
              <w:t>u</w:t>
            </w:r>
            <w:r w:rsidR="0064018D" w:rsidRPr="006645DC">
              <w:rPr>
                <w:rFonts w:eastAsia="Times New Roman" w:cs="Calibri"/>
                <w:color w:val="000000"/>
                <w:lang w:val="en-GB"/>
              </w:rPr>
              <w:t>rnovo</w:t>
            </w:r>
            <w:bookmarkEnd w:id="843"/>
          </w:p>
        </w:tc>
        <w:tc>
          <w:tcPr>
            <w:tcW w:w="1010" w:type="dxa"/>
            <w:shd w:val="clear" w:color="auto" w:fill="auto"/>
            <w:noWrap/>
            <w:vAlign w:val="center"/>
            <w:hideMark/>
          </w:tcPr>
          <w:p w14:paraId="77271B67"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44" w:name="_Toc376199066"/>
            <w:r w:rsidRPr="006645DC">
              <w:rPr>
                <w:rFonts w:eastAsia="Times New Roman" w:cs="Calibri"/>
                <w:color w:val="000000"/>
                <w:lang w:val="en-GB"/>
              </w:rPr>
              <w:t>118,8</w:t>
            </w:r>
            <w:bookmarkEnd w:id="844"/>
          </w:p>
        </w:tc>
        <w:tc>
          <w:tcPr>
            <w:tcW w:w="1114" w:type="dxa"/>
            <w:shd w:val="clear" w:color="auto" w:fill="auto"/>
            <w:noWrap/>
            <w:vAlign w:val="center"/>
            <w:hideMark/>
          </w:tcPr>
          <w:p w14:paraId="3253382D"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45" w:name="_Toc376199067"/>
            <w:r w:rsidRPr="006645DC">
              <w:rPr>
                <w:rFonts w:eastAsia="Times New Roman" w:cs="Calibri"/>
                <w:color w:val="000000"/>
                <w:lang w:val="en-GB"/>
              </w:rPr>
              <w:t>114,6</w:t>
            </w:r>
            <w:bookmarkEnd w:id="845"/>
          </w:p>
        </w:tc>
        <w:tc>
          <w:tcPr>
            <w:tcW w:w="1114" w:type="dxa"/>
            <w:shd w:val="clear" w:color="auto" w:fill="auto"/>
            <w:noWrap/>
            <w:vAlign w:val="center"/>
            <w:hideMark/>
          </w:tcPr>
          <w:p w14:paraId="3D9EF6A2"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46" w:name="_Toc376199068"/>
            <w:r w:rsidRPr="006645DC">
              <w:rPr>
                <w:rFonts w:eastAsia="Times New Roman" w:cs="Calibri"/>
                <w:color w:val="000000"/>
                <w:lang w:val="en-GB"/>
              </w:rPr>
              <w:t>108,7</w:t>
            </w:r>
            <w:bookmarkEnd w:id="846"/>
          </w:p>
        </w:tc>
        <w:tc>
          <w:tcPr>
            <w:tcW w:w="1114" w:type="dxa"/>
            <w:shd w:val="clear" w:color="auto" w:fill="auto"/>
            <w:noWrap/>
            <w:vAlign w:val="center"/>
            <w:hideMark/>
          </w:tcPr>
          <w:p w14:paraId="166867FD"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47" w:name="_Toc376199069"/>
            <w:r w:rsidRPr="006645DC">
              <w:rPr>
                <w:rFonts w:eastAsia="Times New Roman" w:cs="Calibri"/>
                <w:color w:val="000000"/>
                <w:lang w:val="en-GB"/>
              </w:rPr>
              <w:t>109,4</w:t>
            </w:r>
            <w:bookmarkEnd w:id="847"/>
          </w:p>
        </w:tc>
        <w:tc>
          <w:tcPr>
            <w:tcW w:w="1114" w:type="dxa"/>
            <w:shd w:val="clear" w:color="auto" w:fill="auto"/>
            <w:noWrap/>
            <w:vAlign w:val="center"/>
            <w:hideMark/>
          </w:tcPr>
          <w:p w14:paraId="3E6A2529"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48" w:name="_Toc376199070"/>
            <w:r w:rsidRPr="006645DC">
              <w:rPr>
                <w:rFonts w:eastAsia="Times New Roman" w:cs="Calibri"/>
                <w:color w:val="000000"/>
                <w:lang w:val="en-GB"/>
              </w:rPr>
              <w:t>111,4</w:t>
            </w:r>
            <w:bookmarkEnd w:id="848"/>
          </w:p>
        </w:tc>
      </w:tr>
      <w:tr w:rsidR="0064018D" w:rsidRPr="006645DC" w14:paraId="189424ED" w14:textId="77777777" w:rsidTr="000375AC">
        <w:trPr>
          <w:trHeight w:val="20"/>
          <w:jc w:val="center"/>
        </w:trPr>
        <w:tc>
          <w:tcPr>
            <w:tcW w:w="2090" w:type="dxa"/>
            <w:shd w:val="clear" w:color="auto" w:fill="auto"/>
            <w:noWrap/>
            <w:hideMark/>
          </w:tcPr>
          <w:p w14:paraId="39C20F9F" w14:textId="77777777" w:rsidR="0064018D" w:rsidRPr="006645DC" w:rsidRDefault="0064018D" w:rsidP="00393EB7">
            <w:pPr>
              <w:keepNext/>
              <w:keepLines/>
              <w:spacing w:before="0" w:after="0"/>
              <w:ind w:left="757" w:hanging="360"/>
              <w:outlineLvl w:val="1"/>
              <w:rPr>
                <w:rFonts w:eastAsia="Times New Roman" w:cs="Calibri"/>
                <w:color w:val="000000"/>
                <w:lang w:val="en-GB"/>
              </w:rPr>
            </w:pPr>
            <w:bookmarkStart w:id="849" w:name="_Toc376199071"/>
            <w:r w:rsidRPr="006645DC">
              <w:rPr>
                <w:rFonts w:eastAsia="Times New Roman" w:cs="Calibri"/>
                <w:color w:val="000000"/>
                <w:lang w:val="en-GB"/>
              </w:rPr>
              <w:t>Ruse</w:t>
            </w:r>
            <w:bookmarkEnd w:id="849"/>
          </w:p>
        </w:tc>
        <w:tc>
          <w:tcPr>
            <w:tcW w:w="1010" w:type="dxa"/>
            <w:shd w:val="clear" w:color="auto" w:fill="auto"/>
            <w:noWrap/>
            <w:vAlign w:val="center"/>
            <w:hideMark/>
          </w:tcPr>
          <w:p w14:paraId="64DE0B65"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50" w:name="_Toc376199072"/>
            <w:r w:rsidRPr="006645DC">
              <w:rPr>
                <w:rFonts w:eastAsia="Times New Roman" w:cs="Calibri"/>
                <w:color w:val="000000"/>
                <w:lang w:val="en-GB"/>
              </w:rPr>
              <w:t>115,8</w:t>
            </w:r>
            <w:bookmarkEnd w:id="850"/>
          </w:p>
        </w:tc>
        <w:tc>
          <w:tcPr>
            <w:tcW w:w="1114" w:type="dxa"/>
            <w:shd w:val="clear" w:color="auto" w:fill="auto"/>
            <w:noWrap/>
            <w:vAlign w:val="center"/>
            <w:hideMark/>
          </w:tcPr>
          <w:p w14:paraId="35680A38"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51" w:name="_Toc376199073"/>
            <w:r w:rsidRPr="006645DC">
              <w:rPr>
                <w:rFonts w:eastAsia="Times New Roman" w:cs="Calibri"/>
                <w:color w:val="000000"/>
                <w:lang w:val="en-GB"/>
              </w:rPr>
              <w:t>117,9</w:t>
            </w:r>
            <w:bookmarkEnd w:id="851"/>
          </w:p>
        </w:tc>
        <w:tc>
          <w:tcPr>
            <w:tcW w:w="1114" w:type="dxa"/>
            <w:shd w:val="clear" w:color="auto" w:fill="auto"/>
            <w:noWrap/>
            <w:vAlign w:val="center"/>
            <w:hideMark/>
          </w:tcPr>
          <w:p w14:paraId="735CC8BA"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52" w:name="_Toc376199074"/>
            <w:r w:rsidRPr="006645DC">
              <w:rPr>
                <w:rFonts w:eastAsia="Times New Roman" w:cs="Calibri"/>
                <w:color w:val="000000"/>
                <w:lang w:val="en-GB"/>
              </w:rPr>
              <w:t>112,4</w:t>
            </w:r>
            <w:bookmarkEnd w:id="852"/>
          </w:p>
        </w:tc>
        <w:tc>
          <w:tcPr>
            <w:tcW w:w="1114" w:type="dxa"/>
            <w:shd w:val="clear" w:color="auto" w:fill="auto"/>
            <w:noWrap/>
            <w:vAlign w:val="center"/>
            <w:hideMark/>
          </w:tcPr>
          <w:p w14:paraId="498D853A"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53" w:name="_Toc376199075"/>
            <w:r w:rsidRPr="006645DC">
              <w:rPr>
                <w:rFonts w:eastAsia="Times New Roman" w:cs="Calibri"/>
                <w:color w:val="000000"/>
                <w:lang w:val="en-GB"/>
              </w:rPr>
              <w:t>105,3</w:t>
            </w:r>
            <w:bookmarkEnd w:id="853"/>
          </w:p>
        </w:tc>
        <w:tc>
          <w:tcPr>
            <w:tcW w:w="1114" w:type="dxa"/>
            <w:shd w:val="clear" w:color="auto" w:fill="auto"/>
            <w:noWrap/>
            <w:vAlign w:val="center"/>
            <w:hideMark/>
          </w:tcPr>
          <w:p w14:paraId="553CCD13"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54" w:name="_Toc376199076"/>
            <w:r w:rsidRPr="006645DC">
              <w:rPr>
                <w:rFonts w:eastAsia="Times New Roman" w:cs="Calibri"/>
                <w:color w:val="000000"/>
                <w:lang w:val="en-GB"/>
              </w:rPr>
              <w:t>104,4</w:t>
            </w:r>
            <w:bookmarkEnd w:id="854"/>
          </w:p>
        </w:tc>
      </w:tr>
      <w:tr w:rsidR="0064018D" w:rsidRPr="006645DC" w14:paraId="3604EDFE" w14:textId="77777777" w:rsidTr="000375AC">
        <w:trPr>
          <w:trHeight w:val="20"/>
          <w:jc w:val="center"/>
        </w:trPr>
        <w:tc>
          <w:tcPr>
            <w:tcW w:w="2090" w:type="dxa"/>
            <w:shd w:val="clear" w:color="auto" w:fill="auto"/>
            <w:noWrap/>
            <w:hideMark/>
          </w:tcPr>
          <w:p w14:paraId="06595578" w14:textId="77777777" w:rsidR="0064018D" w:rsidRPr="006645DC" w:rsidRDefault="0064018D" w:rsidP="00393EB7">
            <w:pPr>
              <w:keepNext/>
              <w:keepLines/>
              <w:spacing w:before="0" w:after="0"/>
              <w:ind w:left="757" w:hanging="360"/>
              <w:outlineLvl w:val="1"/>
              <w:rPr>
                <w:rFonts w:eastAsia="Times New Roman" w:cs="Calibri"/>
                <w:color w:val="000000"/>
                <w:lang w:val="en-GB"/>
              </w:rPr>
            </w:pPr>
            <w:bookmarkStart w:id="855" w:name="_Toc376199077"/>
            <w:r w:rsidRPr="006645DC">
              <w:rPr>
                <w:rFonts w:eastAsia="Times New Roman" w:cs="Calibri"/>
                <w:color w:val="000000"/>
                <w:lang w:val="en-GB"/>
              </w:rPr>
              <w:t>Silistra</w:t>
            </w:r>
            <w:bookmarkEnd w:id="855"/>
          </w:p>
        </w:tc>
        <w:tc>
          <w:tcPr>
            <w:tcW w:w="1010" w:type="dxa"/>
            <w:shd w:val="clear" w:color="auto" w:fill="auto"/>
            <w:noWrap/>
            <w:vAlign w:val="center"/>
            <w:hideMark/>
          </w:tcPr>
          <w:p w14:paraId="2C308701"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56" w:name="_Toc376199078"/>
            <w:r w:rsidRPr="006645DC">
              <w:rPr>
                <w:rFonts w:eastAsia="Times New Roman" w:cs="Calibri"/>
                <w:color w:val="000000"/>
                <w:lang w:val="en-GB"/>
              </w:rPr>
              <w:t>56,7</w:t>
            </w:r>
            <w:bookmarkEnd w:id="856"/>
          </w:p>
        </w:tc>
        <w:tc>
          <w:tcPr>
            <w:tcW w:w="1114" w:type="dxa"/>
            <w:shd w:val="clear" w:color="auto" w:fill="auto"/>
            <w:noWrap/>
            <w:vAlign w:val="center"/>
            <w:hideMark/>
          </w:tcPr>
          <w:p w14:paraId="5CB803DC"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57" w:name="_Toc376199079"/>
            <w:r w:rsidRPr="006645DC">
              <w:rPr>
                <w:rFonts w:eastAsia="Times New Roman" w:cs="Calibri"/>
                <w:color w:val="000000"/>
                <w:lang w:val="en-GB"/>
              </w:rPr>
              <w:t>52,8</w:t>
            </w:r>
            <w:bookmarkEnd w:id="857"/>
          </w:p>
        </w:tc>
        <w:tc>
          <w:tcPr>
            <w:tcW w:w="1114" w:type="dxa"/>
            <w:shd w:val="clear" w:color="auto" w:fill="auto"/>
            <w:noWrap/>
            <w:vAlign w:val="center"/>
            <w:hideMark/>
          </w:tcPr>
          <w:p w14:paraId="1A78E83D"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58" w:name="_Toc376199080"/>
            <w:r w:rsidRPr="006645DC">
              <w:rPr>
                <w:rFonts w:eastAsia="Times New Roman" w:cs="Calibri"/>
                <w:color w:val="000000"/>
                <w:lang w:val="en-GB"/>
              </w:rPr>
              <w:t>49,1</w:t>
            </w:r>
            <w:bookmarkEnd w:id="858"/>
          </w:p>
        </w:tc>
        <w:tc>
          <w:tcPr>
            <w:tcW w:w="1114" w:type="dxa"/>
            <w:shd w:val="clear" w:color="auto" w:fill="auto"/>
            <w:noWrap/>
            <w:vAlign w:val="center"/>
            <w:hideMark/>
          </w:tcPr>
          <w:p w14:paraId="2B72336B"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59" w:name="_Toc376199081"/>
            <w:r w:rsidRPr="006645DC">
              <w:rPr>
                <w:rFonts w:eastAsia="Times New Roman" w:cs="Calibri"/>
                <w:color w:val="000000"/>
                <w:lang w:val="en-GB"/>
              </w:rPr>
              <w:t>46,4</w:t>
            </w:r>
            <w:bookmarkEnd w:id="859"/>
          </w:p>
        </w:tc>
        <w:tc>
          <w:tcPr>
            <w:tcW w:w="1114" w:type="dxa"/>
            <w:shd w:val="clear" w:color="auto" w:fill="auto"/>
            <w:noWrap/>
            <w:vAlign w:val="center"/>
            <w:hideMark/>
          </w:tcPr>
          <w:p w14:paraId="572B5FBE"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60" w:name="_Toc376199082"/>
            <w:r w:rsidRPr="006645DC">
              <w:rPr>
                <w:rFonts w:eastAsia="Times New Roman" w:cs="Calibri"/>
                <w:color w:val="000000"/>
                <w:lang w:val="en-GB"/>
              </w:rPr>
              <w:t>47,8</w:t>
            </w:r>
            <w:bookmarkEnd w:id="860"/>
          </w:p>
        </w:tc>
      </w:tr>
      <w:tr w:rsidR="0064018D" w:rsidRPr="006645DC" w14:paraId="66BA17EC" w14:textId="77777777" w:rsidTr="000375AC">
        <w:trPr>
          <w:trHeight w:val="20"/>
          <w:jc w:val="center"/>
        </w:trPr>
        <w:tc>
          <w:tcPr>
            <w:tcW w:w="2090" w:type="dxa"/>
            <w:shd w:val="clear" w:color="auto" w:fill="auto"/>
            <w:noWrap/>
            <w:hideMark/>
          </w:tcPr>
          <w:p w14:paraId="762AE750" w14:textId="77777777" w:rsidR="0064018D" w:rsidRPr="006645DC" w:rsidRDefault="0064018D" w:rsidP="00393EB7">
            <w:pPr>
              <w:keepNext/>
              <w:keepLines/>
              <w:spacing w:before="0" w:after="0"/>
              <w:ind w:left="757" w:hanging="360"/>
              <w:outlineLvl w:val="1"/>
              <w:rPr>
                <w:rFonts w:eastAsia="Times New Roman" w:cs="Calibri"/>
                <w:color w:val="000000"/>
                <w:lang w:val="en-GB"/>
              </w:rPr>
            </w:pPr>
            <w:bookmarkStart w:id="861" w:name="_Toc376199083"/>
            <w:r w:rsidRPr="006645DC">
              <w:rPr>
                <w:rFonts w:eastAsia="Times New Roman" w:cs="Calibri"/>
                <w:color w:val="000000"/>
                <w:lang w:val="en-GB"/>
              </w:rPr>
              <w:t>Dobrich</w:t>
            </w:r>
            <w:bookmarkEnd w:id="861"/>
          </w:p>
        </w:tc>
        <w:tc>
          <w:tcPr>
            <w:tcW w:w="1010" w:type="dxa"/>
            <w:shd w:val="clear" w:color="auto" w:fill="auto"/>
            <w:noWrap/>
            <w:vAlign w:val="center"/>
            <w:hideMark/>
          </w:tcPr>
          <w:p w14:paraId="66F8D12F"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62" w:name="_Toc376199084"/>
            <w:r w:rsidRPr="006645DC">
              <w:rPr>
                <w:rFonts w:eastAsia="Times New Roman" w:cs="Calibri"/>
                <w:color w:val="000000"/>
                <w:lang w:val="en-GB"/>
              </w:rPr>
              <w:t>95,1</w:t>
            </w:r>
            <w:bookmarkEnd w:id="862"/>
          </w:p>
        </w:tc>
        <w:tc>
          <w:tcPr>
            <w:tcW w:w="1114" w:type="dxa"/>
            <w:shd w:val="clear" w:color="auto" w:fill="auto"/>
            <w:noWrap/>
            <w:vAlign w:val="center"/>
            <w:hideMark/>
          </w:tcPr>
          <w:p w14:paraId="727DF248"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63" w:name="_Toc376199085"/>
            <w:r w:rsidRPr="006645DC">
              <w:rPr>
                <w:rFonts w:eastAsia="Times New Roman" w:cs="Calibri"/>
                <w:color w:val="000000"/>
                <w:lang w:val="en-GB"/>
              </w:rPr>
              <w:t>91,3</w:t>
            </w:r>
            <w:bookmarkEnd w:id="863"/>
          </w:p>
        </w:tc>
        <w:tc>
          <w:tcPr>
            <w:tcW w:w="1114" w:type="dxa"/>
            <w:shd w:val="clear" w:color="auto" w:fill="auto"/>
            <w:noWrap/>
            <w:vAlign w:val="center"/>
            <w:hideMark/>
          </w:tcPr>
          <w:p w14:paraId="64C497CF"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64" w:name="_Toc376199086"/>
            <w:r w:rsidRPr="006645DC">
              <w:rPr>
                <w:rFonts w:eastAsia="Times New Roman" w:cs="Calibri"/>
                <w:color w:val="000000"/>
                <w:lang w:val="en-GB"/>
              </w:rPr>
              <w:t>90,3</w:t>
            </w:r>
            <w:bookmarkEnd w:id="864"/>
          </w:p>
        </w:tc>
        <w:tc>
          <w:tcPr>
            <w:tcW w:w="1114" w:type="dxa"/>
            <w:shd w:val="clear" w:color="auto" w:fill="auto"/>
            <w:noWrap/>
            <w:vAlign w:val="center"/>
            <w:hideMark/>
          </w:tcPr>
          <w:p w14:paraId="6500D084"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65" w:name="_Toc376199087"/>
            <w:r w:rsidRPr="006645DC">
              <w:rPr>
                <w:rFonts w:eastAsia="Times New Roman" w:cs="Calibri"/>
                <w:color w:val="000000"/>
                <w:lang w:val="en-GB"/>
              </w:rPr>
              <w:t>86,2</w:t>
            </w:r>
            <w:bookmarkEnd w:id="865"/>
          </w:p>
        </w:tc>
        <w:tc>
          <w:tcPr>
            <w:tcW w:w="1114" w:type="dxa"/>
            <w:shd w:val="clear" w:color="auto" w:fill="auto"/>
            <w:noWrap/>
            <w:vAlign w:val="center"/>
            <w:hideMark/>
          </w:tcPr>
          <w:p w14:paraId="6B4C3C81" w14:textId="77777777" w:rsidR="0064018D" w:rsidRPr="006645DC" w:rsidRDefault="0064018D" w:rsidP="00393EB7">
            <w:pPr>
              <w:keepNext/>
              <w:keepLines/>
              <w:spacing w:before="0" w:after="0"/>
              <w:ind w:left="757" w:hanging="360"/>
              <w:jc w:val="center"/>
              <w:outlineLvl w:val="1"/>
              <w:rPr>
                <w:rFonts w:eastAsia="Times New Roman" w:cs="Calibri"/>
                <w:color w:val="000000"/>
                <w:lang w:val="en-GB"/>
              </w:rPr>
            </w:pPr>
            <w:bookmarkStart w:id="866" w:name="_Toc376199088"/>
            <w:r w:rsidRPr="006645DC">
              <w:rPr>
                <w:rFonts w:eastAsia="Times New Roman" w:cs="Calibri"/>
                <w:color w:val="000000"/>
                <w:lang w:val="en-GB"/>
              </w:rPr>
              <w:t>88,2</w:t>
            </w:r>
            <w:bookmarkEnd w:id="866"/>
          </w:p>
        </w:tc>
      </w:tr>
      <w:tr w:rsidR="00AF7E90" w:rsidRPr="006645DC" w14:paraId="2E885A49" w14:textId="77777777" w:rsidTr="000375AC">
        <w:trPr>
          <w:trHeight w:val="20"/>
          <w:jc w:val="center"/>
        </w:trPr>
        <w:tc>
          <w:tcPr>
            <w:tcW w:w="2090" w:type="dxa"/>
            <w:shd w:val="clear" w:color="auto" w:fill="auto"/>
            <w:noWrap/>
          </w:tcPr>
          <w:p w14:paraId="0C34AAB4" w14:textId="77777777" w:rsidR="00AF7E90" w:rsidRPr="006645DC" w:rsidRDefault="00AF7E90" w:rsidP="00393EB7">
            <w:pPr>
              <w:keepNext/>
              <w:keepLines/>
              <w:spacing w:before="0" w:after="0"/>
              <w:ind w:left="757" w:hanging="360"/>
              <w:outlineLvl w:val="1"/>
              <w:rPr>
                <w:rFonts w:eastAsia="Times New Roman" w:cs="Calibri"/>
                <w:color w:val="000000"/>
                <w:lang w:val="en-GB"/>
              </w:rPr>
            </w:pPr>
            <w:bookmarkStart w:id="867" w:name="_Toc376199089"/>
            <w:r w:rsidRPr="006645DC">
              <w:rPr>
                <w:rFonts w:eastAsia="Times New Roman" w:cs="Calibri"/>
                <w:color w:val="000000"/>
                <w:lang w:val="en-GB"/>
              </w:rPr>
              <w:t>Constanta</w:t>
            </w:r>
            <w:bookmarkEnd w:id="867"/>
          </w:p>
        </w:tc>
        <w:tc>
          <w:tcPr>
            <w:tcW w:w="1010" w:type="dxa"/>
            <w:shd w:val="clear" w:color="auto" w:fill="auto"/>
            <w:noWrap/>
          </w:tcPr>
          <w:p w14:paraId="5B85796E"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68" w:name="_Toc376199090"/>
            <w:r w:rsidRPr="006645DC">
              <w:rPr>
                <w:rFonts w:eastAsia="Times New Roman" w:cs="Calibri"/>
                <w:color w:val="000000"/>
                <w:lang w:val="en-GB"/>
              </w:rPr>
              <w:t>490</w:t>
            </w:r>
            <w:r w:rsidR="005B688F" w:rsidRPr="006645DC">
              <w:rPr>
                <w:rFonts w:eastAsia="Times New Roman" w:cs="Calibri"/>
                <w:color w:val="000000"/>
                <w:lang w:val="en-GB"/>
              </w:rPr>
              <w:t>,</w:t>
            </w:r>
            <w:r w:rsidRPr="006645DC">
              <w:rPr>
                <w:rFonts w:eastAsia="Times New Roman" w:cs="Calibri"/>
                <w:color w:val="000000"/>
                <w:lang w:val="en-GB"/>
              </w:rPr>
              <w:t>7</w:t>
            </w:r>
            <w:bookmarkEnd w:id="868"/>
          </w:p>
        </w:tc>
        <w:tc>
          <w:tcPr>
            <w:tcW w:w="1114" w:type="dxa"/>
            <w:shd w:val="clear" w:color="auto" w:fill="auto"/>
            <w:noWrap/>
          </w:tcPr>
          <w:p w14:paraId="2A905A16"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69" w:name="_Toc376199091"/>
            <w:r w:rsidRPr="006645DC">
              <w:rPr>
                <w:rFonts w:eastAsia="Times New Roman" w:cs="Calibri"/>
                <w:color w:val="000000"/>
                <w:lang w:val="en-GB"/>
              </w:rPr>
              <w:t>495</w:t>
            </w:r>
            <w:bookmarkEnd w:id="869"/>
          </w:p>
        </w:tc>
        <w:tc>
          <w:tcPr>
            <w:tcW w:w="1114" w:type="dxa"/>
            <w:shd w:val="clear" w:color="auto" w:fill="auto"/>
            <w:noWrap/>
          </w:tcPr>
          <w:p w14:paraId="7EDCD1C2"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70" w:name="_Toc376199092"/>
            <w:r w:rsidRPr="006645DC">
              <w:rPr>
                <w:rFonts w:eastAsia="Times New Roman" w:cs="Calibri"/>
                <w:color w:val="000000"/>
                <w:lang w:val="en-GB"/>
              </w:rPr>
              <w:t>498</w:t>
            </w:r>
            <w:r w:rsidR="005B688F" w:rsidRPr="006645DC">
              <w:rPr>
                <w:rFonts w:eastAsia="Times New Roman" w:cs="Calibri"/>
                <w:color w:val="000000"/>
                <w:lang w:val="en-GB"/>
              </w:rPr>
              <w:t>,</w:t>
            </w:r>
            <w:r w:rsidRPr="006645DC">
              <w:rPr>
                <w:rFonts w:eastAsia="Times New Roman" w:cs="Calibri"/>
                <w:color w:val="000000"/>
                <w:lang w:val="en-GB"/>
              </w:rPr>
              <w:t>7</w:t>
            </w:r>
            <w:bookmarkEnd w:id="870"/>
          </w:p>
        </w:tc>
        <w:tc>
          <w:tcPr>
            <w:tcW w:w="1114" w:type="dxa"/>
            <w:shd w:val="clear" w:color="auto" w:fill="auto"/>
            <w:noWrap/>
          </w:tcPr>
          <w:p w14:paraId="78680286"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71" w:name="_Toc376199093"/>
            <w:r w:rsidRPr="006645DC">
              <w:rPr>
                <w:rFonts w:eastAsia="Times New Roman" w:cs="Calibri"/>
                <w:color w:val="000000"/>
                <w:lang w:val="en-GB"/>
              </w:rPr>
              <w:t>497</w:t>
            </w:r>
            <w:bookmarkEnd w:id="871"/>
          </w:p>
        </w:tc>
        <w:tc>
          <w:tcPr>
            <w:tcW w:w="1114" w:type="dxa"/>
            <w:shd w:val="clear" w:color="auto" w:fill="auto"/>
            <w:noWrap/>
          </w:tcPr>
          <w:p w14:paraId="4935C30B"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72" w:name="_Toc376199094"/>
            <w:r w:rsidRPr="006645DC">
              <w:rPr>
                <w:rFonts w:eastAsia="Times New Roman" w:cs="Calibri"/>
                <w:color w:val="000000"/>
                <w:lang w:val="en-GB"/>
              </w:rPr>
              <w:t>493</w:t>
            </w:r>
            <w:r w:rsidR="005B688F" w:rsidRPr="006645DC">
              <w:rPr>
                <w:rFonts w:eastAsia="Times New Roman" w:cs="Calibri"/>
                <w:color w:val="000000"/>
                <w:lang w:val="en-GB"/>
              </w:rPr>
              <w:t>,</w:t>
            </w:r>
            <w:r w:rsidRPr="006645DC">
              <w:rPr>
                <w:rFonts w:eastAsia="Times New Roman" w:cs="Calibri"/>
                <w:color w:val="000000"/>
                <w:lang w:val="en-GB"/>
              </w:rPr>
              <w:t>8</w:t>
            </w:r>
            <w:bookmarkEnd w:id="872"/>
          </w:p>
        </w:tc>
      </w:tr>
      <w:tr w:rsidR="00AF7E90" w:rsidRPr="006645DC" w14:paraId="5A05B342" w14:textId="77777777" w:rsidTr="000375AC">
        <w:trPr>
          <w:trHeight w:val="20"/>
          <w:jc w:val="center"/>
        </w:trPr>
        <w:tc>
          <w:tcPr>
            <w:tcW w:w="2090" w:type="dxa"/>
            <w:shd w:val="clear" w:color="auto" w:fill="auto"/>
            <w:noWrap/>
          </w:tcPr>
          <w:p w14:paraId="3FFC5B77" w14:textId="77777777" w:rsidR="00AF7E90" w:rsidRPr="006645DC" w:rsidRDefault="00AF7E90" w:rsidP="00393EB7">
            <w:pPr>
              <w:keepNext/>
              <w:keepLines/>
              <w:spacing w:before="0" w:after="0"/>
              <w:ind w:left="757" w:hanging="360"/>
              <w:outlineLvl w:val="1"/>
              <w:rPr>
                <w:rFonts w:eastAsia="Times New Roman" w:cs="Calibri"/>
                <w:color w:val="000000"/>
                <w:lang w:val="en-GB"/>
              </w:rPr>
            </w:pPr>
            <w:bookmarkStart w:id="873" w:name="_Toc376199095"/>
            <w:r w:rsidRPr="006645DC">
              <w:rPr>
                <w:rFonts w:eastAsia="Times New Roman" w:cs="Calibri"/>
                <w:color w:val="000000"/>
                <w:lang w:val="en-GB"/>
              </w:rPr>
              <w:t>Calarasi</w:t>
            </w:r>
            <w:bookmarkEnd w:id="873"/>
          </w:p>
        </w:tc>
        <w:tc>
          <w:tcPr>
            <w:tcW w:w="1010" w:type="dxa"/>
            <w:shd w:val="clear" w:color="auto" w:fill="auto"/>
            <w:noWrap/>
          </w:tcPr>
          <w:p w14:paraId="4F4DBFDE"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74" w:name="_Toc376199096"/>
            <w:r w:rsidRPr="006645DC">
              <w:rPr>
                <w:rFonts w:eastAsia="Times New Roman" w:cs="Calibri"/>
                <w:color w:val="000000"/>
                <w:lang w:val="en-GB"/>
              </w:rPr>
              <w:t>191</w:t>
            </w:r>
            <w:r w:rsidR="005B688F" w:rsidRPr="006645DC">
              <w:rPr>
                <w:rFonts w:eastAsia="Times New Roman" w:cs="Calibri"/>
                <w:color w:val="000000"/>
                <w:lang w:val="en-GB"/>
              </w:rPr>
              <w:t>,</w:t>
            </w:r>
            <w:r w:rsidRPr="006645DC">
              <w:rPr>
                <w:rFonts w:eastAsia="Times New Roman" w:cs="Calibri"/>
                <w:color w:val="000000"/>
                <w:lang w:val="en-GB"/>
              </w:rPr>
              <w:t>4</w:t>
            </w:r>
            <w:bookmarkEnd w:id="874"/>
          </w:p>
        </w:tc>
        <w:tc>
          <w:tcPr>
            <w:tcW w:w="1114" w:type="dxa"/>
            <w:shd w:val="clear" w:color="auto" w:fill="auto"/>
            <w:noWrap/>
          </w:tcPr>
          <w:p w14:paraId="74C6871B"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75" w:name="_Toc376199097"/>
            <w:r w:rsidRPr="006645DC">
              <w:rPr>
                <w:rFonts w:eastAsia="Times New Roman" w:cs="Calibri"/>
                <w:color w:val="000000"/>
                <w:lang w:val="en-GB"/>
              </w:rPr>
              <w:t>193</w:t>
            </w:r>
            <w:r w:rsidR="005B688F" w:rsidRPr="006645DC">
              <w:rPr>
                <w:rFonts w:eastAsia="Times New Roman" w:cs="Calibri"/>
                <w:color w:val="000000"/>
                <w:lang w:val="en-GB"/>
              </w:rPr>
              <w:t>,</w:t>
            </w:r>
            <w:r w:rsidRPr="006645DC">
              <w:rPr>
                <w:rFonts w:eastAsia="Times New Roman" w:cs="Calibri"/>
                <w:color w:val="000000"/>
                <w:lang w:val="en-GB"/>
              </w:rPr>
              <w:t>8</w:t>
            </w:r>
            <w:bookmarkEnd w:id="875"/>
          </w:p>
        </w:tc>
        <w:tc>
          <w:tcPr>
            <w:tcW w:w="1114" w:type="dxa"/>
            <w:shd w:val="clear" w:color="auto" w:fill="auto"/>
            <w:noWrap/>
          </w:tcPr>
          <w:p w14:paraId="7F3A0061"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76" w:name="_Toc376199098"/>
            <w:r w:rsidRPr="006645DC">
              <w:rPr>
                <w:rFonts w:eastAsia="Times New Roman" w:cs="Calibri"/>
                <w:color w:val="000000"/>
                <w:lang w:val="en-GB"/>
              </w:rPr>
              <w:t>196</w:t>
            </w:r>
            <w:r w:rsidR="005B688F" w:rsidRPr="006645DC">
              <w:rPr>
                <w:rFonts w:eastAsia="Times New Roman" w:cs="Calibri"/>
                <w:color w:val="000000"/>
                <w:lang w:val="en-GB"/>
              </w:rPr>
              <w:t>,</w:t>
            </w:r>
            <w:r w:rsidRPr="006645DC">
              <w:rPr>
                <w:rFonts w:eastAsia="Times New Roman" w:cs="Calibri"/>
                <w:color w:val="000000"/>
                <w:lang w:val="en-GB"/>
              </w:rPr>
              <w:t>3</w:t>
            </w:r>
            <w:bookmarkEnd w:id="876"/>
          </w:p>
        </w:tc>
        <w:tc>
          <w:tcPr>
            <w:tcW w:w="1114" w:type="dxa"/>
            <w:shd w:val="clear" w:color="auto" w:fill="auto"/>
            <w:noWrap/>
          </w:tcPr>
          <w:p w14:paraId="6F2D86E4"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77" w:name="_Toc376199099"/>
            <w:r w:rsidRPr="006645DC">
              <w:rPr>
                <w:rFonts w:eastAsia="Times New Roman" w:cs="Calibri"/>
                <w:color w:val="000000"/>
                <w:lang w:val="en-GB"/>
              </w:rPr>
              <w:t>195</w:t>
            </w:r>
            <w:r w:rsidR="005B688F" w:rsidRPr="006645DC">
              <w:rPr>
                <w:rFonts w:eastAsia="Times New Roman" w:cs="Calibri"/>
                <w:color w:val="000000"/>
                <w:lang w:val="en-GB"/>
              </w:rPr>
              <w:t>,</w:t>
            </w:r>
            <w:r w:rsidRPr="006645DC">
              <w:rPr>
                <w:rFonts w:eastAsia="Times New Roman" w:cs="Calibri"/>
                <w:color w:val="000000"/>
                <w:lang w:val="en-GB"/>
              </w:rPr>
              <w:t>9</w:t>
            </w:r>
            <w:bookmarkEnd w:id="877"/>
          </w:p>
        </w:tc>
        <w:tc>
          <w:tcPr>
            <w:tcW w:w="1114" w:type="dxa"/>
            <w:shd w:val="clear" w:color="auto" w:fill="auto"/>
            <w:noWrap/>
          </w:tcPr>
          <w:p w14:paraId="409CCA32"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78" w:name="_Toc376199100"/>
            <w:r w:rsidRPr="006645DC">
              <w:rPr>
                <w:rFonts w:eastAsia="Times New Roman" w:cs="Calibri"/>
                <w:color w:val="000000"/>
                <w:lang w:val="en-GB"/>
              </w:rPr>
              <w:t>195</w:t>
            </w:r>
            <w:r w:rsidR="005B688F" w:rsidRPr="006645DC">
              <w:rPr>
                <w:rFonts w:eastAsia="Times New Roman" w:cs="Calibri"/>
                <w:color w:val="000000"/>
                <w:lang w:val="en-GB"/>
              </w:rPr>
              <w:t>,</w:t>
            </w:r>
            <w:r w:rsidRPr="006645DC">
              <w:rPr>
                <w:rFonts w:eastAsia="Times New Roman" w:cs="Calibri"/>
                <w:color w:val="000000"/>
                <w:lang w:val="en-GB"/>
              </w:rPr>
              <w:t>5</w:t>
            </w:r>
            <w:bookmarkEnd w:id="878"/>
          </w:p>
        </w:tc>
      </w:tr>
      <w:tr w:rsidR="00AF7E90" w:rsidRPr="006645DC" w14:paraId="46CBF369" w14:textId="77777777" w:rsidTr="000375AC">
        <w:trPr>
          <w:trHeight w:val="20"/>
          <w:jc w:val="center"/>
        </w:trPr>
        <w:tc>
          <w:tcPr>
            <w:tcW w:w="2090" w:type="dxa"/>
            <w:shd w:val="clear" w:color="auto" w:fill="auto"/>
            <w:noWrap/>
          </w:tcPr>
          <w:p w14:paraId="27BAD5AD" w14:textId="77777777" w:rsidR="00AF7E90" w:rsidRPr="006645DC" w:rsidRDefault="00AF7E90" w:rsidP="00393EB7">
            <w:pPr>
              <w:keepNext/>
              <w:keepLines/>
              <w:spacing w:before="0" w:after="0"/>
              <w:ind w:left="757" w:hanging="360"/>
              <w:outlineLvl w:val="1"/>
              <w:rPr>
                <w:rFonts w:eastAsia="Times New Roman" w:cs="Calibri"/>
                <w:color w:val="000000"/>
                <w:lang w:val="en-GB"/>
              </w:rPr>
            </w:pPr>
            <w:bookmarkStart w:id="879" w:name="_Toc376199101"/>
            <w:r w:rsidRPr="006645DC">
              <w:rPr>
                <w:rFonts w:eastAsia="Times New Roman" w:cs="Calibri"/>
                <w:color w:val="000000"/>
                <w:lang w:val="en-GB"/>
              </w:rPr>
              <w:t>Giurgiu</w:t>
            </w:r>
            <w:bookmarkEnd w:id="879"/>
          </w:p>
        </w:tc>
        <w:tc>
          <w:tcPr>
            <w:tcW w:w="1010" w:type="dxa"/>
            <w:shd w:val="clear" w:color="auto" w:fill="auto"/>
            <w:noWrap/>
          </w:tcPr>
          <w:p w14:paraId="45A41A80"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80" w:name="_Toc376199102"/>
            <w:r w:rsidRPr="006645DC">
              <w:rPr>
                <w:rFonts w:eastAsia="Times New Roman" w:cs="Calibri"/>
                <w:color w:val="000000"/>
                <w:lang w:val="en-GB"/>
              </w:rPr>
              <w:t>169</w:t>
            </w:r>
            <w:r w:rsidR="005B688F" w:rsidRPr="006645DC">
              <w:rPr>
                <w:rFonts w:eastAsia="Times New Roman" w:cs="Calibri"/>
                <w:color w:val="000000"/>
                <w:lang w:val="en-GB"/>
              </w:rPr>
              <w:t>,</w:t>
            </w:r>
            <w:r w:rsidRPr="006645DC">
              <w:rPr>
                <w:rFonts w:eastAsia="Times New Roman" w:cs="Calibri"/>
                <w:color w:val="000000"/>
                <w:lang w:val="en-GB"/>
              </w:rPr>
              <w:t>8</w:t>
            </w:r>
            <w:bookmarkEnd w:id="880"/>
          </w:p>
        </w:tc>
        <w:tc>
          <w:tcPr>
            <w:tcW w:w="1114" w:type="dxa"/>
            <w:shd w:val="clear" w:color="auto" w:fill="auto"/>
            <w:noWrap/>
          </w:tcPr>
          <w:p w14:paraId="4399735F"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81" w:name="_Toc376199103"/>
            <w:r w:rsidRPr="006645DC">
              <w:rPr>
                <w:rFonts w:eastAsia="Times New Roman" w:cs="Calibri"/>
                <w:color w:val="000000"/>
                <w:lang w:val="en-GB"/>
              </w:rPr>
              <w:t>171</w:t>
            </w:r>
            <w:r w:rsidR="005B688F" w:rsidRPr="006645DC">
              <w:rPr>
                <w:rFonts w:eastAsia="Times New Roman" w:cs="Calibri"/>
                <w:color w:val="000000"/>
                <w:lang w:val="en-GB"/>
              </w:rPr>
              <w:t>,</w:t>
            </w:r>
            <w:r w:rsidRPr="006645DC">
              <w:rPr>
                <w:rFonts w:eastAsia="Times New Roman" w:cs="Calibri"/>
                <w:color w:val="000000"/>
                <w:lang w:val="en-GB"/>
              </w:rPr>
              <w:t>8</w:t>
            </w:r>
            <w:bookmarkEnd w:id="881"/>
          </w:p>
        </w:tc>
        <w:tc>
          <w:tcPr>
            <w:tcW w:w="1114" w:type="dxa"/>
            <w:shd w:val="clear" w:color="auto" w:fill="auto"/>
            <w:noWrap/>
          </w:tcPr>
          <w:p w14:paraId="70EBD94D"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82" w:name="_Toc376199104"/>
            <w:r w:rsidRPr="006645DC">
              <w:rPr>
                <w:rFonts w:eastAsia="Times New Roman" w:cs="Calibri"/>
                <w:color w:val="000000"/>
                <w:lang w:val="en-GB"/>
              </w:rPr>
              <w:t>174</w:t>
            </w:r>
            <w:r w:rsidR="005B688F" w:rsidRPr="006645DC">
              <w:rPr>
                <w:rFonts w:eastAsia="Times New Roman" w:cs="Calibri"/>
                <w:color w:val="000000"/>
                <w:lang w:val="en-GB"/>
              </w:rPr>
              <w:t>,</w:t>
            </w:r>
            <w:r w:rsidRPr="006645DC">
              <w:rPr>
                <w:rFonts w:eastAsia="Times New Roman" w:cs="Calibri"/>
                <w:color w:val="000000"/>
                <w:lang w:val="en-GB"/>
              </w:rPr>
              <w:t>6</w:t>
            </w:r>
            <w:bookmarkEnd w:id="882"/>
          </w:p>
        </w:tc>
        <w:tc>
          <w:tcPr>
            <w:tcW w:w="1114" w:type="dxa"/>
            <w:shd w:val="clear" w:color="auto" w:fill="auto"/>
            <w:noWrap/>
          </w:tcPr>
          <w:p w14:paraId="22FC5E5A"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83" w:name="_Toc376199105"/>
            <w:r w:rsidRPr="006645DC">
              <w:rPr>
                <w:rFonts w:eastAsia="Times New Roman" w:cs="Calibri"/>
                <w:color w:val="000000"/>
                <w:lang w:val="en-GB"/>
              </w:rPr>
              <w:t>175</w:t>
            </w:r>
            <w:r w:rsidR="005B688F" w:rsidRPr="006645DC">
              <w:rPr>
                <w:rFonts w:eastAsia="Times New Roman" w:cs="Calibri"/>
                <w:color w:val="000000"/>
                <w:lang w:val="en-GB"/>
              </w:rPr>
              <w:t>,</w:t>
            </w:r>
            <w:r w:rsidRPr="006645DC">
              <w:rPr>
                <w:rFonts w:eastAsia="Times New Roman" w:cs="Calibri"/>
                <w:color w:val="000000"/>
                <w:lang w:val="en-GB"/>
              </w:rPr>
              <w:t>3</w:t>
            </w:r>
            <w:bookmarkEnd w:id="883"/>
          </w:p>
        </w:tc>
        <w:tc>
          <w:tcPr>
            <w:tcW w:w="1114" w:type="dxa"/>
            <w:shd w:val="clear" w:color="auto" w:fill="auto"/>
            <w:noWrap/>
          </w:tcPr>
          <w:p w14:paraId="46BC7471"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84" w:name="_Toc376199106"/>
            <w:r w:rsidRPr="006645DC">
              <w:rPr>
                <w:rFonts w:eastAsia="Times New Roman" w:cs="Calibri"/>
                <w:color w:val="000000"/>
                <w:lang w:val="en-GB"/>
              </w:rPr>
              <w:t>177</w:t>
            </w:r>
            <w:r w:rsidR="005B688F" w:rsidRPr="006645DC">
              <w:rPr>
                <w:rFonts w:eastAsia="Times New Roman" w:cs="Calibri"/>
                <w:color w:val="000000"/>
                <w:lang w:val="en-GB"/>
              </w:rPr>
              <w:t>,</w:t>
            </w:r>
            <w:r w:rsidRPr="006645DC">
              <w:rPr>
                <w:rFonts w:eastAsia="Times New Roman" w:cs="Calibri"/>
                <w:color w:val="000000"/>
                <w:lang w:val="en-GB"/>
              </w:rPr>
              <w:t>3</w:t>
            </w:r>
            <w:bookmarkEnd w:id="884"/>
          </w:p>
        </w:tc>
      </w:tr>
      <w:tr w:rsidR="00AF7E90" w:rsidRPr="006645DC" w14:paraId="0F18BC6C" w14:textId="77777777" w:rsidTr="000375AC">
        <w:trPr>
          <w:trHeight w:val="20"/>
          <w:jc w:val="center"/>
        </w:trPr>
        <w:tc>
          <w:tcPr>
            <w:tcW w:w="2090" w:type="dxa"/>
            <w:shd w:val="clear" w:color="auto" w:fill="auto"/>
            <w:noWrap/>
          </w:tcPr>
          <w:p w14:paraId="1945CD40" w14:textId="77777777" w:rsidR="00AF7E90" w:rsidRPr="006645DC" w:rsidRDefault="00AF7E90" w:rsidP="00393EB7">
            <w:pPr>
              <w:keepNext/>
              <w:keepLines/>
              <w:spacing w:before="0" w:after="0"/>
              <w:ind w:left="757" w:hanging="360"/>
              <w:outlineLvl w:val="1"/>
              <w:rPr>
                <w:rFonts w:eastAsia="Times New Roman" w:cs="Calibri"/>
                <w:color w:val="000000"/>
                <w:lang w:val="en-GB"/>
              </w:rPr>
            </w:pPr>
            <w:bookmarkStart w:id="885" w:name="_Toc376199107"/>
            <w:r w:rsidRPr="006645DC">
              <w:rPr>
                <w:rFonts w:eastAsia="Times New Roman" w:cs="Calibri"/>
                <w:color w:val="000000"/>
                <w:lang w:val="en-GB"/>
              </w:rPr>
              <w:t>Teleorman</w:t>
            </w:r>
            <w:bookmarkEnd w:id="885"/>
          </w:p>
        </w:tc>
        <w:tc>
          <w:tcPr>
            <w:tcW w:w="1010" w:type="dxa"/>
            <w:shd w:val="clear" w:color="auto" w:fill="auto"/>
            <w:noWrap/>
          </w:tcPr>
          <w:p w14:paraId="25DFDC61"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86" w:name="_Toc376199108"/>
            <w:r w:rsidRPr="006645DC">
              <w:rPr>
                <w:rFonts w:eastAsia="Times New Roman" w:cs="Calibri"/>
                <w:color w:val="000000"/>
                <w:lang w:val="en-GB"/>
              </w:rPr>
              <w:t>241</w:t>
            </w:r>
            <w:r w:rsidR="005B688F" w:rsidRPr="006645DC">
              <w:rPr>
                <w:rFonts w:eastAsia="Times New Roman" w:cs="Calibri"/>
                <w:color w:val="000000"/>
                <w:lang w:val="en-GB"/>
              </w:rPr>
              <w:t>,</w:t>
            </w:r>
            <w:r w:rsidRPr="006645DC">
              <w:rPr>
                <w:rFonts w:eastAsia="Times New Roman" w:cs="Calibri"/>
                <w:color w:val="000000"/>
                <w:lang w:val="en-GB"/>
              </w:rPr>
              <w:t>3</w:t>
            </w:r>
            <w:bookmarkEnd w:id="886"/>
          </w:p>
        </w:tc>
        <w:tc>
          <w:tcPr>
            <w:tcW w:w="1114" w:type="dxa"/>
            <w:shd w:val="clear" w:color="auto" w:fill="auto"/>
            <w:noWrap/>
          </w:tcPr>
          <w:p w14:paraId="18163DB2"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87" w:name="_Toc376199109"/>
            <w:r w:rsidRPr="006645DC">
              <w:rPr>
                <w:rFonts w:eastAsia="Times New Roman" w:cs="Calibri"/>
                <w:color w:val="000000"/>
                <w:lang w:val="en-GB"/>
              </w:rPr>
              <w:t>242</w:t>
            </w:r>
            <w:r w:rsidR="005B688F" w:rsidRPr="006645DC">
              <w:rPr>
                <w:rFonts w:eastAsia="Times New Roman" w:cs="Calibri"/>
                <w:color w:val="000000"/>
                <w:lang w:val="en-GB"/>
              </w:rPr>
              <w:t>,</w:t>
            </w:r>
            <w:r w:rsidRPr="006645DC">
              <w:rPr>
                <w:rFonts w:eastAsia="Times New Roman" w:cs="Calibri"/>
                <w:color w:val="000000"/>
                <w:lang w:val="en-GB"/>
              </w:rPr>
              <w:t>5</w:t>
            </w:r>
            <w:bookmarkEnd w:id="887"/>
          </w:p>
        </w:tc>
        <w:tc>
          <w:tcPr>
            <w:tcW w:w="1114" w:type="dxa"/>
            <w:shd w:val="clear" w:color="auto" w:fill="auto"/>
            <w:noWrap/>
          </w:tcPr>
          <w:p w14:paraId="2849A1F1"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88" w:name="_Toc376199110"/>
            <w:r w:rsidRPr="006645DC">
              <w:rPr>
                <w:rFonts w:eastAsia="Times New Roman" w:cs="Calibri"/>
                <w:color w:val="000000"/>
                <w:lang w:val="en-GB"/>
              </w:rPr>
              <w:t>244</w:t>
            </w:r>
            <w:bookmarkEnd w:id="888"/>
          </w:p>
        </w:tc>
        <w:tc>
          <w:tcPr>
            <w:tcW w:w="1114" w:type="dxa"/>
            <w:shd w:val="clear" w:color="auto" w:fill="auto"/>
            <w:noWrap/>
          </w:tcPr>
          <w:p w14:paraId="2BD670F2"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89" w:name="_Toc376199111"/>
            <w:r w:rsidRPr="006645DC">
              <w:rPr>
                <w:rFonts w:eastAsia="Times New Roman" w:cs="Calibri"/>
                <w:color w:val="000000"/>
                <w:lang w:val="en-GB"/>
              </w:rPr>
              <w:t>241</w:t>
            </w:r>
            <w:r w:rsidR="005B688F" w:rsidRPr="006645DC">
              <w:rPr>
                <w:rFonts w:eastAsia="Times New Roman" w:cs="Calibri"/>
                <w:color w:val="000000"/>
                <w:lang w:val="en-GB"/>
              </w:rPr>
              <w:t>,</w:t>
            </w:r>
            <w:r w:rsidRPr="006645DC">
              <w:rPr>
                <w:rFonts w:eastAsia="Times New Roman" w:cs="Calibri"/>
                <w:color w:val="000000"/>
                <w:lang w:val="en-GB"/>
              </w:rPr>
              <w:t>6</w:t>
            </w:r>
            <w:bookmarkEnd w:id="889"/>
          </w:p>
        </w:tc>
        <w:tc>
          <w:tcPr>
            <w:tcW w:w="1114" w:type="dxa"/>
            <w:shd w:val="clear" w:color="auto" w:fill="auto"/>
            <w:noWrap/>
          </w:tcPr>
          <w:p w14:paraId="5CB7B7F3"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90" w:name="_Toc376199112"/>
            <w:r w:rsidRPr="006645DC">
              <w:rPr>
                <w:rFonts w:eastAsia="Times New Roman" w:cs="Calibri"/>
                <w:color w:val="000000"/>
                <w:lang w:val="en-GB"/>
              </w:rPr>
              <w:t>238</w:t>
            </w:r>
            <w:r w:rsidR="005B688F" w:rsidRPr="006645DC">
              <w:rPr>
                <w:rFonts w:eastAsia="Times New Roman" w:cs="Calibri"/>
                <w:color w:val="000000"/>
                <w:lang w:val="en-GB"/>
              </w:rPr>
              <w:t>,</w:t>
            </w:r>
            <w:r w:rsidRPr="006645DC">
              <w:rPr>
                <w:rFonts w:eastAsia="Times New Roman" w:cs="Calibri"/>
                <w:color w:val="000000"/>
                <w:lang w:val="en-GB"/>
              </w:rPr>
              <w:t>4</w:t>
            </w:r>
            <w:bookmarkEnd w:id="890"/>
          </w:p>
        </w:tc>
      </w:tr>
      <w:tr w:rsidR="00AF7E90" w:rsidRPr="006645DC" w14:paraId="77043586" w14:textId="77777777" w:rsidTr="000375AC">
        <w:trPr>
          <w:trHeight w:val="20"/>
          <w:jc w:val="center"/>
        </w:trPr>
        <w:tc>
          <w:tcPr>
            <w:tcW w:w="2090" w:type="dxa"/>
            <w:shd w:val="clear" w:color="auto" w:fill="auto"/>
            <w:noWrap/>
          </w:tcPr>
          <w:p w14:paraId="4301383A" w14:textId="77777777" w:rsidR="00AF7E90" w:rsidRPr="006645DC" w:rsidRDefault="00AF7E90" w:rsidP="00393EB7">
            <w:pPr>
              <w:keepNext/>
              <w:keepLines/>
              <w:spacing w:before="0" w:after="0"/>
              <w:ind w:left="757" w:hanging="360"/>
              <w:outlineLvl w:val="1"/>
              <w:rPr>
                <w:rFonts w:eastAsia="Times New Roman" w:cs="Calibri"/>
                <w:color w:val="000000"/>
                <w:lang w:val="en-GB"/>
              </w:rPr>
            </w:pPr>
            <w:bookmarkStart w:id="891" w:name="_Toc376199113"/>
            <w:r w:rsidRPr="006645DC">
              <w:rPr>
                <w:rFonts w:eastAsia="Times New Roman" w:cs="Calibri"/>
                <w:color w:val="000000"/>
                <w:lang w:val="en-GB"/>
              </w:rPr>
              <w:t>Dolj</w:t>
            </w:r>
            <w:bookmarkEnd w:id="891"/>
          </w:p>
        </w:tc>
        <w:tc>
          <w:tcPr>
            <w:tcW w:w="1010" w:type="dxa"/>
            <w:shd w:val="clear" w:color="auto" w:fill="auto"/>
            <w:noWrap/>
          </w:tcPr>
          <w:p w14:paraId="20D6DD5E"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92" w:name="_Toc376199114"/>
            <w:r w:rsidRPr="006645DC">
              <w:rPr>
                <w:rFonts w:eastAsia="Times New Roman" w:cs="Calibri"/>
                <w:color w:val="000000"/>
                <w:lang w:val="en-GB"/>
              </w:rPr>
              <w:t>432</w:t>
            </w:r>
            <w:r w:rsidR="005B688F" w:rsidRPr="006645DC">
              <w:rPr>
                <w:rFonts w:eastAsia="Times New Roman" w:cs="Calibri"/>
                <w:color w:val="000000"/>
                <w:lang w:val="en-GB"/>
              </w:rPr>
              <w:t>,</w:t>
            </w:r>
            <w:r w:rsidRPr="006645DC">
              <w:rPr>
                <w:rFonts w:eastAsia="Times New Roman" w:cs="Calibri"/>
                <w:color w:val="000000"/>
                <w:lang w:val="en-GB"/>
              </w:rPr>
              <w:t>7</w:t>
            </w:r>
            <w:bookmarkEnd w:id="892"/>
          </w:p>
        </w:tc>
        <w:tc>
          <w:tcPr>
            <w:tcW w:w="1114" w:type="dxa"/>
            <w:shd w:val="clear" w:color="auto" w:fill="auto"/>
            <w:noWrap/>
          </w:tcPr>
          <w:p w14:paraId="6DF71FE2"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93" w:name="_Toc376199115"/>
            <w:r w:rsidRPr="006645DC">
              <w:rPr>
                <w:rFonts w:eastAsia="Times New Roman" w:cs="Calibri"/>
                <w:color w:val="000000"/>
                <w:lang w:val="en-GB"/>
              </w:rPr>
              <w:t>436</w:t>
            </w:r>
            <w:r w:rsidR="005B688F" w:rsidRPr="006645DC">
              <w:rPr>
                <w:rFonts w:eastAsia="Times New Roman" w:cs="Calibri"/>
                <w:color w:val="000000"/>
                <w:lang w:val="en-GB"/>
              </w:rPr>
              <w:t>,</w:t>
            </w:r>
            <w:r w:rsidRPr="006645DC">
              <w:rPr>
                <w:rFonts w:eastAsia="Times New Roman" w:cs="Calibri"/>
                <w:color w:val="000000"/>
                <w:lang w:val="en-GB"/>
              </w:rPr>
              <w:t>5</w:t>
            </w:r>
            <w:bookmarkEnd w:id="893"/>
          </w:p>
        </w:tc>
        <w:tc>
          <w:tcPr>
            <w:tcW w:w="1114" w:type="dxa"/>
            <w:shd w:val="clear" w:color="auto" w:fill="auto"/>
            <w:noWrap/>
          </w:tcPr>
          <w:p w14:paraId="3C8F1EE8"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94" w:name="_Toc376199116"/>
            <w:r w:rsidRPr="006645DC">
              <w:rPr>
                <w:rFonts w:eastAsia="Times New Roman" w:cs="Calibri"/>
                <w:color w:val="000000"/>
                <w:lang w:val="en-GB"/>
              </w:rPr>
              <w:t>446</w:t>
            </w:r>
            <w:r w:rsidR="005B688F" w:rsidRPr="006645DC">
              <w:rPr>
                <w:rFonts w:eastAsia="Times New Roman" w:cs="Calibri"/>
                <w:color w:val="000000"/>
                <w:lang w:val="en-GB"/>
              </w:rPr>
              <w:t>,</w:t>
            </w:r>
            <w:r w:rsidRPr="006645DC">
              <w:rPr>
                <w:rFonts w:eastAsia="Times New Roman" w:cs="Calibri"/>
                <w:color w:val="000000"/>
                <w:lang w:val="en-GB"/>
              </w:rPr>
              <w:t>2</w:t>
            </w:r>
            <w:bookmarkEnd w:id="894"/>
          </w:p>
        </w:tc>
        <w:tc>
          <w:tcPr>
            <w:tcW w:w="1114" w:type="dxa"/>
            <w:shd w:val="clear" w:color="auto" w:fill="auto"/>
            <w:noWrap/>
          </w:tcPr>
          <w:p w14:paraId="59A18338"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95" w:name="_Toc376199117"/>
            <w:r w:rsidRPr="006645DC">
              <w:rPr>
                <w:rFonts w:eastAsia="Times New Roman" w:cs="Calibri"/>
                <w:color w:val="000000"/>
                <w:lang w:val="en-GB"/>
              </w:rPr>
              <w:t>449</w:t>
            </w:r>
            <w:r w:rsidR="005B688F" w:rsidRPr="006645DC">
              <w:rPr>
                <w:rFonts w:eastAsia="Times New Roman" w:cs="Calibri"/>
                <w:color w:val="000000"/>
                <w:lang w:val="en-GB"/>
              </w:rPr>
              <w:t>,</w:t>
            </w:r>
            <w:r w:rsidRPr="006645DC">
              <w:rPr>
                <w:rFonts w:eastAsia="Times New Roman" w:cs="Calibri"/>
                <w:color w:val="000000"/>
                <w:lang w:val="en-GB"/>
              </w:rPr>
              <w:t>5</w:t>
            </w:r>
            <w:bookmarkEnd w:id="895"/>
          </w:p>
        </w:tc>
        <w:tc>
          <w:tcPr>
            <w:tcW w:w="1114" w:type="dxa"/>
            <w:shd w:val="clear" w:color="auto" w:fill="auto"/>
            <w:noWrap/>
          </w:tcPr>
          <w:p w14:paraId="2433EC7D"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96" w:name="_Toc376199118"/>
            <w:r w:rsidRPr="006645DC">
              <w:rPr>
                <w:rFonts w:eastAsia="Times New Roman" w:cs="Calibri"/>
                <w:color w:val="000000"/>
                <w:lang w:val="en-GB"/>
              </w:rPr>
              <w:t>449</w:t>
            </w:r>
            <w:r w:rsidR="005B688F" w:rsidRPr="006645DC">
              <w:rPr>
                <w:rFonts w:eastAsia="Times New Roman" w:cs="Calibri"/>
                <w:color w:val="000000"/>
                <w:lang w:val="en-GB"/>
              </w:rPr>
              <w:t>,</w:t>
            </w:r>
            <w:r w:rsidRPr="006645DC">
              <w:rPr>
                <w:rFonts w:eastAsia="Times New Roman" w:cs="Calibri"/>
                <w:color w:val="000000"/>
                <w:lang w:val="en-GB"/>
              </w:rPr>
              <w:t>4</w:t>
            </w:r>
            <w:bookmarkEnd w:id="896"/>
          </w:p>
        </w:tc>
      </w:tr>
      <w:tr w:rsidR="00AF7E90" w:rsidRPr="006645DC" w14:paraId="5FA2D1C1" w14:textId="77777777" w:rsidTr="000375AC">
        <w:trPr>
          <w:trHeight w:val="20"/>
          <w:jc w:val="center"/>
        </w:trPr>
        <w:tc>
          <w:tcPr>
            <w:tcW w:w="2090" w:type="dxa"/>
            <w:shd w:val="clear" w:color="auto" w:fill="auto"/>
            <w:noWrap/>
          </w:tcPr>
          <w:p w14:paraId="778645C5" w14:textId="77777777" w:rsidR="00AF7E90" w:rsidRPr="006645DC" w:rsidRDefault="00AF7E90" w:rsidP="00393EB7">
            <w:pPr>
              <w:keepNext/>
              <w:keepLines/>
              <w:spacing w:before="0" w:after="0"/>
              <w:ind w:left="757" w:hanging="360"/>
              <w:outlineLvl w:val="1"/>
              <w:rPr>
                <w:rFonts w:eastAsia="Times New Roman" w:cs="Calibri"/>
                <w:color w:val="000000"/>
                <w:lang w:val="en-GB"/>
              </w:rPr>
            </w:pPr>
            <w:bookmarkStart w:id="897" w:name="_Toc376199119"/>
            <w:r w:rsidRPr="006645DC">
              <w:rPr>
                <w:rFonts w:eastAsia="Times New Roman" w:cs="Calibri"/>
                <w:color w:val="000000"/>
                <w:lang w:val="en-GB"/>
              </w:rPr>
              <w:t>Mehedinti</w:t>
            </w:r>
            <w:bookmarkEnd w:id="897"/>
          </w:p>
        </w:tc>
        <w:tc>
          <w:tcPr>
            <w:tcW w:w="1010" w:type="dxa"/>
            <w:shd w:val="clear" w:color="auto" w:fill="auto"/>
            <w:noWrap/>
          </w:tcPr>
          <w:p w14:paraId="752F8C93"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98" w:name="_Toc376199120"/>
            <w:r w:rsidRPr="006645DC">
              <w:rPr>
                <w:rFonts w:eastAsia="Times New Roman" w:cs="Calibri"/>
                <w:color w:val="000000"/>
                <w:lang w:val="en-GB"/>
              </w:rPr>
              <w:t>187</w:t>
            </w:r>
            <w:r w:rsidR="005B688F" w:rsidRPr="006645DC">
              <w:rPr>
                <w:rFonts w:eastAsia="Times New Roman" w:cs="Calibri"/>
                <w:color w:val="000000"/>
                <w:lang w:val="en-GB"/>
              </w:rPr>
              <w:t>,</w:t>
            </w:r>
            <w:r w:rsidRPr="006645DC">
              <w:rPr>
                <w:rFonts w:eastAsia="Times New Roman" w:cs="Calibri"/>
                <w:color w:val="000000"/>
                <w:lang w:val="en-GB"/>
              </w:rPr>
              <w:t>4</w:t>
            </w:r>
            <w:bookmarkEnd w:id="898"/>
          </w:p>
        </w:tc>
        <w:tc>
          <w:tcPr>
            <w:tcW w:w="1114" w:type="dxa"/>
            <w:shd w:val="clear" w:color="auto" w:fill="auto"/>
            <w:noWrap/>
          </w:tcPr>
          <w:p w14:paraId="3C30E6E7"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899" w:name="_Toc376199121"/>
            <w:r w:rsidRPr="006645DC">
              <w:rPr>
                <w:rFonts w:eastAsia="Times New Roman" w:cs="Calibri"/>
                <w:color w:val="000000"/>
                <w:lang w:val="en-GB"/>
              </w:rPr>
              <w:t>188</w:t>
            </w:r>
            <w:r w:rsidR="005B688F" w:rsidRPr="006645DC">
              <w:rPr>
                <w:rFonts w:eastAsia="Times New Roman" w:cs="Calibri"/>
                <w:color w:val="000000"/>
                <w:lang w:val="en-GB"/>
              </w:rPr>
              <w:t>,</w:t>
            </w:r>
            <w:r w:rsidRPr="006645DC">
              <w:rPr>
                <w:rFonts w:eastAsia="Times New Roman" w:cs="Calibri"/>
                <w:color w:val="000000"/>
                <w:lang w:val="en-GB"/>
              </w:rPr>
              <w:t>4</w:t>
            </w:r>
            <w:bookmarkEnd w:id="899"/>
          </w:p>
        </w:tc>
        <w:tc>
          <w:tcPr>
            <w:tcW w:w="1114" w:type="dxa"/>
            <w:shd w:val="clear" w:color="auto" w:fill="auto"/>
            <w:noWrap/>
          </w:tcPr>
          <w:p w14:paraId="3B16FD5E"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900" w:name="_Toc376199122"/>
            <w:r w:rsidRPr="006645DC">
              <w:rPr>
                <w:rFonts w:eastAsia="Times New Roman" w:cs="Calibri"/>
                <w:color w:val="000000"/>
                <w:lang w:val="en-GB"/>
              </w:rPr>
              <w:t>189</w:t>
            </w:r>
            <w:r w:rsidR="005B688F" w:rsidRPr="006645DC">
              <w:rPr>
                <w:rFonts w:eastAsia="Times New Roman" w:cs="Calibri"/>
                <w:color w:val="000000"/>
                <w:lang w:val="en-GB"/>
              </w:rPr>
              <w:t>,</w:t>
            </w:r>
            <w:r w:rsidRPr="006645DC">
              <w:rPr>
                <w:rFonts w:eastAsia="Times New Roman" w:cs="Calibri"/>
                <w:color w:val="000000"/>
                <w:lang w:val="en-GB"/>
              </w:rPr>
              <w:t>6</w:t>
            </w:r>
            <w:bookmarkEnd w:id="900"/>
          </w:p>
        </w:tc>
        <w:tc>
          <w:tcPr>
            <w:tcW w:w="1114" w:type="dxa"/>
            <w:shd w:val="clear" w:color="auto" w:fill="auto"/>
            <w:noWrap/>
          </w:tcPr>
          <w:p w14:paraId="7C02C3A1"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901" w:name="_Toc376199123"/>
            <w:r w:rsidRPr="006645DC">
              <w:rPr>
                <w:rFonts w:eastAsia="Times New Roman" w:cs="Calibri"/>
                <w:color w:val="000000"/>
                <w:lang w:val="en-GB"/>
              </w:rPr>
              <w:t>188</w:t>
            </w:r>
            <w:r w:rsidR="005B688F" w:rsidRPr="006645DC">
              <w:rPr>
                <w:rFonts w:eastAsia="Times New Roman" w:cs="Calibri"/>
                <w:color w:val="000000"/>
                <w:lang w:val="en-GB"/>
              </w:rPr>
              <w:t>,</w:t>
            </w:r>
            <w:r w:rsidRPr="006645DC">
              <w:rPr>
                <w:rFonts w:eastAsia="Times New Roman" w:cs="Calibri"/>
                <w:color w:val="000000"/>
                <w:lang w:val="en-GB"/>
              </w:rPr>
              <w:t>2</w:t>
            </w:r>
            <w:bookmarkEnd w:id="901"/>
          </w:p>
        </w:tc>
        <w:tc>
          <w:tcPr>
            <w:tcW w:w="1114" w:type="dxa"/>
            <w:shd w:val="clear" w:color="auto" w:fill="auto"/>
            <w:noWrap/>
          </w:tcPr>
          <w:p w14:paraId="1117F871"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902" w:name="_Toc376199124"/>
            <w:r w:rsidRPr="006645DC">
              <w:rPr>
                <w:rFonts w:eastAsia="Times New Roman" w:cs="Calibri"/>
                <w:color w:val="000000"/>
                <w:lang w:val="en-GB"/>
              </w:rPr>
              <w:t>187</w:t>
            </w:r>
            <w:r w:rsidR="005B688F" w:rsidRPr="006645DC">
              <w:rPr>
                <w:rFonts w:eastAsia="Times New Roman" w:cs="Calibri"/>
                <w:color w:val="000000"/>
                <w:lang w:val="en-GB"/>
              </w:rPr>
              <w:t>,</w:t>
            </w:r>
            <w:r w:rsidRPr="006645DC">
              <w:rPr>
                <w:rFonts w:eastAsia="Times New Roman" w:cs="Calibri"/>
                <w:color w:val="000000"/>
                <w:lang w:val="en-GB"/>
              </w:rPr>
              <w:t>4</w:t>
            </w:r>
            <w:bookmarkEnd w:id="902"/>
          </w:p>
        </w:tc>
      </w:tr>
      <w:tr w:rsidR="00AF7E90" w:rsidRPr="006645DC" w14:paraId="315489A5" w14:textId="77777777" w:rsidTr="000375AC">
        <w:trPr>
          <w:trHeight w:val="20"/>
          <w:jc w:val="center"/>
        </w:trPr>
        <w:tc>
          <w:tcPr>
            <w:tcW w:w="2090" w:type="dxa"/>
            <w:shd w:val="clear" w:color="auto" w:fill="auto"/>
            <w:noWrap/>
          </w:tcPr>
          <w:p w14:paraId="0455B6A1" w14:textId="77777777" w:rsidR="00AF7E90" w:rsidRPr="006645DC" w:rsidRDefault="00AF7E90" w:rsidP="00393EB7">
            <w:pPr>
              <w:keepNext/>
              <w:keepLines/>
              <w:spacing w:before="0" w:after="0"/>
              <w:ind w:left="757" w:hanging="360"/>
              <w:outlineLvl w:val="1"/>
              <w:rPr>
                <w:rFonts w:eastAsia="Times New Roman" w:cs="Calibri"/>
                <w:color w:val="000000"/>
                <w:lang w:val="en-GB"/>
              </w:rPr>
            </w:pPr>
            <w:bookmarkStart w:id="903" w:name="_Toc376199125"/>
            <w:r w:rsidRPr="006645DC">
              <w:rPr>
                <w:rFonts w:eastAsia="Times New Roman" w:cs="Calibri"/>
                <w:color w:val="000000"/>
                <w:lang w:val="en-GB"/>
              </w:rPr>
              <w:t>Olt</w:t>
            </w:r>
            <w:bookmarkEnd w:id="903"/>
          </w:p>
        </w:tc>
        <w:tc>
          <w:tcPr>
            <w:tcW w:w="1010" w:type="dxa"/>
            <w:shd w:val="clear" w:color="auto" w:fill="auto"/>
            <w:noWrap/>
          </w:tcPr>
          <w:p w14:paraId="674BE5F9"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904" w:name="_Toc376199126"/>
            <w:r w:rsidRPr="006645DC">
              <w:rPr>
                <w:rFonts w:eastAsia="Times New Roman" w:cs="Calibri"/>
                <w:color w:val="000000"/>
                <w:lang w:val="en-GB"/>
              </w:rPr>
              <w:t>290</w:t>
            </w:r>
            <w:r w:rsidR="005B688F" w:rsidRPr="006645DC">
              <w:rPr>
                <w:rFonts w:eastAsia="Times New Roman" w:cs="Calibri"/>
                <w:color w:val="000000"/>
                <w:lang w:val="en-GB"/>
              </w:rPr>
              <w:t>,</w:t>
            </w:r>
            <w:r w:rsidRPr="006645DC">
              <w:rPr>
                <w:rFonts w:eastAsia="Times New Roman" w:cs="Calibri"/>
                <w:color w:val="000000"/>
                <w:lang w:val="en-GB"/>
              </w:rPr>
              <w:t>2</w:t>
            </w:r>
            <w:bookmarkEnd w:id="904"/>
          </w:p>
        </w:tc>
        <w:tc>
          <w:tcPr>
            <w:tcW w:w="1114" w:type="dxa"/>
            <w:shd w:val="clear" w:color="auto" w:fill="auto"/>
            <w:noWrap/>
          </w:tcPr>
          <w:p w14:paraId="65C27718"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905" w:name="_Toc376199127"/>
            <w:r w:rsidRPr="006645DC">
              <w:rPr>
                <w:rFonts w:eastAsia="Times New Roman" w:cs="Calibri"/>
                <w:color w:val="000000"/>
                <w:lang w:val="en-GB"/>
              </w:rPr>
              <w:t>292</w:t>
            </w:r>
            <w:r w:rsidR="005B688F" w:rsidRPr="006645DC">
              <w:rPr>
                <w:rFonts w:eastAsia="Times New Roman" w:cs="Calibri"/>
                <w:color w:val="000000"/>
                <w:lang w:val="en-GB"/>
              </w:rPr>
              <w:t>,</w:t>
            </w:r>
            <w:r w:rsidRPr="006645DC">
              <w:rPr>
                <w:rFonts w:eastAsia="Times New Roman" w:cs="Calibri"/>
                <w:color w:val="000000"/>
                <w:lang w:val="en-GB"/>
              </w:rPr>
              <w:t>3</w:t>
            </w:r>
            <w:bookmarkEnd w:id="905"/>
          </w:p>
        </w:tc>
        <w:tc>
          <w:tcPr>
            <w:tcW w:w="1114" w:type="dxa"/>
            <w:shd w:val="clear" w:color="auto" w:fill="auto"/>
            <w:noWrap/>
          </w:tcPr>
          <w:p w14:paraId="705FB44C"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906" w:name="_Toc376199128"/>
            <w:r w:rsidRPr="006645DC">
              <w:rPr>
                <w:rFonts w:eastAsia="Times New Roman" w:cs="Calibri"/>
                <w:color w:val="000000"/>
                <w:lang w:val="en-GB"/>
              </w:rPr>
              <w:t>295</w:t>
            </w:r>
            <w:r w:rsidR="005B688F" w:rsidRPr="006645DC">
              <w:rPr>
                <w:rFonts w:eastAsia="Times New Roman" w:cs="Calibri"/>
                <w:color w:val="000000"/>
                <w:lang w:val="en-GB"/>
              </w:rPr>
              <w:t>,</w:t>
            </w:r>
            <w:r w:rsidRPr="006645DC">
              <w:rPr>
                <w:rFonts w:eastAsia="Times New Roman" w:cs="Calibri"/>
                <w:color w:val="000000"/>
                <w:lang w:val="en-GB"/>
              </w:rPr>
              <w:t>3</w:t>
            </w:r>
            <w:bookmarkEnd w:id="906"/>
          </w:p>
        </w:tc>
        <w:tc>
          <w:tcPr>
            <w:tcW w:w="1114" w:type="dxa"/>
            <w:shd w:val="clear" w:color="auto" w:fill="auto"/>
            <w:noWrap/>
          </w:tcPr>
          <w:p w14:paraId="2294CCFC"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907" w:name="_Toc376199129"/>
            <w:r w:rsidRPr="006645DC">
              <w:rPr>
                <w:rFonts w:eastAsia="Times New Roman" w:cs="Calibri"/>
                <w:color w:val="000000"/>
                <w:lang w:val="en-GB"/>
              </w:rPr>
              <w:t>296</w:t>
            </w:r>
            <w:r w:rsidR="005B688F" w:rsidRPr="006645DC">
              <w:rPr>
                <w:rFonts w:eastAsia="Times New Roman" w:cs="Calibri"/>
                <w:color w:val="000000"/>
                <w:lang w:val="en-GB"/>
              </w:rPr>
              <w:t>,</w:t>
            </w:r>
            <w:r w:rsidRPr="006645DC">
              <w:rPr>
                <w:rFonts w:eastAsia="Times New Roman" w:cs="Calibri"/>
                <w:color w:val="000000"/>
                <w:lang w:val="en-GB"/>
              </w:rPr>
              <w:t>7</w:t>
            </w:r>
            <w:bookmarkEnd w:id="907"/>
          </w:p>
        </w:tc>
        <w:tc>
          <w:tcPr>
            <w:tcW w:w="1114" w:type="dxa"/>
            <w:shd w:val="clear" w:color="auto" w:fill="auto"/>
            <w:noWrap/>
          </w:tcPr>
          <w:p w14:paraId="41889F50" w14:textId="77777777" w:rsidR="00AF7E90" w:rsidRPr="006645DC" w:rsidRDefault="00AF7E90" w:rsidP="00393EB7">
            <w:pPr>
              <w:keepNext/>
              <w:keepLines/>
              <w:spacing w:before="0" w:after="0"/>
              <w:ind w:left="757" w:hanging="360"/>
              <w:jc w:val="center"/>
              <w:outlineLvl w:val="1"/>
              <w:rPr>
                <w:rFonts w:eastAsia="Times New Roman" w:cs="Calibri"/>
                <w:color w:val="000000"/>
                <w:lang w:val="en-GB"/>
              </w:rPr>
            </w:pPr>
            <w:bookmarkStart w:id="908" w:name="_Toc376199130"/>
            <w:r w:rsidRPr="006645DC">
              <w:rPr>
                <w:rFonts w:eastAsia="Times New Roman" w:cs="Calibri"/>
                <w:color w:val="000000"/>
                <w:lang w:val="en-GB"/>
              </w:rPr>
              <w:t>294</w:t>
            </w:r>
            <w:r w:rsidR="005B688F" w:rsidRPr="006645DC">
              <w:rPr>
                <w:rFonts w:eastAsia="Times New Roman" w:cs="Calibri"/>
                <w:color w:val="000000"/>
                <w:lang w:val="en-GB"/>
              </w:rPr>
              <w:t>,</w:t>
            </w:r>
            <w:r w:rsidRPr="006645DC">
              <w:rPr>
                <w:rFonts w:eastAsia="Times New Roman" w:cs="Calibri"/>
                <w:color w:val="000000"/>
                <w:lang w:val="en-GB"/>
              </w:rPr>
              <w:t>6</w:t>
            </w:r>
            <w:bookmarkEnd w:id="908"/>
          </w:p>
        </w:tc>
      </w:tr>
    </w:tbl>
    <w:p w14:paraId="133140A8" w14:textId="77777777" w:rsidR="0064018D" w:rsidRPr="006645DC" w:rsidRDefault="0064018D" w:rsidP="0064018D">
      <w:pPr>
        <w:pStyle w:val="Caption"/>
        <w:rPr>
          <w:lang w:val="en-GB"/>
        </w:rPr>
      </w:pPr>
      <w:bookmarkStart w:id="909" w:name="_Toc391150122"/>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25</w:t>
      </w:r>
      <w:r w:rsidR="005979EB" w:rsidRPr="006645DC">
        <w:rPr>
          <w:lang w:val="en-GB"/>
        </w:rPr>
        <w:fldChar w:fldCharType="end"/>
      </w:r>
      <w:r w:rsidRPr="006645DC">
        <w:rPr>
          <w:lang w:val="en-GB"/>
        </w:rPr>
        <w:t xml:space="preserve"> - </w:t>
      </w:r>
      <w:r w:rsidRPr="006645DC">
        <w:rPr>
          <w:rStyle w:val="Heading4Char"/>
          <w:rFonts w:cs="Calibri"/>
          <w:bCs w:val="0"/>
          <w:i/>
          <w:iCs/>
          <w:sz w:val="20"/>
          <w:lang w:val="en-GB"/>
        </w:rPr>
        <w:t xml:space="preserve">Working age population (thousands people) in the </w:t>
      </w:r>
      <w:r w:rsidR="00AF7E90" w:rsidRPr="006645DC">
        <w:rPr>
          <w:rStyle w:val="Heading4Char"/>
          <w:rFonts w:cs="Calibri"/>
          <w:bCs w:val="0"/>
          <w:i/>
          <w:iCs/>
          <w:sz w:val="20"/>
          <w:lang w:val="en-GB"/>
        </w:rPr>
        <w:t>RO</w:t>
      </w:r>
      <w:r w:rsidRPr="006645DC">
        <w:rPr>
          <w:rStyle w:val="Heading4Char"/>
          <w:rFonts w:cs="Calibri"/>
          <w:bCs w:val="0"/>
          <w:i/>
          <w:iCs/>
          <w:sz w:val="20"/>
          <w:lang w:val="en-GB"/>
        </w:rPr>
        <w:t>BG cross-border area evolution fro</w:t>
      </w:r>
      <w:r w:rsidRPr="006645DC">
        <w:rPr>
          <w:lang w:val="en-GB"/>
        </w:rPr>
        <w:t>m 2008-2012</w:t>
      </w:r>
      <w:bookmarkEnd w:id="909"/>
    </w:p>
    <w:p w14:paraId="638A2BF8" w14:textId="77777777" w:rsidR="0064018D" w:rsidRPr="006645DC" w:rsidRDefault="0064018D" w:rsidP="0064018D">
      <w:pPr>
        <w:pStyle w:val="Heading4"/>
        <w:rPr>
          <w:lang w:val="en-GB"/>
        </w:rPr>
      </w:pPr>
      <w:r w:rsidRPr="006645DC">
        <w:rPr>
          <w:lang w:val="en-GB"/>
        </w:rPr>
        <w:t xml:space="preserve"> Source: </w:t>
      </w:r>
      <w:r w:rsidR="00AF7E90" w:rsidRPr="006645DC">
        <w:rPr>
          <w:lang w:val="en-GB"/>
        </w:rPr>
        <w:t>The National Institute of Statistics – Romania,</w:t>
      </w:r>
      <w:r w:rsidRPr="006645DC">
        <w:rPr>
          <w:lang w:val="en-GB"/>
        </w:rPr>
        <w:t xml:space="preserve">National Statistical Institute-Bulgaria </w:t>
      </w:r>
    </w:p>
    <w:p w14:paraId="46C5B91D" w14:textId="77777777" w:rsidR="0064018D" w:rsidRPr="006645DC" w:rsidRDefault="0064018D" w:rsidP="0064018D">
      <w:pPr>
        <w:rPr>
          <w:lang w:val="en-GB"/>
        </w:rPr>
      </w:pPr>
    </w:p>
    <w:p w14:paraId="2A5B5638" w14:textId="77777777" w:rsidR="0064018D" w:rsidRPr="006645DC" w:rsidRDefault="0064018D" w:rsidP="0064018D">
      <w:pPr>
        <w:rPr>
          <w:lang w:val="en-GB"/>
        </w:rPr>
      </w:pPr>
      <w:r w:rsidRPr="006645DC">
        <w:rPr>
          <w:lang w:val="en-GB"/>
        </w:rPr>
        <w:t xml:space="preserve">The accessibility of employment is the key for the participation of the local workforce in economic activity and the fructification of employment opportunities. It is also important from the standpoint of public policy and intervention in this field (strategic planning and measurement).  In this respect the distribution between rural and urban areas of the working-age population is one of the indicators that can give a hint on accessibility and the ability of local workforce to take advantage of employment opportunities (urban workforce have a better access to information and is better trained for secondary and tertiary sector jobs, while rural workforce is better trained for primary sector jobs).  </w:t>
      </w:r>
    </w:p>
    <w:p w14:paraId="0D075D2A" w14:textId="77777777" w:rsidR="0064018D" w:rsidRPr="006645DC" w:rsidRDefault="0064018D" w:rsidP="0064018D">
      <w:pPr>
        <w:rPr>
          <w:lang w:val="en-GB"/>
        </w:rPr>
      </w:pPr>
      <w:r w:rsidRPr="006645DC">
        <w:rPr>
          <w:lang w:val="en-GB"/>
        </w:rPr>
        <w:t xml:space="preserve">On this topic the distribution is slightly different on the two sides of the frontier. The workforce on the Romanian side is almost equally distributed (according to their residence) between the urban and rural area with some notable exceptions for the counties with the main regional cities </w:t>
      </w:r>
      <w:r w:rsidRPr="006645DC">
        <w:rPr>
          <w:color w:val="000000"/>
          <w:lang w:val="en-GB"/>
        </w:rPr>
        <w:t>(</w:t>
      </w:r>
      <w:r w:rsidRPr="006645DC">
        <w:rPr>
          <w:lang w:val="en-GB"/>
        </w:rPr>
        <w:t>the population aged 16-64 is mostly urban in the districts of Constanţa (70.9%), Dolj (58.9%) and Mehedinţi (54.3%), while in the Giurgiu county 65.2% of the working-age population was living in the rural environment.</w:t>
      </w:r>
    </w:p>
    <w:p w14:paraId="6E8DDE49" w14:textId="77777777" w:rsidR="0064018D" w:rsidRPr="006645DC" w:rsidRDefault="0064018D" w:rsidP="0064018D">
      <w:pPr>
        <w:rPr>
          <w:lang w:val="en-GB"/>
        </w:rPr>
      </w:pPr>
      <w:r w:rsidRPr="006645DC">
        <w:rPr>
          <w:color w:val="000000"/>
          <w:lang w:val="en-GB"/>
        </w:rPr>
        <w:t xml:space="preserve">According to official statistical data for 2011, 77.76% of the workforce in Bulgaria was located in urban areas with only 22.24% in rural areas. In 2012 the share of workforce in urban areas increased to 77.92%. For all districts on the Bulgarian side of the cross-border area, this trend will increase due to the aging population in rural areas as well as to the negative demographic tendencies and the lack of opportunities for development in rural areas. </w:t>
      </w:r>
    </w:p>
    <w:p w14:paraId="5395820A" w14:textId="77777777" w:rsidR="0064018D" w:rsidRPr="006645DC" w:rsidRDefault="0064018D" w:rsidP="0064018D">
      <w:pPr>
        <w:spacing w:before="0"/>
        <w:rPr>
          <w:rStyle w:val="longtext"/>
          <w:rFonts w:eastAsia="Times New Roman"/>
          <w:lang w:val="en-GB"/>
        </w:rPr>
      </w:pPr>
      <w:r w:rsidRPr="006645DC">
        <w:rPr>
          <w:rStyle w:val="longtext"/>
          <w:rFonts w:eastAsia="Times New Roman"/>
          <w:lang w:val="en-GB"/>
        </w:rPr>
        <w:t xml:space="preserve">The main aspect of employment that is important from the perspective of social cohesion is the activity rate of the population in the cross-border area. This indicates how much of the working-age population of a territory is economically active (employed or unemployed) and not supported by a long-term social </w:t>
      </w:r>
      <w:r w:rsidRPr="006645DC">
        <w:rPr>
          <w:rStyle w:val="longtext"/>
          <w:rFonts w:eastAsia="Times New Roman"/>
          <w:lang w:val="en-GB"/>
        </w:rPr>
        <w:lastRenderedPageBreak/>
        <w:t xml:space="preserve">security scheme (mainly different types of retirement). The activity rate can also be an indicator of the relative weight of undeclared work.  </w:t>
      </w:r>
    </w:p>
    <w:p w14:paraId="13AE2F2E" w14:textId="7AF930C2" w:rsidR="0064018D" w:rsidRPr="006645DC" w:rsidRDefault="0064018D" w:rsidP="0064018D">
      <w:pPr>
        <w:rPr>
          <w:lang w:val="en-GB"/>
        </w:rPr>
      </w:pPr>
      <w:r w:rsidRPr="006645DC">
        <w:rPr>
          <w:lang w:val="en-GB"/>
        </w:rPr>
        <w:t xml:space="preserve">In 2012, </w:t>
      </w:r>
      <w:r w:rsidRPr="006645DC">
        <w:rPr>
          <w:b/>
          <w:lang w:val="en-GB"/>
        </w:rPr>
        <w:t xml:space="preserve">the active population </w:t>
      </w:r>
      <w:r w:rsidRPr="006645DC">
        <w:rPr>
          <w:lang w:val="en-GB"/>
        </w:rPr>
        <w:t>in the cross-border area was of 2 125,6 thousand people, out of which     1 823 thousand people were from Romania (representing 14% of the total Romanian active population) and 302,6 thousand people were from Bulgaria (representing 9.05% of the total Bulgarian active population). This means that the Romanian part of the cross-border area accounts for 85.76% of the total active population of the entire area while Bulgarian part accounts for 14.24% of the total active population of the cross-border area.   Almost half of the total active population (47%) of the Romanian area is located in the counties where are situated the main two urban agglomerations of the Romanian area: Dolj (Craiova) and Constanta (Constanta city). In the Bulgarian area, the higher percentages were found in the districts of Ruse and Veliko Turnovo, followed by Pleven and Dobrich while at the opposi</w:t>
      </w:r>
      <w:r w:rsidR="000375AC">
        <w:rPr>
          <w:lang w:val="en-GB"/>
        </w:rPr>
        <w:t xml:space="preserve">te end was the Vidin district.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5"/>
        <w:gridCol w:w="1134"/>
        <w:gridCol w:w="3511"/>
        <w:gridCol w:w="778"/>
      </w:tblGrid>
      <w:tr w:rsidR="0064018D" w:rsidRPr="006645DC" w14:paraId="6A69D2E7" w14:textId="77777777" w:rsidTr="005E0FF1">
        <w:trPr>
          <w:trHeight w:val="282"/>
          <w:jc w:val="center"/>
        </w:trPr>
        <w:tc>
          <w:tcPr>
            <w:tcW w:w="3435" w:type="dxa"/>
            <w:vAlign w:val="center"/>
          </w:tcPr>
          <w:p w14:paraId="1C54A725" w14:textId="77777777" w:rsidR="0064018D" w:rsidRPr="006645DC" w:rsidRDefault="0064018D" w:rsidP="005E0FF1">
            <w:pPr>
              <w:snapToGrid w:val="0"/>
              <w:spacing w:before="0" w:after="0" w:line="280" w:lineRule="auto"/>
              <w:jc w:val="center"/>
              <w:rPr>
                <w:rFonts w:cs="Calibri"/>
                <w:lang w:val="en-GB"/>
              </w:rPr>
            </w:pPr>
            <w:r w:rsidRPr="006645DC">
              <w:rPr>
                <w:rFonts w:cs="Calibri"/>
                <w:b/>
                <w:i/>
                <w:lang w:val="en-GB"/>
              </w:rPr>
              <w:t>Romanian area (thousand people)</w:t>
            </w:r>
          </w:p>
        </w:tc>
        <w:tc>
          <w:tcPr>
            <w:tcW w:w="1134" w:type="dxa"/>
            <w:vAlign w:val="center"/>
          </w:tcPr>
          <w:p w14:paraId="769CE917" w14:textId="77777777" w:rsidR="0064018D" w:rsidRPr="006645DC" w:rsidRDefault="0064018D" w:rsidP="005E0FF1">
            <w:pPr>
              <w:snapToGrid w:val="0"/>
              <w:spacing w:before="0" w:after="0"/>
              <w:jc w:val="center"/>
              <w:rPr>
                <w:rFonts w:cs="Calibri"/>
                <w:lang w:val="en-GB"/>
              </w:rPr>
            </w:pPr>
            <w:r w:rsidRPr="006645DC">
              <w:rPr>
                <w:rFonts w:cs="Calibri"/>
                <w:lang w:val="en-GB"/>
              </w:rPr>
              <w:t>1 823</w:t>
            </w:r>
          </w:p>
        </w:tc>
        <w:tc>
          <w:tcPr>
            <w:tcW w:w="3511" w:type="dxa"/>
            <w:vAlign w:val="center"/>
          </w:tcPr>
          <w:p w14:paraId="7CA70F76" w14:textId="77777777" w:rsidR="0064018D" w:rsidRPr="006645DC" w:rsidRDefault="0064018D" w:rsidP="005E0FF1">
            <w:pPr>
              <w:snapToGrid w:val="0"/>
              <w:spacing w:before="0" w:after="0" w:line="280" w:lineRule="auto"/>
              <w:jc w:val="center"/>
              <w:rPr>
                <w:rFonts w:cs="Calibri"/>
                <w:lang w:val="en-GB"/>
              </w:rPr>
            </w:pPr>
            <w:r w:rsidRPr="006645DC">
              <w:rPr>
                <w:rFonts w:cs="Calibri"/>
                <w:b/>
                <w:i/>
                <w:lang w:val="en-GB"/>
              </w:rPr>
              <w:t>Bulgarian area (thousand people)</w:t>
            </w:r>
          </w:p>
        </w:tc>
        <w:tc>
          <w:tcPr>
            <w:tcW w:w="778" w:type="dxa"/>
            <w:vAlign w:val="center"/>
          </w:tcPr>
          <w:p w14:paraId="300928AA" w14:textId="77777777" w:rsidR="0064018D" w:rsidRPr="006645DC" w:rsidRDefault="0064018D" w:rsidP="005E0FF1">
            <w:pPr>
              <w:snapToGrid w:val="0"/>
              <w:spacing w:before="0" w:after="0"/>
              <w:jc w:val="center"/>
              <w:rPr>
                <w:rFonts w:cs="Calibri"/>
                <w:lang w:val="en-GB"/>
              </w:rPr>
            </w:pPr>
            <w:r w:rsidRPr="006645DC">
              <w:rPr>
                <w:rFonts w:cs="Calibri"/>
                <w:lang w:val="en-GB"/>
              </w:rPr>
              <w:t>302,6</w:t>
            </w:r>
          </w:p>
        </w:tc>
      </w:tr>
      <w:tr w:rsidR="0064018D" w:rsidRPr="006645DC" w14:paraId="4A54B624" w14:textId="77777777" w:rsidTr="005E0FF1">
        <w:trPr>
          <w:trHeight w:val="300"/>
          <w:jc w:val="center"/>
        </w:trPr>
        <w:tc>
          <w:tcPr>
            <w:tcW w:w="4569" w:type="dxa"/>
            <w:gridSpan w:val="2"/>
            <w:vAlign w:val="center"/>
          </w:tcPr>
          <w:p w14:paraId="78CCDD41" w14:textId="77777777" w:rsidR="0064018D" w:rsidRPr="006645DC" w:rsidRDefault="0064018D" w:rsidP="005E0FF1">
            <w:pPr>
              <w:snapToGrid w:val="0"/>
              <w:spacing w:before="0" w:after="0" w:line="280" w:lineRule="auto"/>
              <w:jc w:val="center"/>
              <w:rPr>
                <w:rFonts w:cs="Calibri"/>
                <w:lang w:val="en-GB"/>
              </w:rPr>
            </w:pPr>
            <w:r w:rsidRPr="006645DC">
              <w:rPr>
                <w:rFonts w:cs="Calibri"/>
                <w:i/>
                <w:lang w:val="en-GB"/>
              </w:rPr>
              <w:t>share of total</w:t>
            </w:r>
          </w:p>
        </w:tc>
        <w:tc>
          <w:tcPr>
            <w:tcW w:w="4289" w:type="dxa"/>
            <w:gridSpan w:val="2"/>
            <w:vAlign w:val="center"/>
          </w:tcPr>
          <w:p w14:paraId="6650F1AF" w14:textId="77777777" w:rsidR="0064018D" w:rsidRPr="006645DC" w:rsidRDefault="0064018D" w:rsidP="005E0FF1">
            <w:pPr>
              <w:keepNext/>
              <w:keepLines/>
              <w:snapToGrid w:val="0"/>
              <w:spacing w:before="0" w:after="0"/>
              <w:jc w:val="center"/>
              <w:outlineLvl w:val="1"/>
              <w:rPr>
                <w:rFonts w:cs="Calibri"/>
                <w:i/>
                <w:lang w:val="en-GB"/>
              </w:rPr>
            </w:pPr>
            <w:bookmarkStart w:id="910" w:name="_Toc376199131"/>
            <w:r w:rsidRPr="006645DC">
              <w:rPr>
                <w:rFonts w:cs="Calibri"/>
                <w:i/>
                <w:lang w:val="en-GB"/>
              </w:rPr>
              <w:t>share of total</w:t>
            </w:r>
            <w:bookmarkEnd w:id="910"/>
          </w:p>
        </w:tc>
      </w:tr>
      <w:tr w:rsidR="0064018D" w:rsidRPr="006645DC" w14:paraId="49661A01" w14:textId="77777777" w:rsidTr="005E0FF1">
        <w:trPr>
          <w:trHeight w:val="315"/>
          <w:jc w:val="center"/>
        </w:trPr>
        <w:tc>
          <w:tcPr>
            <w:tcW w:w="3435" w:type="dxa"/>
            <w:vAlign w:val="center"/>
          </w:tcPr>
          <w:p w14:paraId="2EDC6EAD" w14:textId="77777777" w:rsidR="0064018D" w:rsidRPr="006645DC" w:rsidRDefault="0064018D" w:rsidP="005E0FF1">
            <w:pPr>
              <w:keepNext/>
              <w:keepLines/>
              <w:snapToGrid w:val="0"/>
              <w:spacing w:before="0" w:after="0"/>
              <w:jc w:val="left"/>
              <w:outlineLvl w:val="1"/>
              <w:rPr>
                <w:rFonts w:cs="Calibri"/>
                <w:lang w:val="en-GB"/>
              </w:rPr>
            </w:pPr>
            <w:bookmarkStart w:id="911" w:name="_Toc376199132"/>
            <w:r w:rsidRPr="006645DC">
              <w:rPr>
                <w:rFonts w:cs="Calibri"/>
                <w:b/>
                <w:bCs/>
                <w:color w:val="000000"/>
                <w:lang w:val="en-GB"/>
              </w:rPr>
              <w:t>Constanta</w:t>
            </w:r>
            <w:bookmarkEnd w:id="911"/>
          </w:p>
        </w:tc>
        <w:tc>
          <w:tcPr>
            <w:tcW w:w="1134" w:type="dxa"/>
            <w:vAlign w:val="center"/>
          </w:tcPr>
          <w:p w14:paraId="598EB664" w14:textId="77777777" w:rsidR="0064018D" w:rsidRPr="006645DC" w:rsidRDefault="0064018D" w:rsidP="005E0FF1">
            <w:pPr>
              <w:keepNext/>
              <w:keepLines/>
              <w:snapToGrid w:val="0"/>
              <w:spacing w:before="0" w:after="0"/>
              <w:jc w:val="right"/>
              <w:outlineLvl w:val="1"/>
              <w:rPr>
                <w:rFonts w:cs="Calibri"/>
                <w:lang w:val="en-GB"/>
              </w:rPr>
            </w:pPr>
            <w:bookmarkStart w:id="912" w:name="_Toc376199133"/>
            <w:r w:rsidRPr="006645DC">
              <w:rPr>
                <w:rFonts w:cs="Calibri"/>
                <w:color w:val="000000"/>
                <w:lang w:val="en-GB"/>
              </w:rPr>
              <w:t>309</w:t>
            </w:r>
            <w:bookmarkEnd w:id="912"/>
          </w:p>
        </w:tc>
        <w:tc>
          <w:tcPr>
            <w:tcW w:w="3511" w:type="dxa"/>
            <w:vAlign w:val="center"/>
          </w:tcPr>
          <w:p w14:paraId="52F80879" w14:textId="77777777" w:rsidR="0064018D" w:rsidRPr="006645DC" w:rsidRDefault="0064018D" w:rsidP="005E0FF1">
            <w:pPr>
              <w:keepNext/>
              <w:keepLines/>
              <w:snapToGrid w:val="0"/>
              <w:spacing w:before="0" w:after="0"/>
              <w:jc w:val="left"/>
              <w:outlineLvl w:val="1"/>
              <w:rPr>
                <w:rFonts w:cs="Calibri"/>
                <w:b/>
                <w:lang w:val="en-GB"/>
              </w:rPr>
            </w:pPr>
            <w:bookmarkStart w:id="913" w:name="_Toc376199134"/>
            <w:r w:rsidRPr="006645DC">
              <w:rPr>
                <w:rFonts w:cs="Calibri"/>
                <w:b/>
                <w:lang w:val="en-GB"/>
              </w:rPr>
              <w:t>Vidin</w:t>
            </w:r>
            <w:bookmarkEnd w:id="913"/>
          </w:p>
        </w:tc>
        <w:tc>
          <w:tcPr>
            <w:tcW w:w="778" w:type="dxa"/>
            <w:vAlign w:val="center"/>
          </w:tcPr>
          <w:p w14:paraId="1069E440" w14:textId="77777777" w:rsidR="0064018D" w:rsidRPr="006645DC" w:rsidRDefault="0064018D" w:rsidP="005E0FF1">
            <w:pPr>
              <w:keepNext/>
              <w:keepLines/>
              <w:snapToGrid w:val="0"/>
              <w:spacing w:before="0" w:after="0"/>
              <w:jc w:val="right"/>
              <w:outlineLvl w:val="1"/>
              <w:rPr>
                <w:rFonts w:cs="Calibri"/>
                <w:lang w:val="en-GB"/>
              </w:rPr>
            </w:pPr>
            <w:bookmarkStart w:id="914" w:name="_Toc376199135"/>
            <w:r w:rsidRPr="006645DC">
              <w:rPr>
                <w:rFonts w:cs="Calibri"/>
                <w:lang w:val="en-GB"/>
              </w:rPr>
              <w:t>17,3</w:t>
            </w:r>
            <w:bookmarkEnd w:id="914"/>
          </w:p>
        </w:tc>
      </w:tr>
      <w:tr w:rsidR="0064018D" w:rsidRPr="006645DC" w14:paraId="77455BDF" w14:textId="77777777" w:rsidTr="005E0FF1">
        <w:trPr>
          <w:trHeight w:val="315"/>
          <w:jc w:val="center"/>
        </w:trPr>
        <w:tc>
          <w:tcPr>
            <w:tcW w:w="3435" w:type="dxa"/>
            <w:vAlign w:val="center"/>
          </w:tcPr>
          <w:p w14:paraId="6D007F63" w14:textId="77777777" w:rsidR="0064018D" w:rsidRPr="006645DC" w:rsidRDefault="0064018D" w:rsidP="005E0FF1">
            <w:pPr>
              <w:keepNext/>
              <w:keepLines/>
              <w:snapToGrid w:val="0"/>
              <w:spacing w:before="0" w:after="0"/>
              <w:jc w:val="left"/>
              <w:outlineLvl w:val="1"/>
              <w:rPr>
                <w:rFonts w:cs="Calibri"/>
                <w:lang w:val="en-GB"/>
              </w:rPr>
            </w:pPr>
            <w:bookmarkStart w:id="915" w:name="_Toc376199136"/>
            <w:r w:rsidRPr="006645DC">
              <w:rPr>
                <w:rFonts w:cs="Calibri"/>
                <w:b/>
                <w:bCs/>
                <w:color w:val="000000"/>
                <w:lang w:val="en-GB"/>
              </w:rPr>
              <w:t>Calarasi</w:t>
            </w:r>
            <w:bookmarkEnd w:id="915"/>
          </w:p>
        </w:tc>
        <w:tc>
          <w:tcPr>
            <w:tcW w:w="1134" w:type="dxa"/>
            <w:vAlign w:val="center"/>
          </w:tcPr>
          <w:p w14:paraId="4723EFCD" w14:textId="77777777" w:rsidR="0064018D" w:rsidRPr="006645DC" w:rsidRDefault="0064018D" w:rsidP="005E0FF1">
            <w:pPr>
              <w:keepNext/>
              <w:keepLines/>
              <w:snapToGrid w:val="0"/>
              <w:spacing w:before="0" w:after="0"/>
              <w:jc w:val="right"/>
              <w:outlineLvl w:val="1"/>
              <w:rPr>
                <w:rFonts w:cs="Calibri"/>
                <w:lang w:val="en-GB"/>
              </w:rPr>
            </w:pPr>
            <w:bookmarkStart w:id="916" w:name="_Toc376199137"/>
            <w:r w:rsidRPr="006645DC">
              <w:rPr>
                <w:rFonts w:cs="Calibri"/>
                <w:color w:val="000000"/>
                <w:lang w:val="en-GB"/>
              </w:rPr>
              <w:t>108,8</w:t>
            </w:r>
            <w:bookmarkEnd w:id="916"/>
          </w:p>
        </w:tc>
        <w:tc>
          <w:tcPr>
            <w:tcW w:w="3511" w:type="dxa"/>
            <w:vAlign w:val="center"/>
          </w:tcPr>
          <w:p w14:paraId="48B3689C" w14:textId="77777777" w:rsidR="0064018D" w:rsidRPr="006645DC" w:rsidRDefault="0064018D" w:rsidP="005E0FF1">
            <w:pPr>
              <w:keepNext/>
              <w:keepLines/>
              <w:snapToGrid w:val="0"/>
              <w:spacing w:before="0" w:after="0"/>
              <w:jc w:val="left"/>
              <w:outlineLvl w:val="1"/>
              <w:rPr>
                <w:rFonts w:cs="Calibri"/>
                <w:b/>
                <w:lang w:val="en-GB"/>
              </w:rPr>
            </w:pPr>
            <w:bookmarkStart w:id="917" w:name="_Toc376199138"/>
            <w:r w:rsidRPr="006645DC">
              <w:rPr>
                <w:rFonts w:cs="Calibri"/>
                <w:b/>
                <w:lang w:val="en-GB"/>
              </w:rPr>
              <w:t>Vratsa</w:t>
            </w:r>
            <w:bookmarkEnd w:id="917"/>
          </w:p>
        </w:tc>
        <w:tc>
          <w:tcPr>
            <w:tcW w:w="778" w:type="dxa"/>
            <w:vAlign w:val="center"/>
          </w:tcPr>
          <w:p w14:paraId="25C0FA0C" w14:textId="77777777" w:rsidR="0064018D" w:rsidRPr="006645DC" w:rsidRDefault="0064018D" w:rsidP="005E0FF1">
            <w:pPr>
              <w:keepNext/>
              <w:keepLines/>
              <w:snapToGrid w:val="0"/>
              <w:spacing w:before="0" w:after="0"/>
              <w:jc w:val="right"/>
              <w:outlineLvl w:val="1"/>
              <w:rPr>
                <w:rFonts w:cs="Calibri"/>
                <w:lang w:val="en-GB"/>
              </w:rPr>
            </w:pPr>
            <w:bookmarkStart w:id="918" w:name="_Toc376199139"/>
            <w:r w:rsidRPr="006645DC">
              <w:rPr>
                <w:rFonts w:cs="Calibri"/>
                <w:lang w:val="en-GB"/>
              </w:rPr>
              <w:t>30,6</w:t>
            </w:r>
            <w:bookmarkEnd w:id="918"/>
          </w:p>
        </w:tc>
      </w:tr>
      <w:tr w:rsidR="0064018D" w:rsidRPr="006645DC" w14:paraId="0B9CE597" w14:textId="77777777" w:rsidTr="005E0FF1">
        <w:trPr>
          <w:trHeight w:val="315"/>
          <w:jc w:val="center"/>
        </w:trPr>
        <w:tc>
          <w:tcPr>
            <w:tcW w:w="3435" w:type="dxa"/>
            <w:vAlign w:val="center"/>
          </w:tcPr>
          <w:p w14:paraId="3AE27F16" w14:textId="77777777" w:rsidR="0064018D" w:rsidRPr="006645DC" w:rsidRDefault="0064018D" w:rsidP="005E0FF1">
            <w:pPr>
              <w:keepNext/>
              <w:keepLines/>
              <w:snapToGrid w:val="0"/>
              <w:spacing w:before="0" w:after="0"/>
              <w:jc w:val="left"/>
              <w:outlineLvl w:val="1"/>
              <w:rPr>
                <w:rFonts w:cs="Calibri"/>
                <w:lang w:val="en-GB"/>
              </w:rPr>
            </w:pPr>
            <w:bookmarkStart w:id="919" w:name="_Toc376199140"/>
            <w:r w:rsidRPr="006645DC">
              <w:rPr>
                <w:rFonts w:cs="Calibri"/>
                <w:b/>
                <w:bCs/>
                <w:color w:val="000000"/>
                <w:lang w:val="en-GB"/>
              </w:rPr>
              <w:t>Giurgiu</w:t>
            </w:r>
            <w:bookmarkEnd w:id="919"/>
          </w:p>
        </w:tc>
        <w:tc>
          <w:tcPr>
            <w:tcW w:w="1134" w:type="dxa"/>
            <w:vAlign w:val="center"/>
          </w:tcPr>
          <w:p w14:paraId="1E323940" w14:textId="77777777" w:rsidR="0064018D" w:rsidRPr="006645DC" w:rsidRDefault="0064018D" w:rsidP="005E0FF1">
            <w:pPr>
              <w:keepNext/>
              <w:keepLines/>
              <w:snapToGrid w:val="0"/>
              <w:spacing w:before="0" w:after="0"/>
              <w:jc w:val="right"/>
              <w:outlineLvl w:val="1"/>
              <w:rPr>
                <w:rFonts w:cs="Calibri"/>
                <w:lang w:val="en-GB"/>
              </w:rPr>
            </w:pPr>
            <w:bookmarkStart w:id="920" w:name="_Toc376199141"/>
            <w:r w:rsidRPr="006645DC">
              <w:rPr>
                <w:rFonts w:cs="Calibri"/>
                <w:color w:val="000000"/>
                <w:lang w:val="en-GB"/>
              </w:rPr>
              <w:t>95,4</w:t>
            </w:r>
            <w:bookmarkEnd w:id="920"/>
          </w:p>
        </w:tc>
        <w:tc>
          <w:tcPr>
            <w:tcW w:w="3511" w:type="dxa"/>
            <w:vAlign w:val="center"/>
          </w:tcPr>
          <w:p w14:paraId="07CAFFF4" w14:textId="77777777" w:rsidR="0064018D" w:rsidRPr="006645DC" w:rsidRDefault="0064018D" w:rsidP="005E0FF1">
            <w:pPr>
              <w:keepNext/>
              <w:keepLines/>
              <w:snapToGrid w:val="0"/>
              <w:spacing w:before="0" w:after="0"/>
              <w:jc w:val="left"/>
              <w:outlineLvl w:val="1"/>
              <w:rPr>
                <w:rFonts w:cs="Calibri"/>
                <w:b/>
                <w:lang w:val="en-GB"/>
              </w:rPr>
            </w:pPr>
            <w:bookmarkStart w:id="921" w:name="_Toc376199142"/>
            <w:r w:rsidRPr="006645DC">
              <w:rPr>
                <w:rFonts w:cs="Calibri"/>
                <w:b/>
                <w:lang w:val="en-GB"/>
              </w:rPr>
              <w:t>Montana</w:t>
            </w:r>
            <w:bookmarkEnd w:id="921"/>
          </w:p>
        </w:tc>
        <w:tc>
          <w:tcPr>
            <w:tcW w:w="778" w:type="dxa"/>
            <w:vAlign w:val="center"/>
          </w:tcPr>
          <w:p w14:paraId="11C9F3DB" w14:textId="77777777" w:rsidR="0064018D" w:rsidRPr="006645DC" w:rsidRDefault="0064018D" w:rsidP="005E0FF1">
            <w:pPr>
              <w:keepNext/>
              <w:keepLines/>
              <w:snapToGrid w:val="0"/>
              <w:spacing w:before="0" w:after="0"/>
              <w:jc w:val="right"/>
              <w:outlineLvl w:val="1"/>
              <w:rPr>
                <w:rFonts w:cs="Calibri"/>
                <w:lang w:val="en-GB"/>
              </w:rPr>
            </w:pPr>
            <w:bookmarkStart w:id="922" w:name="_Toc376199143"/>
            <w:r w:rsidRPr="006645DC">
              <w:rPr>
                <w:rFonts w:cs="Calibri"/>
                <w:lang w:val="en-GB"/>
              </w:rPr>
              <w:t>26,6</w:t>
            </w:r>
            <w:bookmarkEnd w:id="922"/>
          </w:p>
        </w:tc>
      </w:tr>
      <w:tr w:rsidR="0064018D" w:rsidRPr="006645DC" w14:paraId="2AB0AB6E" w14:textId="77777777" w:rsidTr="005E0FF1">
        <w:trPr>
          <w:trHeight w:val="315"/>
          <w:jc w:val="center"/>
        </w:trPr>
        <w:tc>
          <w:tcPr>
            <w:tcW w:w="3435" w:type="dxa"/>
            <w:vAlign w:val="center"/>
          </w:tcPr>
          <w:p w14:paraId="1D207AD8" w14:textId="77777777" w:rsidR="0064018D" w:rsidRPr="006645DC" w:rsidRDefault="0064018D" w:rsidP="005E0FF1">
            <w:pPr>
              <w:keepNext/>
              <w:keepLines/>
              <w:snapToGrid w:val="0"/>
              <w:spacing w:before="0" w:after="0"/>
              <w:jc w:val="left"/>
              <w:outlineLvl w:val="1"/>
              <w:rPr>
                <w:rFonts w:cs="Calibri"/>
                <w:lang w:val="en-GB"/>
              </w:rPr>
            </w:pPr>
            <w:bookmarkStart w:id="923" w:name="_Toc376199144"/>
            <w:r w:rsidRPr="006645DC">
              <w:rPr>
                <w:rFonts w:cs="Calibri"/>
                <w:b/>
                <w:bCs/>
                <w:color w:val="000000"/>
                <w:lang w:val="en-GB"/>
              </w:rPr>
              <w:t>Teleorman</w:t>
            </w:r>
            <w:bookmarkEnd w:id="923"/>
          </w:p>
        </w:tc>
        <w:tc>
          <w:tcPr>
            <w:tcW w:w="1134" w:type="dxa"/>
            <w:vAlign w:val="center"/>
          </w:tcPr>
          <w:p w14:paraId="021571A9" w14:textId="77777777" w:rsidR="0064018D" w:rsidRPr="006645DC" w:rsidRDefault="0064018D" w:rsidP="005E0FF1">
            <w:pPr>
              <w:keepNext/>
              <w:keepLines/>
              <w:snapToGrid w:val="0"/>
              <w:spacing w:before="0" w:after="0"/>
              <w:jc w:val="right"/>
              <w:outlineLvl w:val="1"/>
              <w:rPr>
                <w:rFonts w:cs="Calibri"/>
                <w:lang w:val="en-GB"/>
              </w:rPr>
            </w:pPr>
            <w:bookmarkStart w:id="924" w:name="_Toc376199145"/>
            <w:r w:rsidRPr="006645DC">
              <w:rPr>
                <w:rFonts w:cs="Calibri"/>
                <w:color w:val="000000"/>
                <w:lang w:val="en-GB"/>
              </w:rPr>
              <w:t>175,1</w:t>
            </w:r>
            <w:bookmarkEnd w:id="924"/>
          </w:p>
        </w:tc>
        <w:tc>
          <w:tcPr>
            <w:tcW w:w="3511" w:type="dxa"/>
            <w:vAlign w:val="center"/>
          </w:tcPr>
          <w:p w14:paraId="0BB614EC" w14:textId="77777777" w:rsidR="0064018D" w:rsidRPr="006645DC" w:rsidRDefault="0064018D" w:rsidP="005E0FF1">
            <w:pPr>
              <w:keepNext/>
              <w:keepLines/>
              <w:snapToGrid w:val="0"/>
              <w:spacing w:before="0" w:after="0"/>
              <w:jc w:val="left"/>
              <w:outlineLvl w:val="1"/>
              <w:rPr>
                <w:rFonts w:cs="Calibri"/>
                <w:b/>
                <w:lang w:val="en-GB"/>
              </w:rPr>
            </w:pPr>
            <w:bookmarkStart w:id="925" w:name="_Toc376199146"/>
            <w:r w:rsidRPr="006645DC">
              <w:rPr>
                <w:rFonts w:cs="Calibri"/>
                <w:b/>
                <w:lang w:val="en-GB"/>
              </w:rPr>
              <w:t>Pleven</w:t>
            </w:r>
            <w:bookmarkEnd w:id="925"/>
          </w:p>
        </w:tc>
        <w:tc>
          <w:tcPr>
            <w:tcW w:w="778" w:type="dxa"/>
            <w:vAlign w:val="center"/>
          </w:tcPr>
          <w:p w14:paraId="634D61E0" w14:textId="77777777" w:rsidR="0064018D" w:rsidRPr="006645DC" w:rsidRDefault="0064018D" w:rsidP="005E0FF1">
            <w:pPr>
              <w:keepNext/>
              <w:keepLines/>
              <w:snapToGrid w:val="0"/>
              <w:spacing w:before="0" w:after="0"/>
              <w:jc w:val="right"/>
              <w:outlineLvl w:val="1"/>
              <w:rPr>
                <w:rFonts w:cs="Calibri"/>
                <w:lang w:val="en-GB"/>
              </w:rPr>
            </w:pPr>
            <w:bookmarkStart w:id="926" w:name="_Toc376199147"/>
            <w:r w:rsidRPr="006645DC">
              <w:rPr>
                <w:rFonts w:cs="Calibri"/>
                <w:lang w:val="en-GB"/>
              </w:rPr>
              <w:t>48,4</w:t>
            </w:r>
            <w:bookmarkEnd w:id="926"/>
          </w:p>
        </w:tc>
      </w:tr>
      <w:tr w:rsidR="0064018D" w:rsidRPr="006645DC" w14:paraId="487637EC" w14:textId="77777777" w:rsidTr="005E0FF1">
        <w:trPr>
          <w:trHeight w:val="315"/>
          <w:jc w:val="center"/>
        </w:trPr>
        <w:tc>
          <w:tcPr>
            <w:tcW w:w="3435" w:type="dxa"/>
            <w:vAlign w:val="center"/>
          </w:tcPr>
          <w:p w14:paraId="56AD5614" w14:textId="77777777" w:rsidR="0064018D" w:rsidRPr="006645DC" w:rsidRDefault="0064018D" w:rsidP="005E0FF1">
            <w:pPr>
              <w:keepNext/>
              <w:keepLines/>
              <w:snapToGrid w:val="0"/>
              <w:spacing w:before="0" w:after="0"/>
              <w:jc w:val="left"/>
              <w:outlineLvl w:val="1"/>
              <w:rPr>
                <w:rFonts w:cs="Calibri"/>
                <w:lang w:val="en-GB"/>
              </w:rPr>
            </w:pPr>
            <w:bookmarkStart w:id="927" w:name="_Toc376199148"/>
            <w:r w:rsidRPr="006645DC">
              <w:rPr>
                <w:rFonts w:cs="Calibri"/>
                <w:b/>
                <w:bCs/>
                <w:color w:val="000000"/>
                <w:lang w:val="en-GB"/>
              </w:rPr>
              <w:t>Dolj</w:t>
            </w:r>
            <w:bookmarkEnd w:id="927"/>
          </w:p>
        </w:tc>
        <w:tc>
          <w:tcPr>
            <w:tcW w:w="1134" w:type="dxa"/>
            <w:vAlign w:val="center"/>
          </w:tcPr>
          <w:p w14:paraId="52CC232B" w14:textId="77777777" w:rsidR="0064018D" w:rsidRPr="006645DC" w:rsidRDefault="0064018D" w:rsidP="005E0FF1">
            <w:pPr>
              <w:keepNext/>
              <w:keepLines/>
              <w:snapToGrid w:val="0"/>
              <w:spacing w:before="0" w:after="0"/>
              <w:jc w:val="right"/>
              <w:outlineLvl w:val="1"/>
              <w:rPr>
                <w:rFonts w:cs="Calibri"/>
                <w:lang w:val="en-GB"/>
              </w:rPr>
            </w:pPr>
            <w:bookmarkStart w:id="928" w:name="_Toc376199149"/>
            <w:r w:rsidRPr="006645DC">
              <w:rPr>
                <w:rFonts w:cs="Calibri"/>
                <w:color w:val="000000"/>
                <w:lang w:val="en-GB"/>
              </w:rPr>
              <w:t>294</w:t>
            </w:r>
            <w:bookmarkEnd w:id="928"/>
          </w:p>
        </w:tc>
        <w:tc>
          <w:tcPr>
            <w:tcW w:w="3511" w:type="dxa"/>
            <w:vAlign w:val="center"/>
          </w:tcPr>
          <w:p w14:paraId="7C6E03A8" w14:textId="77777777" w:rsidR="0064018D" w:rsidRPr="006645DC" w:rsidRDefault="0064018D" w:rsidP="005E0FF1">
            <w:pPr>
              <w:keepNext/>
              <w:keepLines/>
              <w:snapToGrid w:val="0"/>
              <w:spacing w:before="0" w:after="0"/>
              <w:jc w:val="left"/>
              <w:outlineLvl w:val="1"/>
              <w:rPr>
                <w:rFonts w:cs="Calibri"/>
                <w:b/>
                <w:lang w:val="en-GB"/>
              </w:rPr>
            </w:pPr>
            <w:bookmarkStart w:id="929" w:name="_Toc376199150"/>
            <w:r w:rsidRPr="006645DC">
              <w:rPr>
                <w:rFonts w:cs="Calibri"/>
                <w:b/>
                <w:lang w:val="en-GB"/>
              </w:rPr>
              <w:t>Veliko Turnovo</w:t>
            </w:r>
            <w:bookmarkEnd w:id="929"/>
          </w:p>
        </w:tc>
        <w:tc>
          <w:tcPr>
            <w:tcW w:w="778" w:type="dxa"/>
            <w:vAlign w:val="center"/>
          </w:tcPr>
          <w:p w14:paraId="238F3879" w14:textId="77777777" w:rsidR="0064018D" w:rsidRPr="006645DC" w:rsidRDefault="0064018D" w:rsidP="005E0FF1">
            <w:pPr>
              <w:keepNext/>
              <w:keepLines/>
              <w:snapToGrid w:val="0"/>
              <w:spacing w:before="0" w:after="0"/>
              <w:jc w:val="right"/>
              <w:outlineLvl w:val="1"/>
              <w:rPr>
                <w:rFonts w:cs="Calibri"/>
                <w:lang w:val="en-GB"/>
              </w:rPr>
            </w:pPr>
            <w:bookmarkStart w:id="930" w:name="_Toc376199151"/>
            <w:r w:rsidRPr="006645DC">
              <w:rPr>
                <w:rFonts w:cs="Calibri"/>
                <w:lang w:val="en-GB"/>
              </w:rPr>
              <w:t>55,5</w:t>
            </w:r>
            <w:bookmarkEnd w:id="930"/>
          </w:p>
        </w:tc>
      </w:tr>
      <w:tr w:rsidR="0064018D" w:rsidRPr="006645DC" w14:paraId="52C6898F" w14:textId="77777777" w:rsidTr="005E0FF1">
        <w:trPr>
          <w:trHeight w:val="315"/>
          <w:jc w:val="center"/>
        </w:trPr>
        <w:tc>
          <w:tcPr>
            <w:tcW w:w="3435" w:type="dxa"/>
            <w:vAlign w:val="center"/>
          </w:tcPr>
          <w:p w14:paraId="7A4C3AE3" w14:textId="77777777" w:rsidR="0064018D" w:rsidRPr="006645DC" w:rsidRDefault="0064018D" w:rsidP="005E0FF1">
            <w:pPr>
              <w:keepNext/>
              <w:keepLines/>
              <w:snapToGrid w:val="0"/>
              <w:spacing w:before="0" w:after="0"/>
              <w:jc w:val="left"/>
              <w:outlineLvl w:val="1"/>
              <w:rPr>
                <w:rFonts w:cs="Calibri"/>
                <w:lang w:val="en-GB"/>
              </w:rPr>
            </w:pPr>
            <w:bookmarkStart w:id="931" w:name="_Toc376199152"/>
            <w:r w:rsidRPr="006645DC">
              <w:rPr>
                <w:rFonts w:cs="Calibri"/>
                <w:b/>
                <w:bCs/>
                <w:color w:val="000000"/>
                <w:lang w:val="en-GB"/>
              </w:rPr>
              <w:t>Mehedinti</w:t>
            </w:r>
            <w:bookmarkEnd w:id="931"/>
          </w:p>
        </w:tc>
        <w:tc>
          <w:tcPr>
            <w:tcW w:w="1134" w:type="dxa"/>
            <w:vAlign w:val="center"/>
          </w:tcPr>
          <w:p w14:paraId="597C14B8" w14:textId="77777777" w:rsidR="0064018D" w:rsidRPr="006645DC" w:rsidRDefault="0064018D" w:rsidP="005E0FF1">
            <w:pPr>
              <w:keepNext/>
              <w:keepLines/>
              <w:snapToGrid w:val="0"/>
              <w:spacing w:before="0" w:after="0"/>
              <w:jc w:val="right"/>
              <w:outlineLvl w:val="1"/>
              <w:rPr>
                <w:rFonts w:cs="Calibri"/>
                <w:lang w:val="en-GB"/>
              </w:rPr>
            </w:pPr>
            <w:bookmarkStart w:id="932" w:name="_Toc376199153"/>
            <w:r w:rsidRPr="006645DC">
              <w:rPr>
                <w:rFonts w:cs="Calibri"/>
                <w:color w:val="000000"/>
                <w:lang w:val="en-GB"/>
              </w:rPr>
              <w:t>120</w:t>
            </w:r>
            <w:bookmarkEnd w:id="932"/>
          </w:p>
        </w:tc>
        <w:tc>
          <w:tcPr>
            <w:tcW w:w="3511" w:type="dxa"/>
            <w:vAlign w:val="center"/>
          </w:tcPr>
          <w:p w14:paraId="0833B33C" w14:textId="77777777" w:rsidR="0064018D" w:rsidRPr="006645DC" w:rsidRDefault="0064018D" w:rsidP="005E0FF1">
            <w:pPr>
              <w:keepNext/>
              <w:keepLines/>
              <w:snapToGrid w:val="0"/>
              <w:spacing w:before="0" w:after="0"/>
              <w:jc w:val="left"/>
              <w:outlineLvl w:val="1"/>
              <w:rPr>
                <w:rFonts w:cs="Calibri"/>
                <w:b/>
                <w:lang w:val="en-GB"/>
              </w:rPr>
            </w:pPr>
            <w:bookmarkStart w:id="933" w:name="_Toc376199154"/>
            <w:r w:rsidRPr="006645DC">
              <w:rPr>
                <w:rFonts w:cs="Calibri"/>
                <w:b/>
                <w:lang w:val="en-GB"/>
              </w:rPr>
              <w:t>Ruse</w:t>
            </w:r>
            <w:bookmarkEnd w:id="933"/>
          </w:p>
        </w:tc>
        <w:tc>
          <w:tcPr>
            <w:tcW w:w="778" w:type="dxa"/>
            <w:vAlign w:val="center"/>
          </w:tcPr>
          <w:p w14:paraId="426FB6D9" w14:textId="77777777" w:rsidR="0064018D" w:rsidRPr="006645DC" w:rsidRDefault="0064018D" w:rsidP="005E0FF1">
            <w:pPr>
              <w:keepNext/>
              <w:keepLines/>
              <w:snapToGrid w:val="0"/>
              <w:spacing w:before="0" w:after="0"/>
              <w:jc w:val="right"/>
              <w:outlineLvl w:val="1"/>
              <w:rPr>
                <w:rFonts w:cs="Calibri"/>
                <w:lang w:val="en-GB"/>
              </w:rPr>
            </w:pPr>
            <w:bookmarkStart w:id="934" w:name="_Toc376199155"/>
            <w:r w:rsidRPr="006645DC">
              <w:rPr>
                <w:rFonts w:cs="Calibri"/>
                <w:lang w:val="en-GB"/>
              </w:rPr>
              <w:t>53,3</w:t>
            </w:r>
            <w:bookmarkEnd w:id="934"/>
          </w:p>
        </w:tc>
      </w:tr>
      <w:tr w:rsidR="0064018D" w:rsidRPr="006645DC" w14:paraId="5048A425" w14:textId="77777777" w:rsidTr="005E0FF1">
        <w:trPr>
          <w:trHeight w:val="315"/>
          <w:jc w:val="center"/>
        </w:trPr>
        <w:tc>
          <w:tcPr>
            <w:tcW w:w="3435" w:type="dxa"/>
            <w:tcBorders>
              <w:bottom w:val="single" w:sz="4" w:space="0" w:color="auto"/>
            </w:tcBorders>
            <w:vAlign w:val="center"/>
          </w:tcPr>
          <w:p w14:paraId="25980DEA" w14:textId="77777777" w:rsidR="0064018D" w:rsidRPr="006645DC" w:rsidRDefault="0064018D" w:rsidP="005E0FF1">
            <w:pPr>
              <w:keepNext/>
              <w:keepLines/>
              <w:snapToGrid w:val="0"/>
              <w:spacing w:before="0" w:after="0"/>
              <w:jc w:val="left"/>
              <w:outlineLvl w:val="1"/>
              <w:rPr>
                <w:rFonts w:cs="Calibri"/>
                <w:lang w:val="en-GB"/>
              </w:rPr>
            </w:pPr>
            <w:bookmarkStart w:id="935" w:name="_Toc376199156"/>
            <w:r w:rsidRPr="006645DC">
              <w:rPr>
                <w:rFonts w:cs="Calibri"/>
                <w:b/>
                <w:bCs/>
                <w:color w:val="000000"/>
                <w:lang w:val="en-GB"/>
              </w:rPr>
              <w:t>Olt</w:t>
            </w:r>
            <w:bookmarkEnd w:id="935"/>
          </w:p>
        </w:tc>
        <w:tc>
          <w:tcPr>
            <w:tcW w:w="1134" w:type="dxa"/>
            <w:tcBorders>
              <w:bottom w:val="single" w:sz="4" w:space="0" w:color="auto"/>
            </w:tcBorders>
            <w:vAlign w:val="center"/>
          </w:tcPr>
          <w:p w14:paraId="555A911D" w14:textId="77777777" w:rsidR="0064018D" w:rsidRPr="006645DC" w:rsidRDefault="0064018D" w:rsidP="005E0FF1">
            <w:pPr>
              <w:keepNext/>
              <w:keepLines/>
              <w:snapToGrid w:val="0"/>
              <w:spacing w:before="0" w:after="0"/>
              <w:jc w:val="right"/>
              <w:outlineLvl w:val="1"/>
              <w:rPr>
                <w:rFonts w:cs="Calibri"/>
                <w:lang w:val="en-GB"/>
              </w:rPr>
            </w:pPr>
            <w:bookmarkStart w:id="936" w:name="_Toc376199157"/>
            <w:r w:rsidRPr="006645DC">
              <w:rPr>
                <w:rFonts w:cs="Calibri"/>
                <w:color w:val="000000"/>
                <w:lang w:val="en-GB"/>
              </w:rPr>
              <w:t>181,4</w:t>
            </w:r>
            <w:bookmarkEnd w:id="936"/>
          </w:p>
        </w:tc>
        <w:tc>
          <w:tcPr>
            <w:tcW w:w="3511" w:type="dxa"/>
            <w:vAlign w:val="center"/>
          </w:tcPr>
          <w:p w14:paraId="0E7DEDD7" w14:textId="77777777" w:rsidR="0064018D" w:rsidRPr="006645DC" w:rsidRDefault="0064018D" w:rsidP="005E0FF1">
            <w:pPr>
              <w:keepNext/>
              <w:keepLines/>
              <w:snapToGrid w:val="0"/>
              <w:spacing w:before="0" w:after="0"/>
              <w:jc w:val="left"/>
              <w:outlineLvl w:val="1"/>
              <w:rPr>
                <w:rFonts w:cs="Calibri"/>
                <w:b/>
                <w:lang w:val="en-GB"/>
              </w:rPr>
            </w:pPr>
            <w:bookmarkStart w:id="937" w:name="_Toc376199158"/>
            <w:r w:rsidRPr="006645DC">
              <w:rPr>
                <w:rFonts w:cs="Calibri"/>
                <w:b/>
                <w:lang w:val="en-GB"/>
              </w:rPr>
              <w:t>Silistra</w:t>
            </w:r>
            <w:bookmarkEnd w:id="937"/>
          </w:p>
        </w:tc>
        <w:tc>
          <w:tcPr>
            <w:tcW w:w="778" w:type="dxa"/>
            <w:vAlign w:val="center"/>
          </w:tcPr>
          <w:p w14:paraId="1019FE97" w14:textId="77777777" w:rsidR="0064018D" w:rsidRPr="006645DC" w:rsidRDefault="0064018D" w:rsidP="005E0FF1">
            <w:pPr>
              <w:keepNext/>
              <w:keepLines/>
              <w:snapToGrid w:val="0"/>
              <w:spacing w:before="0" w:after="0"/>
              <w:jc w:val="right"/>
              <w:outlineLvl w:val="1"/>
              <w:rPr>
                <w:rFonts w:cs="Calibri"/>
                <w:lang w:val="en-GB"/>
              </w:rPr>
            </w:pPr>
            <w:bookmarkStart w:id="938" w:name="_Toc376199159"/>
            <w:r w:rsidRPr="006645DC">
              <w:rPr>
                <w:rFonts w:cs="Calibri"/>
                <w:lang w:val="en-GB"/>
              </w:rPr>
              <w:t>22,5</w:t>
            </w:r>
            <w:bookmarkEnd w:id="938"/>
          </w:p>
        </w:tc>
      </w:tr>
      <w:tr w:rsidR="0064018D" w:rsidRPr="006645DC" w14:paraId="3320B66F" w14:textId="77777777" w:rsidTr="005E0FF1">
        <w:trPr>
          <w:trHeight w:val="315"/>
          <w:jc w:val="center"/>
        </w:trPr>
        <w:tc>
          <w:tcPr>
            <w:tcW w:w="4569" w:type="dxa"/>
            <w:gridSpan w:val="2"/>
            <w:tcBorders>
              <w:left w:val="single" w:sz="4" w:space="0" w:color="auto"/>
            </w:tcBorders>
            <w:vAlign w:val="center"/>
          </w:tcPr>
          <w:p w14:paraId="0DCE0F9D" w14:textId="77777777" w:rsidR="0064018D" w:rsidRPr="006645DC" w:rsidRDefault="0064018D" w:rsidP="00546086">
            <w:pPr>
              <w:snapToGrid w:val="0"/>
              <w:spacing w:before="0" w:after="0"/>
              <w:jc w:val="center"/>
              <w:rPr>
                <w:rFonts w:cs="Calibri"/>
                <w:lang w:val="en-GB"/>
              </w:rPr>
            </w:pPr>
          </w:p>
        </w:tc>
        <w:tc>
          <w:tcPr>
            <w:tcW w:w="3511" w:type="dxa"/>
            <w:vAlign w:val="center"/>
          </w:tcPr>
          <w:p w14:paraId="3539AA4A" w14:textId="77777777" w:rsidR="0064018D" w:rsidRPr="006645DC" w:rsidRDefault="0064018D" w:rsidP="005E0FF1">
            <w:pPr>
              <w:keepNext/>
              <w:keepLines/>
              <w:snapToGrid w:val="0"/>
              <w:spacing w:before="0" w:after="0"/>
              <w:jc w:val="left"/>
              <w:outlineLvl w:val="1"/>
              <w:rPr>
                <w:rFonts w:cs="Calibri"/>
                <w:b/>
                <w:lang w:val="en-GB"/>
              </w:rPr>
            </w:pPr>
            <w:bookmarkStart w:id="939" w:name="_Toc376199160"/>
            <w:r w:rsidRPr="006645DC">
              <w:rPr>
                <w:rFonts w:cs="Calibri"/>
                <w:b/>
                <w:lang w:val="en-GB"/>
              </w:rPr>
              <w:t>Dobrich</w:t>
            </w:r>
            <w:bookmarkEnd w:id="939"/>
          </w:p>
        </w:tc>
        <w:tc>
          <w:tcPr>
            <w:tcW w:w="778" w:type="dxa"/>
            <w:vAlign w:val="center"/>
          </w:tcPr>
          <w:p w14:paraId="0046B1D4" w14:textId="77777777" w:rsidR="0064018D" w:rsidRPr="006645DC" w:rsidRDefault="0064018D" w:rsidP="005E0FF1">
            <w:pPr>
              <w:keepNext/>
              <w:keepLines/>
              <w:snapToGrid w:val="0"/>
              <w:spacing w:before="0" w:after="0"/>
              <w:jc w:val="right"/>
              <w:outlineLvl w:val="1"/>
              <w:rPr>
                <w:rFonts w:cs="Calibri"/>
                <w:lang w:val="en-GB"/>
              </w:rPr>
            </w:pPr>
            <w:bookmarkStart w:id="940" w:name="_Toc376199161"/>
            <w:r w:rsidRPr="006645DC">
              <w:rPr>
                <w:rFonts w:cs="Calibri"/>
                <w:lang w:val="en-GB"/>
              </w:rPr>
              <w:t>48,4</w:t>
            </w:r>
            <w:bookmarkEnd w:id="940"/>
          </w:p>
        </w:tc>
      </w:tr>
    </w:tbl>
    <w:p w14:paraId="09037E72" w14:textId="77777777" w:rsidR="0064018D" w:rsidRPr="006645DC" w:rsidRDefault="0064018D" w:rsidP="0064018D">
      <w:pPr>
        <w:pStyle w:val="Caption"/>
        <w:rPr>
          <w:lang w:val="en-GB"/>
        </w:rPr>
      </w:pPr>
      <w:bookmarkStart w:id="941" w:name="_Toc391150123"/>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26</w:t>
      </w:r>
      <w:r w:rsidR="005979EB" w:rsidRPr="006645DC">
        <w:rPr>
          <w:lang w:val="en-GB"/>
        </w:rPr>
        <w:fldChar w:fldCharType="end"/>
      </w:r>
      <w:r w:rsidRPr="006645DC">
        <w:rPr>
          <w:lang w:val="en-GB"/>
        </w:rPr>
        <w:t xml:space="preserve"> - Distribution of active population in the Romania-Bulgaria cross-border region, by counties/districts in 2012</w:t>
      </w:r>
      <w:bookmarkEnd w:id="941"/>
    </w:p>
    <w:p w14:paraId="66168D2A" w14:textId="77777777" w:rsidR="0064018D" w:rsidRPr="006645DC" w:rsidRDefault="0064018D" w:rsidP="0064018D">
      <w:pPr>
        <w:pStyle w:val="Heading4"/>
        <w:rPr>
          <w:lang w:val="en-GB"/>
        </w:rPr>
      </w:pPr>
      <w:r w:rsidRPr="006645DC">
        <w:rPr>
          <w:lang w:val="en-GB"/>
        </w:rPr>
        <w:t>Source: INS Roman</w:t>
      </w:r>
      <w:r w:rsidR="00DF2276" w:rsidRPr="006645DC">
        <w:rPr>
          <w:lang w:val="en-GB"/>
        </w:rPr>
        <w:t>ia and NSI Bulgaria</w:t>
      </w:r>
    </w:p>
    <w:p w14:paraId="0A32757A" w14:textId="77777777" w:rsidR="0064018D" w:rsidRPr="006645DC" w:rsidRDefault="0064018D" w:rsidP="0064018D">
      <w:pPr>
        <w:rPr>
          <w:rStyle w:val="longtext"/>
          <w:rFonts w:eastAsia="Times New Roman"/>
          <w:lang w:val="en-GB"/>
        </w:rPr>
      </w:pPr>
      <w:r w:rsidRPr="006645DC">
        <w:rPr>
          <w:rStyle w:val="longtext"/>
          <w:rFonts w:eastAsia="Times New Roman"/>
          <w:lang w:val="en-GB"/>
        </w:rPr>
        <w:t xml:space="preserve">The activity rate of both countries is low compared to the EU 27 average (a 63% average compared to around 70%).  </w:t>
      </w:r>
    </w:p>
    <w:p w14:paraId="4CD18E67" w14:textId="77777777" w:rsidR="0064018D" w:rsidRPr="006645DC" w:rsidRDefault="0064018D" w:rsidP="0064018D">
      <w:pPr>
        <w:rPr>
          <w:rStyle w:val="longtext"/>
          <w:rFonts w:eastAsia="Times New Roman"/>
          <w:lang w:val="en-GB"/>
        </w:rPr>
      </w:pPr>
      <w:r w:rsidRPr="006645DC">
        <w:rPr>
          <w:rStyle w:val="longtext"/>
          <w:rFonts w:eastAsia="Times New Roman"/>
          <w:lang w:val="en-GB"/>
        </w:rPr>
        <w:t>The entire cross-border area is strongly affected by low levels of activity rates, many of the counties/districts displaying even lower levels than the national ones. The chart below presents the statistical indicator of “activity rate</w:t>
      </w:r>
      <w:r w:rsidRPr="006645DC">
        <w:rPr>
          <w:rStyle w:val="FootnoteReference"/>
          <w:lang w:val="en-GB"/>
        </w:rPr>
        <w:footnoteReference w:id="21"/>
      </w:r>
      <w:r w:rsidRPr="006645DC">
        <w:rPr>
          <w:rStyle w:val="longtext"/>
          <w:rFonts w:eastAsia="Times New Roman"/>
          <w:lang w:val="en-GB"/>
        </w:rPr>
        <w:t xml:space="preserve">” for the cross-border counties/districts. The level of persons that </w:t>
      </w:r>
      <w:r w:rsidRPr="006645DC">
        <w:rPr>
          <w:rStyle w:val="longtext"/>
          <w:rFonts w:eastAsia="Times New Roman"/>
          <w:lang w:val="en-GB"/>
        </w:rPr>
        <w:lastRenderedPageBreak/>
        <w:t>should be active but are practically unaccounted for in terms of labor market is impressive: from 55% of the fit-for-work group to 25% (2012 figures). This is highly worrying from a social cohesion perspective as it can be explained by the following phenomena:</w:t>
      </w:r>
    </w:p>
    <w:p w14:paraId="1E50F164" w14:textId="77777777" w:rsidR="0064018D" w:rsidRPr="006645DC" w:rsidRDefault="00D16360" w:rsidP="0064018D">
      <w:pPr>
        <w:pStyle w:val="ListParagraph"/>
        <w:ind w:left="867"/>
        <w:rPr>
          <w:rStyle w:val="longtext"/>
          <w:rFonts w:eastAsia="Calibri"/>
          <w:lang w:val="en-GB" w:eastAsia="en-US"/>
        </w:rPr>
      </w:pPr>
      <w:r w:rsidRPr="006645DC">
        <w:rPr>
          <w:rStyle w:val="longtext"/>
          <w:lang w:val="en-GB"/>
        </w:rPr>
        <w:t>High</w:t>
      </w:r>
      <w:r w:rsidR="0064018D" w:rsidRPr="006645DC">
        <w:rPr>
          <w:rStyle w:val="longtext"/>
          <w:lang w:val="en-GB"/>
        </w:rPr>
        <w:t xml:space="preserve"> levels of external migration (that was not recorded officially),</w:t>
      </w:r>
    </w:p>
    <w:p w14:paraId="2249595B" w14:textId="77777777" w:rsidR="0064018D" w:rsidRPr="006645DC" w:rsidRDefault="00D16360" w:rsidP="0064018D">
      <w:pPr>
        <w:pStyle w:val="ListParagraph"/>
        <w:ind w:left="867"/>
        <w:rPr>
          <w:rStyle w:val="longtext"/>
          <w:rFonts w:eastAsia="Calibri"/>
          <w:lang w:val="en-GB" w:eastAsia="en-US"/>
        </w:rPr>
      </w:pPr>
      <w:r w:rsidRPr="006645DC">
        <w:rPr>
          <w:rStyle w:val="longtext"/>
          <w:lang w:val="en-GB"/>
        </w:rPr>
        <w:t>High</w:t>
      </w:r>
      <w:r w:rsidR="0064018D" w:rsidRPr="006645DC">
        <w:rPr>
          <w:rStyle w:val="longtext"/>
          <w:lang w:val="en-GB"/>
        </w:rPr>
        <w:t xml:space="preserve"> levels of undeclared work coupled with intensive use of day-labourers</w:t>
      </w:r>
    </w:p>
    <w:p w14:paraId="72F5AB3B" w14:textId="77777777" w:rsidR="0064018D" w:rsidRPr="006645DC" w:rsidRDefault="00D16360" w:rsidP="0064018D">
      <w:pPr>
        <w:pStyle w:val="ListParagraph"/>
        <w:ind w:left="867"/>
        <w:rPr>
          <w:rStyle w:val="longtext"/>
          <w:rFonts w:eastAsia="Calibri"/>
          <w:lang w:val="en-GB" w:eastAsia="en-US"/>
        </w:rPr>
      </w:pPr>
      <w:r w:rsidRPr="006645DC">
        <w:rPr>
          <w:rStyle w:val="longtext"/>
          <w:lang w:val="en-GB"/>
        </w:rPr>
        <w:t>Dependent</w:t>
      </w:r>
      <w:r w:rsidR="0064018D" w:rsidRPr="006645DC">
        <w:rPr>
          <w:rStyle w:val="longtext"/>
          <w:lang w:val="en-GB"/>
        </w:rPr>
        <w:t xml:space="preserve"> persons that sustain themselves through social security benefits of other family members. </w:t>
      </w:r>
    </w:p>
    <w:p w14:paraId="55B6F8F5" w14:textId="77777777" w:rsidR="0064018D" w:rsidRPr="006645DC" w:rsidRDefault="0064018D" w:rsidP="0064018D">
      <w:pPr>
        <w:pStyle w:val="BodyText"/>
        <w:jc w:val="left"/>
        <w:rPr>
          <w:rStyle w:val="longtext"/>
          <w:rFonts w:ascii="Calibri" w:eastAsia="Calibri" w:hAnsi="Calibri" w:cs="Times New Roman"/>
          <w:snapToGrid/>
          <w:sz w:val="22"/>
          <w:szCs w:val="22"/>
          <w:lang w:val="en-GB" w:eastAsia="en-US"/>
        </w:rPr>
      </w:pPr>
    </w:p>
    <w:p w14:paraId="6779B906" w14:textId="77777777" w:rsidR="0064018D" w:rsidRPr="006645DC" w:rsidRDefault="00AA4C82" w:rsidP="0064018D">
      <w:pPr>
        <w:pStyle w:val="BodyText"/>
        <w:jc w:val="center"/>
        <w:rPr>
          <w:rFonts w:ascii="Calibri" w:hAnsi="Calibri" w:cs="Times New Roman"/>
          <w:color w:val="000000"/>
          <w:lang w:val="en-GB"/>
        </w:rPr>
      </w:pPr>
      <w:r w:rsidRPr="006645DC">
        <w:rPr>
          <w:rFonts w:ascii="Calibri" w:eastAsia="Calibri" w:hAnsi="Calibri" w:cs="Times New Roman"/>
          <w:noProof/>
          <w:snapToGrid/>
          <w:sz w:val="22"/>
          <w:szCs w:val="22"/>
          <w:lang w:val="bg-BG" w:eastAsia="bg-BG"/>
        </w:rPr>
        <w:drawing>
          <wp:inline distT="0" distB="0" distL="0" distR="0" wp14:anchorId="3BC468E2" wp14:editId="78F86916">
            <wp:extent cx="5596637" cy="4577591"/>
            <wp:effectExtent l="0" t="0" r="4063" b="3934"/>
            <wp:docPr id="61" name="Chart 10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43BC1C35" w14:textId="77777777" w:rsidR="0064018D" w:rsidRPr="006645DC" w:rsidRDefault="0064018D" w:rsidP="0064018D">
      <w:pPr>
        <w:pStyle w:val="Heading4"/>
        <w:rPr>
          <w:lang w:val="en-GB"/>
        </w:rPr>
      </w:pPr>
    </w:p>
    <w:p w14:paraId="2292EEDA" w14:textId="77777777" w:rsidR="0064018D" w:rsidRPr="006645DC" w:rsidRDefault="0064018D" w:rsidP="0064018D">
      <w:pPr>
        <w:pStyle w:val="Caption"/>
        <w:rPr>
          <w:lang w:val="en-GB"/>
        </w:rPr>
      </w:pPr>
      <w:bookmarkStart w:id="942" w:name="_Toc391150080"/>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31</w:t>
      </w:r>
      <w:r w:rsidR="005979EB" w:rsidRPr="006645DC">
        <w:rPr>
          <w:lang w:val="en-GB"/>
        </w:rPr>
        <w:fldChar w:fldCharType="end"/>
      </w:r>
      <w:r w:rsidRPr="006645DC">
        <w:rPr>
          <w:lang w:val="en-GB"/>
        </w:rPr>
        <w:t xml:space="preserve"> - The evolution of the rate of active population in the overall “working resource” in the cross-border counties/districts and at national level (2000-2012)</w:t>
      </w:r>
      <w:bookmarkEnd w:id="942"/>
    </w:p>
    <w:p w14:paraId="79E1F39D" w14:textId="77777777" w:rsidR="0064018D" w:rsidRPr="002448E1" w:rsidRDefault="0064018D" w:rsidP="0064018D">
      <w:pPr>
        <w:pStyle w:val="Heading4"/>
        <w:rPr>
          <w:lang w:val="it-IT"/>
        </w:rPr>
      </w:pPr>
      <w:r w:rsidRPr="002448E1">
        <w:rPr>
          <w:lang w:val="it-IT"/>
        </w:rPr>
        <w:t>source: INS Romania, NSI Bulgaria</w:t>
      </w:r>
    </w:p>
    <w:p w14:paraId="321458D7" w14:textId="44D07844" w:rsidR="0064018D" w:rsidRPr="002448E1" w:rsidRDefault="0064018D" w:rsidP="0064018D">
      <w:pPr>
        <w:rPr>
          <w:rStyle w:val="longtext"/>
          <w:rFonts w:eastAsia="Times New Roman"/>
          <w:lang w:val="it-IT"/>
        </w:rPr>
      </w:pPr>
      <w:r w:rsidRPr="002448E1">
        <w:rPr>
          <w:rStyle w:val="longtext"/>
          <w:rFonts w:eastAsia="Times New Roman"/>
          <w:lang w:val="it-IT"/>
        </w:rPr>
        <w:t xml:space="preserve">. </w:t>
      </w:r>
    </w:p>
    <w:p w14:paraId="51A106A6" w14:textId="77777777" w:rsidR="0064018D" w:rsidRPr="006645DC" w:rsidRDefault="0064018D" w:rsidP="0064018D">
      <w:pPr>
        <w:rPr>
          <w:rStyle w:val="longtext"/>
          <w:rFonts w:eastAsia="Times New Roman"/>
          <w:snapToGrid w:val="0"/>
          <w:sz w:val="24"/>
          <w:szCs w:val="24"/>
          <w:lang w:val="en-GB" w:eastAsia="ro-RO"/>
        </w:rPr>
      </w:pPr>
      <w:r w:rsidRPr="006645DC">
        <w:rPr>
          <w:rStyle w:val="longtext"/>
          <w:rFonts w:eastAsia="Times New Roman"/>
          <w:lang w:val="en-GB"/>
        </w:rPr>
        <w:lastRenderedPageBreak/>
        <w:t xml:space="preserve">In a longer timeframe perspective, the activity rate of the Romanian counties in the cross-border area displays a clear decreasing trend from 2000 onwards. Even through the economic growth period of 2005-2008, the activity rate did see any consistent increase. Only in 2011-2012 an increasing tendency was registered in the RO counties and some of the BG counties reflecting a national trend. This is too recent to be confirmed as a trend and might be explained by the economic crisis of the European countries that were the recipients of the local workforce (Spain, Italy, etc.), some migrants coming back and registering again as active persons.   </w:t>
      </w:r>
    </w:p>
    <w:p w14:paraId="2988E047" w14:textId="77777777" w:rsidR="0064018D" w:rsidRPr="006645DC" w:rsidRDefault="0064018D" w:rsidP="0064018D">
      <w:pPr>
        <w:rPr>
          <w:rStyle w:val="longtext"/>
          <w:rFonts w:eastAsia="Times New Roman"/>
          <w:lang w:val="en-GB"/>
        </w:rPr>
      </w:pPr>
      <w:r w:rsidRPr="006645DC">
        <w:rPr>
          <w:rStyle w:val="longtext"/>
          <w:rFonts w:eastAsia="Times New Roman"/>
          <w:lang w:val="en-GB"/>
        </w:rPr>
        <w:t xml:space="preserve">It is also useful to observe that there are important differences between the cross-border counties in terms of their rate of active population. This can be explained by the economic structure of each county/district and its economic evolution patterns during the transition period (e.g. Calarasi, the site of one of the biggest steel plants in Europe that was closed after 1990 generating unemployment that gradually became inactivity due to the lack of economic opportunities in the area).  </w:t>
      </w:r>
    </w:p>
    <w:p w14:paraId="0310D2B2" w14:textId="77777777" w:rsidR="0064018D" w:rsidRPr="006645DC" w:rsidRDefault="0064018D" w:rsidP="0064018D">
      <w:pPr>
        <w:rPr>
          <w:rStyle w:val="longtext"/>
          <w:rFonts w:eastAsia="Times New Roman"/>
          <w:lang w:val="en-GB"/>
        </w:rPr>
      </w:pPr>
      <w:r w:rsidRPr="006645DC">
        <w:rPr>
          <w:rStyle w:val="longtext"/>
          <w:rFonts w:eastAsia="Times New Roman"/>
          <w:lang w:val="en-GB"/>
        </w:rPr>
        <w:t xml:space="preserve">Another important aspect of the social cohesion is the involvement of women in economic activity as this is an important indicator of the gender equality and of the autonomy of women in a given society. </w:t>
      </w:r>
    </w:p>
    <w:p w14:paraId="376FB468" w14:textId="77777777" w:rsidR="0064018D" w:rsidRPr="006645DC" w:rsidRDefault="0064018D" w:rsidP="0064018D">
      <w:pPr>
        <w:rPr>
          <w:rStyle w:val="longtext"/>
          <w:rFonts w:eastAsia="Times New Roman"/>
          <w:lang w:val="en-GB"/>
        </w:rPr>
      </w:pPr>
      <w:r w:rsidRPr="006645DC">
        <w:rPr>
          <w:rStyle w:val="longtext"/>
          <w:rFonts w:eastAsia="Times New Roman"/>
          <w:lang w:val="en-GB"/>
        </w:rPr>
        <w:t xml:space="preserve">The chart below compares the activity rates of men and women in the cross-border counties of Romania and Bulgaria in 2012. In Romania the activity rates of genders do not display big gaps, but this might be due to the statistical methodology that considers working inside the home (without any remuneration) as an active occupation.  Nevertheless some of the counties display virtual equality (Mehedinti), while others display strong inequalities (Constanta: 10% differential). </w:t>
      </w:r>
    </w:p>
    <w:p w14:paraId="5368C709" w14:textId="77777777" w:rsidR="0064018D" w:rsidRPr="006645DC" w:rsidRDefault="0064018D" w:rsidP="0064018D">
      <w:pPr>
        <w:rPr>
          <w:rStyle w:val="longtext"/>
          <w:rFonts w:eastAsia="Times New Roman"/>
          <w:lang w:val="en-GB"/>
        </w:rPr>
      </w:pPr>
      <w:r w:rsidRPr="006645DC">
        <w:rPr>
          <w:rStyle w:val="longtext"/>
          <w:rFonts w:eastAsia="Times New Roman"/>
          <w:lang w:val="en-GB"/>
        </w:rPr>
        <w:t>The data for Bulgaria present a more pronounced inequality with a distinctive gap of more than 10% between the women and the men activity rate. This figure is not different from the country overall situation. The biggest gaps in the activity rate of women and men are observed in the districts of Dobrich, Vidin and Montana (respectively differences of 15.6%, 13.6% and 13.3% in the activity rate between genders). These values are higher than the average difference in the genders activity rate for the country (10.9%). The reasons for this situation could be various:</w:t>
      </w:r>
    </w:p>
    <w:p w14:paraId="75A87929" w14:textId="77777777" w:rsidR="0064018D" w:rsidRPr="006645DC" w:rsidRDefault="0064018D" w:rsidP="0064018D">
      <w:pPr>
        <w:pStyle w:val="ListParagraph"/>
        <w:ind w:left="867"/>
        <w:rPr>
          <w:rStyle w:val="longtext"/>
          <w:lang w:val="en-GB"/>
        </w:rPr>
      </w:pPr>
      <w:r w:rsidRPr="006645DC">
        <w:rPr>
          <w:rStyle w:val="longtext"/>
          <w:lang w:val="en-GB"/>
        </w:rPr>
        <w:t>Ethnic structure and traditions;</w:t>
      </w:r>
    </w:p>
    <w:p w14:paraId="5B3D1261" w14:textId="77777777" w:rsidR="0064018D" w:rsidRPr="006645DC" w:rsidRDefault="0064018D" w:rsidP="0064018D">
      <w:pPr>
        <w:pStyle w:val="ListParagraph"/>
        <w:ind w:left="867"/>
        <w:rPr>
          <w:rStyle w:val="longtext"/>
          <w:lang w:val="en-GB"/>
        </w:rPr>
      </w:pPr>
      <w:r w:rsidRPr="006645DC">
        <w:rPr>
          <w:rStyle w:val="longtext"/>
          <w:lang w:val="en-GB"/>
        </w:rPr>
        <w:t>Employment opportunities;</w:t>
      </w:r>
    </w:p>
    <w:p w14:paraId="50F6F013" w14:textId="77777777" w:rsidR="0064018D" w:rsidRPr="006645DC" w:rsidRDefault="0064018D" w:rsidP="0064018D">
      <w:pPr>
        <w:pStyle w:val="ListParagraph"/>
        <w:ind w:left="867"/>
        <w:rPr>
          <w:rStyle w:val="longtext"/>
          <w:lang w:val="en-GB"/>
        </w:rPr>
      </w:pPr>
      <w:r w:rsidRPr="006645DC">
        <w:rPr>
          <w:rStyle w:val="longtext"/>
          <w:lang w:val="en-GB"/>
        </w:rPr>
        <w:t>Household and/or child care; etc.</w:t>
      </w:r>
    </w:p>
    <w:p w14:paraId="2C64E4C4" w14:textId="77777777" w:rsidR="0064018D" w:rsidRPr="006645DC" w:rsidRDefault="0064018D" w:rsidP="0064018D">
      <w:pPr>
        <w:pStyle w:val="BodyText"/>
        <w:jc w:val="left"/>
        <w:rPr>
          <w:rStyle w:val="longtext"/>
          <w:rFonts w:ascii="Calibri" w:hAnsi="Calibri" w:cs="Times New Roman"/>
          <w:snapToGrid/>
          <w:sz w:val="22"/>
          <w:szCs w:val="22"/>
          <w:lang w:val="en-GB" w:eastAsia="en-GB"/>
        </w:rPr>
      </w:pPr>
    </w:p>
    <w:p w14:paraId="35A90134" w14:textId="77777777" w:rsidR="001E3B84" w:rsidRDefault="001E3B84" w:rsidP="0064018D">
      <w:pPr>
        <w:pStyle w:val="BodyText"/>
        <w:jc w:val="left"/>
        <w:rPr>
          <w:rStyle w:val="longtext"/>
          <w:rFonts w:ascii="Calibri" w:hAnsi="Calibri" w:cs="Times New Roman"/>
          <w:snapToGrid/>
          <w:sz w:val="22"/>
          <w:szCs w:val="22"/>
          <w:lang w:val="en-GB" w:eastAsia="en-GB"/>
        </w:rPr>
      </w:pPr>
    </w:p>
    <w:p w14:paraId="0CA290DD" w14:textId="77777777" w:rsidR="000375AC" w:rsidRDefault="000375AC" w:rsidP="0064018D">
      <w:pPr>
        <w:pStyle w:val="BodyText"/>
        <w:jc w:val="left"/>
        <w:rPr>
          <w:rStyle w:val="longtext"/>
          <w:rFonts w:ascii="Calibri" w:hAnsi="Calibri" w:cs="Times New Roman"/>
          <w:snapToGrid/>
          <w:sz w:val="22"/>
          <w:szCs w:val="22"/>
          <w:lang w:val="en-GB" w:eastAsia="en-GB"/>
        </w:rPr>
      </w:pPr>
    </w:p>
    <w:p w14:paraId="539C1EB0" w14:textId="77777777" w:rsidR="000375AC" w:rsidRDefault="000375AC" w:rsidP="0064018D">
      <w:pPr>
        <w:pStyle w:val="BodyText"/>
        <w:jc w:val="left"/>
        <w:rPr>
          <w:rStyle w:val="longtext"/>
          <w:rFonts w:ascii="Calibri" w:hAnsi="Calibri" w:cs="Times New Roman"/>
          <w:snapToGrid/>
          <w:sz w:val="22"/>
          <w:szCs w:val="22"/>
          <w:lang w:val="en-GB" w:eastAsia="en-GB"/>
        </w:rPr>
      </w:pPr>
    </w:p>
    <w:p w14:paraId="27522CD1" w14:textId="77777777" w:rsidR="000375AC" w:rsidRDefault="000375AC" w:rsidP="0064018D">
      <w:pPr>
        <w:pStyle w:val="BodyText"/>
        <w:jc w:val="left"/>
        <w:rPr>
          <w:rStyle w:val="longtext"/>
          <w:rFonts w:ascii="Calibri" w:hAnsi="Calibri" w:cs="Times New Roman"/>
          <w:snapToGrid/>
          <w:sz w:val="22"/>
          <w:szCs w:val="22"/>
          <w:lang w:val="en-GB" w:eastAsia="en-GB"/>
        </w:rPr>
      </w:pPr>
    </w:p>
    <w:p w14:paraId="168E1077" w14:textId="77777777" w:rsidR="000375AC" w:rsidRDefault="000375AC" w:rsidP="0064018D">
      <w:pPr>
        <w:pStyle w:val="BodyText"/>
        <w:jc w:val="left"/>
        <w:rPr>
          <w:rStyle w:val="longtext"/>
          <w:rFonts w:ascii="Calibri" w:hAnsi="Calibri" w:cs="Times New Roman"/>
          <w:snapToGrid/>
          <w:sz w:val="22"/>
          <w:szCs w:val="22"/>
          <w:lang w:val="en-GB" w:eastAsia="en-GB"/>
        </w:rPr>
      </w:pPr>
    </w:p>
    <w:p w14:paraId="631A6418" w14:textId="77777777" w:rsidR="000375AC" w:rsidRDefault="000375AC" w:rsidP="0064018D">
      <w:pPr>
        <w:pStyle w:val="BodyText"/>
        <w:jc w:val="left"/>
        <w:rPr>
          <w:rStyle w:val="longtext"/>
          <w:rFonts w:ascii="Calibri" w:hAnsi="Calibri" w:cs="Times New Roman"/>
          <w:snapToGrid/>
          <w:sz w:val="22"/>
          <w:szCs w:val="22"/>
          <w:lang w:val="en-GB" w:eastAsia="en-GB"/>
        </w:rPr>
      </w:pPr>
    </w:p>
    <w:p w14:paraId="067ED5C6" w14:textId="77777777" w:rsidR="000375AC" w:rsidRDefault="000375AC" w:rsidP="0064018D">
      <w:pPr>
        <w:pStyle w:val="BodyText"/>
        <w:jc w:val="left"/>
        <w:rPr>
          <w:rStyle w:val="longtext"/>
          <w:rFonts w:ascii="Calibri" w:hAnsi="Calibri" w:cs="Times New Roman"/>
          <w:snapToGrid/>
          <w:sz w:val="22"/>
          <w:szCs w:val="22"/>
          <w:lang w:val="en-GB" w:eastAsia="en-GB"/>
        </w:rPr>
      </w:pPr>
    </w:p>
    <w:p w14:paraId="4ADBB35E" w14:textId="77777777" w:rsidR="000375AC" w:rsidRPr="006645DC" w:rsidRDefault="000375AC" w:rsidP="0064018D">
      <w:pPr>
        <w:pStyle w:val="BodyText"/>
        <w:jc w:val="left"/>
        <w:rPr>
          <w:rStyle w:val="longtext"/>
          <w:rFonts w:ascii="Calibri" w:hAnsi="Calibri" w:cs="Times New Roman"/>
          <w:snapToGrid/>
          <w:sz w:val="22"/>
          <w:szCs w:val="22"/>
          <w:lang w:val="en-GB" w:eastAsia="en-GB"/>
        </w:rPr>
      </w:pPr>
    </w:p>
    <w:p w14:paraId="2FA0051A" w14:textId="77777777" w:rsidR="001E3B84" w:rsidRPr="006645DC" w:rsidRDefault="001E3B84" w:rsidP="0064018D">
      <w:pPr>
        <w:pStyle w:val="BodyText"/>
        <w:jc w:val="left"/>
        <w:rPr>
          <w:rStyle w:val="longtext"/>
          <w:rFonts w:ascii="Calibri" w:hAnsi="Calibri" w:cs="Times New Roman"/>
          <w:snapToGrid/>
          <w:sz w:val="22"/>
          <w:szCs w:val="22"/>
          <w:lang w:val="en-GB" w:eastAsia="en-GB"/>
        </w:rPr>
      </w:pPr>
    </w:p>
    <w:tbl>
      <w:tblPr>
        <w:tblW w:w="0" w:type="auto"/>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1908"/>
        <w:gridCol w:w="3192"/>
        <w:gridCol w:w="3192"/>
      </w:tblGrid>
      <w:tr w:rsidR="0064018D" w:rsidRPr="006645DC" w14:paraId="29CDD0F9" w14:textId="77777777" w:rsidTr="00393EB7">
        <w:trPr>
          <w:jc w:val="center"/>
        </w:trPr>
        <w:tc>
          <w:tcPr>
            <w:tcW w:w="1908" w:type="dxa"/>
            <w:shd w:val="clear" w:color="auto" w:fill="auto"/>
            <w:vAlign w:val="center"/>
          </w:tcPr>
          <w:p w14:paraId="28F08ECA" w14:textId="77777777" w:rsidR="0064018D" w:rsidRPr="006645DC" w:rsidRDefault="0064018D" w:rsidP="00393EB7">
            <w:pPr>
              <w:pStyle w:val="BodyText"/>
              <w:jc w:val="center"/>
              <w:rPr>
                <w:rStyle w:val="longtext"/>
                <w:rFonts w:ascii="Calibri" w:hAnsi="Calibri"/>
                <w:snapToGrid/>
                <w:sz w:val="22"/>
                <w:szCs w:val="22"/>
                <w:lang w:val="en-GB" w:eastAsia="en-GB"/>
              </w:rPr>
            </w:pPr>
            <w:r w:rsidRPr="006645DC">
              <w:rPr>
                <w:rStyle w:val="longtext"/>
                <w:rFonts w:ascii="Calibri" w:hAnsi="Calibri"/>
                <w:b/>
                <w:bCs/>
                <w:sz w:val="22"/>
                <w:szCs w:val="22"/>
                <w:lang w:val="en-GB"/>
              </w:rPr>
              <w:lastRenderedPageBreak/>
              <w:t>County</w:t>
            </w:r>
          </w:p>
        </w:tc>
        <w:tc>
          <w:tcPr>
            <w:tcW w:w="3192" w:type="dxa"/>
            <w:shd w:val="clear" w:color="auto" w:fill="auto"/>
            <w:vAlign w:val="center"/>
          </w:tcPr>
          <w:p w14:paraId="2FA294C7" w14:textId="77777777" w:rsidR="0064018D" w:rsidRPr="006645DC" w:rsidRDefault="0064018D" w:rsidP="00393EB7">
            <w:pPr>
              <w:pStyle w:val="BodyText"/>
              <w:jc w:val="center"/>
              <w:rPr>
                <w:rStyle w:val="longtext"/>
                <w:rFonts w:ascii="Calibri" w:hAnsi="Calibri"/>
                <w:snapToGrid/>
                <w:sz w:val="22"/>
                <w:szCs w:val="22"/>
                <w:lang w:val="en-GB" w:eastAsia="en-US"/>
              </w:rPr>
            </w:pPr>
            <w:r w:rsidRPr="006645DC">
              <w:rPr>
                <w:rStyle w:val="longtext"/>
                <w:rFonts w:ascii="Calibri" w:hAnsi="Calibri"/>
                <w:b/>
                <w:bCs/>
                <w:sz w:val="22"/>
                <w:szCs w:val="22"/>
                <w:lang w:val="en-GB"/>
              </w:rPr>
              <w:t>Women’s activity rate 2012</w:t>
            </w:r>
          </w:p>
        </w:tc>
        <w:tc>
          <w:tcPr>
            <w:tcW w:w="3192" w:type="dxa"/>
            <w:shd w:val="clear" w:color="auto" w:fill="auto"/>
            <w:vAlign w:val="center"/>
          </w:tcPr>
          <w:p w14:paraId="0B327561" w14:textId="77777777" w:rsidR="0064018D" w:rsidRPr="006645DC" w:rsidRDefault="0064018D" w:rsidP="00393EB7">
            <w:pPr>
              <w:pStyle w:val="BodyText"/>
              <w:jc w:val="center"/>
              <w:rPr>
                <w:rStyle w:val="longtext"/>
                <w:rFonts w:ascii="Calibri" w:hAnsi="Calibri"/>
                <w:snapToGrid/>
                <w:sz w:val="22"/>
                <w:szCs w:val="22"/>
                <w:lang w:val="en-GB" w:eastAsia="en-US"/>
              </w:rPr>
            </w:pPr>
            <w:r w:rsidRPr="006645DC">
              <w:rPr>
                <w:rStyle w:val="longtext"/>
                <w:rFonts w:ascii="Calibri" w:hAnsi="Calibri"/>
                <w:b/>
                <w:bCs/>
                <w:sz w:val="22"/>
                <w:szCs w:val="22"/>
                <w:lang w:val="en-GB"/>
              </w:rPr>
              <w:t>Men’s activity rate 2012</w:t>
            </w:r>
          </w:p>
        </w:tc>
      </w:tr>
      <w:tr w:rsidR="0064018D" w:rsidRPr="006645DC" w14:paraId="6A7907EE" w14:textId="77777777" w:rsidTr="00393EB7">
        <w:trPr>
          <w:jc w:val="center"/>
        </w:trPr>
        <w:tc>
          <w:tcPr>
            <w:tcW w:w="1908" w:type="dxa"/>
            <w:shd w:val="clear" w:color="auto" w:fill="auto"/>
            <w:vAlign w:val="center"/>
          </w:tcPr>
          <w:p w14:paraId="57D6A5EA" w14:textId="77777777" w:rsidR="0064018D" w:rsidRPr="006645DC" w:rsidRDefault="0064018D" w:rsidP="005E0FF1">
            <w:pPr>
              <w:pStyle w:val="BodyText"/>
              <w:rPr>
                <w:rStyle w:val="longtext"/>
                <w:rFonts w:ascii="Calibri" w:hAnsi="Calibri"/>
                <w:b/>
                <w:bCs/>
                <w:sz w:val="22"/>
                <w:szCs w:val="22"/>
                <w:lang w:val="en-GB"/>
              </w:rPr>
            </w:pPr>
            <w:r w:rsidRPr="006645DC">
              <w:rPr>
                <w:rStyle w:val="longtext"/>
                <w:rFonts w:ascii="Calibri" w:hAnsi="Calibri"/>
                <w:b/>
                <w:bCs/>
                <w:sz w:val="22"/>
                <w:szCs w:val="22"/>
                <w:lang w:val="en-GB"/>
              </w:rPr>
              <w:t>Romania overall</w:t>
            </w:r>
          </w:p>
        </w:tc>
        <w:tc>
          <w:tcPr>
            <w:tcW w:w="3192" w:type="dxa"/>
            <w:shd w:val="clear" w:color="auto" w:fill="auto"/>
            <w:vAlign w:val="center"/>
          </w:tcPr>
          <w:p w14:paraId="60A7EA75" w14:textId="77777777" w:rsidR="0064018D" w:rsidRPr="006645DC" w:rsidRDefault="0064018D" w:rsidP="00393EB7">
            <w:pPr>
              <w:pStyle w:val="BodyText"/>
              <w:keepNext/>
              <w:keepLines/>
              <w:ind w:left="757" w:hanging="360"/>
              <w:jc w:val="center"/>
              <w:outlineLvl w:val="1"/>
              <w:rPr>
                <w:rStyle w:val="longtext"/>
                <w:rFonts w:ascii="Calibri" w:hAnsi="Calibri"/>
                <w:b/>
                <w:sz w:val="22"/>
                <w:szCs w:val="22"/>
                <w:lang w:val="en-GB"/>
              </w:rPr>
            </w:pPr>
            <w:bookmarkStart w:id="943" w:name="_Toc376199162"/>
            <w:r w:rsidRPr="006645DC">
              <w:rPr>
                <w:rFonts w:ascii="Calibri" w:hAnsi="Calibri"/>
                <w:b/>
                <w:color w:val="000000"/>
                <w:sz w:val="22"/>
                <w:szCs w:val="22"/>
                <w:lang w:val="en-GB"/>
              </w:rPr>
              <w:t>62,7</w:t>
            </w:r>
            <w:bookmarkEnd w:id="943"/>
          </w:p>
        </w:tc>
        <w:tc>
          <w:tcPr>
            <w:tcW w:w="3192" w:type="dxa"/>
            <w:shd w:val="clear" w:color="auto" w:fill="auto"/>
            <w:vAlign w:val="center"/>
          </w:tcPr>
          <w:p w14:paraId="24DA6C4A" w14:textId="77777777" w:rsidR="0064018D" w:rsidRPr="006645DC" w:rsidRDefault="0064018D" w:rsidP="00393EB7">
            <w:pPr>
              <w:pStyle w:val="BodyText"/>
              <w:keepNext/>
              <w:keepLines/>
              <w:ind w:left="757" w:hanging="360"/>
              <w:jc w:val="center"/>
              <w:outlineLvl w:val="1"/>
              <w:rPr>
                <w:rStyle w:val="longtext"/>
                <w:rFonts w:ascii="Calibri" w:hAnsi="Calibri"/>
                <w:b/>
                <w:sz w:val="22"/>
                <w:szCs w:val="22"/>
                <w:lang w:val="en-GB"/>
              </w:rPr>
            </w:pPr>
            <w:bookmarkStart w:id="944" w:name="_Toc376199163"/>
            <w:r w:rsidRPr="006645DC">
              <w:rPr>
                <w:rFonts w:ascii="Calibri" w:hAnsi="Calibri"/>
                <w:b/>
                <w:color w:val="000000"/>
                <w:sz w:val="22"/>
                <w:szCs w:val="22"/>
                <w:lang w:val="en-GB"/>
              </w:rPr>
              <w:t>66,3</w:t>
            </w:r>
            <w:bookmarkEnd w:id="944"/>
          </w:p>
        </w:tc>
      </w:tr>
      <w:tr w:rsidR="0064018D" w:rsidRPr="006645DC" w14:paraId="63632E8E" w14:textId="77777777" w:rsidTr="00393EB7">
        <w:trPr>
          <w:jc w:val="center"/>
        </w:trPr>
        <w:tc>
          <w:tcPr>
            <w:tcW w:w="1908" w:type="dxa"/>
            <w:shd w:val="clear" w:color="auto" w:fill="auto"/>
            <w:vAlign w:val="center"/>
          </w:tcPr>
          <w:p w14:paraId="40322661" w14:textId="77777777" w:rsidR="0064018D" w:rsidRPr="006645DC" w:rsidRDefault="0064018D" w:rsidP="00393EB7">
            <w:pPr>
              <w:pStyle w:val="BodyText"/>
              <w:keepNext/>
              <w:keepLines/>
              <w:outlineLvl w:val="1"/>
              <w:rPr>
                <w:rStyle w:val="longtext"/>
                <w:rFonts w:ascii="Calibri" w:hAnsi="Calibri"/>
                <w:sz w:val="22"/>
                <w:szCs w:val="22"/>
                <w:lang w:val="en-GB"/>
              </w:rPr>
            </w:pPr>
            <w:bookmarkStart w:id="945" w:name="_Toc376199164"/>
            <w:r w:rsidRPr="006645DC">
              <w:rPr>
                <w:rFonts w:ascii="Calibri" w:hAnsi="Calibri"/>
                <w:bCs/>
                <w:color w:val="000000"/>
                <w:sz w:val="22"/>
                <w:szCs w:val="22"/>
                <w:lang w:val="en-GB"/>
              </w:rPr>
              <w:t>Constanta</w:t>
            </w:r>
            <w:bookmarkEnd w:id="945"/>
          </w:p>
        </w:tc>
        <w:tc>
          <w:tcPr>
            <w:tcW w:w="3192" w:type="dxa"/>
            <w:shd w:val="clear" w:color="auto" w:fill="auto"/>
            <w:vAlign w:val="center"/>
          </w:tcPr>
          <w:p w14:paraId="5EF726D0"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46" w:name="_Toc376199165"/>
            <w:r w:rsidRPr="006645DC">
              <w:rPr>
                <w:rFonts w:ascii="Calibri" w:hAnsi="Calibri"/>
                <w:color w:val="000000"/>
                <w:sz w:val="22"/>
                <w:szCs w:val="22"/>
                <w:lang w:val="en-GB"/>
              </w:rPr>
              <w:t>57,4</w:t>
            </w:r>
            <w:bookmarkEnd w:id="946"/>
          </w:p>
        </w:tc>
        <w:tc>
          <w:tcPr>
            <w:tcW w:w="3192" w:type="dxa"/>
            <w:shd w:val="clear" w:color="auto" w:fill="auto"/>
            <w:vAlign w:val="center"/>
          </w:tcPr>
          <w:p w14:paraId="4A98CFA8"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47" w:name="_Toc376199166"/>
            <w:r w:rsidRPr="006645DC">
              <w:rPr>
                <w:rFonts w:ascii="Calibri" w:hAnsi="Calibri"/>
                <w:color w:val="000000"/>
                <w:sz w:val="22"/>
                <w:szCs w:val="22"/>
                <w:lang w:val="en-GB"/>
              </w:rPr>
              <w:t>67,5</w:t>
            </w:r>
            <w:bookmarkEnd w:id="947"/>
          </w:p>
        </w:tc>
      </w:tr>
      <w:tr w:rsidR="0064018D" w:rsidRPr="006645DC" w14:paraId="5B25FDC7" w14:textId="77777777" w:rsidTr="00393EB7">
        <w:trPr>
          <w:jc w:val="center"/>
        </w:trPr>
        <w:tc>
          <w:tcPr>
            <w:tcW w:w="1908" w:type="dxa"/>
            <w:shd w:val="clear" w:color="auto" w:fill="auto"/>
            <w:vAlign w:val="center"/>
          </w:tcPr>
          <w:p w14:paraId="6EFDE536" w14:textId="77777777" w:rsidR="0064018D" w:rsidRPr="006645DC" w:rsidRDefault="0064018D" w:rsidP="00393EB7">
            <w:pPr>
              <w:pStyle w:val="BodyText"/>
              <w:keepNext/>
              <w:keepLines/>
              <w:outlineLvl w:val="1"/>
              <w:rPr>
                <w:rStyle w:val="longtext"/>
                <w:rFonts w:ascii="Calibri" w:hAnsi="Calibri"/>
                <w:sz w:val="22"/>
                <w:szCs w:val="22"/>
                <w:lang w:val="en-GB"/>
              </w:rPr>
            </w:pPr>
            <w:bookmarkStart w:id="948" w:name="_Toc376199167"/>
            <w:r w:rsidRPr="006645DC">
              <w:rPr>
                <w:rFonts w:ascii="Calibri" w:hAnsi="Calibri"/>
                <w:bCs/>
                <w:color w:val="000000"/>
                <w:sz w:val="22"/>
                <w:szCs w:val="22"/>
                <w:lang w:val="en-GB"/>
              </w:rPr>
              <w:t>Calarasi</w:t>
            </w:r>
            <w:bookmarkEnd w:id="948"/>
          </w:p>
        </w:tc>
        <w:tc>
          <w:tcPr>
            <w:tcW w:w="3192" w:type="dxa"/>
            <w:shd w:val="clear" w:color="auto" w:fill="auto"/>
            <w:vAlign w:val="center"/>
          </w:tcPr>
          <w:p w14:paraId="1D4F2A7A"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49" w:name="_Toc376199168"/>
            <w:r w:rsidRPr="006645DC">
              <w:rPr>
                <w:rFonts w:ascii="Calibri" w:hAnsi="Calibri"/>
                <w:color w:val="000000"/>
                <w:sz w:val="22"/>
                <w:szCs w:val="22"/>
                <w:lang w:val="en-GB"/>
              </w:rPr>
              <w:t>58,3</w:t>
            </w:r>
            <w:bookmarkEnd w:id="949"/>
          </w:p>
        </w:tc>
        <w:tc>
          <w:tcPr>
            <w:tcW w:w="3192" w:type="dxa"/>
            <w:shd w:val="clear" w:color="auto" w:fill="auto"/>
            <w:vAlign w:val="center"/>
          </w:tcPr>
          <w:p w14:paraId="011D467E"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50" w:name="_Toc376199169"/>
            <w:r w:rsidRPr="006645DC">
              <w:rPr>
                <w:rFonts w:ascii="Calibri" w:hAnsi="Calibri"/>
                <w:color w:val="000000"/>
                <w:sz w:val="22"/>
                <w:szCs w:val="22"/>
                <w:lang w:val="en-GB"/>
              </w:rPr>
              <w:t>53,2</w:t>
            </w:r>
            <w:bookmarkEnd w:id="950"/>
          </w:p>
        </w:tc>
      </w:tr>
      <w:tr w:rsidR="0064018D" w:rsidRPr="006645DC" w14:paraId="61E39548" w14:textId="77777777" w:rsidTr="00393EB7">
        <w:trPr>
          <w:jc w:val="center"/>
        </w:trPr>
        <w:tc>
          <w:tcPr>
            <w:tcW w:w="1908" w:type="dxa"/>
            <w:shd w:val="clear" w:color="auto" w:fill="auto"/>
            <w:vAlign w:val="center"/>
          </w:tcPr>
          <w:p w14:paraId="5B85A95D" w14:textId="77777777" w:rsidR="0064018D" w:rsidRPr="006645DC" w:rsidRDefault="0064018D" w:rsidP="00393EB7">
            <w:pPr>
              <w:pStyle w:val="BodyText"/>
              <w:keepNext/>
              <w:keepLines/>
              <w:outlineLvl w:val="1"/>
              <w:rPr>
                <w:rStyle w:val="longtext"/>
                <w:rFonts w:ascii="Calibri" w:hAnsi="Calibri"/>
                <w:sz w:val="22"/>
                <w:szCs w:val="22"/>
                <w:lang w:val="en-GB"/>
              </w:rPr>
            </w:pPr>
            <w:bookmarkStart w:id="951" w:name="_Toc376199170"/>
            <w:r w:rsidRPr="006645DC">
              <w:rPr>
                <w:rFonts w:ascii="Calibri" w:hAnsi="Calibri"/>
                <w:bCs/>
                <w:color w:val="000000"/>
                <w:sz w:val="22"/>
                <w:szCs w:val="22"/>
                <w:lang w:val="en-GB"/>
              </w:rPr>
              <w:t>Giurgiu</w:t>
            </w:r>
            <w:bookmarkEnd w:id="951"/>
          </w:p>
        </w:tc>
        <w:tc>
          <w:tcPr>
            <w:tcW w:w="3192" w:type="dxa"/>
            <w:shd w:val="clear" w:color="auto" w:fill="auto"/>
            <w:vAlign w:val="center"/>
          </w:tcPr>
          <w:p w14:paraId="31BF3392"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52" w:name="_Toc376199171"/>
            <w:r w:rsidRPr="006645DC">
              <w:rPr>
                <w:rFonts w:ascii="Calibri" w:hAnsi="Calibri"/>
                <w:color w:val="000000"/>
                <w:sz w:val="22"/>
                <w:szCs w:val="22"/>
                <w:lang w:val="en-GB"/>
              </w:rPr>
              <w:t>55,9</w:t>
            </w:r>
            <w:bookmarkEnd w:id="952"/>
          </w:p>
        </w:tc>
        <w:tc>
          <w:tcPr>
            <w:tcW w:w="3192" w:type="dxa"/>
            <w:shd w:val="clear" w:color="auto" w:fill="auto"/>
            <w:vAlign w:val="center"/>
          </w:tcPr>
          <w:p w14:paraId="0F2A3944"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53" w:name="_Toc376199172"/>
            <w:r w:rsidRPr="006645DC">
              <w:rPr>
                <w:rFonts w:ascii="Calibri" w:hAnsi="Calibri"/>
                <w:color w:val="000000"/>
                <w:sz w:val="22"/>
                <w:szCs w:val="22"/>
                <w:lang w:val="en-GB"/>
              </w:rPr>
              <w:t>51,9</w:t>
            </w:r>
            <w:bookmarkEnd w:id="953"/>
          </w:p>
        </w:tc>
      </w:tr>
      <w:tr w:rsidR="0064018D" w:rsidRPr="006645DC" w14:paraId="51DCFFF0" w14:textId="77777777" w:rsidTr="00393EB7">
        <w:trPr>
          <w:jc w:val="center"/>
        </w:trPr>
        <w:tc>
          <w:tcPr>
            <w:tcW w:w="1908" w:type="dxa"/>
            <w:shd w:val="clear" w:color="auto" w:fill="auto"/>
            <w:vAlign w:val="center"/>
          </w:tcPr>
          <w:p w14:paraId="72E2D21B" w14:textId="77777777" w:rsidR="0064018D" w:rsidRPr="006645DC" w:rsidRDefault="0064018D" w:rsidP="00393EB7">
            <w:pPr>
              <w:pStyle w:val="BodyText"/>
              <w:keepNext/>
              <w:keepLines/>
              <w:outlineLvl w:val="1"/>
              <w:rPr>
                <w:rStyle w:val="longtext"/>
                <w:rFonts w:ascii="Calibri" w:hAnsi="Calibri"/>
                <w:sz w:val="22"/>
                <w:szCs w:val="22"/>
                <w:lang w:val="en-GB"/>
              </w:rPr>
            </w:pPr>
            <w:bookmarkStart w:id="954" w:name="_Toc376199173"/>
            <w:r w:rsidRPr="006645DC">
              <w:rPr>
                <w:rFonts w:ascii="Calibri" w:hAnsi="Calibri"/>
                <w:bCs/>
                <w:color w:val="000000"/>
                <w:sz w:val="22"/>
                <w:szCs w:val="22"/>
                <w:lang w:val="en-GB"/>
              </w:rPr>
              <w:t>Teleorman</w:t>
            </w:r>
            <w:bookmarkEnd w:id="954"/>
          </w:p>
        </w:tc>
        <w:tc>
          <w:tcPr>
            <w:tcW w:w="3192" w:type="dxa"/>
            <w:shd w:val="clear" w:color="auto" w:fill="auto"/>
            <w:vAlign w:val="center"/>
          </w:tcPr>
          <w:p w14:paraId="02A345AE"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55" w:name="_Toc376199174"/>
            <w:r w:rsidRPr="006645DC">
              <w:rPr>
                <w:rFonts w:ascii="Calibri" w:hAnsi="Calibri"/>
                <w:color w:val="000000"/>
                <w:sz w:val="22"/>
                <w:szCs w:val="22"/>
                <w:lang w:val="en-GB"/>
              </w:rPr>
              <w:t>77,5</w:t>
            </w:r>
            <w:bookmarkEnd w:id="955"/>
          </w:p>
        </w:tc>
        <w:tc>
          <w:tcPr>
            <w:tcW w:w="3192" w:type="dxa"/>
            <w:shd w:val="clear" w:color="auto" w:fill="auto"/>
            <w:vAlign w:val="center"/>
          </w:tcPr>
          <w:p w14:paraId="4CB4DF07"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56" w:name="_Toc376199175"/>
            <w:r w:rsidRPr="006645DC">
              <w:rPr>
                <w:rFonts w:ascii="Calibri" w:hAnsi="Calibri"/>
                <w:color w:val="000000"/>
                <w:sz w:val="22"/>
                <w:szCs w:val="22"/>
                <w:lang w:val="en-GB"/>
              </w:rPr>
              <w:t>69,9</w:t>
            </w:r>
            <w:bookmarkEnd w:id="956"/>
          </w:p>
        </w:tc>
      </w:tr>
      <w:tr w:rsidR="0064018D" w:rsidRPr="006645DC" w14:paraId="2476AE06" w14:textId="77777777" w:rsidTr="00393EB7">
        <w:trPr>
          <w:jc w:val="center"/>
        </w:trPr>
        <w:tc>
          <w:tcPr>
            <w:tcW w:w="1908" w:type="dxa"/>
            <w:shd w:val="clear" w:color="auto" w:fill="auto"/>
            <w:vAlign w:val="center"/>
          </w:tcPr>
          <w:p w14:paraId="2653765A" w14:textId="77777777" w:rsidR="0064018D" w:rsidRPr="006645DC" w:rsidRDefault="0064018D" w:rsidP="00393EB7">
            <w:pPr>
              <w:pStyle w:val="BodyText"/>
              <w:keepNext/>
              <w:keepLines/>
              <w:outlineLvl w:val="1"/>
              <w:rPr>
                <w:rStyle w:val="longtext"/>
                <w:rFonts w:ascii="Calibri" w:hAnsi="Calibri"/>
                <w:sz w:val="22"/>
                <w:szCs w:val="22"/>
                <w:lang w:val="en-GB"/>
              </w:rPr>
            </w:pPr>
            <w:bookmarkStart w:id="957" w:name="_Toc376199176"/>
            <w:r w:rsidRPr="006645DC">
              <w:rPr>
                <w:rFonts w:ascii="Calibri" w:hAnsi="Calibri"/>
                <w:bCs/>
                <w:color w:val="000000"/>
                <w:sz w:val="22"/>
                <w:szCs w:val="22"/>
                <w:lang w:val="en-GB"/>
              </w:rPr>
              <w:t>Dolj</w:t>
            </w:r>
            <w:bookmarkEnd w:id="957"/>
          </w:p>
        </w:tc>
        <w:tc>
          <w:tcPr>
            <w:tcW w:w="3192" w:type="dxa"/>
            <w:shd w:val="clear" w:color="auto" w:fill="auto"/>
            <w:vAlign w:val="center"/>
          </w:tcPr>
          <w:p w14:paraId="6AF01E34"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58" w:name="_Toc376199177"/>
            <w:r w:rsidRPr="006645DC">
              <w:rPr>
                <w:rFonts w:ascii="Calibri" w:hAnsi="Calibri"/>
                <w:color w:val="000000"/>
                <w:sz w:val="22"/>
                <w:szCs w:val="22"/>
                <w:lang w:val="en-GB"/>
              </w:rPr>
              <w:t>64,3</w:t>
            </w:r>
            <w:bookmarkEnd w:id="958"/>
          </w:p>
        </w:tc>
        <w:tc>
          <w:tcPr>
            <w:tcW w:w="3192" w:type="dxa"/>
            <w:shd w:val="clear" w:color="auto" w:fill="auto"/>
            <w:vAlign w:val="center"/>
          </w:tcPr>
          <w:p w14:paraId="18C3A3FC"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59" w:name="_Toc376199178"/>
            <w:r w:rsidRPr="006645DC">
              <w:rPr>
                <w:rFonts w:ascii="Calibri" w:hAnsi="Calibri"/>
                <w:color w:val="000000"/>
                <w:sz w:val="22"/>
                <w:szCs w:val="22"/>
                <w:lang w:val="en-GB"/>
              </w:rPr>
              <w:t>66,5</w:t>
            </w:r>
            <w:bookmarkEnd w:id="959"/>
          </w:p>
        </w:tc>
      </w:tr>
      <w:tr w:rsidR="0064018D" w:rsidRPr="006645DC" w14:paraId="78FFAB77" w14:textId="77777777" w:rsidTr="00393EB7">
        <w:trPr>
          <w:jc w:val="center"/>
        </w:trPr>
        <w:tc>
          <w:tcPr>
            <w:tcW w:w="1908" w:type="dxa"/>
            <w:shd w:val="clear" w:color="auto" w:fill="auto"/>
            <w:vAlign w:val="center"/>
          </w:tcPr>
          <w:p w14:paraId="77FEEDD9" w14:textId="77777777" w:rsidR="0064018D" w:rsidRPr="006645DC" w:rsidRDefault="0064018D" w:rsidP="00393EB7">
            <w:pPr>
              <w:pStyle w:val="BodyText"/>
              <w:keepNext/>
              <w:keepLines/>
              <w:outlineLvl w:val="1"/>
              <w:rPr>
                <w:rStyle w:val="longtext"/>
                <w:rFonts w:ascii="Calibri" w:hAnsi="Calibri"/>
                <w:sz w:val="22"/>
                <w:szCs w:val="22"/>
                <w:lang w:val="en-GB"/>
              </w:rPr>
            </w:pPr>
            <w:bookmarkStart w:id="960" w:name="_Toc376199179"/>
            <w:r w:rsidRPr="006645DC">
              <w:rPr>
                <w:rFonts w:ascii="Calibri" w:hAnsi="Calibri"/>
                <w:bCs/>
                <w:color w:val="000000"/>
                <w:sz w:val="22"/>
                <w:szCs w:val="22"/>
                <w:lang w:val="en-GB"/>
              </w:rPr>
              <w:t>Mehedinti</w:t>
            </w:r>
            <w:bookmarkEnd w:id="960"/>
          </w:p>
        </w:tc>
        <w:tc>
          <w:tcPr>
            <w:tcW w:w="3192" w:type="dxa"/>
            <w:shd w:val="clear" w:color="auto" w:fill="auto"/>
            <w:vAlign w:val="center"/>
          </w:tcPr>
          <w:p w14:paraId="09F79D97"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61" w:name="_Toc376199180"/>
            <w:r w:rsidRPr="006645DC">
              <w:rPr>
                <w:rFonts w:ascii="Calibri" w:hAnsi="Calibri"/>
                <w:color w:val="000000"/>
                <w:sz w:val="22"/>
                <w:szCs w:val="22"/>
                <w:lang w:val="en-GB"/>
              </w:rPr>
              <w:t>64,1</w:t>
            </w:r>
            <w:bookmarkEnd w:id="961"/>
          </w:p>
        </w:tc>
        <w:tc>
          <w:tcPr>
            <w:tcW w:w="3192" w:type="dxa"/>
            <w:shd w:val="clear" w:color="auto" w:fill="auto"/>
            <w:vAlign w:val="center"/>
          </w:tcPr>
          <w:p w14:paraId="7B6551CA"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62" w:name="_Toc376199181"/>
            <w:r w:rsidRPr="006645DC">
              <w:rPr>
                <w:rFonts w:ascii="Calibri" w:hAnsi="Calibri"/>
                <w:color w:val="000000"/>
                <w:sz w:val="22"/>
                <w:szCs w:val="22"/>
                <w:lang w:val="en-GB"/>
              </w:rPr>
              <w:t>64</w:t>
            </w:r>
            <w:bookmarkEnd w:id="962"/>
          </w:p>
        </w:tc>
      </w:tr>
      <w:tr w:rsidR="0064018D" w:rsidRPr="006645DC" w14:paraId="7045F2FE" w14:textId="77777777" w:rsidTr="00393EB7">
        <w:trPr>
          <w:jc w:val="center"/>
        </w:trPr>
        <w:tc>
          <w:tcPr>
            <w:tcW w:w="1908" w:type="dxa"/>
            <w:shd w:val="clear" w:color="auto" w:fill="auto"/>
            <w:vAlign w:val="center"/>
          </w:tcPr>
          <w:p w14:paraId="0361E274" w14:textId="77777777" w:rsidR="0064018D" w:rsidRPr="006645DC" w:rsidRDefault="0064018D" w:rsidP="00393EB7">
            <w:pPr>
              <w:pStyle w:val="BodyText"/>
              <w:keepNext/>
              <w:keepLines/>
              <w:outlineLvl w:val="1"/>
              <w:rPr>
                <w:rStyle w:val="longtext"/>
                <w:rFonts w:ascii="Calibri" w:hAnsi="Calibri"/>
                <w:sz w:val="22"/>
                <w:szCs w:val="22"/>
                <w:lang w:val="en-GB"/>
              </w:rPr>
            </w:pPr>
            <w:bookmarkStart w:id="963" w:name="_Toc376199182"/>
            <w:r w:rsidRPr="006645DC">
              <w:rPr>
                <w:rFonts w:ascii="Calibri" w:hAnsi="Calibri"/>
                <w:bCs/>
                <w:color w:val="000000"/>
                <w:sz w:val="22"/>
                <w:szCs w:val="22"/>
                <w:lang w:val="en-GB"/>
              </w:rPr>
              <w:t>Olt</w:t>
            </w:r>
            <w:bookmarkEnd w:id="963"/>
          </w:p>
        </w:tc>
        <w:tc>
          <w:tcPr>
            <w:tcW w:w="3192" w:type="dxa"/>
            <w:shd w:val="clear" w:color="auto" w:fill="auto"/>
            <w:vAlign w:val="center"/>
          </w:tcPr>
          <w:p w14:paraId="5D39371C"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64" w:name="_Toc376199183"/>
            <w:r w:rsidRPr="006645DC">
              <w:rPr>
                <w:rFonts w:ascii="Calibri" w:hAnsi="Calibri"/>
                <w:color w:val="000000"/>
                <w:sz w:val="22"/>
                <w:szCs w:val="22"/>
                <w:lang w:val="en-GB"/>
              </w:rPr>
              <w:t>62,8</w:t>
            </w:r>
            <w:bookmarkEnd w:id="964"/>
          </w:p>
        </w:tc>
        <w:tc>
          <w:tcPr>
            <w:tcW w:w="3192" w:type="dxa"/>
            <w:shd w:val="clear" w:color="auto" w:fill="auto"/>
            <w:vAlign w:val="center"/>
          </w:tcPr>
          <w:p w14:paraId="77040522" w14:textId="77777777" w:rsidR="0064018D" w:rsidRPr="006645DC" w:rsidRDefault="0064018D" w:rsidP="00393EB7">
            <w:pPr>
              <w:pStyle w:val="BodyText"/>
              <w:keepNext/>
              <w:keepLines/>
              <w:ind w:left="757" w:hanging="360"/>
              <w:jc w:val="center"/>
              <w:outlineLvl w:val="1"/>
              <w:rPr>
                <w:rStyle w:val="longtext"/>
                <w:rFonts w:ascii="Calibri" w:hAnsi="Calibri"/>
                <w:sz w:val="22"/>
                <w:szCs w:val="22"/>
                <w:lang w:val="en-GB"/>
              </w:rPr>
            </w:pPr>
            <w:bookmarkStart w:id="965" w:name="_Toc376199184"/>
            <w:r w:rsidRPr="006645DC">
              <w:rPr>
                <w:rFonts w:ascii="Calibri" w:hAnsi="Calibri"/>
                <w:color w:val="000000"/>
                <w:sz w:val="22"/>
                <w:szCs w:val="22"/>
                <w:lang w:val="en-GB"/>
              </w:rPr>
              <w:t>60,5</w:t>
            </w:r>
            <w:bookmarkEnd w:id="965"/>
          </w:p>
        </w:tc>
      </w:tr>
      <w:tr w:rsidR="0064018D" w:rsidRPr="006645DC" w14:paraId="67DCD836" w14:textId="77777777" w:rsidTr="00393EB7">
        <w:trPr>
          <w:jc w:val="center"/>
        </w:trPr>
        <w:tc>
          <w:tcPr>
            <w:tcW w:w="1908" w:type="dxa"/>
            <w:shd w:val="clear" w:color="auto" w:fill="auto"/>
            <w:vAlign w:val="center"/>
          </w:tcPr>
          <w:p w14:paraId="4687EE0A" w14:textId="77777777" w:rsidR="0064018D" w:rsidRPr="006645DC" w:rsidRDefault="0064018D" w:rsidP="00393EB7">
            <w:pPr>
              <w:pStyle w:val="BodyText"/>
              <w:keepNext/>
              <w:keepLines/>
              <w:outlineLvl w:val="1"/>
              <w:rPr>
                <w:rStyle w:val="longtext"/>
                <w:rFonts w:ascii="Calibri" w:hAnsi="Calibri"/>
                <w:sz w:val="22"/>
                <w:szCs w:val="22"/>
                <w:lang w:val="en-GB"/>
              </w:rPr>
            </w:pPr>
            <w:bookmarkStart w:id="966" w:name="_Toc376199185"/>
            <w:r w:rsidRPr="006645DC">
              <w:rPr>
                <w:rStyle w:val="longtext"/>
                <w:rFonts w:ascii="Calibri" w:hAnsi="Calibri"/>
                <w:b/>
                <w:bCs/>
                <w:sz w:val="22"/>
                <w:szCs w:val="22"/>
                <w:lang w:val="en-GB"/>
              </w:rPr>
              <w:t>Bulgaria overall</w:t>
            </w:r>
            <w:bookmarkEnd w:id="966"/>
          </w:p>
        </w:tc>
        <w:tc>
          <w:tcPr>
            <w:tcW w:w="3192" w:type="dxa"/>
            <w:shd w:val="clear" w:color="auto" w:fill="auto"/>
            <w:vAlign w:val="center"/>
          </w:tcPr>
          <w:p w14:paraId="67C3C188" w14:textId="77777777" w:rsidR="0064018D" w:rsidRPr="006645DC" w:rsidRDefault="0064018D" w:rsidP="00393EB7">
            <w:pPr>
              <w:pStyle w:val="BodyText"/>
              <w:keepNext/>
              <w:keepLines/>
              <w:ind w:left="757" w:hanging="360"/>
              <w:jc w:val="center"/>
              <w:outlineLvl w:val="1"/>
              <w:rPr>
                <w:rFonts w:ascii="Calibri" w:hAnsi="Calibri"/>
                <w:b/>
                <w:color w:val="000000"/>
                <w:sz w:val="22"/>
                <w:szCs w:val="22"/>
                <w:lang w:val="en-GB"/>
              </w:rPr>
            </w:pPr>
            <w:bookmarkStart w:id="967" w:name="_Toc376199186"/>
            <w:r w:rsidRPr="006645DC">
              <w:rPr>
                <w:rFonts w:ascii="Calibri" w:hAnsi="Calibri"/>
                <w:b/>
                <w:color w:val="000000"/>
                <w:sz w:val="22"/>
                <w:szCs w:val="22"/>
                <w:lang w:val="en-GB"/>
              </w:rPr>
              <w:t>47,8</w:t>
            </w:r>
            <w:bookmarkEnd w:id="967"/>
          </w:p>
        </w:tc>
        <w:tc>
          <w:tcPr>
            <w:tcW w:w="3192" w:type="dxa"/>
            <w:shd w:val="clear" w:color="auto" w:fill="auto"/>
            <w:vAlign w:val="center"/>
          </w:tcPr>
          <w:p w14:paraId="5BE47EAF" w14:textId="77777777" w:rsidR="0064018D" w:rsidRPr="006645DC" w:rsidRDefault="0064018D" w:rsidP="00393EB7">
            <w:pPr>
              <w:pStyle w:val="BodyText"/>
              <w:keepNext/>
              <w:keepLines/>
              <w:ind w:left="757" w:hanging="360"/>
              <w:jc w:val="center"/>
              <w:outlineLvl w:val="1"/>
              <w:rPr>
                <w:rFonts w:ascii="Calibri" w:hAnsi="Calibri"/>
                <w:b/>
                <w:color w:val="000000"/>
                <w:sz w:val="22"/>
                <w:szCs w:val="22"/>
                <w:lang w:val="en-GB"/>
              </w:rPr>
            </w:pPr>
            <w:bookmarkStart w:id="968" w:name="_Toc376199187"/>
            <w:r w:rsidRPr="006645DC">
              <w:rPr>
                <w:rFonts w:ascii="Calibri" w:hAnsi="Calibri"/>
                <w:b/>
                <w:color w:val="000000"/>
                <w:sz w:val="22"/>
                <w:szCs w:val="22"/>
                <w:lang w:val="en-GB"/>
              </w:rPr>
              <w:t>58,7</w:t>
            </w:r>
            <w:bookmarkEnd w:id="968"/>
          </w:p>
        </w:tc>
      </w:tr>
      <w:tr w:rsidR="0064018D" w:rsidRPr="006645DC" w14:paraId="2F4DFE56" w14:textId="77777777" w:rsidTr="00393EB7">
        <w:trPr>
          <w:jc w:val="center"/>
        </w:trPr>
        <w:tc>
          <w:tcPr>
            <w:tcW w:w="1908" w:type="dxa"/>
            <w:shd w:val="clear" w:color="auto" w:fill="auto"/>
            <w:vAlign w:val="center"/>
          </w:tcPr>
          <w:p w14:paraId="1E5F8B40" w14:textId="77777777" w:rsidR="0064018D" w:rsidRPr="006645DC" w:rsidRDefault="0064018D" w:rsidP="00393EB7">
            <w:pPr>
              <w:pStyle w:val="BodyText"/>
              <w:keepNext/>
              <w:keepLines/>
              <w:outlineLvl w:val="1"/>
              <w:rPr>
                <w:rStyle w:val="longtext"/>
                <w:rFonts w:ascii="Calibri" w:hAnsi="Calibri"/>
                <w:bCs/>
                <w:sz w:val="22"/>
                <w:szCs w:val="22"/>
                <w:lang w:val="en-GB"/>
              </w:rPr>
            </w:pPr>
            <w:bookmarkStart w:id="969" w:name="_Toc376199188"/>
            <w:r w:rsidRPr="006645DC">
              <w:rPr>
                <w:rFonts w:ascii="Calibri" w:hAnsi="Calibri"/>
                <w:bCs/>
                <w:color w:val="000000"/>
                <w:sz w:val="22"/>
                <w:szCs w:val="22"/>
                <w:lang w:val="en-GB"/>
              </w:rPr>
              <w:t>Vidin</w:t>
            </w:r>
            <w:bookmarkEnd w:id="969"/>
          </w:p>
        </w:tc>
        <w:tc>
          <w:tcPr>
            <w:tcW w:w="3192" w:type="dxa"/>
            <w:shd w:val="clear" w:color="auto" w:fill="auto"/>
            <w:vAlign w:val="center"/>
          </w:tcPr>
          <w:p w14:paraId="526DE4D9"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70" w:name="_Toc376199189"/>
            <w:r w:rsidRPr="006645DC">
              <w:rPr>
                <w:rFonts w:ascii="Calibri" w:hAnsi="Calibri"/>
                <w:color w:val="000000"/>
                <w:sz w:val="22"/>
                <w:szCs w:val="22"/>
                <w:lang w:val="en-GB"/>
              </w:rPr>
              <w:t>38,2</w:t>
            </w:r>
            <w:bookmarkEnd w:id="970"/>
          </w:p>
        </w:tc>
        <w:tc>
          <w:tcPr>
            <w:tcW w:w="3192" w:type="dxa"/>
            <w:shd w:val="clear" w:color="auto" w:fill="auto"/>
            <w:vAlign w:val="center"/>
          </w:tcPr>
          <w:p w14:paraId="5CF1476D"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71" w:name="_Toc376199190"/>
            <w:r w:rsidRPr="006645DC">
              <w:rPr>
                <w:rFonts w:ascii="Calibri" w:hAnsi="Calibri"/>
                <w:color w:val="000000"/>
                <w:sz w:val="22"/>
                <w:szCs w:val="22"/>
                <w:lang w:val="en-GB"/>
              </w:rPr>
              <w:t>51,8</w:t>
            </w:r>
            <w:bookmarkEnd w:id="971"/>
          </w:p>
        </w:tc>
      </w:tr>
      <w:tr w:rsidR="0064018D" w:rsidRPr="006645DC" w14:paraId="7D6C9352" w14:textId="77777777" w:rsidTr="00393EB7">
        <w:trPr>
          <w:jc w:val="center"/>
        </w:trPr>
        <w:tc>
          <w:tcPr>
            <w:tcW w:w="1908" w:type="dxa"/>
            <w:shd w:val="clear" w:color="auto" w:fill="auto"/>
            <w:vAlign w:val="center"/>
          </w:tcPr>
          <w:p w14:paraId="5E22E5A2" w14:textId="77777777" w:rsidR="0064018D" w:rsidRPr="006645DC" w:rsidRDefault="0064018D" w:rsidP="00393EB7">
            <w:pPr>
              <w:pStyle w:val="BodyText"/>
              <w:keepNext/>
              <w:keepLines/>
              <w:outlineLvl w:val="1"/>
              <w:rPr>
                <w:rStyle w:val="longtext"/>
                <w:rFonts w:ascii="Calibri" w:hAnsi="Calibri"/>
                <w:bCs/>
                <w:sz w:val="22"/>
                <w:szCs w:val="22"/>
                <w:lang w:val="en-GB"/>
              </w:rPr>
            </w:pPr>
            <w:bookmarkStart w:id="972" w:name="_Toc376199191"/>
            <w:r w:rsidRPr="006645DC">
              <w:rPr>
                <w:rFonts w:ascii="Calibri" w:hAnsi="Calibri"/>
                <w:bCs/>
                <w:color w:val="000000"/>
                <w:sz w:val="22"/>
                <w:szCs w:val="22"/>
                <w:lang w:val="en-GB"/>
              </w:rPr>
              <w:t>Vratsa</w:t>
            </w:r>
            <w:bookmarkEnd w:id="972"/>
          </w:p>
        </w:tc>
        <w:tc>
          <w:tcPr>
            <w:tcW w:w="3192" w:type="dxa"/>
            <w:shd w:val="clear" w:color="auto" w:fill="auto"/>
            <w:vAlign w:val="center"/>
          </w:tcPr>
          <w:p w14:paraId="7BD0611F"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73" w:name="_Toc376199192"/>
            <w:r w:rsidRPr="006645DC">
              <w:rPr>
                <w:rFonts w:ascii="Calibri" w:hAnsi="Calibri"/>
                <w:color w:val="000000"/>
                <w:sz w:val="22"/>
                <w:szCs w:val="22"/>
                <w:lang w:val="en-GB"/>
              </w:rPr>
              <w:t>41,1</w:t>
            </w:r>
            <w:bookmarkEnd w:id="973"/>
          </w:p>
        </w:tc>
        <w:tc>
          <w:tcPr>
            <w:tcW w:w="3192" w:type="dxa"/>
            <w:shd w:val="clear" w:color="auto" w:fill="auto"/>
            <w:vAlign w:val="center"/>
          </w:tcPr>
          <w:p w14:paraId="042AEA56"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74" w:name="_Toc376199193"/>
            <w:r w:rsidRPr="006645DC">
              <w:rPr>
                <w:rFonts w:ascii="Calibri" w:hAnsi="Calibri"/>
                <w:color w:val="000000"/>
                <w:sz w:val="22"/>
                <w:szCs w:val="22"/>
                <w:lang w:val="en-GB"/>
              </w:rPr>
              <w:t>47,0</w:t>
            </w:r>
            <w:bookmarkEnd w:id="974"/>
          </w:p>
        </w:tc>
      </w:tr>
      <w:tr w:rsidR="0064018D" w:rsidRPr="006645DC" w14:paraId="69BF4621" w14:textId="77777777" w:rsidTr="00393EB7">
        <w:trPr>
          <w:jc w:val="center"/>
        </w:trPr>
        <w:tc>
          <w:tcPr>
            <w:tcW w:w="1908" w:type="dxa"/>
            <w:shd w:val="clear" w:color="auto" w:fill="auto"/>
            <w:vAlign w:val="center"/>
          </w:tcPr>
          <w:p w14:paraId="495CA5D4" w14:textId="77777777" w:rsidR="0064018D" w:rsidRPr="006645DC" w:rsidRDefault="0064018D" w:rsidP="00393EB7">
            <w:pPr>
              <w:pStyle w:val="BodyText"/>
              <w:keepNext/>
              <w:keepLines/>
              <w:outlineLvl w:val="1"/>
              <w:rPr>
                <w:rStyle w:val="longtext"/>
                <w:rFonts w:ascii="Calibri" w:hAnsi="Calibri"/>
                <w:bCs/>
                <w:sz w:val="22"/>
                <w:szCs w:val="22"/>
                <w:lang w:val="en-GB"/>
              </w:rPr>
            </w:pPr>
            <w:bookmarkStart w:id="975" w:name="_Toc376199194"/>
            <w:r w:rsidRPr="006645DC">
              <w:rPr>
                <w:rFonts w:ascii="Calibri" w:hAnsi="Calibri"/>
                <w:bCs/>
                <w:color w:val="000000"/>
                <w:sz w:val="22"/>
                <w:szCs w:val="22"/>
                <w:lang w:val="en-GB"/>
              </w:rPr>
              <w:t>Montana</w:t>
            </w:r>
            <w:bookmarkEnd w:id="975"/>
          </w:p>
        </w:tc>
        <w:tc>
          <w:tcPr>
            <w:tcW w:w="3192" w:type="dxa"/>
            <w:shd w:val="clear" w:color="auto" w:fill="auto"/>
            <w:vAlign w:val="center"/>
          </w:tcPr>
          <w:p w14:paraId="0252855E"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76" w:name="_Toc376199195"/>
            <w:r w:rsidRPr="006645DC">
              <w:rPr>
                <w:rFonts w:ascii="Calibri" w:hAnsi="Calibri"/>
                <w:color w:val="000000"/>
                <w:sz w:val="22"/>
                <w:szCs w:val="22"/>
                <w:lang w:val="en-GB"/>
              </w:rPr>
              <w:t>39,6</w:t>
            </w:r>
            <w:bookmarkEnd w:id="976"/>
          </w:p>
        </w:tc>
        <w:tc>
          <w:tcPr>
            <w:tcW w:w="3192" w:type="dxa"/>
            <w:shd w:val="clear" w:color="auto" w:fill="auto"/>
            <w:vAlign w:val="center"/>
          </w:tcPr>
          <w:p w14:paraId="32D32856"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77" w:name="_Toc376199196"/>
            <w:r w:rsidRPr="006645DC">
              <w:rPr>
                <w:rFonts w:ascii="Calibri" w:hAnsi="Calibri"/>
                <w:color w:val="000000"/>
                <w:sz w:val="22"/>
                <w:szCs w:val="22"/>
                <w:lang w:val="en-GB"/>
              </w:rPr>
              <w:t>52,9</w:t>
            </w:r>
            <w:bookmarkEnd w:id="977"/>
          </w:p>
        </w:tc>
      </w:tr>
      <w:tr w:rsidR="0064018D" w:rsidRPr="006645DC" w14:paraId="60B71D42" w14:textId="77777777" w:rsidTr="00393EB7">
        <w:trPr>
          <w:jc w:val="center"/>
        </w:trPr>
        <w:tc>
          <w:tcPr>
            <w:tcW w:w="1908" w:type="dxa"/>
            <w:shd w:val="clear" w:color="auto" w:fill="auto"/>
            <w:vAlign w:val="center"/>
          </w:tcPr>
          <w:p w14:paraId="69F25D7E" w14:textId="77777777" w:rsidR="0064018D" w:rsidRPr="006645DC" w:rsidRDefault="0064018D" w:rsidP="00393EB7">
            <w:pPr>
              <w:pStyle w:val="BodyText"/>
              <w:keepNext/>
              <w:keepLines/>
              <w:outlineLvl w:val="1"/>
              <w:rPr>
                <w:rStyle w:val="longtext"/>
                <w:rFonts w:ascii="Calibri" w:hAnsi="Calibri"/>
                <w:bCs/>
                <w:sz w:val="22"/>
                <w:szCs w:val="22"/>
                <w:lang w:val="en-GB"/>
              </w:rPr>
            </w:pPr>
            <w:bookmarkStart w:id="978" w:name="_Toc376199197"/>
            <w:r w:rsidRPr="006645DC">
              <w:rPr>
                <w:rFonts w:ascii="Calibri" w:hAnsi="Calibri"/>
                <w:bCs/>
                <w:color w:val="000000"/>
                <w:sz w:val="22"/>
                <w:szCs w:val="22"/>
                <w:lang w:val="en-GB"/>
              </w:rPr>
              <w:t>Pleven</w:t>
            </w:r>
            <w:bookmarkEnd w:id="978"/>
          </w:p>
        </w:tc>
        <w:tc>
          <w:tcPr>
            <w:tcW w:w="3192" w:type="dxa"/>
            <w:shd w:val="clear" w:color="auto" w:fill="auto"/>
            <w:vAlign w:val="center"/>
          </w:tcPr>
          <w:p w14:paraId="11F98E22"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79" w:name="_Toc376199198"/>
            <w:r w:rsidRPr="006645DC">
              <w:rPr>
                <w:rFonts w:ascii="Calibri" w:hAnsi="Calibri"/>
                <w:color w:val="000000"/>
                <w:sz w:val="22"/>
                <w:szCs w:val="22"/>
                <w:lang w:val="en-GB"/>
              </w:rPr>
              <w:t>40,1</w:t>
            </w:r>
            <w:bookmarkEnd w:id="979"/>
          </w:p>
        </w:tc>
        <w:tc>
          <w:tcPr>
            <w:tcW w:w="3192" w:type="dxa"/>
            <w:shd w:val="clear" w:color="auto" w:fill="auto"/>
            <w:vAlign w:val="center"/>
          </w:tcPr>
          <w:p w14:paraId="2DCE5C49"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80" w:name="_Toc376199199"/>
            <w:r w:rsidRPr="006645DC">
              <w:rPr>
                <w:rFonts w:ascii="Calibri" w:hAnsi="Calibri"/>
                <w:color w:val="000000"/>
                <w:sz w:val="22"/>
                <w:szCs w:val="22"/>
                <w:lang w:val="en-GB"/>
              </w:rPr>
              <w:t>52,1</w:t>
            </w:r>
            <w:bookmarkEnd w:id="980"/>
          </w:p>
        </w:tc>
      </w:tr>
      <w:tr w:rsidR="0064018D" w:rsidRPr="006645DC" w14:paraId="39D29EF0" w14:textId="77777777" w:rsidTr="00393EB7">
        <w:trPr>
          <w:jc w:val="center"/>
        </w:trPr>
        <w:tc>
          <w:tcPr>
            <w:tcW w:w="1908" w:type="dxa"/>
            <w:shd w:val="clear" w:color="auto" w:fill="auto"/>
            <w:vAlign w:val="center"/>
          </w:tcPr>
          <w:p w14:paraId="6BEA446A" w14:textId="77777777" w:rsidR="0064018D" w:rsidRPr="006645DC" w:rsidRDefault="0064018D" w:rsidP="00393EB7">
            <w:pPr>
              <w:pStyle w:val="BodyText"/>
              <w:keepNext/>
              <w:keepLines/>
              <w:outlineLvl w:val="1"/>
              <w:rPr>
                <w:rStyle w:val="longtext"/>
                <w:rFonts w:ascii="Calibri" w:hAnsi="Calibri"/>
                <w:bCs/>
                <w:sz w:val="22"/>
                <w:szCs w:val="22"/>
                <w:lang w:val="en-GB"/>
              </w:rPr>
            </w:pPr>
            <w:bookmarkStart w:id="981" w:name="_Toc376199200"/>
            <w:r w:rsidRPr="006645DC">
              <w:rPr>
                <w:rFonts w:ascii="Calibri" w:hAnsi="Calibri"/>
                <w:bCs/>
                <w:color w:val="000000"/>
                <w:sz w:val="22"/>
                <w:szCs w:val="22"/>
                <w:lang w:val="en-GB"/>
              </w:rPr>
              <w:t>Veliko Tarnovo</w:t>
            </w:r>
            <w:bookmarkEnd w:id="981"/>
          </w:p>
        </w:tc>
        <w:tc>
          <w:tcPr>
            <w:tcW w:w="3192" w:type="dxa"/>
            <w:shd w:val="clear" w:color="auto" w:fill="auto"/>
            <w:vAlign w:val="center"/>
          </w:tcPr>
          <w:p w14:paraId="154F95BD"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82" w:name="_Toc376199201"/>
            <w:r w:rsidRPr="006645DC">
              <w:rPr>
                <w:rFonts w:ascii="Calibri" w:hAnsi="Calibri"/>
                <w:color w:val="000000"/>
                <w:sz w:val="22"/>
                <w:szCs w:val="22"/>
                <w:lang w:val="en-GB"/>
              </w:rPr>
              <w:t>44,2</w:t>
            </w:r>
            <w:bookmarkEnd w:id="982"/>
          </w:p>
        </w:tc>
        <w:tc>
          <w:tcPr>
            <w:tcW w:w="3192" w:type="dxa"/>
            <w:shd w:val="clear" w:color="auto" w:fill="auto"/>
            <w:vAlign w:val="center"/>
          </w:tcPr>
          <w:p w14:paraId="2930379F"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83" w:name="_Toc376199202"/>
            <w:r w:rsidRPr="006645DC">
              <w:rPr>
                <w:rFonts w:ascii="Calibri" w:hAnsi="Calibri"/>
                <w:color w:val="000000"/>
                <w:sz w:val="22"/>
                <w:szCs w:val="22"/>
                <w:lang w:val="en-GB"/>
              </w:rPr>
              <w:t>55,9</w:t>
            </w:r>
            <w:bookmarkEnd w:id="983"/>
          </w:p>
        </w:tc>
      </w:tr>
      <w:tr w:rsidR="0064018D" w:rsidRPr="006645DC" w14:paraId="105963E7" w14:textId="77777777" w:rsidTr="00393EB7">
        <w:trPr>
          <w:jc w:val="center"/>
        </w:trPr>
        <w:tc>
          <w:tcPr>
            <w:tcW w:w="1908" w:type="dxa"/>
            <w:shd w:val="clear" w:color="auto" w:fill="auto"/>
            <w:vAlign w:val="center"/>
          </w:tcPr>
          <w:p w14:paraId="60281E4C" w14:textId="77777777" w:rsidR="0064018D" w:rsidRPr="006645DC" w:rsidRDefault="0064018D" w:rsidP="00393EB7">
            <w:pPr>
              <w:pStyle w:val="BodyText"/>
              <w:keepNext/>
              <w:keepLines/>
              <w:outlineLvl w:val="1"/>
              <w:rPr>
                <w:rStyle w:val="longtext"/>
                <w:rFonts w:ascii="Calibri" w:hAnsi="Calibri"/>
                <w:bCs/>
                <w:sz w:val="22"/>
                <w:szCs w:val="22"/>
                <w:lang w:val="en-GB"/>
              </w:rPr>
            </w:pPr>
            <w:bookmarkStart w:id="984" w:name="_Toc376199203"/>
            <w:r w:rsidRPr="006645DC">
              <w:rPr>
                <w:rFonts w:ascii="Calibri" w:hAnsi="Calibri"/>
                <w:bCs/>
                <w:color w:val="000000"/>
                <w:sz w:val="22"/>
                <w:szCs w:val="22"/>
                <w:lang w:val="en-GB"/>
              </w:rPr>
              <w:t>Ruse</w:t>
            </w:r>
            <w:bookmarkEnd w:id="984"/>
          </w:p>
        </w:tc>
        <w:tc>
          <w:tcPr>
            <w:tcW w:w="3192" w:type="dxa"/>
            <w:shd w:val="clear" w:color="auto" w:fill="auto"/>
            <w:vAlign w:val="center"/>
          </w:tcPr>
          <w:p w14:paraId="7E1F43E4"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85" w:name="_Toc376199204"/>
            <w:r w:rsidRPr="006645DC">
              <w:rPr>
                <w:rFonts w:ascii="Calibri" w:hAnsi="Calibri"/>
                <w:color w:val="000000"/>
                <w:sz w:val="22"/>
                <w:szCs w:val="22"/>
                <w:lang w:val="en-GB"/>
              </w:rPr>
              <w:t>46,3</w:t>
            </w:r>
            <w:bookmarkEnd w:id="985"/>
          </w:p>
        </w:tc>
        <w:tc>
          <w:tcPr>
            <w:tcW w:w="3192" w:type="dxa"/>
            <w:shd w:val="clear" w:color="auto" w:fill="auto"/>
            <w:vAlign w:val="center"/>
          </w:tcPr>
          <w:p w14:paraId="107C6C74"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86" w:name="_Toc376199205"/>
            <w:r w:rsidRPr="006645DC">
              <w:rPr>
                <w:rFonts w:ascii="Calibri" w:hAnsi="Calibri"/>
                <w:color w:val="000000"/>
                <w:sz w:val="22"/>
                <w:szCs w:val="22"/>
                <w:lang w:val="en-GB"/>
              </w:rPr>
              <w:t>56,2</w:t>
            </w:r>
            <w:bookmarkEnd w:id="986"/>
          </w:p>
        </w:tc>
      </w:tr>
      <w:tr w:rsidR="0064018D" w:rsidRPr="006645DC" w14:paraId="0D23C8BA" w14:textId="77777777" w:rsidTr="00393EB7">
        <w:trPr>
          <w:jc w:val="center"/>
        </w:trPr>
        <w:tc>
          <w:tcPr>
            <w:tcW w:w="1908" w:type="dxa"/>
            <w:shd w:val="clear" w:color="auto" w:fill="auto"/>
            <w:vAlign w:val="center"/>
          </w:tcPr>
          <w:p w14:paraId="505A4C84" w14:textId="77777777" w:rsidR="0064018D" w:rsidRPr="006645DC" w:rsidRDefault="0064018D" w:rsidP="00393EB7">
            <w:pPr>
              <w:pStyle w:val="BodyText"/>
              <w:keepNext/>
              <w:keepLines/>
              <w:outlineLvl w:val="1"/>
              <w:rPr>
                <w:rStyle w:val="longtext"/>
                <w:rFonts w:ascii="Calibri" w:hAnsi="Calibri"/>
                <w:bCs/>
                <w:sz w:val="22"/>
                <w:szCs w:val="22"/>
                <w:lang w:val="en-GB"/>
              </w:rPr>
            </w:pPr>
            <w:bookmarkStart w:id="987" w:name="_Toc376199206"/>
            <w:r w:rsidRPr="006645DC">
              <w:rPr>
                <w:rFonts w:ascii="Calibri" w:hAnsi="Calibri"/>
                <w:bCs/>
                <w:color w:val="000000"/>
                <w:sz w:val="22"/>
                <w:szCs w:val="22"/>
                <w:lang w:val="en-GB"/>
              </w:rPr>
              <w:t>Silistra</w:t>
            </w:r>
            <w:bookmarkEnd w:id="987"/>
          </w:p>
        </w:tc>
        <w:tc>
          <w:tcPr>
            <w:tcW w:w="3192" w:type="dxa"/>
            <w:shd w:val="clear" w:color="auto" w:fill="auto"/>
            <w:vAlign w:val="center"/>
          </w:tcPr>
          <w:p w14:paraId="33363540"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88" w:name="_Toc376199207"/>
            <w:r w:rsidRPr="006645DC">
              <w:rPr>
                <w:rFonts w:ascii="Calibri" w:hAnsi="Calibri"/>
                <w:color w:val="000000"/>
                <w:sz w:val="22"/>
                <w:szCs w:val="22"/>
                <w:lang w:val="en-GB"/>
              </w:rPr>
              <w:t>40,4</w:t>
            </w:r>
            <w:bookmarkEnd w:id="988"/>
          </w:p>
        </w:tc>
        <w:tc>
          <w:tcPr>
            <w:tcW w:w="3192" w:type="dxa"/>
            <w:shd w:val="clear" w:color="auto" w:fill="auto"/>
            <w:vAlign w:val="center"/>
          </w:tcPr>
          <w:p w14:paraId="41A5B529"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89" w:name="_Toc376199208"/>
            <w:r w:rsidRPr="006645DC">
              <w:rPr>
                <w:rFonts w:ascii="Calibri" w:hAnsi="Calibri"/>
                <w:color w:val="000000"/>
                <w:sz w:val="22"/>
                <w:szCs w:val="22"/>
                <w:lang w:val="en-GB"/>
              </w:rPr>
              <w:t>53,8</w:t>
            </w:r>
            <w:bookmarkEnd w:id="989"/>
          </w:p>
        </w:tc>
      </w:tr>
      <w:tr w:rsidR="0064018D" w:rsidRPr="006645DC" w14:paraId="4D8D6F76" w14:textId="77777777" w:rsidTr="00393EB7">
        <w:trPr>
          <w:jc w:val="center"/>
        </w:trPr>
        <w:tc>
          <w:tcPr>
            <w:tcW w:w="1908" w:type="dxa"/>
            <w:shd w:val="clear" w:color="auto" w:fill="auto"/>
            <w:vAlign w:val="center"/>
          </w:tcPr>
          <w:p w14:paraId="30D85173" w14:textId="77777777" w:rsidR="0064018D" w:rsidRPr="006645DC" w:rsidRDefault="0064018D" w:rsidP="00393EB7">
            <w:pPr>
              <w:pStyle w:val="BodyText"/>
              <w:keepNext/>
              <w:keepLines/>
              <w:outlineLvl w:val="1"/>
              <w:rPr>
                <w:rStyle w:val="longtext"/>
                <w:rFonts w:ascii="Calibri" w:hAnsi="Calibri"/>
                <w:bCs/>
                <w:sz w:val="22"/>
                <w:szCs w:val="22"/>
                <w:lang w:val="en-GB"/>
              </w:rPr>
            </w:pPr>
            <w:bookmarkStart w:id="990" w:name="_Toc376199209"/>
            <w:r w:rsidRPr="006645DC">
              <w:rPr>
                <w:rFonts w:ascii="Calibri" w:hAnsi="Calibri"/>
                <w:bCs/>
                <w:color w:val="000000"/>
                <w:sz w:val="22"/>
                <w:szCs w:val="22"/>
                <w:lang w:val="en-GB"/>
              </w:rPr>
              <w:t>Dobrich</w:t>
            </w:r>
            <w:bookmarkEnd w:id="990"/>
          </w:p>
        </w:tc>
        <w:tc>
          <w:tcPr>
            <w:tcW w:w="3192" w:type="dxa"/>
            <w:shd w:val="clear" w:color="auto" w:fill="auto"/>
            <w:vAlign w:val="center"/>
          </w:tcPr>
          <w:p w14:paraId="75B9865C"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91" w:name="_Toc376199210"/>
            <w:r w:rsidRPr="006645DC">
              <w:rPr>
                <w:rFonts w:ascii="Calibri" w:hAnsi="Calibri"/>
                <w:color w:val="000000"/>
                <w:sz w:val="22"/>
                <w:szCs w:val="22"/>
                <w:lang w:val="en-GB"/>
              </w:rPr>
              <w:t>47,3</w:t>
            </w:r>
            <w:bookmarkEnd w:id="991"/>
          </w:p>
        </w:tc>
        <w:tc>
          <w:tcPr>
            <w:tcW w:w="3192" w:type="dxa"/>
            <w:shd w:val="clear" w:color="auto" w:fill="auto"/>
            <w:vAlign w:val="center"/>
          </w:tcPr>
          <w:p w14:paraId="6964729A" w14:textId="77777777" w:rsidR="0064018D" w:rsidRPr="006645DC" w:rsidRDefault="0064018D" w:rsidP="00393EB7">
            <w:pPr>
              <w:pStyle w:val="BodyText"/>
              <w:keepNext/>
              <w:keepLines/>
              <w:ind w:left="757" w:hanging="360"/>
              <w:jc w:val="center"/>
              <w:outlineLvl w:val="1"/>
              <w:rPr>
                <w:rFonts w:ascii="Calibri" w:hAnsi="Calibri"/>
                <w:color w:val="000000"/>
                <w:sz w:val="22"/>
                <w:szCs w:val="22"/>
                <w:lang w:val="en-GB"/>
              </w:rPr>
            </w:pPr>
            <w:bookmarkStart w:id="992" w:name="_Toc376199211"/>
            <w:r w:rsidRPr="006645DC">
              <w:rPr>
                <w:rFonts w:ascii="Calibri" w:hAnsi="Calibri"/>
                <w:color w:val="000000"/>
                <w:sz w:val="22"/>
                <w:szCs w:val="22"/>
                <w:lang w:val="en-GB"/>
              </w:rPr>
              <w:t>62,9</w:t>
            </w:r>
            <w:bookmarkEnd w:id="992"/>
          </w:p>
        </w:tc>
      </w:tr>
    </w:tbl>
    <w:p w14:paraId="45F9E2D3" w14:textId="77777777" w:rsidR="00492077" w:rsidRPr="006645DC" w:rsidRDefault="00492077" w:rsidP="00492077">
      <w:pPr>
        <w:pStyle w:val="Caption"/>
        <w:rPr>
          <w:lang w:val="en-GB"/>
        </w:rPr>
      </w:pPr>
      <w:bookmarkStart w:id="993" w:name="_Toc391150124"/>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27</w:t>
      </w:r>
      <w:r w:rsidR="005979EB" w:rsidRPr="006645DC">
        <w:rPr>
          <w:lang w:val="en-GB"/>
        </w:rPr>
        <w:fldChar w:fldCharType="end"/>
      </w:r>
      <w:r w:rsidRPr="006645DC">
        <w:rPr>
          <w:lang w:val="en-GB"/>
        </w:rPr>
        <w:t xml:space="preserve"> - </w:t>
      </w:r>
      <w:r w:rsidRPr="006645DC">
        <w:rPr>
          <w:rStyle w:val="longtext"/>
          <w:rFonts w:cs="Times New Roman"/>
          <w:lang w:val="en-GB"/>
        </w:rPr>
        <w:t>The women and the men activity rate 2012</w:t>
      </w:r>
      <w:bookmarkEnd w:id="993"/>
    </w:p>
    <w:p w14:paraId="1F62FA9A" w14:textId="697CFDF4" w:rsidR="00492077" w:rsidRPr="000375AC" w:rsidRDefault="0064018D" w:rsidP="000375AC">
      <w:pPr>
        <w:pStyle w:val="Heading4"/>
        <w:rPr>
          <w:bCs w:val="0"/>
          <w:i w:val="0"/>
          <w:iCs w:val="0"/>
          <w:lang w:val="en-GB"/>
        </w:rPr>
      </w:pPr>
      <w:r w:rsidRPr="006645DC">
        <w:rPr>
          <w:lang w:val="en-GB"/>
        </w:rPr>
        <w:t>Sourc</w:t>
      </w:r>
      <w:r w:rsidR="00DF2276" w:rsidRPr="006645DC">
        <w:rPr>
          <w:lang w:val="en-GB"/>
        </w:rPr>
        <w:t>e: INS Romania and NSI Bulgaria</w:t>
      </w:r>
    </w:p>
    <w:p w14:paraId="3334B166" w14:textId="77777777" w:rsidR="0064018D" w:rsidRPr="006645DC" w:rsidRDefault="0064018D" w:rsidP="0064018D">
      <w:pPr>
        <w:rPr>
          <w:lang w:val="en-GB"/>
        </w:rPr>
      </w:pPr>
      <w:r w:rsidRPr="006645DC">
        <w:rPr>
          <w:b/>
          <w:lang w:val="en-GB"/>
        </w:rPr>
        <w:t xml:space="preserve">The employed population </w:t>
      </w:r>
      <w:r w:rsidRPr="006645DC">
        <w:rPr>
          <w:lang w:val="en-GB"/>
        </w:rPr>
        <w:t>indicates the economically “active” part of the society. It includes salaried, owners of businesses, independent workers/service providers and workers within the household that are not salaried. They contribute actively to the prosperity of the area they live and work in and to the social stability and balance.</w:t>
      </w:r>
    </w:p>
    <w:p w14:paraId="07866C87" w14:textId="77777777" w:rsidR="0064018D" w:rsidRPr="006645DC" w:rsidRDefault="0064018D" w:rsidP="0064018D">
      <w:pPr>
        <w:rPr>
          <w:lang w:val="en-GB"/>
        </w:rPr>
      </w:pPr>
      <w:r w:rsidRPr="006645DC">
        <w:rPr>
          <w:lang w:val="en-GB"/>
        </w:rPr>
        <w:t>In the Romanian part of the cross-border area, there were 1 186 thousand people that were occupied in 2012 out of a national total of 8 569 thousands. This region thus represents around a 7</w:t>
      </w:r>
      <w:r w:rsidRPr="006645DC">
        <w:rPr>
          <w:vertAlign w:val="superscript"/>
          <w:lang w:val="en-GB"/>
        </w:rPr>
        <w:t>th</w:t>
      </w:r>
      <w:r w:rsidRPr="006645DC">
        <w:rPr>
          <w:lang w:val="en-GB"/>
        </w:rPr>
        <w:t xml:space="preserve"> of the total Romanian occupied population. All the counties in the Romanian cross-border area registered small increases (2-3%) of occupancy in 2012 versus 2011, after several years of decreases. Given their big urban centres and their relative numerous populations, the counties of Constanta and Dolj concentrate more than half of the occupied population of the Romanian cross-border area. In the Bulgarian part of the cross-border area, there were 540.1 thousand employed people in 2012 out of 2 934 thousand employed people in the country. This represents 18.4% of the employed people in Bulgaria. The districts of Veliko Turnovo, Pleven and Ruse concentrate more than a half of the employed population. However in the last years, there is a steady decrease of 1-2% annually in the number of employed people. This is a result of a combined set of factors such as the negative economic environment and the negative demographic trends. </w:t>
      </w:r>
    </w:p>
    <w:p w14:paraId="4AFE1BAF" w14:textId="77777777" w:rsidR="0064018D" w:rsidRPr="006645DC" w:rsidRDefault="0064018D" w:rsidP="0064018D">
      <w:pPr>
        <w:rPr>
          <w:lang w:val="en-GB"/>
        </w:rPr>
      </w:pPr>
      <w:r w:rsidRPr="006645DC">
        <w:rPr>
          <w:lang w:val="en-GB"/>
        </w:rPr>
        <w:t>The overall occupied population of the cross-border area is of 1 726,1 thousand people.</w:t>
      </w:r>
    </w:p>
    <w:p w14:paraId="1178DB99" w14:textId="77777777" w:rsidR="0064018D" w:rsidRPr="006645DC" w:rsidRDefault="0064018D" w:rsidP="0064018D">
      <w:pPr>
        <w:rPr>
          <w:lang w:val="en-GB"/>
        </w:rPr>
      </w:pPr>
      <w:r w:rsidRPr="006645DC">
        <w:rPr>
          <w:lang w:val="en-GB"/>
        </w:rPr>
        <w:lastRenderedPageBreak/>
        <w:t xml:space="preserve">The distribution of the occupied population between economic sectors is also important in a social cohesion perspective, as a society where the agriculture sector is dominant faces different challenges and needs than one where innovative tertiary and even quaternary sectors are important. The workforce mobility, its capacity to adapt quickly to changes in the economy, the occupied population’s revenue pattern, its impact on social services and the budgetary expenses depends largely of the sectorial workforce distribution. </w:t>
      </w:r>
    </w:p>
    <w:p w14:paraId="648D39F2" w14:textId="77777777" w:rsidR="0064018D" w:rsidRPr="006645DC" w:rsidRDefault="00AA4C82" w:rsidP="0064018D">
      <w:pPr>
        <w:pStyle w:val="BodyText"/>
        <w:tabs>
          <w:tab w:val="left" w:pos="1014"/>
        </w:tabs>
        <w:jc w:val="center"/>
        <w:rPr>
          <w:rFonts w:ascii="Calibri" w:hAnsi="Calibri" w:cs="Times New Roman"/>
          <w:lang w:val="en-GB"/>
        </w:rPr>
      </w:pPr>
      <w:r w:rsidRPr="006645DC">
        <w:rPr>
          <w:rFonts w:ascii="Calibri" w:hAnsi="Calibri" w:cs="Times New Roman"/>
          <w:noProof/>
          <w:snapToGrid/>
          <w:lang w:val="bg-BG" w:eastAsia="bg-BG"/>
        </w:rPr>
        <w:drawing>
          <wp:inline distT="0" distB="0" distL="0" distR="0" wp14:anchorId="6CE459AA" wp14:editId="0F50C586">
            <wp:extent cx="6124575" cy="2505075"/>
            <wp:effectExtent l="19050" t="19050" r="28575" b="28575"/>
            <wp:docPr id="62"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92"/>
                    <a:srcRect/>
                    <a:stretch>
                      <a:fillRect/>
                    </a:stretch>
                  </pic:blipFill>
                  <pic:spPr bwMode="auto">
                    <a:xfrm>
                      <a:off x="0" y="0"/>
                      <a:ext cx="6124575" cy="2505075"/>
                    </a:xfrm>
                    <a:prstGeom prst="rect">
                      <a:avLst/>
                    </a:prstGeom>
                    <a:noFill/>
                    <a:ln w="3175" cmpd="sng">
                      <a:solidFill>
                        <a:srgbClr val="000000"/>
                      </a:solidFill>
                      <a:miter lim="800000"/>
                      <a:headEnd/>
                      <a:tailEnd/>
                    </a:ln>
                    <a:effectLst/>
                  </pic:spPr>
                </pic:pic>
              </a:graphicData>
            </a:graphic>
          </wp:inline>
        </w:drawing>
      </w:r>
    </w:p>
    <w:p w14:paraId="18F4F00E" w14:textId="77777777" w:rsidR="0064018D" w:rsidRPr="006645DC" w:rsidRDefault="0064018D" w:rsidP="0064018D">
      <w:pPr>
        <w:pStyle w:val="Caption"/>
        <w:rPr>
          <w:lang w:val="en-GB"/>
        </w:rPr>
      </w:pPr>
      <w:bookmarkStart w:id="994" w:name="_Toc391150081"/>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32</w:t>
      </w:r>
      <w:r w:rsidR="005979EB" w:rsidRPr="006645DC">
        <w:rPr>
          <w:lang w:val="en-GB"/>
        </w:rPr>
        <w:fldChar w:fldCharType="end"/>
      </w:r>
      <w:r w:rsidRPr="006645DC">
        <w:rPr>
          <w:lang w:val="en-GB"/>
        </w:rPr>
        <w:t xml:space="preserve"> - Distribution of employed population per sectors of activity of the national economy in the Romania-Bulgaria cross-border region, in 2010</w:t>
      </w:r>
      <w:bookmarkEnd w:id="994"/>
    </w:p>
    <w:p w14:paraId="07A9F539" w14:textId="77777777" w:rsidR="0064018D" w:rsidRPr="006645DC" w:rsidRDefault="0064018D" w:rsidP="0064018D">
      <w:pPr>
        <w:pStyle w:val="Heading4"/>
        <w:rPr>
          <w:lang w:val="en-GB"/>
        </w:rPr>
      </w:pPr>
      <w:r w:rsidRPr="006645DC">
        <w:rPr>
          <w:lang w:val="en-GB"/>
        </w:rPr>
        <w:t>Source: EVOLUTION Project</w:t>
      </w:r>
    </w:p>
    <w:p w14:paraId="1E313EA9" w14:textId="77777777" w:rsidR="0064018D" w:rsidRPr="006645DC" w:rsidRDefault="0064018D" w:rsidP="0064018D">
      <w:pPr>
        <w:rPr>
          <w:color w:val="000000"/>
          <w:lang w:val="en-GB"/>
        </w:rPr>
      </w:pPr>
      <w:r w:rsidRPr="006645DC">
        <w:rPr>
          <w:color w:val="000000"/>
          <w:lang w:val="en-GB"/>
        </w:rPr>
        <w:t xml:space="preserve">The employment pattern is different in the RO and BG </w:t>
      </w:r>
      <w:r w:rsidR="00D16360" w:rsidRPr="006645DC">
        <w:rPr>
          <w:color w:val="000000"/>
          <w:lang w:val="en-GB"/>
        </w:rPr>
        <w:t>areas:</w:t>
      </w:r>
      <w:r w:rsidRPr="006645DC">
        <w:rPr>
          <w:color w:val="000000"/>
          <w:lang w:val="en-GB"/>
        </w:rPr>
        <w:t xml:space="preserve"> if agriculture is very important in the RO area, services are the most important in the BG area. </w:t>
      </w:r>
    </w:p>
    <w:p w14:paraId="623DA0A6" w14:textId="77777777" w:rsidR="0064018D" w:rsidRPr="006645DC" w:rsidRDefault="0064018D" w:rsidP="0064018D">
      <w:pPr>
        <w:rPr>
          <w:color w:val="000000"/>
          <w:lang w:val="en-GB"/>
        </w:rPr>
      </w:pPr>
      <w:r w:rsidRPr="006645DC">
        <w:rPr>
          <w:color w:val="000000"/>
          <w:lang w:val="en-GB"/>
        </w:rPr>
        <w:t xml:space="preserve">The economic sectorial distribution in the RO area </w:t>
      </w:r>
      <w:r w:rsidR="00B63EA8" w:rsidRPr="006645DC">
        <w:rPr>
          <w:color w:val="000000"/>
          <w:lang w:val="en-GB"/>
        </w:rPr>
        <w:t>is linked with a</w:t>
      </w:r>
      <w:r w:rsidRPr="006645DC">
        <w:rPr>
          <w:color w:val="000000"/>
          <w:lang w:val="en-GB"/>
        </w:rPr>
        <w:t xml:space="preserve"> highly fragmented agriculture with small family enterprises that exploit little plots of </w:t>
      </w:r>
      <w:r w:rsidR="00B63EA8" w:rsidRPr="006645DC">
        <w:rPr>
          <w:color w:val="000000"/>
          <w:lang w:val="en-GB"/>
        </w:rPr>
        <w:t>land that</w:t>
      </w:r>
      <w:r w:rsidRPr="006645DC">
        <w:rPr>
          <w:color w:val="000000"/>
          <w:lang w:val="en-GB"/>
        </w:rPr>
        <w:t xml:space="preserve"> are not economically sustainable and often produce only for the extended family. This autarkic functioning of the rural economy, based on self-sufficiency inside limited family groups, may seem stable and cohesive, even if pauperised. Nevertheless if we take into account the fact that these counties are part of the EU single market (for capital but also for workforce and goods) we can easily perceive the unstable character of this status quo and the risks it carries:</w:t>
      </w:r>
    </w:p>
    <w:p w14:paraId="7148F68A" w14:textId="77777777" w:rsidR="0064018D" w:rsidRPr="006645DC" w:rsidRDefault="0064018D" w:rsidP="0064018D">
      <w:pPr>
        <w:pStyle w:val="ListParagraph"/>
        <w:ind w:left="867"/>
        <w:rPr>
          <w:lang w:val="en-GB"/>
        </w:rPr>
      </w:pPr>
      <w:r w:rsidRPr="006645DC">
        <w:rPr>
          <w:lang w:val="en-GB"/>
        </w:rPr>
        <w:t>Lack of job and adequate employment perspectives that lead to massive permanent emigration of the most able and fitted for work, depriving the local society and economy of its human resources, making it difficult for the region to attract investments and develop itself</w:t>
      </w:r>
    </w:p>
    <w:p w14:paraId="1726FE1A" w14:textId="77777777" w:rsidR="0064018D" w:rsidRPr="006645DC" w:rsidRDefault="0064018D" w:rsidP="0064018D">
      <w:pPr>
        <w:pStyle w:val="ListParagraph"/>
        <w:ind w:left="867"/>
        <w:rPr>
          <w:lang w:val="en-GB"/>
        </w:rPr>
      </w:pPr>
      <w:r w:rsidRPr="006645DC">
        <w:rPr>
          <w:lang w:val="en-GB"/>
        </w:rPr>
        <w:t xml:space="preserve">High dependency on social benefits with the high risk this entails for older people </w:t>
      </w:r>
    </w:p>
    <w:p w14:paraId="4DEEE98F" w14:textId="77777777" w:rsidR="0064018D" w:rsidRPr="006645DC" w:rsidRDefault="0064018D" w:rsidP="0064018D">
      <w:pPr>
        <w:pStyle w:val="ListParagraph"/>
        <w:ind w:left="867"/>
        <w:rPr>
          <w:lang w:val="en-GB"/>
        </w:rPr>
      </w:pPr>
      <w:r w:rsidRPr="006645DC">
        <w:rPr>
          <w:lang w:val="en-GB"/>
        </w:rPr>
        <w:t>Low access to public services (uninsured persons)</w:t>
      </w:r>
    </w:p>
    <w:p w14:paraId="6183030A" w14:textId="77777777" w:rsidR="0064018D" w:rsidRPr="006645DC" w:rsidRDefault="0064018D" w:rsidP="0064018D">
      <w:pPr>
        <w:pStyle w:val="ListParagraph"/>
        <w:ind w:left="867"/>
        <w:rPr>
          <w:lang w:val="en-GB"/>
        </w:rPr>
      </w:pPr>
      <w:r w:rsidRPr="006645DC">
        <w:rPr>
          <w:lang w:val="en-GB"/>
        </w:rPr>
        <w:t>Low access to information and education leading to social exclusion, particularly for the young</w:t>
      </w:r>
    </w:p>
    <w:p w14:paraId="7A188CA4" w14:textId="77777777" w:rsidR="0064018D" w:rsidRPr="006645DC" w:rsidRDefault="0064018D" w:rsidP="0064018D">
      <w:pPr>
        <w:pStyle w:val="Heading3"/>
        <w:rPr>
          <w:lang w:val="en-GB"/>
        </w:rPr>
      </w:pPr>
      <w:bookmarkStart w:id="995" w:name="_Toc254543796"/>
      <w:r w:rsidRPr="006645DC">
        <w:rPr>
          <w:lang w:val="en-GB"/>
        </w:rPr>
        <w:lastRenderedPageBreak/>
        <w:t>Unemployment</w:t>
      </w:r>
      <w:bookmarkEnd w:id="995"/>
    </w:p>
    <w:p w14:paraId="1AD87301" w14:textId="77777777" w:rsidR="0064018D" w:rsidRPr="006645DC" w:rsidRDefault="0064018D" w:rsidP="0064018D">
      <w:pPr>
        <w:rPr>
          <w:rStyle w:val="longtext"/>
          <w:rFonts w:eastAsia="Times New Roman"/>
          <w:b/>
          <w:bCs/>
          <w:snapToGrid w:val="0"/>
          <w:color w:val="4F81BD"/>
          <w:sz w:val="24"/>
          <w:szCs w:val="24"/>
          <w:lang w:val="en-GB" w:eastAsia="ro-RO"/>
        </w:rPr>
      </w:pPr>
      <w:r w:rsidRPr="006645DC">
        <w:rPr>
          <w:lang w:val="en-GB"/>
        </w:rPr>
        <w:t>The unemployment rate</w:t>
      </w:r>
      <w:r w:rsidR="00101CC2" w:rsidRPr="006645DC">
        <w:rPr>
          <w:lang w:val="en-GB"/>
        </w:rPr>
        <w:t xml:space="preserve"> </w:t>
      </w:r>
      <w:r w:rsidRPr="006645DC">
        <w:rPr>
          <w:lang w:val="en-GB"/>
        </w:rPr>
        <w:t xml:space="preserve">is a key aspect of social stability and social cohesion. The figures for the cross-border area are constantly and worryingly higher than the national averages. In Romania, the cross-border rate is 30% higher than the one of the overall country. In Bulgaria, the unemployment rate for the cross-border region is 20.18%, which is about 8% higher than the average for the country (12.3%). These figures illustrate a long lasting trend. </w:t>
      </w:r>
    </w:p>
    <w:p w14:paraId="7CC0B7EA" w14:textId="77777777" w:rsidR="0064018D" w:rsidRPr="006645DC" w:rsidRDefault="00AA4C82" w:rsidP="0064018D">
      <w:pPr>
        <w:pStyle w:val="BodyText"/>
        <w:jc w:val="center"/>
        <w:rPr>
          <w:rFonts w:ascii="Calibri" w:hAnsi="Calibri" w:cs="Times New Roman"/>
          <w:lang w:val="en-GB"/>
        </w:rPr>
      </w:pPr>
      <w:r w:rsidRPr="006645DC">
        <w:rPr>
          <w:rFonts w:ascii="Calibri" w:hAnsi="Calibri" w:cs="Times New Roman"/>
          <w:noProof/>
          <w:snapToGrid/>
          <w:lang w:val="bg-BG" w:eastAsia="bg-BG"/>
        </w:rPr>
        <w:drawing>
          <wp:inline distT="0" distB="0" distL="0" distR="0" wp14:anchorId="28B65569" wp14:editId="75F76BAB">
            <wp:extent cx="6324600" cy="5305425"/>
            <wp:effectExtent l="19050" t="0" r="0" b="0"/>
            <wp:docPr id="63"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93"/>
                    <a:srcRect/>
                    <a:stretch>
                      <a:fillRect/>
                    </a:stretch>
                  </pic:blipFill>
                  <pic:spPr bwMode="auto">
                    <a:xfrm>
                      <a:off x="0" y="0"/>
                      <a:ext cx="6324600" cy="5305425"/>
                    </a:xfrm>
                    <a:prstGeom prst="rect">
                      <a:avLst/>
                    </a:prstGeom>
                    <a:noFill/>
                    <a:ln w="9525">
                      <a:noFill/>
                      <a:miter lim="800000"/>
                      <a:headEnd/>
                      <a:tailEnd/>
                    </a:ln>
                  </pic:spPr>
                </pic:pic>
              </a:graphicData>
            </a:graphic>
          </wp:inline>
        </w:drawing>
      </w:r>
    </w:p>
    <w:p w14:paraId="085C81F3" w14:textId="77777777" w:rsidR="0064018D" w:rsidRPr="006645DC" w:rsidRDefault="0064018D" w:rsidP="0064018D">
      <w:pPr>
        <w:pStyle w:val="Caption"/>
        <w:rPr>
          <w:lang w:val="en-GB"/>
        </w:rPr>
      </w:pPr>
      <w:bookmarkStart w:id="996" w:name="_Toc391150027"/>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23</w:t>
      </w:r>
      <w:r w:rsidR="005979EB" w:rsidRPr="006645DC">
        <w:rPr>
          <w:lang w:val="en-GB"/>
        </w:rPr>
        <w:fldChar w:fldCharType="end"/>
      </w:r>
      <w:r w:rsidRPr="006645DC">
        <w:rPr>
          <w:lang w:val="en-GB"/>
        </w:rPr>
        <w:t xml:space="preserve"> - Unemployment rate</w:t>
      </w:r>
      <w:bookmarkEnd w:id="996"/>
    </w:p>
    <w:p w14:paraId="5FF1F728" w14:textId="77777777" w:rsidR="0064018D" w:rsidRPr="006645DC" w:rsidRDefault="0064018D" w:rsidP="0064018D">
      <w:pPr>
        <w:pStyle w:val="Heading4"/>
        <w:rPr>
          <w:lang w:val="en-GB"/>
        </w:rPr>
      </w:pPr>
      <w:r w:rsidRPr="006645DC">
        <w:rPr>
          <w:lang w:val="en-GB"/>
        </w:rPr>
        <w:t>Source: ESPON TerrEvi project</w:t>
      </w:r>
    </w:p>
    <w:p w14:paraId="60A395FE" w14:textId="77777777" w:rsidR="0064018D" w:rsidRPr="006645DC" w:rsidRDefault="0064018D" w:rsidP="0064018D">
      <w:pPr>
        <w:autoSpaceDE w:val="0"/>
        <w:autoSpaceDN w:val="0"/>
        <w:adjustRightInd w:val="0"/>
        <w:rPr>
          <w:color w:val="000000"/>
          <w:sz w:val="24"/>
          <w:szCs w:val="24"/>
          <w:lang w:val="en-GB"/>
        </w:rPr>
      </w:pPr>
    </w:p>
    <w:p w14:paraId="7EBE10A7" w14:textId="77777777" w:rsidR="0064018D" w:rsidRPr="006645DC" w:rsidRDefault="0064018D" w:rsidP="0064018D">
      <w:pPr>
        <w:autoSpaceDE w:val="0"/>
        <w:autoSpaceDN w:val="0"/>
        <w:adjustRightInd w:val="0"/>
        <w:jc w:val="center"/>
        <w:rPr>
          <w:sz w:val="24"/>
          <w:szCs w:val="24"/>
          <w:lang w:val="en-GB"/>
        </w:rPr>
      </w:pPr>
    </w:p>
    <w:p w14:paraId="5C91DFA3" w14:textId="77777777" w:rsidR="0064018D" w:rsidRPr="006645DC" w:rsidRDefault="00AA4C82" w:rsidP="0064018D">
      <w:pPr>
        <w:autoSpaceDE w:val="0"/>
        <w:autoSpaceDN w:val="0"/>
        <w:adjustRightInd w:val="0"/>
        <w:jc w:val="center"/>
        <w:rPr>
          <w:sz w:val="24"/>
          <w:szCs w:val="24"/>
          <w:lang w:val="en-GB"/>
        </w:rPr>
      </w:pPr>
      <w:r w:rsidRPr="006645DC">
        <w:rPr>
          <w:rFonts w:ascii="Times New Roman" w:eastAsia="Times New Roman" w:hAnsi="Times New Roman" w:cs="Calibri"/>
          <w:noProof/>
          <w:sz w:val="24"/>
          <w:szCs w:val="24"/>
          <w:lang w:val="bg-BG" w:eastAsia="bg-BG"/>
        </w:rPr>
        <w:drawing>
          <wp:inline distT="0" distB="0" distL="0" distR="0" wp14:anchorId="2FEA66C0" wp14:editId="4E748F51">
            <wp:extent cx="5495925" cy="4781550"/>
            <wp:effectExtent l="0" t="0" r="0" b="0"/>
            <wp:docPr id="64" name="Chart 1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633D4B8D" w14:textId="77777777" w:rsidR="0064018D" w:rsidRPr="006645DC" w:rsidRDefault="0064018D" w:rsidP="0064018D">
      <w:pPr>
        <w:pStyle w:val="Caption"/>
        <w:rPr>
          <w:lang w:val="en-GB"/>
        </w:rPr>
      </w:pPr>
      <w:bookmarkStart w:id="997" w:name="_Toc391150082"/>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33</w:t>
      </w:r>
      <w:r w:rsidR="005979EB" w:rsidRPr="006645DC">
        <w:rPr>
          <w:lang w:val="en-GB"/>
        </w:rPr>
        <w:fldChar w:fldCharType="end"/>
      </w:r>
      <w:r w:rsidRPr="006645DC">
        <w:rPr>
          <w:lang w:val="en-GB"/>
        </w:rPr>
        <w:t xml:space="preserve"> - The average unemployment rate’s evolution in the cross-border area, 2008-2012</w:t>
      </w:r>
      <w:bookmarkEnd w:id="997"/>
    </w:p>
    <w:p w14:paraId="41884A2C" w14:textId="77777777" w:rsidR="0064018D" w:rsidRPr="006645DC" w:rsidRDefault="0064018D" w:rsidP="0064018D">
      <w:pPr>
        <w:pStyle w:val="Heading4"/>
        <w:rPr>
          <w:lang w:val="en-GB"/>
        </w:rPr>
      </w:pPr>
      <w:r w:rsidRPr="006645DC">
        <w:rPr>
          <w:lang w:val="en-GB"/>
        </w:rPr>
        <w:t>source: INS Romania, NSI Bulgaria</w:t>
      </w:r>
    </w:p>
    <w:p w14:paraId="24924DAE" w14:textId="4807B68B" w:rsidR="0064018D" w:rsidRPr="006645DC" w:rsidRDefault="0064018D" w:rsidP="0064018D">
      <w:pPr>
        <w:rPr>
          <w:lang w:val="en-GB"/>
        </w:rPr>
      </w:pPr>
      <w:r w:rsidRPr="006645DC">
        <w:rPr>
          <w:lang w:val="en-GB"/>
        </w:rPr>
        <w:t xml:space="preserve">As it can be seen in the above chart, there is a diverging evolution between the two countries in terms of unemployment, with Romania managing to reduce it after </w:t>
      </w:r>
      <w:r w:rsidR="00B63EA8" w:rsidRPr="006645DC">
        <w:rPr>
          <w:lang w:val="en-GB"/>
        </w:rPr>
        <w:t>an</w:t>
      </w:r>
      <w:r w:rsidRPr="006645DC">
        <w:rPr>
          <w:lang w:val="en-GB"/>
        </w:rPr>
        <w:t xml:space="preserve"> initial increase during the crisis period and Bulgaria seeing continued increase of the unemployment levels. Nevertheless </w:t>
      </w:r>
      <w:r w:rsidR="00B63EA8" w:rsidRPr="006645DC">
        <w:rPr>
          <w:lang w:val="en-GB"/>
        </w:rPr>
        <w:t>the main</w:t>
      </w:r>
      <w:r w:rsidRPr="006645DC">
        <w:rPr>
          <w:lang w:val="en-GB"/>
        </w:rPr>
        <w:t xml:space="preserve"> part of the cross-border area is plagued by high unemployment (11 out of 15 administrative units displayed </w:t>
      </w:r>
      <w:r w:rsidR="00B63EA8" w:rsidRPr="006645DC">
        <w:rPr>
          <w:lang w:val="en-GB"/>
        </w:rPr>
        <w:t>unemployment</w:t>
      </w:r>
      <w:r w:rsidRPr="006645DC">
        <w:rPr>
          <w:lang w:val="en-GB"/>
        </w:rPr>
        <w:t xml:space="preserve"> rates of around or more than 10%). The Bulgarian area is</w:t>
      </w:r>
      <w:r w:rsidR="00B63EA8" w:rsidRPr="006645DC">
        <w:rPr>
          <w:lang w:val="en-GB"/>
        </w:rPr>
        <w:t xml:space="preserve"> in a</w:t>
      </w:r>
      <w:r w:rsidRPr="006645DC">
        <w:rPr>
          <w:lang w:val="en-GB"/>
        </w:rPr>
        <w:t xml:space="preserve"> worse</w:t>
      </w:r>
      <w:r w:rsidR="00B63EA8" w:rsidRPr="006645DC">
        <w:rPr>
          <w:lang w:val="en-GB"/>
        </w:rPr>
        <w:t xml:space="preserve"> situation</w:t>
      </w:r>
      <w:r w:rsidRPr="006645DC">
        <w:rPr>
          <w:lang w:val="en-GB"/>
        </w:rPr>
        <w:t xml:space="preserve"> than the Romanian area, </w:t>
      </w:r>
      <w:r w:rsidR="00B63EA8" w:rsidRPr="006645DC">
        <w:rPr>
          <w:lang w:val="en-GB"/>
        </w:rPr>
        <w:t xml:space="preserve">due </w:t>
      </w:r>
      <w:r w:rsidRPr="006645DC">
        <w:rPr>
          <w:lang w:val="en-GB"/>
        </w:rPr>
        <w:t xml:space="preserve">to its employment structure (services are more important than in the Romanian area) which makes it more vulnerable to external shocks. This explains the fact that it displays a continued tendency of worsening employment conditions, while the Romanian area saw decreases of its unemployment in 2010-2011, in tune with the national tendency. </w:t>
      </w:r>
    </w:p>
    <w:p w14:paraId="1BBAE1EE" w14:textId="77777777" w:rsidR="0064018D" w:rsidRPr="006645DC" w:rsidRDefault="0064018D" w:rsidP="0064018D">
      <w:pPr>
        <w:rPr>
          <w:lang w:val="en-GB"/>
        </w:rPr>
      </w:pPr>
      <w:r w:rsidRPr="006645DC">
        <w:rPr>
          <w:lang w:val="en-GB"/>
        </w:rPr>
        <w:lastRenderedPageBreak/>
        <w:t>The distribution of unemployment according to education level is an important indicator because differences in the working opportunities between education levels can indicate:</w:t>
      </w:r>
    </w:p>
    <w:p w14:paraId="6B7A3981" w14:textId="77777777" w:rsidR="0064018D" w:rsidRPr="006645DC" w:rsidRDefault="0064018D" w:rsidP="0064018D">
      <w:pPr>
        <w:pStyle w:val="ListParagraph"/>
        <w:ind w:left="867"/>
        <w:rPr>
          <w:lang w:val="en-GB"/>
        </w:rPr>
      </w:pPr>
      <w:r w:rsidRPr="006645DC">
        <w:rPr>
          <w:lang w:val="en-GB"/>
        </w:rPr>
        <w:t xml:space="preserve">Low job security for the less-educated active citizens which entails high risk of poverty and social exclusion </w:t>
      </w:r>
    </w:p>
    <w:p w14:paraId="4AFD0618" w14:textId="77777777" w:rsidR="0064018D" w:rsidRPr="006645DC" w:rsidRDefault="0064018D" w:rsidP="0064018D">
      <w:pPr>
        <w:pStyle w:val="ListParagraph"/>
        <w:ind w:left="867"/>
        <w:rPr>
          <w:lang w:val="en-GB"/>
        </w:rPr>
      </w:pPr>
      <w:r w:rsidRPr="006645DC">
        <w:rPr>
          <w:lang w:val="en-GB"/>
        </w:rPr>
        <w:t>Or an increased tendency for abandoning the vocational and professional training in favour of higher education, which in time generates a diploma-unemployment and increasing difficulty for private enterprise to find suitable local workforce.</w:t>
      </w:r>
    </w:p>
    <w:p w14:paraId="67DFA6DA" w14:textId="77777777" w:rsidR="0064018D" w:rsidRPr="006645DC" w:rsidRDefault="0064018D" w:rsidP="0064018D">
      <w:pPr>
        <w:rPr>
          <w:lang w:val="en-GB"/>
        </w:rPr>
      </w:pPr>
      <w:r w:rsidRPr="006645DC">
        <w:rPr>
          <w:lang w:val="en-GB"/>
        </w:rPr>
        <w:t>As can be seen from the table below, in the Romanian cross-border area, the difference in the rate of unemployment between the university educated people and lower education one is more important than the national one (apart from Constanta). This is probably due to a combination of factors: the lack of local working opportunities for people with lower levels of education, the lower rate of people with higher education than the national average and the “brain drain” phenomenon in the higher-education population in favour of Bucharest and other bigger urban centres or even foreign countries. This is obvious when we see that Constanta (the main urban and university centre in the cross-border area) is an “exception” and is above the national unemployment average of university-educated people. The unemployment rate in the secondary educated people is also important while the economic sector complains about the lack of well-trained secondary educated human resource.  Moreover, it is worrying to see that in counties like Giurgiu, Constanta and Olt, the secondary educated unemployment rate is higher than at national level. This could indicate a need for a complementary training in order to allow people to answer to possible market demands for new skills.</w:t>
      </w:r>
    </w:p>
    <w:p w14:paraId="0A10D4C3" w14:textId="77777777" w:rsidR="0064018D" w:rsidRPr="006645DC" w:rsidRDefault="0064018D" w:rsidP="0064018D">
      <w:pPr>
        <w:pStyle w:val="BodyText"/>
        <w:tabs>
          <w:tab w:val="left" w:pos="1014"/>
        </w:tabs>
        <w:rPr>
          <w:rFonts w:ascii="Calibri" w:hAnsi="Calibri" w:cs="Times New Roman"/>
          <w:color w:val="000000"/>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1"/>
        <w:gridCol w:w="992"/>
        <w:gridCol w:w="1677"/>
        <w:gridCol w:w="1350"/>
        <w:gridCol w:w="1469"/>
      </w:tblGrid>
      <w:tr w:rsidR="0064018D" w:rsidRPr="006645DC" w14:paraId="317937C1" w14:textId="77777777" w:rsidTr="00546086">
        <w:trPr>
          <w:trHeight w:val="110"/>
          <w:jc w:val="center"/>
        </w:trPr>
        <w:tc>
          <w:tcPr>
            <w:tcW w:w="2311" w:type="dxa"/>
            <w:vAlign w:val="center"/>
          </w:tcPr>
          <w:p w14:paraId="42BEEEF8" w14:textId="77777777" w:rsidR="0064018D" w:rsidRPr="006645DC" w:rsidRDefault="0064018D" w:rsidP="00546086">
            <w:pPr>
              <w:autoSpaceDE w:val="0"/>
              <w:autoSpaceDN w:val="0"/>
              <w:adjustRightInd w:val="0"/>
              <w:spacing w:before="0" w:after="0"/>
              <w:jc w:val="left"/>
              <w:rPr>
                <w:rFonts w:cs="Calibri"/>
                <w:color w:val="000000"/>
                <w:lang w:val="en-GB"/>
              </w:rPr>
            </w:pPr>
          </w:p>
        </w:tc>
        <w:tc>
          <w:tcPr>
            <w:tcW w:w="992" w:type="dxa"/>
            <w:vAlign w:val="center"/>
          </w:tcPr>
          <w:p w14:paraId="31E2676D" w14:textId="77777777" w:rsidR="0064018D" w:rsidRPr="006645DC" w:rsidRDefault="0064018D" w:rsidP="00546086">
            <w:pPr>
              <w:autoSpaceDE w:val="0"/>
              <w:autoSpaceDN w:val="0"/>
              <w:adjustRightInd w:val="0"/>
              <w:spacing w:before="0" w:after="0"/>
              <w:jc w:val="center"/>
              <w:rPr>
                <w:rFonts w:cs="Calibri"/>
                <w:lang w:val="en-GB"/>
              </w:rPr>
            </w:pPr>
            <w:r w:rsidRPr="006645DC">
              <w:rPr>
                <w:rFonts w:cs="Calibri"/>
                <w:b/>
                <w:lang w:val="en-GB"/>
              </w:rPr>
              <w:t>Total (%)</w:t>
            </w:r>
          </w:p>
        </w:tc>
        <w:tc>
          <w:tcPr>
            <w:tcW w:w="1677" w:type="dxa"/>
            <w:vAlign w:val="center"/>
          </w:tcPr>
          <w:p w14:paraId="55A69770" w14:textId="77777777" w:rsidR="0064018D" w:rsidRPr="006645DC" w:rsidRDefault="0064018D" w:rsidP="00546086">
            <w:pPr>
              <w:autoSpaceDE w:val="0"/>
              <w:autoSpaceDN w:val="0"/>
              <w:adjustRightInd w:val="0"/>
              <w:spacing w:before="0" w:after="0"/>
              <w:jc w:val="center"/>
              <w:rPr>
                <w:rFonts w:cs="Calibri"/>
                <w:lang w:val="en-GB"/>
              </w:rPr>
            </w:pPr>
            <w:r w:rsidRPr="006645DC">
              <w:rPr>
                <w:rFonts w:cs="Calibri"/>
                <w:b/>
                <w:lang w:val="en-GB"/>
              </w:rPr>
              <w:t>Low</w:t>
            </w:r>
            <w:r w:rsidRPr="006645DC">
              <w:rPr>
                <w:rFonts w:cs="Calibri"/>
                <w:b/>
                <w:color w:val="000000"/>
                <w:lang w:val="en-GB"/>
              </w:rPr>
              <w:t>er education (%)</w:t>
            </w:r>
          </w:p>
        </w:tc>
        <w:tc>
          <w:tcPr>
            <w:tcW w:w="1350" w:type="dxa"/>
            <w:vAlign w:val="center"/>
          </w:tcPr>
          <w:p w14:paraId="730C9188" w14:textId="77777777" w:rsidR="0064018D" w:rsidRPr="006645DC" w:rsidRDefault="0064018D" w:rsidP="00546086">
            <w:pPr>
              <w:autoSpaceDE w:val="0"/>
              <w:autoSpaceDN w:val="0"/>
              <w:adjustRightInd w:val="0"/>
              <w:spacing w:before="0" w:after="0"/>
              <w:jc w:val="center"/>
              <w:rPr>
                <w:rFonts w:cs="Calibri"/>
                <w:lang w:val="en-GB"/>
              </w:rPr>
            </w:pPr>
            <w:r w:rsidRPr="006645DC">
              <w:rPr>
                <w:rFonts w:cs="Calibri"/>
                <w:b/>
                <w:lang w:val="en-GB"/>
              </w:rPr>
              <w:t>Secondary education</w:t>
            </w:r>
            <w:r w:rsidRPr="006645DC">
              <w:rPr>
                <w:rFonts w:cs="Calibri"/>
                <w:b/>
                <w:color w:val="000000"/>
                <w:lang w:val="en-GB"/>
              </w:rPr>
              <w:t xml:space="preserve"> (%)</w:t>
            </w:r>
          </w:p>
        </w:tc>
        <w:tc>
          <w:tcPr>
            <w:tcW w:w="1469" w:type="dxa"/>
            <w:vAlign w:val="center"/>
          </w:tcPr>
          <w:p w14:paraId="4437F32F" w14:textId="77777777" w:rsidR="0064018D" w:rsidRPr="006645DC" w:rsidRDefault="0064018D" w:rsidP="00546086">
            <w:pPr>
              <w:autoSpaceDE w:val="0"/>
              <w:autoSpaceDN w:val="0"/>
              <w:adjustRightInd w:val="0"/>
              <w:spacing w:before="0" w:after="0"/>
              <w:jc w:val="center"/>
              <w:rPr>
                <w:rFonts w:cs="Calibri"/>
                <w:lang w:val="en-GB"/>
              </w:rPr>
            </w:pPr>
            <w:r w:rsidRPr="006645DC">
              <w:rPr>
                <w:rFonts w:cs="Calibri"/>
                <w:b/>
                <w:lang w:val="en-GB"/>
              </w:rPr>
              <w:t>University (%)</w:t>
            </w:r>
          </w:p>
        </w:tc>
      </w:tr>
      <w:tr w:rsidR="0064018D" w:rsidRPr="006645DC" w14:paraId="33B70A81" w14:textId="77777777" w:rsidTr="008314FB">
        <w:trPr>
          <w:trHeight w:val="111"/>
          <w:jc w:val="center"/>
        </w:trPr>
        <w:tc>
          <w:tcPr>
            <w:tcW w:w="2311" w:type="dxa"/>
            <w:vAlign w:val="center"/>
          </w:tcPr>
          <w:p w14:paraId="125CAD40" w14:textId="77777777" w:rsidR="0064018D" w:rsidRPr="006645DC" w:rsidRDefault="0064018D" w:rsidP="00546086">
            <w:pPr>
              <w:autoSpaceDE w:val="0"/>
              <w:autoSpaceDN w:val="0"/>
              <w:adjustRightInd w:val="0"/>
              <w:spacing w:before="0" w:after="0"/>
              <w:jc w:val="left"/>
              <w:rPr>
                <w:rFonts w:cs="Calibri"/>
                <w:lang w:val="en-GB"/>
              </w:rPr>
            </w:pPr>
            <w:r w:rsidRPr="006645DC">
              <w:rPr>
                <w:rFonts w:cs="Calibri"/>
                <w:b/>
                <w:lang w:val="en-GB"/>
              </w:rPr>
              <w:t>Romania (national level)</w:t>
            </w:r>
          </w:p>
        </w:tc>
        <w:tc>
          <w:tcPr>
            <w:tcW w:w="992" w:type="dxa"/>
            <w:vAlign w:val="center"/>
          </w:tcPr>
          <w:p w14:paraId="086F2454"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998" w:name="_Toc376199212"/>
            <w:r w:rsidRPr="006645DC">
              <w:rPr>
                <w:rFonts w:cs="Calibri"/>
                <w:color w:val="000000"/>
                <w:lang w:val="en-GB"/>
              </w:rPr>
              <w:t>100.0</w:t>
            </w:r>
            <w:bookmarkEnd w:id="998"/>
          </w:p>
        </w:tc>
        <w:tc>
          <w:tcPr>
            <w:tcW w:w="1677" w:type="dxa"/>
            <w:vAlign w:val="center"/>
          </w:tcPr>
          <w:p w14:paraId="2AD16736"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999" w:name="_Toc376199213"/>
            <w:r w:rsidRPr="006645DC">
              <w:rPr>
                <w:rFonts w:cs="Calibri"/>
                <w:color w:val="000000"/>
                <w:lang w:val="en-GB"/>
              </w:rPr>
              <w:t>70</w:t>
            </w:r>
            <w:bookmarkEnd w:id="999"/>
          </w:p>
        </w:tc>
        <w:tc>
          <w:tcPr>
            <w:tcW w:w="1350" w:type="dxa"/>
            <w:vAlign w:val="center"/>
          </w:tcPr>
          <w:p w14:paraId="3E713B0A"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00" w:name="_Toc376199214"/>
            <w:r w:rsidRPr="006645DC">
              <w:rPr>
                <w:rFonts w:cs="Calibri"/>
                <w:color w:val="000000"/>
                <w:lang w:val="en-GB"/>
              </w:rPr>
              <w:t>22</w:t>
            </w:r>
            <w:bookmarkEnd w:id="1000"/>
          </w:p>
        </w:tc>
        <w:tc>
          <w:tcPr>
            <w:tcW w:w="1469" w:type="dxa"/>
            <w:vAlign w:val="center"/>
          </w:tcPr>
          <w:p w14:paraId="18F2BFDC"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01" w:name="_Toc376199215"/>
            <w:r w:rsidRPr="006645DC">
              <w:rPr>
                <w:rFonts w:cs="Calibri"/>
                <w:color w:val="000000"/>
                <w:lang w:val="en-GB"/>
              </w:rPr>
              <w:t>7.5</w:t>
            </w:r>
            <w:bookmarkEnd w:id="1001"/>
          </w:p>
        </w:tc>
      </w:tr>
      <w:tr w:rsidR="0064018D" w:rsidRPr="006645DC" w14:paraId="372D482D" w14:textId="77777777" w:rsidTr="008314FB">
        <w:trPr>
          <w:trHeight w:val="120"/>
          <w:jc w:val="center"/>
        </w:trPr>
        <w:tc>
          <w:tcPr>
            <w:tcW w:w="2311" w:type="dxa"/>
            <w:vAlign w:val="center"/>
          </w:tcPr>
          <w:p w14:paraId="101AB774" w14:textId="77777777" w:rsidR="0064018D" w:rsidRPr="006645DC" w:rsidRDefault="0064018D" w:rsidP="008314FB">
            <w:pPr>
              <w:keepNext/>
              <w:keepLines/>
              <w:autoSpaceDE w:val="0"/>
              <w:autoSpaceDN w:val="0"/>
              <w:adjustRightInd w:val="0"/>
              <w:spacing w:before="0" w:after="0"/>
              <w:jc w:val="left"/>
              <w:outlineLvl w:val="1"/>
              <w:rPr>
                <w:rFonts w:cs="Calibri"/>
                <w:lang w:val="en-GB"/>
              </w:rPr>
            </w:pPr>
            <w:bookmarkStart w:id="1002" w:name="_Toc376199216"/>
            <w:r w:rsidRPr="006645DC">
              <w:rPr>
                <w:rFonts w:cs="Calibri"/>
                <w:b/>
                <w:bCs/>
                <w:color w:val="000000"/>
                <w:lang w:val="en-GB"/>
              </w:rPr>
              <w:t>Constanta</w:t>
            </w:r>
            <w:bookmarkEnd w:id="1002"/>
          </w:p>
        </w:tc>
        <w:tc>
          <w:tcPr>
            <w:tcW w:w="992" w:type="dxa"/>
            <w:vAlign w:val="center"/>
          </w:tcPr>
          <w:p w14:paraId="6BFCA6A5"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03" w:name="_Toc376199217"/>
            <w:r w:rsidRPr="006645DC">
              <w:rPr>
                <w:rFonts w:cs="Calibri"/>
                <w:color w:val="000000"/>
                <w:lang w:val="en-GB"/>
              </w:rPr>
              <w:t>100.0</w:t>
            </w:r>
            <w:bookmarkEnd w:id="1003"/>
          </w:p>
        </w:tc>
        <w:tc>
          <w:tcPr>
            <w:tcW w:w="1677" w:type="dxa"/>
            <w:vAlign w:val="center"/>
          </w:tcPr>
          <w:p w14:paraId="5691E90C"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04" w:name="_Toc376199218"/>
            <w:r w:rsidRPr="006645DC">
              <w:rPr>
                <w:rFonts w:cs="Calibri"/>
                <w:color w:val="000000"/>
                <w:lang w:val="en-GB"/>
              </w:rPr>
              <w:t>70</w:t>
            </w:r>
            <w:bookmarkEnd w:id="1004"/>
          </w:p>
        </w:tc>
        <w:tc>
          <w:tcPr>
            <w:tcW w:w="1350" w:type="dxa"/>
            <w:vAlign w:val="center"/>
          </w:tcPr>
          <w:p w14:paraId="36A65AC9"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05" w:name="_Toc376199219"/>
            <w:r w:rsidRPr="006645DC">
              <w:rPr>
                <w:rFonts w:cs="Calibri"/>
                <w:color w:val="000000"/>
                <w:lang w:val="en-GB"/>
              </w:rPr>
              <w:t>24.6</w:t>
            </w:r>
            <w:bookmarkEnd w:id="1005"/>
          </w:p>
        </w:tc>
        <w:tc>
          <w:tcPr>
            <w:tcW w:w="1469" w:type="dxa"/>
            <w:vAlign w:val="center"/>
          </w:tcPr>
          <w:p w14:paraId="26F59A4D"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06" w:name="_Toc376199220"/>
            <w:r w:rsidRPr="006645DC">
              <w:rPr>
                <w:rFonts w:cs="Calibri"/>
                <w:color w:val="000000"/>
                <w:lang w:val="en-GB"/>
              </w:rPr>
              <w:t>9.3</w:t>
            </w:r>
            <w:bookmarkEnd w:id="1006"/>
          </w:p>
        </w:tc>
      </w:tr>
      <w:tr w:rsidR="0064018D" w:rsidRPr="006645DC" w14:paraId="394BAD51" w14:textId="77777777" w:rsidTr="008314FB">
        <w:trPr>
          <w:trHeight w:val="120"/>
          <w:jc w:val="center"/>
        </w:trPr>
        <w:tc>
          <w:tcPr>
            <w:tcW w:w="2311" w:type="dxa"/>
            <w:vAlign w:val="center"/>
          </w:tcPr>
          <w:p w14:paraId="5F36B5C5" w14:textId="77777777" w:rsidR="0064018D" w:rsidRPr="006645DC" w:rsidRDefault="0064018D" w:rsidP="008314FB">
            <w:pPr>
              <w:keepNext/>
              <w:keepLines/>
              <w:autoSpaceDE w:val="0"/>
              <w:autoSpaceDN w:val="0"/>
              <w:adjustRightInd w:val="0"/>
              <w:spacing w:before="0" w:after="0"/>
              <w:jc w:val="left"/>
              <w:outlineLvl w:val="1"/>
              <w:rPr>
                <w:rFonts w:cs="Calibri"/>
                <w:lang w:val="en-GB"/>
              </w:rPr>
            </w:pPr>
            <w:bookmarkStart w:id="1007" w:name="_Toc376199221"/>
            <w:r w:rsidRPr="006645DC">
              <w:rPr>
                <w:rFonts w:cs="Calibri"/>
                <w:b/>
                <w:bCs/>
                <w:color w:val="000000"/>
                <w:lang w:val="en-GB"/>
              </w:rPr>
              <w:t>Calarasi</w:t>
            </w:r>
            <w:bookmarkEnd w:id="1007"/>
          </w:p>
        </w:tc>
        <w:tc>
          <w:tcPr>
            <w:tcW w:w="992" w:type="dxa"/>
            <w:vAlign w:val="center"/>
          </w:tcPr>
          <w:p w14:paraId="50E83516"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08" w:name="_Toc376199222"/>
            <w:r w:rsidRPr="006645DC">
              <w:rPr>
                <w:rFonts w:cs="Calibri"/>
                <w:color w:val="000000"/>
                <w:lang w:val="en-GB"/>
              </w:rPr>
              <w:t>100.0</w:t>
            </w:r>
            <w:bookmarkEnd w:id="1008"/>
          </w:p>
        </w:tc>
        <w:tc>
          <w:tcPr>
            <w:tcW w:w="1677" w:type="dxa"/>
            <w:vAlign w:val="center"/>
          </w:tcPr>
          <w:p w14:paraId="774963C2"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09" w:name="_Toc376199223"/>
            <w:r w:rsidRPr="006645DC">
              <w:rPr>
                <w:rFonts w:cs="Calibri"/>
                <w:color w:val="000000"/>
                <w:lang w:val="en-GB"/>
              </w:rPr>
              <w:t>66</w:t>
            </w:r>
            <w:bookmarkEnd w:id="1009"/>
          </w:p>
        </w:tc>
        <w:tc>
          <w:tcPr>
            <w:tcW w:w="1350" w:type="dxa"/>
            <w:vAlign w:val="center"/>
          </w:tcPr>
          <w:p w14:paraId="5584F05A"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10" w:name="_Toc376199224"/>
            <w:r w:rsidRPr="006645DC">
              <w:rPr>
                <w:rFonts w:cs="Calibri"/>
                <w:color w:val="000000"/>
                <w:lang w:val="en-GB"/>
              </w:rPr>
              <w:t>17.8</w:t>
            </w:r>
            <w:bookmarkEnd w:id="1010"/>
          </w:p>
        </w:tc>
        <w:tc>
          <w:tcPr>
            <w:tcW w:w="1469" w:type="dxa"/>
            <w:vAlign w:val="center"/>
          </w:tcPr>
          <w:p w14:paraId="680595AB"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11" w:name="_Toc376199225"/>
            <w:r w:rsidRPr="006645DC">
              <w:rPr>
                <w:rFonts w:cs="Calibri"/>
                <w:color w:val="000000"/>
                <w:lang w:val="en-GB"/>
              </w:rPr>
              <w:t>2.8</w:t>
            </w:r>
            <w:bookmarkEnd w:id="1011"/>
          </w:p>
        </w:tc>
      </w:tr>
      <w:tr w:rsidR="0064018D" w:rsidRPr="006645DC" w14:paraId="06C6F01D" w14:textId="77777777" w:rsidTr="008314FB">
        <w:trPr>
          <w:trHeight w:val="120"/>
          <w:jc w:val="center"/>
        </w:trPr>
        <w:tc>
          <w:tcPr>
            <w:tcW w:w="2311" w:type="dxa"/>
            <w:vAlign w:val="center"/>
          </w:tcPr>
          <w:p w14:paraId="2744E15B" w14:textId="77777777" w:rsidR="0064018D" w:rsidRPr="006645DC" w:rsidRDefault="0064018D" w:rsidP="008314FB">
            <w:pPr>
              <w:keepNext/>
              <w:keepLines/>
              <w:autoSpaceDE w:val="0"/>
              <w:autoSpaceDN w:val="0"/>
              <w:adjustRightInd w:val="0"/>
              <w:spacing w:before="0" w:after="0"/>
              <w:jc w:val="left"/>
              <w:outlineLvl w:val="1"/>
              <w:rPr>
                <w:rFonts w:cs="Calibri"/>
                <w:lang w:val="en-GB"/>
              </w:rPr>
            </w:pPr>
            <w:bookmarkStart w:id="1012" w:name="_Toc376199226"/>
            <w:r w:rsidRPr="006645DC">
              <w:rPr>
                <w:rFonts w:cs="Calibri"/>
                <w:b/>
                <w:bCs/>
                <w:color w:val="000000"/>
                <w:lang w:val="en-GB"/>
              </w:rPr>
              <w:t>Giurgiu</w:t>
            </w:r>
            <w:bookmarkEnd w:id="1012"/>
          </w:p>
        </w:tc>
        <w:tc>
          <w:tcPr>
            <w:tcW w:w="992" w:type="dxa"/>
            <w:vAlign w:val="center"/>
          </w:tcPr>
          <w:p w14:paraId="18862D3D"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13" w:name="_Toc376199227"/>
            <w:r w:rsidRPr="006645DC">
              <w:rPr>
                <w:rFonts w:cs="Calibri"/>
                <w:color w:val="000000"/>
                <w:lang w:val="en-GB"/>
              </w:rPr>
              <w:t>100.0</w:t>
            </w:r>
            <w:bookmarkEnd w:id="1013"/>
          </w:p>
        </w:tc>
        <w:tc>
          <w:tcPr>
            <w:tcW w:w="1677" w:type="dxa"/>
            <w:vAlign w:val="center"/>
          </w:tcPr>
          <w:p w14:paraId="6E823415"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14" w:name="_Toc376199228"/>
            <w:r w:rsidRPr="006645DC">
              <w:rPr>
                <w:rFonts w:cs="Calibri"/>
                <w:color w:val="000000"/>
                <w:lang w:val="en-GB"/>
              </w:rPr>
              <w:t>79.4</w:t>
            </w:r>
            <w:bookmarkEnd w:id="1014"/>
          </w:p>
        </w:tc>
        <w:tc>
          <w:tcPr>
            <w:tcW w:w="1350" w:type="dxa"/>
            <w:vAlign w:val="center"/>
          </w:tcPr>
          <w:p w14:paraId="1414E8F1"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15" w:name="_Toc376199229"/>
            <w:r w:rsidRPr="006645DC">
              <w:rPr>
                <w:rFonts w:cs="Calibri"/>
                <w:color w:val="000000"/>
                <w:lang w:val="en-GB"/>
              </w:rPr>
              <w:t>25.7</w:t>
            </w:r>
            <w:bookmarkEnd w:id="1015"/>
          </w:p>
        </w:tc>
        <w:tc>
          <w:tcPr>
            <w:tcW w:w="1469" w:type="dxa"/>
            <w:vAlign w:val="center"/>
          </w:tcPr>
          <w:p w14:paraId="01391AD4"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16" w:name="_Toc376199230"/>
            <w:r w:rsidRPr="006645DC">
              <w:rPr>
                <w:rFonts w:cs="Calibri"/>
                <w:color w:val="000000"/>
                <w:lang w:val="en-GB"/>
              </w:rPr>
              <w:t>3.8</w:t>
            </w:r>
            <w:bookmarkEnd w:id="1016"/>
          </w:p>
        </w:tc>
      </w:tr>
      <w:tr w:rsidR="0064018D" w:rsidRPr="006645DC" w14:paraId="6EE4F238" w14:textId="77777777" w:rsidTr="008314FB">
        <w:trPr>
          <w:trHeight w:val="120"/>
          <w:jc w:val="center"/>
        </w:trPr>
        <w:tc>
          <w:tcPr>
            <w:tcW w:w="2311" w:type="dxa"/>
            <w:vAlign w:val="center"/>
          </w:tcPr>
          <w:p w14:paraId="18F64BC0" w14:textId="77777777" w:rsidR="0064018D" w:rsidRPr="006645DC" w:rsidRDefault="0064018D" w:rsidP="008314FB">
            <w:pPr>
              <w:keepNext/>
              <w:keepLines/>
              <w:autoSpaceDE w:val="0"/>
              <w:autoSpaceDN w:val="0"/>
              <w:adjustRightInd w:val="0"/>
              <w:spacing w:before="0" w:after="0"/>
              <w:jc w:val="left"/>
              <w:outlineLvl w:val="1"/>
              <w:rPr>
                <w:rFonts w:cs="Calibri"/>
                <w:lang w:val="en-GB"/>
              </w:rPr>
            </w:pPr>
            <w:bookmarkStart w:id="1017" w:name="_Toc376199231"/>
            <w:r w:rsidRPr="006645DC">
              <w:rPr>
                <w:rFonts w:cs="Calibri"/>
                <w:b/>
                <w:bCs/>
                <w:color w:val="000000"/>
                <w:lang w:val="en-GB"/>
              </w:rPr>
              <w:t>Teleorman</w:t>
            </w:r>
            <w:bookmarkEnd w:id="1017"/>
          </w:p>
        </w:tc>
        <w:tc>
          <w:tcPr>
            <w:tcW w:w="992" w:type="dxa"/>
            <w:vAlign w:val="center"/>
          </w:tcPr>
          <w:p w14:paraId="3BC4C11B"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18" w:name="_Toc376199232"/>
            <w:r w:rsidRPr="006645DC">
              <w:rPr>
                <w:rFonts w:cs="Calibri"/>
                <w:color w:val="000000"/>
                <w:lang w:val="en-GB"/>
              </w:rPr>
              <w:t>100.0</w:t>
            </w:r>
            <w:bookmarkEnd w:id="1018"/>
          </w:p>
        </w:tc>
        <w:tc>
          <w:tcPr>
            <w:tcW w:w="1677" w:type="dxa"/>
            <w:vAlign w:val="center"/>
          </w:tcPr>
          <w:p w14:paraId="0630FB6C"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19" w:name="_Toc376199233"/>
            <w:r w:rsidRPr="006645DC">
              <w:rPr>
                <w:rFonts w:cs="Calibri"/>
                <w:color w:val="000000"/>
                <w:lang w:val="en-GB"/>
              </w:rPr>
              <w:t>80.8</w:t>
            </w:r>
            <w:bookmarkEnd w:id="1019"/>
          </w:p>
        </w:tc>
        <w:tc>
          <w:tcPr>
            <w:tcW w:w="1350" w:type="dxa"/>
            <w:vAlign w:val="center"/>
          </w:tcPr>
          <w:p w14:paraId="202A087F"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20" w:name="_Toc376199234"/>
            <w:r w:rsidRPr="006645DC">
              <w:rPr>
                <w:rFonts w:cs="Calibri"/>
                <w:color w:val="000000"/>
                <w:lang w:val="en-GB"/>
              </w:rPr>
              <w:t>16.4</w:t>
            </w:r>
            <w:bookmarkEnd w:id="1020"/>
          </w:p>
        </w:tc>
        <w:tc>
          <w:tcPr>
            <w:tcW w:w="1469" w:type="dxa"/>
            <w:vAlign w:val="center"/>
          </w:tcPr>
          <w:p w14:paraId="0794B4B3"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21" w:name="_Toc376199235"/>
            <w:r w:rsidRPr="006645DC">
              <w:rPr>
                <w:rFonts w:cs="Calibri"/>
                <w:color w:val="000000"/>
                <w:lang w:val="en-GB"/>
              </w:rPr>
              <w:t>2.8</w:t>
            </w:r>
            <w:bookmarkEnd w:id="1021"/>
          </w:p>
        </w:tc>
      </w:tr>
      <w:tr w:rsidR="0064018D" w:rsidRPr="006645DC" w14:paraId="2BB8C5FE" w14:textId="77777777" w:rsidTr="008314FB">
        <w:trPr>
          <w:trHeight w:val="120"/>
          <w:jc w:val="center"/>
        </w:trPr>
        <w:tc>
          <w:tcPr>
            <w:tcW w:w="2311" w:type="dxa"/>
            <w:vAlign w:val="center"/>
          </w:tcPr>
          <w:p w14:paraId="602D3B37" w14:textId="77777777" w:rsidR="0064018D" w:rsidRPr="006645DC" w:rsidRDefault="0064018D" w:rsidP="008314FB">
            <w:pPr>
              <w:keepNext/>
              <w:keepLines/>
              <w:autoSpaceDE w:val="0"/>
              <w:autoSpaceDN w:val="0"/>
              <w:adjustRightInd w:val="0"/>
              <w:spacing w:before="0" w:after="0"/>
              <w:jc w:val="left"/>
              <w:outlineLvl w:val="1"/>
              <w:rPr>
                <w:rFonts w:cs="Calibri"/>
                <w:lang w:val="en-GB"/>
              </w:rPr>
            </w:pPr>
            <w:bookmarkStart w:id="1022" w:name="_Toc376199236"/>
            <w:r w:rsidRPr="006645DC">
              <w:rPr>
                <w:rFonts w:cs="Calibri"/>
                <w:b/>
                <w:bCs/>
                <w:color w:val="000000"/>
                <w:lang w:val="en-GB"/>
              </w:rPr>
              <w:t>Dolj</w:t>
            </w:r>
            <w:bookmarkEnd w:id="1022"/>
          </w:p>
        </w:tc>
        <w:tc>
          <w:tcPr>
            <w:tcW w:w="992" w:type="dxa"/>
            <w:vAlign w:val="center"/>
          </w:tcPr>
          <w:p w14:paraId="424583F9"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23" w:name="_Toc376199237"/>
            <w:r w:rsidRPr="006645DC">
              <w:rPr>
                <w:rFonts w:cs="Calibri"/>
                <w:color w:val="000000"/>
                <w:lang w:val="en-GB"/>
              </w:rPr>
              <w:t>100.0</w:t>
            </w:r>
            <w:bookmarkEnd w:id="1023"/>
          </w:p>
        </w:tc>
        <w:tc>
          <w:tcPr>
            <w:tcW w:w="1677" w:type="dxa"/>
            <w:vAlign w:val="center"/>
          </w:tcPr>
          <w:p w14:paraId="7FE4BCDF"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24" w:name="_Toc376199238"/>
            <w:r w:rsidRPr="006645DC">
              <w:rPr>
                <w:rFonts w:cs="Calibri"/>
                <w:color w:val="000000"/>
                <w:lang w:val="en-GB"/>
              </w:rPr>
              <w:t>78.4</w:t>
            </w:r>
            <w:bookmarkEnd w:id="1024"/>
          </w:p>
        </w:tc>
        <w:tc>
          <w:tcPr>
            <w:tcW w:w="1350" w:type="dxa"/>
            <w:vAlign w:val="center"/>
          </w:tcPr>
          <w:p w14:paraId="052EB9EA"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25" w:name="_Toc376199239"/>
            <w:r w:rsidRPr="006645DC">
              <w:rPr>
                <w:rFonts w:cs="Calibri"/>
                <w:color w:val="000000"/>
                <w:lang w:val="en-GB"/>
              </w:rPr>
              <w:t>15.4</w:t>
            </w:r>
            <w:bookmarkEnd w:id="1025"/>
          </w:p>
        </w:tc>
        <w:tc>
          <w:tcPr>
            <w:tcW w:w="1469" w:type="dxa"/>
            <w:vAlign w:val="center"/>
          </w:tcPr>
          <w:p w14:paraId="6C9F0612"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26" w:name="_Toc376199240"/>
            <w:r w:rsidRPr="006645DC">
              <w:rPr>
                <w:rFonts w:cs="Calibri"/>
                <w:color w:val="000000"/>
                <w:lang w:val="en-GB"/>
              </w:rPr>
              <w:t>6.2</w:t>
            </w:r>
            <w:bookmarkEnd w:id="1026"/>
          </w:p>
        </w:tc>
      </w:tr>
      <w:tr w:rsidR="0064018D" w:rsidRPr="006645DC" w14:paraId="3F0DE979" w14:textId="77777777" w:rsidTr="008314FB">
        <w:trPr>
          <w:trHeight w:val="120"/>
          <w:jc w:val="center"/>
        </w:trPr>
        <w:tc>
          <w:tcPr>
            <w:tcW w:w="2311" w:type="dxa"/>
            <w:vAlign w:val="center"/>
          </w:tcPr>
          <w:p w14:paraId="6A907903" w14:textId="77777777" w:rsidR="0064018D" w:rsidRPr="006645DC" w:rsidRDefault="0064018D" w:rsidP="008314FB">
            <w:pPr>
              <w:keepNext/>
              <w:keepLines/>
              <w:autoSpaceDE w:val="0"/>
              <w:autoSpaceDN w:val="0"/>
              <w:adjustRightInd w:val="0"/>
              <w:spacing w:before="0" w:after="0"/>
              <w:jc w:val="left"/>
              <w:outlineLvl w:val="1"/>
              <w:rPr>
                <w:rFonts w:cs="Calibri"/>
                <w:lang w:val="en-GB"/>
              </w:rPr>
            </w:pPr>
            <w:bookmarkStart w:id="1027" w:name="_Toc376199241"/>
            <w:r w:rsidRPr="006645DC">
              <w:rPr>
                <w:rFonts w:cs="Calibri"/>
                <w:b/>
                <w:bCs/>
                <w:color w:val="000000"/>
                <w:lang w:val="en-GB"/>
              </w:rPr>
              <w:t>Mehedinti</w:t>
            </w:r>
            <w:bookmarkEnd w:id="1027"/>
          </w:p>
        </w:tc>
        <w:tc>
          <w:tcPr>
            <w:tcW w:w="992" w:type="dxa"/>
            <w:vAlign w:val="center"/>
          </w:tcPr>
          <w:p w14:paraId="437F5CD4"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28" w:name="_Toc376199242"/>
            <w:r w:rsidRPr="006645DC">
              <w:rPr>
                <w:rFonts w:cs="Calibri"/>
                <w:color w:val="000000"/>
                <w:lang w:val="en-GB"/>
              </w:rPr>
              <w:t>100.0</w:t>
            </w:r>
            <w:bookmarkEnd w:id="1028"/>
          </w:p>
        </w:tc>
        <w:tc>
          <w:tcPr>
            <w:tcW w:w="1677" w:type="dxa"/>
            <w:vAlign w:val="center"/>
          </w:tcPr>
          <w:p w14:paraId="08190AB5"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29" w:name="_Toc376199243"/>
            <w:r w:rsidRPr="006645DC">
              <w:rPr>
                <w:rFonts w:cs="Calibri"/>
                <w:color w:val="000000"/>
                <w:lang w:val="en-GB"/>
              </w:rPr>
              <w:t>73</w:t>
            </w:r>
            <w:bookmarkEnd w:id="1029"/>
          </w:p>
        </w:tc>
        <w:tc>
          <w:tcPr>
            <w:tcW w:w="1350" w:type="dxa"/>
            <w:vAlign w:val="center"/>
          </w:tcPr>
          <w:p w14:paraId="43BC857D"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30" w:name="_Toc376199244"/>
            <w:r w:rsidRPr="006645DC">
              <w:rPr>
                <w:rFonts w:cs="Calibri"/>
                <w:color w:val="000000"/>
                <w:lang w:val="en-GB"/>
              </w:rPr>
              <w:t>21.9</w:t>
            </w:r>
            <w:bookmarkEnd w:id="1030"/>
          </w:p>
        </w:tc>
        <w:tc>
          <w:tcPr>
            <w:tcW w:w="1469" w:type="dxa"/>
            <w:vAlign w:val="center"/>
          </w:tcPr>
          <w:p w14:paraId="3259EE0B"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31" w:name="_Toc376199245"/>
            <w:r w:rsidRPr="006645DC">
              <w:rPr>
                <w:rFonts w:cs="Calibri"/>
                <w:color w:val="000000"/>
                <w:lang w:val="en-GB"/>
              </w:rPr>
              <w:t>5</w:t>
            </w:r>
            <w:bookmarkEnd w:id="1031"/>
          </w:p>
        </w:tc>
      </w:tr>
      <w:tr w:rsidR="0064018D" w:rsidRPr="006645DC" w14:paraId="17BC1C2A" w14:textId="77777777" w:rsidTr="008314FB">
        <w:trPr>
          <w:trHeight w:val="120"/>
          <w:jc w:val="center"/>
        </w:trPr>
        <w:tc>
          <w:tcPr>
            <w:tcW w:w="2311" w:type="dxa"/>
            <w:vAlign w:val="center"/>
          </w:tcPr>
          <w:p w14:paraId="13C299C1" w14:textId="77777777" w:rsidR="0064018D" w:rsidRPr="006645DC" w:rsidRDefault="0064018D" w:rsidP="008314FB">
            <w:pPr>
              <w:keepNext/>
              <w:keepLines/>
              <w:autoSpaceDE w:val="0"/>
              <w:autoSpaceDN w:val="0"/>
              <w:adjustRightInd w:val="0"/>
              <w:spacing w:before="0" w:after="0"/>
              <w:jc w:val="left"/>
              <w:outlineLvl w:val="1"/>
              <w:rPr>
                <w:rFonts w:cs="Calibri"/>
                <w:lang w:val="en-GB"/>
              </w:rPr>
            </w:pPr>
            <w:bookmarkStart w:id="1032" w:name="_Toc376199246"/>
            <w:r w:rsidRPr="006645DC">
              <w:rPr>
                <w:rFonts w:cs="Calibri"/>
                <w:b/>
                <w:bCs/>
                <w:color w:val="000000"/>
                <w:lang w:val="en-GB"/>
              </w:rPr>
              <w:t>Olt</w:t>
            </w:r>
            <w:bookmarkEnd w:id="1032"/>
          </w:p>
        </w:tc>
        <w:tc>
          <w:tcPr>
            <w:tcW w:w="992" w:type="dxa"/>
            <w:vAlign w:val="center"/>
          </w:tcPr>
          <w:p w14:paraId="2B914FF0"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33" w:name="_Toc376199247"/>
            <w:r w:rsidRPr="006645DC">
              <w:rPr>
                <w:rFonts w:cs="Calibri"/>
                <w:color w:val="000000"/>
                <w:lang w:val="en-GB"/>
              </w:rPr>
              <w:t>100.0</w:t>
            </w:r>
            <w:bookmarkEnd w:id="1033"/>
          </w:p>
        </w:tc>
        <w:tc>
          <w:tcPr>
            <w:tcW w:w="1677" w:type="dxa"/>
            <w:vAlign w:val="center"/>
          </w:tcPr>
          <w:p w14:paraId="00B48754"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34" w:name="_Toc376199248"/>
            <w:r w:rsidRPr="006645DC">
              <w:rPr>
                <w:rFonts w:cs="Calibri"/>
                <w:color w:val="000000"/>
                <w:lang w:val="en-GB"/>
              </w:rPr>
              <w:t>68.3</w:t>
            </w:r>
            <w:bookmarkEnd w:id="1034"/>
          </w:p>
        </w:tc>
        <w:tc>
          <w:tcPr>
            <w:tcW w:w="1350" w:type="dxa"/>
            <w:vAlign w:val="center"/>
          </w:tcPr>
          <w:p w14:paraId="28B84C87" w14:textId="77777777" w:rsidR="0064018D" w:rsidRPr="006645DC" w:rsidRDefault="001A3467" w:rsidP="008314FB">
            <w:pPr>
              <w:keepNext/>
              <w:keepLines/>
              <w:autoSpaceDE w:val="0"/>
              <w:autoSpaceDN w:val="0"/>
              <w:adjustRightInd w:val="0"/>
              <w:spacing w:before="0" w:after="0"/>
              <w:jc w:val="right"/>
              <w:outlineLvl w:val="1"/>
              <w:rPr>
                <w:rFonts w:cs="Calibri"/>
                <w:color w:val="000000"/>
                <w:lang w:val="en-GB"/>
              </w:rPr>
            </w:pPr>
            <w:bookmarkStart w:id="1035" w:name="_Toc376199249"/>
            <w:r w:rsidRPr="006645DC">
              <w:rPr>
                <w:rFonts w:cs="Calibri"/>
                <w:color w:val="000000"/>
                <w:lang w:val="en-GB"/>
              </w:rPr>
              <w:t>26.7</w:t>
            </w:r>
            <w:bookmarkEnd w:id="1035"/>
          </w:p>
        </w:tc>
        <w:tc>
          <w:tcPr>
            <w:tcW w:w="1469" w:type="dxa"/>
            <w:vAlign w:val="center"/>
          </w:tcPr>
          <w:p w14:paraId="415C948F" w14:textId="77777777" w:rsidR="0064018D" w:rsidRPr="006645DC" w:rsidRDefault="0064018D" w:rsidP="008314FB">
            <w:pPr>
              <w:keepNext/>
              <w:keepLines/>
              <w:autoSpaceDE w:val="0"/>
              <w:autoSpaceDN w:val="0"/>
              <w:adjustRightInd w:val="0"/>
              <w:spacing w:before="0" w:after="0"/>
              <w:jc w:val="right"/>
              <w:outlineLvl w:val="1"/>
              <w:rPr>
                <w:rFonts w:cs="Calibri"/>
                <w:color w:val="000000"/>
                <w:lang w:val="en-GB"/>
              </w:rPr>
            </w:pPr>
            <w:bookmarkStart w:id="1036" w:name="_Toc376199250"/>
            <w:r w:rsidRPr="006645DC">
              <w:rPr>
                <w:rFonts w:cs="Calibri"/>
                <w:color w:val="000000"/>
                <w:lang w:val="en-GB"/>
              </w:rPr>
              <w:t>5</w:t>
            </w:r>
            <w:bookmarkEnd w:id="1036"/>
          </w:p>
        </w:tc>
      </w:tr>
    </w:tbl>
    <w:p w14:paraId="269129C3" w14:textId="77777777" w:rsidR="0064018D" w:rsidRPr="006645DC" w:rsidRDefault="0064018D" w:rsidP="0064018D">
      <w:pPr>
        <w:pStyle w:val="Caption"/>
        <w:rPr>
          <w:color w:val="000000"/>
          <w:lang w:val="en-GB"/>
        </w:rPr>
      </w:pPr>
      <w:bookmarkStart w:id="1037" w:name="_Toc391150125"/>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28</w:t>
      </w:r>
      <w:r w:rsidR="005979EB" w:rsidRPr="006645DC">
        <w:rPr>
          <w:lang w:val="en-GB"/>
        </w:rPr>
        <w:fldChar w:fldCharType="end"/>
      </w:r>
      <w:r w:rsidRPr="006645DC">
        <w:rPr>
          <w:lang w:val="en-GB"/>
        </w:rPr>
        <w:t xml:space="preserve"> - Structure of unemployment by level of education,in the Romanian cross-border area, 2012</w:t>
      </w:r>
      <w:bookmarkEnd w:id="1037"/>
    </w:p>
    <w:p w14:paraId="29FBE1A7" w14:textId="77777777" w:rsidR="0064018D" w:rsidRPr="006645DC" w:rsidRDefault="0064018D" w:rsidP="0064018D">
      <w:pPr>
        <w:pStyle w:val="Heading4"/>
        <w:rPr>
          <w:color w:val="000000"/>
          <w:highlight w:val="yellow"/>
          <w:lang w:val="en-GB"/>
        </w:rPr>
      </w:pPr>
      <w:r w:rsidRPr="006645DC">
        <w:rPr>
          <w:color w:val="000000"/>
          <w:lang w:val="en-GB"/>
        </w:rPr>
        <w:t>s</w:t>
      </w:r>
      <w:r w:rsidRPr="006645DC">
        <w:rPr>
          <w:lang w:val="en-GB"/>
        </w:rPr>
        <w:t>ource:INS Romania</w:t>
      </w:r>
    </w:p>
    <w:p w14:paraId="3F0C85E8" w14:textId="77777777" w:rsidR="0064018D" w:rsidRPr="006645DC" w:rsidRDefault="0064018D" w:rsidP="0064018D">
      <w:pPr>
        <w:rPr>
          <w:lang w:val="en-GB"/>
        </w:rPr>
      </w:pPr>
      <w:r w:rsidRPr="006645DC">
        <w:rPr>
          <w:lang w:val="en-GB"/>
        </w:rPr>
        <w:t xml:space="preserve">In Bulgaria, at a national level, we can notice that people with lower education account for 77.1% of the total unemployed, people with secondary education for 22.9% and those with higher education for 5.9%. On regional level it should be noted that unemployment rate of people with higher education is more important than at the national level. For example, in Ruse district in September 2013, the </w:t>
      </w:r>
      <w:r w:rsidRPr="006645DC">
        <w:rPr>
          <w:lang w:val="en-GB"/>
        </w:rPr>
        <w:lastRenderedPageBreak/>
        <w:t>unemployment rates by type of education are as follows: lower education – 39%, secondary – 49% and higher – 12%. This is a worrying tendency taking into consideration that the district is among the best performing ones in the cross-border region. It also explains the brain drain, as people with higher education will actively seek employment opportunities outside the region. In 2012, the youth unemployment rate was 28.1%, which is 2% higher than the levels of 2011. The latest data for 2013 also show the following situation by level of education for unemployed young people:</w:t>
      </w:r>
    </w:p>
    <w:tbl>
      <w:tblPr>
        <w:tblW w:w="7540" w:type="dxa"/>
        <w:jc w:val="center"/>
        <w:tblLook w:val="04A0" w:firstRow="1" w:lastRow="0" w:firstColumn="1" w:lastColumn="0" w:noHBand="0" w:noVBand="1"/>
      </w:tblPr>
      <w:tblGrid>
        <w:gridCol w:w="1780"/>
        <w:gridCol w:w="1240"/>
        <w:gridCol w:w="1169"/>
        <w:gridCol w:w="1220"/>
        <w:gridCol w:w="1100"/>
        <w:gridCol w:w="1080"/>
      </w:tblGrid>
      <w:tr w:rsidR="0064018D" w:rsidRPr="006645DC" w14:paraId="214A7072" w14:textId="77777777" w:rsidTr="00546086">
        <w:trPr>
          <w:trHeight w:val="915"/>
          <w:jc w:val="center"/>
        </w:trPr>
        <w:tc>
          <w:tcPr>
            <w:tcW w:w="1780" w:type="dxa"/>
            <w:tcBorders>
              <w:top w:val="single" w:sz="8" w:space="0" w:color="auto"/>
              <w:left w:val="single" w:sz="8" w:space="0" w:color="auto"/>
              <w:bottom w:val="single" w:sz="8" w:space="0" w:color="auto"/>
              <w:right w:val="nil"/>
            </w:tcBorders>
            <w:shd w:val="clear" w:color="auto" w:fill="auto"/>
            <w:vAlign w:val="center"/>
            <w:hideMark/>
          </w:tcPr>
          <w:p w14:paraId="5E79DEA2"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District</w:t>
            </w:r>
          </w:p>
        </w:tc>
        <w:tc>
          <w:tcPr>
            <w:tcW w:w="1240"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045EE664"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Higher Education</w:t>
            </w:r>
          </w:p>
        </w:tc>
        <w:tc>
          <w:tcPr>
            <w:tcW w:w="1120" w:type="dxa"/>
            <w:tcBorders>
              <w:top w:val="single" w:sz="8" w:space="0" w:color="auto"/>
              <w:left w:val="nil"/>
              <w:bottom w:val="single" w:sz="8" w:space="0" w:color="auto"/>
              <w:right w:val="nil"/>
            </w:tcBorders>
            <w:shd w:val="clear" w:color="auto" w:fill="auto"/>
            <w:vAlign w:val="center"/>
            <w:hideMark/>
          </w:tcPr>
          <w:p w14:paraId="47B92F45"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Secondary</w:t>
            </w:r>
          </w:p>
        </w:tc>
        <w:tc>
          <w:tcPr>
            <w:tcW w:w="1220"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26573299"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incl. Vocational</w:t>
            </w:r>
          </w:p>
        </w:tc>
        <w:tc>
          <w:tcPr>
            <w:tcW w:w="1100" w:type="dxa"/>
            <w:tcBorders>
              <w:top w:val="single" w:sz="8" w:space="0" w:color="auto"/>
              <w:left w:val="nil"/>
              <w:bottom w:val="single" w:sz="8" w:space="0" w:color="auto"/>
              <w:right w:val="nil"/>
            </w:tcBorders>
            <w:shd w:val="clear" w:color="auto" w:fill="auto"/>
            <w:vAlign w:val="center"/>
            <w:hideMark/>
          </w:tcPr>
          <w:p w14:paraId="7A3CEAD3"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Primary</w:t>
            </w:r>
          </w:p>
        </w:tc>
        <w:tc>
          <w:tcPr>
            <w:tcW w:w="1080"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0E09994A"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Lower than primary</w:t>
            </w:r>
          </w:p>
        </w:tc>
      </w:tr>
      <w:tr w:rsidR="0064018D" w:rsidRPr="006645DC" w14:paraId="3AB3D076" w14:textId="77777777" w:rsidTr="008314FB">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3FC8809C" w14:textId="77777777" w:rsidR="0064018D" w:rsidRPr="006645DC" w:rsidRDefault="0064018D" w:rsidP="008314FB">
            <w:pPr>
              <w:spacing w:before="0" w:after="0"/>
              <w:rPr>
                <w:rFonts w:eastAsia="Times New Roman" w:cs="Calibri"/>
                <w:color w:val="000000"/>
                <w:lang w:val="en-GB"/>
              </w:rPr>
            </w:pPr>
            <w:r w:rsidRPr="006645DC">
              <w:rPr>
                <w:rFonts w:eastAsia="Times New Roman" w:cs="Calibri"/>
                <w:color w:val="000000"/>
                <w:lang w:val="en-GB"/>
              </w:rPr>
              <w:t>Vidin</w:t>
            </w:r>
          </w:p>
        </w:tc>
        <w:tc>
          <w:tcPr>
            <w:tcW w:w="1240" w:type="dxa"/>
            <w:tcBorders>
              <w:top w:val="nil"/>
              <w:left w:val="nil"/>
              <w:bottom w:val="single" w:sz="4" w:space="0" w:color="auto"/>
              <w:right w:val="single" w:sz="4" w:space="0" w:color="auto"/>
            </w:tcBorders>
            <w:shd w:val="clear" w:color="auto" w:fill="auto"/>
            <w:noWrap/>
            <w:vAlign w:val="center"/>
            <w:hideMark/>
          </w:tcPr>
          <w:p w14:paraId="09FAA72F" w14:textId="77777777" w:rsidR="0064018D" w:rsidRPr="006645DC" w:rsidRDefault="0064018D" w:rsidP="008314FB">
            <w:pPr>
              <w:keepNext/>
              <w:keepLines/>
              <w:spacing w:before="0" w:after="0"/>
              <w:jc w:val="right"/>
              <w:outlineLvl w:val="1"/>
              <w:rPr>
                <w:rFonts w:eastAsia="Times New Roman" w:cs="Calibri"/>
                <w:lang w:val="en-GB"/>
              </w:rPr>
            </w:pPr>
            <w:bookmarkStart w:id="1038" w:name="_Toc376199251"/>
            <w:r w:rsidRPr="006645DC">
              <w:rPr>
                <w:rFonts w:eastAsia="Times New Roman" w:cs="Calibri"/>
                <w:lang w:val="en-GB"/>
              </w:rPr>
              <w:t>1,2</w:t>
            </w:r>
            <w:bookmarkEnd w:id="1038"/>
          </w:p>
        </w:tc>
        <w:tc>
          <w:tcPr>
            <w:tcW w:w="1120" w:type="dxa"/>
            <w:tcBorders>
              <w:top w:val="nil"/>
              <w:left w:val="nil"/>
              <w:bottom w:val="single" w:sz="4" w:space="0" w:color="auto"/>
              <w:right w:val="single" w:sz="4" w:space="0" w:color="auto"/>
            </w:tcBorders>
            <w:shd w:val="clear" w:color="auto" w:fill="auto"/>
            <w:noWrap/>
            <w:vAlign w:val="center"/>
            <w:hideMark/>
          </w:tcPr>
          <w:p w14:paraId="6FEC66A0" w14:textId="77777777" w:rsidR="0064018D" w:rsidRPr="006645DC" w:rsidRDefault="0064018D" w:rsidP="008314FB">
            <w:pPr>
              <w:keepNext/>
              <w:keepLines/>
              <w:spacing w:before="0" w:after="0"/>
              <w:jc w:val="right"/>
              <w:outlineLvl w:val="1"/>
              <w:rPr>
                <w:rFonts w:eastAsia="Times New Roman" w:cs="Calibri"/>
                <w:lang w:val="en-GB"/>
              </w:rPr>
            </w:pPr>
            <w:bookmarkStart w:id="1039" w:name="_Toc376199252"/>
            <w:r w:rsidRPr="006645DC">
              <w:rPr>
                <w:rFonts w:eastAsia="Times New Roman" w:cs="Calibri"/>
                <w:lang w:val="en-GB"/>
              </w:rPr>
              <w:t>45,0</w:t>
            </w:r>
            <w:bookmarkEnd w:id="1039"/>
          </w:p>
        </w:tc>
        <w:tc>
          <w:tcPr>
            <w:tcW w:w="1220" w:type="dxa"/>
            <w:tcBorders>
              <w:top w:val="nil"/>
              <w:left w:val="nil"/>
              <w:bottom w:val="single" w:sz="4" w:space="0" w:color="auto"/>
              <w:right w:val="single" w:sz="4" w:space="0" w:color="auto"/>
            </w:tcBorders>
            <w:shd w:val="clear" w:color="auto" w:fill="auto"/>
            <w:noWrap/>
            <w:vAlign w:val="center"/>
            <w:hideMark/>
          </w:tcPr>
          <w:p w14:paraId="5B29FCF0" w14:textId="77777777" w:rsidR="0064018D" w:rsidRPr="006645DC" w:rsidRDefault="0064018D" w:rsidP="008314FB">
            <w:pPr>
              <w:keepNext/>
              <w:keepLines/>
              <w:spacing w:before="0" w:after="0"/>
              <w:jc w:val="right"/>
              <w:outlineLvl w:val="1"/>
              <w:rPr>
                <w:rFonts w:eastAsia="Times New Roman" w:cs="Calibri"/>
                <w:lang w:val="en-GB"/>
              </w:rPr>
            </w:pPr>
            <w:bookmarkStart w:id="1040" w:name="_Toc376199253"/>
            <w:r w:rsidRPr="006645DC">
              <w:rPr>
                <w:rFonts w:eastAsia="Times New Roman" w:cs="Calibri"/>
                <w:lang w:val="en-GB"/>
              </w:rPr>
              <w:t>25,7</w:t>
            </w:r>
            <w:bookmarkEnd w:id="1040"/>
          </w:p>
        </w:tc>
        <w:tc>
          <w:tcPr>
            <w:tcW w:w="1100" w:type="dxa"/>
            <w:tcBorders>
              <w:top w:val="nil"/>
              <w:left w:val="nil"/>
              <w:bottom w:val="single" w:sz="4" w:space="0" w:color="auto"/>
              <w:right w:val="single" w:sz="4" w:space="0" w:color="auto"/>
            </w:tcBorders>
            <w:shd w:val="clear" w:color="auto" w:fill="auto"/>
            <w:noWrap/>
            <w:vAlign w:val="center"/>
            <w:hideMark/>
          </w:tcPr>
          <w:p w14:paraId="74D963EB" w14:textId="77777777" w:rsidR="0064018D" w:rsidRPr="006645DC" w:rsidRDefault="0064018D" w:rsidP="008314FB">
            <w:pPr>
              <w:keepNext/>
              <w:keepLines/>
              <w:spacing w:before="0" w:after="0"/>
              <w:jc w:val="right"/>
              <w:outlineLvl w:val="1"/>
              <w:rPr>
                <w:rFonts w:eastAsia="Times New Roman" w:cs="Calibri"/>
                <w:lang w:val="en-GB"/>
              </w:rPr>
            </w:pPr>
            <w:bookmarkStart w:id="1041" w:name="_Toc376199254"/>
            <w:r w:rsidRPr="006645DC">
              <w:rPr>
                <w:rFonts w:eastAsia="Times New Roman" w:cs="Calibri"/>
                <w:lang w:val="en-GB"/>
              </w:rPr>
              <w:t>23,8</w:t>
            </w:r>
            <w:bookmarkEnd w:id="1041"/>
          </w:p>
        </w:tc>
        <w:tc>
          <w:tcPr>
            <w:tcW w:w="1080" w:type="dxa"/>
            <w:tcBorders>
              <w:top w:val="nil"/>
              <w:left w:val="nil"/>
              <w:bottom w:val="single" w:sz="4" w:space="0" w:color="auto"/>
              <w:right w:val="single" w:sz="8" w:space="0" w:color="auto"/>
            </w:tcBorders>
            <w:shd w:val="clear" w:color="auto" w:fill="auto"/>
            <w:noWrap/>
            <w:vAlign w:val="center"/>
            <w:hideMark/>
          </w:tcPr>
          <w:p w14:paraId="52DB1B51" w14:textId="77777777" w:rsidR="0064018D" w:rsidRPr="006645DC" w:rsidRDefault="0064018D" w:rsidP="008314FB">
            <w:pPr>
              <w:keepNext/>
              <w:keepLines/>
              <w:spacing w:before="0" w:after="0"/>
              <w:jc w:val="right"/>
              <w:outlineLvl w:val="1"/>
              <w:rPr>
                <w:rFonts w:eastAsia="Times New Roman" w:cs="Calibri"/>
                <w:lang w:val="en-GB"/>
              </w:rPr>
            </w:pPr>
            <w:bookmarkStart w:id="1042" w:name="_Toc376199255"/>
            <w:r w:rsidRPr="006645DC">
              <w:rPr>
                <w:rFonts w:eastAsia="Times New Roman" w:cs="Calibri"/>
                <w:lang w:val="en-GB"/>
              </w:rPr>
              <w:t>27,3</w:t>
            </w:r>
            <w:bookmarkEnd w:id="1042"/>
          </w:p>
        </w:tc>
      </w:tr>
      <w:tr w:rsidR="0064018D" w:rsidRPr="006645DC" w14:paraId="1826BEAE" w14:textId="77777777" w:rsidTr="008314FB">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1F511723" w14:textId="77777777" w:rsidR="0064018D" w:rsidRPr="006645DC" w:rsidRDefault="0064018D" w:rsidP="008314FB">
            <w:pPr>
              <w:keepNext/>
              <w:keepLines/>
              <w:spacing w:before="0" w:after="0"/>
              <w:outlineLvl w:val="1"/>
              <w:rPr>
                <w:rFonts w:eastAsia="Times New Roman" w:cs="Calibri"/>
                <w:color w:val="000000"/>
                <w:lang w:val="en-GB"/>
              </w:rPr>
            </w:pPr>
            <w:bookmarkStart w:id="1043" w:name="_Toc376199256"/>
            <w:r w:rsidRPr="006645DC">
              <w:rPr>
                <w:rFonts w:eastAsia="Times New Roman" w:cs="Calibri"/>
                <w:color w:val="000000"/>
                <w:lang w:val="en-GB"/>
              </w:rPr>
              <w:t>Vratsa</w:t>
            </w:r>
            <w:bookmarkEnd w:id="1043"/>
          </w:p>
        </w:tc>
        <w:tc>
          <w:tcPr>
            <w:tcW w:w="1240" w:type="dxa"/>
            <w:tcBorders>
              <w:top w:val="nil"/>
              <w:left w:val="nil"/>
              <w:bottom w:val="single" w:sz="4" w:space="0" w:color="auto"/>
              <w:right w:val="single" w:sz="4" w:space="0" w:color="auto"/>
            </w:tcBorders>
            <w:shd w:val="clear" w:color="auto" w:fill="auto"/>
            <w:noWrap/>
            <w:vAlign w:val="center"/>
            <w:hideMark/>
          </w:tcPr>
          <w:p w14:paraId="04F14C25" w14:textId="77777777" w:rsidR="0064018D" w:rsidRPr="006645DC" w:rsidRDefault="0064018D" w:rsidP="008314FB">
            <w:pPr>
              <w:keepNext/>
              <w:keepLines/>
              <w:spacing w:before="0" w:after="0"/>
              <w:jc w:val="right"/>
              <w:outlineLvl w:val="1"/>
              <w:rPr>
                <w:rFonts w:eastAsia="Times New Roman" w:cs="Calibri"/>
                <w:lang w:val="en-GB"/>
              </w:rPr>
            </w:pPr>
            <w:bookmarkStart w:id="1044" w:name="_Toc376199257"/>
            <w:r w:rsidRPr="006645DC">
              <w:rPr>
                <w:rFonts w:eastAsia="Times New Roman" w:cs="Calibri"/>
                <w:lang w:val="en-GB"/>
              </w:rPr>
              <w:t>7,0</w:t>
            </w:r>
            <w:bookmarkEnd w:id="1044"/>
          </w:p>
        </w:tc>
        <w:tc>
          <w:tcPr>
            <w:tcW w:w="1120" w:type="dxa"/>
            <w:tcBorders>
              <w:top w:val="nil"/>
              <w:left w:val="nil"/>
              <w:bottom w:val="single" w:sz="4" w:space="0" w:color="auto"/>
              <w:right w:val="single" w:sz="4" w:space="0" w:color="auto"/>
            </w:tcBorders>
            <w:shd w:val="clear" w:color="auto" w:fill="auto"/>
            <w:noWrap/>
            <w:vAlign w:val="center"/>
            <w:hideMark/>
          </w:tcPr>
          <w:p w14:paraId="3802E449" w14:textId="77777777" w:rsidR="0064018D" w:rsidRPr="006645DC" w:rsidRDefault="0064018D" w:rsidP="008314FB">
            <w:pPr>
              <w:keepNext/>
              <w:keepLines/>
              <w:spacing w:before="0" w:after="0"/>
              <w:jc w:val="right"/>
              <w:outlineLvl w:val="1"/>
              <w:rPr>
                <w:rFonts w:eastAsia="Times New Roman" w:cs="Calibri"/>
                <w:lang w:val="en-GB"/>
              </w:rPr>
            </w:pPr>
            <w:bookmarkStart w:id="1045" w:name="_Toc376199258"/>
            <w:r w:rsidRPr="006645DC">
              <w:rPr>
                <w:rFonts w:eastAsia="Times New Roman" w:cs="Calibri"/>
                <w:lang w:val="en-GB"/>
              </w:rPr>
              <w:t>50,8</w:t>
            </w:r>
            <w:bookmarkEnd w:id="1045"/>
          </w:p>
        </w:tc>
        <w:tc>
          <w:tcPr>
            <w:tcW w:w="1220" w:type="dxa"/>
            <w:tcBorders>
              <w:top w:val="nil"/>
              <w:left w:val="nil"/>
              <w:bottom w:val="single" w:sz="4" w:space="0" w:color="auto"/>
              <w:right w:val="single" w:sz="4" w:space="0" w:color="auto"/>
            </w:tcBorders>
            <w:shd w:val="clear" w:color="auto" w:fill="auto"/>
            <w:noWrap/>
            <w:vAlign w:val="center"/>
            <w:hideMark/>
          </w:tcPr>
          <w:p w14:paraId="61FC8AE0" w14:textId="77777777" w:rsidR="0064018D" w:rsidRPr="006645DC" w:rsidRDefault="0064018D" w:rsidP="008314FB">
            <w:pPr>
              <w:keepNext/>
              <w:keepLines/>
              <w:spacing w:before="0" w:after="0"/>
              <w:jc w:val="right"/>
              <w:outlineLvl w:val="1"/>
              <w:rPr>
                <w:rFonts w:eastAsia="Times New Roman" w:cs="Calibri"/>
                <w:lang w:val="en-GB"/>
              </w:rPr>
            </w:pPr>
            <w:bookmarkStart w:id="1046" w:name="_Toc376199259"/>
            <w:r w:rsidRPr="006645DC">
              <w:rPr>
                <w:rFonts w:eastAsia="Times New Roman" w:cs="Calibri"/>
                <w:lang w:val="en-GB"/>
              </w:rPr>
              <w:t>33,3</w:t>
            </w:r>
            <w:bookmarkEnd w:id="1046"/>
          </w:p>
        </w:tc>
        <w:tc>
          <w:tcPr>
            <w:tcW w:w="1100" w:type="dxa"/>
            <w:tcBorders>
              <w:top w:val="nil"/>
              <w:left w:val="nil"/>
              <w:bottom w:val="single" w:sz="4" w:space="0" w:color="auto"/>
              <w:right w:val="single" w:sz="4" w:space="0" w:color="auto"/>
            </w:tcBorders>
            <w:shd w:val="clear" w:color="auto" w:fill="auto"/>
            <w:noWrap/>
            <w:vAlign w:val="center"/>
            <w:hideMark/>
          </w:tcPr>
          <w:p w14:paraId="3068A2B8" w14:textId="77777777" w:rsidR="0064018D" w:rsidRPr="006645DC" w:rsidRDefault="0064018D" w:rsidP="008314FB">
            <w:pPr>
              <w:keepNext/>
              <w:keepLines/>
              <w:spacing w:before="0" w:after="0"/>
              <w:jc w:val="right"/>
              <w:outlineLvl w:val="1"/>
              <w:rPr>
                <w:rFonts w:eastAsia="Times New Roman" w:cs="Calibri"/>
                <w:lang w:val="en-GB"/>
              </w:rPr>
            </w:pPr>
            <w:bookmarkStart w:id="1047" w:name="_Toc376199260"/>
            <w:r w:rsidRPr="006645DC">
              <w:rPr>
                <w:rFonts w:eastAsia="Times New Roman" w:cs="Calibri"/>
                <w:lang w:val="en-GB"/>
              </w:rPr>
              <w:t>18,2</w:t>
            </w:r>
            <w:bookmarkEnd w:id="1047"/>
          </w:p>
        </w:tc>
        <w:tc>
          <w:tcPr>
            <w:tcW w:w="1080" w:type="dxa"/>
            <w:tcBorders>
              <w:top w:val="nil"/>
              <w:left w:val="nil"/>
              <w:bottom w:val="single" w:sz="4" w:space="0" w:color="auto"/>
              <w:right w:val="single" w:sz="8" w:space="0" w:color="auto"/>
            </w:tcBorders>
            <w:shd w:val="clear" w:color="auto" w:fill="auto"/>
            <w:noWrap/>
            <w:vAlign w:val="center"/>
            <w:hideMark/>
          </w:tcPr>
          <w:p w14:paraId="39374389" w14:textId="77777777" w:rsidR="0064018D" w:rsidRPr="006645DC" w:rsidRDefault="0064018D" w:rsidP="008314FB">
            <w:pPr>
              <w:keepNext/>
              <w:keepLines/>
              <w:spacing w:before="0" w:after="0"/>
              <w:jc w:val="right"/>
              <w:outlineLvl w:val="1"/>
              <w:rPr>
                <w:rFonts w:eastAsia="Times New Roman" w:cs="Calibri"/>
                <w:lang w:val="en-GB"/>
              </w:rPr>
            </w:pPr>
            <w:bookmarkStart w:id="1048" w:name="_Toc376199261"/>
            <w:r w:rsidRPr="006645DC">
              <w:rPr>
                <w:rFonts w:eastAsia="Times New Roman" w:cs="Calibri"/>
                <w:lang w:val="en-GB"/>
              </w:rPr>
              <w:t>24,0</w:t>
            </w:r>
            <w:bookmarkEnd w:id="1048"/>
          </w:p>
        </w:tc>
      </w:tr>
      <w:tr w:rsidR="0064018D" w:rsidRPr="006645DC" w14:paraId="520B2CF9" w14:textId="77777777" w:rsidTr="008314FB">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216DDFDF" w14:textId="77777777" w:rsidR="0064018D" w:rsidRPr="006645DC" w:rsidRDefault="0064018D" w:rsidP="008314FB">
            <w:pPr>
              <w:keepNext/>
              <w:keepLines/>
              <w:spacing w:before="0" w:after="0"/>
              <w:outlineLvl w:val="1"/>
              <w:rPr>
                <w:rFonts w:eastAsia="Times New Roman" w:cs="Calibri"/>
                <w:color w:val="000000"/>
                <w:lang w:val="en-GB"/>
              </w:rPr>
            </w:pPr>
            <w:bookmarkStart w:id="1049" w:name="_Toc376199262"/>
            <w:r w:rsidRPr="006645DC">
              <w:rPr>
                <w:rFonts w:eastAsia="Times New Roman" w:cs="Calibri"/>
                <w:color w:val="000000"/>
                <w:lang w:val="en-GB"/>
              </w:rPr>
              <w:t>Montana</w:t>
            </w:r>
            <w:bookmarkEnd w:id="1049"/>
          </w:p>
        </w:tc>
        <w:tc>
          <w:tcPr>
            <w:tcW w:w="1240" w:type="dxa"/>
            <w:tcBorders>
              <w:top w:val="nil"/>
              <w:left w:val="nil"/>
              <w:bottom w:val="single" w:sz="4" w:space="0" w:color="auto"/>
              <w:right w:val="single" w:sz="4" w:space="0" w:color="auto"/>
            </w:tcBorders>
            <w:shd w:val="clear" w:color="auto" w:fill="auto"/>
            <w:noWrap/>
            <w:vAlign w:val="center"/>
            <w:hideMark/>
          </w:tcPr>
          <w:p w14:paraId="0F322C81" w14:textId="77777777" w:rsidR="0064018D" w:rsidRPr="006645DC" w:rsidRDefault="0064018D" w:rsidP="008314FB">
            <w:pPr>
              <w:keepNext/>
              <w:keepLines/>
              <w:spacing w:before="0" w:after="0"/>
              <w:jc w:val="right"/>
              <w:outlineLvl w:val="1"/>
              <w:rPr>
                <w:rFonts w:eastAsia="Times New Roman" w:cs="Calibri"/>
                <w:lang w:val="en-GB"/>
              </w:rPr>
            </w:pPr>
            <w:bookmarkStart w:id="1050" w:name="_Toc376199263"/>
            <w:r w:rsidRPr="006645DC">
              <w:rPr>
                <w:rFonts w:eastAsia="Times New Roman" w:cs="Calibri"/>
                <w:lang w:val="en-GB"/>
              </w:rPr>
              <w:t>3,8</w:t>
            </w:r>
            <w:bookmarkEnd w:id="1050"/>
          </w:p>
        </w:tc>
        <w:tc>
          <w:tcPr>
            <w:tcW w:w="1120" w:type="dxa"/>
            <w:tcBorders>
              <w:top w:val="nil"/>
              <w:left w:val="nil"/>
              <w:bottom w:val="single" w:sz="4" w:space="0" w:color="auto"/>
              <w:right w:val="single" w:sz="4" w:space="0" w:color="auto"/>
            </w:tcBorders>
            <w:shd w:val="clear" w:color="auto" w:fill="auto"/>
            <w:noWrap/>
            <w:vAlign w:val="center"/>
            <w:hideMark/>
          </w:tcPr>
          <w:p w14:paraId="12E21713" w14:textId="77777777" w:rsidR="0064018D" w:rsidRPr="006645DC" w:rsidRDefault="0064018D" w:rsidP="008314FB">
            <w:pPr>
              <w:keepNext/>
              <w:keepLines/>
              <w:spacing w:before="0" w:after="0"/>
              <w:jc w:val="right"/>
              <w:outlineLvl w:val="1"/>
              <w:rPr>
                <w:rFonts w:eastAsia="Times New Roman" w:cs="Calibri"/>
                <w:lang w:val="en-GB"/>
              </w:rPr>
            </w:pPr>
            <w:bookmarkStart w:id="1051" w:name="_Toc376199264"/>
            <w:r w:rsidRPr="006645DC">
              <w:rPr>
                <w:rFonts w:eastAsia="Times New Roman" w:cs="Calibri"/>
                <w:lang w:val="en-GB"/>
              </w:rPr>
              <w:t>45,2</w:t>
            </w:r>
            <w:bookmarkEnd w:id="1051"/>
          </w:p>
        </w:tc>
        <w:tc>
          <w:tcPr>
            <w:tcW w:w="1220" w:type="dxa"/>
            <w:tcBorders>
              <w:top w:val="nil"/>
              <w:left w:val="nil"/>
              <w:bottom w:val="single" w:sz="4" w:space="0" w:color="auto"/>
              <w:right w:val="single" w:sz="4" w:space="0" w:color="auto"/>
            </w:tcBorders>
            <w:shd w:val="clear" w:color="auto" w:fill="auto"/>
            <w:noWrap/>
            <w:vAlign w:val="center"/>
            <w:hideMark/>
          </w:tcPr>
          <w:p w14:paraId="069BEEF3" w14:textId="77777777" w:rsidR="0064018D" w:rsidRPr="006645DC" w:rsidRDefault="0064018D" w:rsidP="008314FB">
            <w:pPr>
              <w:keepNext/>
              <w:keepLines/>
              <w:spacing w:before="0" w:after="0"/>
              <w:jc w:val="right"/>
              <w:outlineLvl w:val="1"/>
              <w:rPr>
                <w:rFonts w:eastAsia="Times New Roman" w:cs="Calibri"/>
                <w:lang w:val="en-GB"/>
              </w:rPr>
            </w:pPr>
            <w:bookmarkStart w:id="1052" w:name="_Toc376199265"/>
            <w:r w:rsidRPr="006645DC">
              <w:rPr>
                <w:rFonts w:eastAsia="Times New Roman" w:cs="Calibri"/>
                <w:lang w:val="en-GB"/>
              </w:rPr>
              <w:t>31,2</w:t>
            </w:r>
            <w:bookmarkEnd w:id="1052"/>
          </w:p>
        </w:tc>
        <w:tc>
          <w:tcPr>
            <w:tcW w:w="1100" w:type="dxa"/>
            <w:tcBorders>
              <w:top w:val="nil"/>
              <w:left w:val="nil"/>
              <w:bottom w:val="single" w:sz="4" w:space="0" w:color="auto"/>
              <w:right w:val="single" w:sz="4" w:space="0" w:color="auto"/>
            </w:tcBorders>
            <w:shd w:val="clear" w:color="auto" w:fill="auto"/>
            <w:noWrap/>
            <w:vAlign w:val="center"/>
            <w:hideMark/>
          </w:tcPr>
          <w:p w14:paraId="272A98DA" w14:textId="77777777" w:rsidR="0064018D" w:rsidRPr="006645DC" w:rsidRDefault="0064018D" w:rsidP="008314FB">
            <w:pPr>
              <w:keepNext/>
              <w:keepLines/>
              <w:spacing w:before="0" w:after="0"/>
              <w:jc w:val="right"/>
              <w:outlineLvl w:val="1"/>
              <w:rPr>
                <w:rFonts w:eastAsia="Times New Roman" w:cs="Calibri"/>
                <w:lang w:val="en-GB"/>
              </w:rPr>
            </w:pPr>
            <w:bookmarkStart w:id="1053" w:name="_Toc376199266"/>
            <w:r w:rsidRPr="006645DC">
              <w:rPr>
                <w:rFonts w:eastAsia="Times New Roman" w:cs="Calibri"/>
                <w:lang w:val="en-GB"/>
              </w:rPr>
              <w:t>23,7</w:t>
            </w:r>
            <w:bookmarkEnd w:id="1053"/>
          </w:p>
        </w:tc>
        <w:tc>
          <w:tcPr>
            <w:tcW w:w="1080" w:type="dxa"/>
            <w:tcBorders>
              <w:top w:val="nil"/>
              <w:left w:val="nil"/>
              <w:bottom w:val="single" w:sz="4" w:space="0" w:color="auto"/>
              <w:right w:val="single" w:sz="8" w:space="0" w:color="auto"/>
            </w:tcBorders>
            <w:shd w:val="clear" w:color="auto" w:fill="auto"/>
            <w:noWrap/>
            <w:vAlign w:val="center"/>
            <w:hideMark/>
          </w:tcPr>
          <w:p w14:paraId="28369BFE" w14:textId="77777777" w:rsidR="0064018D" w:rsidRPr="006645DC" w:rsidRDefault="0064018D" w:rsidP="008314FB">
            <w:pPr>
              <w:keepNext/>
              <w:keepLines/>
              <w:spacing w:before="0" w:after="0"/>
              <w:jc w:val="right"/>
              <w:outlineLvl w:val="1"/>
              <w:rPr>
                <w:rFonts w:eastAsia="Times New Roman" w:cs="Calibri"/>
                <w:lang w:val="en-GB"/>
              </w:rPr>
            </w:pPr>
            <w:bookmarkStart w:id="1054" w:name="_Toc376199267"/>
            <w:r w:rsidRPr="006645DC">
              <w:rPr>
                <w:rFonts w:eastAsia="Times New Roman" w:cs="Calibri"/>
                <w:lang w:val="en-GB"/>
              </w:rPr>
              <w:t>27,3</w:t>
            </w:r>
            <w:bookmarkEnd w:id="1054"/>
          </w:p>
        </w:tc>
      </w:tr>
      <w:tr w:rsidR="0064018D" w:rsidRPr="006645DC" w14:paraId="45A902B9" w14:textId="77777777" w:rsidTr="008314FB">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11C93429" w14:textId="77777777" w:rsidR="0064018D" w:rsidRPr="006645DC" w:rsidRDefault="0064018D" w:rsidP="008314FB">
            <w:pPr>
              <w:keepNext/>
              <w:keepLines/>
              <w:spacing w:before="0" w:after="0"/>
              <w:outlineLvl w:val="1"/>
              <w:rPr>
                <w:rFonts w:eastAsia="Times New Roman" w:cs="Calibri"/>
                <w:color w:val="000000"/>
                <w:lang w:val="en-GB"/>
              </w:rPr>
            </w:pPr>
            <w:bookmarkStart w:id="1055" w:name="_Toc376199268"/>
            <w:r w:rsidRPr="006645DC">
              <w:rPr>
                <w:rFonts w:eastAsia="Times New Roman" w:cs="Calibri"/>
                <w:color w:val="000000"/>
                <w:lang w:val="en-GB"/>
              </w:rPr>
              <w:t>Pleven</w:t>
            </w:r>
            <w:bookmarkEnd w:id="1055"/>
          </w:p>
        </w:tc>
        <w:tc>
          <w:tcPr>
            <w:tcW w:w="1240" w:type="dxa"/>
            <w:tcBorders>
              <w:top w:val="nil"/>
              <w:left w:val="nil"/>
              <w:bottom w:val="single" w:sz="4" w:space="0" w:color="auto"/>
              <w:right w:val="single" w:sz="4" w:space="0" w:color="auto"/>
            </w:tcBorders>
            <w:shd w:val="clear" w:color="auto" w:fill="auto"/>
            <w:noWrap/>
            <w:vAlign w:val="center"/>
            <w:hideMark/>
          </w:tcPr>
          <w:p w14:paraId="6EE2CB5A" w14:textId="77777777" w:rsidR="0064018D" w:rsidRPr="006645DC" w:rsidRDefault="0064018D" w:rsidP="008314FB">
            <w:pPr>
              <w:keepNext/>
              <w:keepLines/>
              <w:spacing w:before="0" w:after="0"/>
              <w:jc w:val="right"/>
              <w:outlineLvl w:val="1"/>
              <w:rPr>
                <w:rFonts w:eastAsia="Times New Roman" w:cs="Calibri"/>
                <w:lang w:val="en-GB"/>
              </w:rPr>
            </w:pPr>
            <w:bookmarkStart w:id="1056" w:name="_Toc376199269"/>
            <w:r w:rsidRPr="006645DC">
              <w:rPr>
                <w:rFonts w:eastAsia="Times New Roman" w:cs="Calibri"/>
                <w:lang w:val="en-GB"/>
              </w:rPr>
              <w:t>7,4</w:t>
            </w:r>
            <w:bookmarkEnd w:id="1056"/>
          </w:p>
        </w:tc>
        <w:tc>
          <w:tcPr>
            <w:tcW w:w="1120" w:type="dxa"/>
            <w:tcBorders>
              <w:top w:val="nil"/>
              <w:left w:val="nil"/>
              <w:bottom w:val="single" w:sz="4" w:space="0" w:color="auto"/>
              <w:right w:val="single" w:sz="4" w:space="0" w:color="auto"/>
            </w:tcBorders>
            <w:shd w:val="clear" w:color="auto" w:fill="auto"/>
            <w:noWrap/>
            <w:vAlign w:val="center"/>
            <w:hideMark/>
          </w:tcPr>
          <w:p w14:paraId="0DA04052" w14:textId="77777777" w:rsidR="0064018D" w:rsidRPr="006645DC" w:rsidRDefault="0064018D" w:rsidP="008314FB">
            <w:pPr>
              <w:keepNext/>
              <w:keepLines/>
              <w:spacing w:before="0" w:after="0"/>
              <w:jc w:val="right"/>
              <w:outlineLvl w:val="1"/>
              <w:rPr>
                <w:rFonts w:eastAsia="Times New Roman" w:cs="Calibri"/>
                <w:lang w:val="en-GB"/>
              </w:rPr>
            </w:pPr>
            <w:bookmarkStart w:id="1057" w:name="_Toc376199270"/>
            <w:r w:rsidRPr="006645DC">
              <w:rPr>
                <w:rFonts w:eastAsia="Times New Roman" w:cs="Calibri"/>
                <w:lang w:val="en-GB"/>
              </w:rPr>
              <w:t>50,0</w:t>
            </w:r>
            <w:bookmarkEnd w:id="1057"/>
          </w:p>
        </w:tc>
        <w:tc>
          <w:tcPr>
            <w:tcW w:w="1220" w:type="dxa"/>
            <w:tcBorders>
              <w:top w:val="nil"/>
              <w:left w:val="nil"/>
              <w:bottom w:val="single" w:sz="4" w:space="0" w:color="auto"/>
              <w:right w:val="single" w:sz="4" w:space="0" w:color="auto"/>
            </w:tcBorders>
            <w:shd w:val="clear" w:color="auto" w:fill="auto"/>
            <w:noWrap/>
            <w:vAlign w:val="center"/>
            <w:hideMark/>
          </w:tcPr>
          <w:p w14:paraId="57D050BF" w14:textId="77777777" w:rsidR="0064018D" w:rsidRPr="006645DC" w:rsidRDefault="0064018D" w:rsidP="008314FB">
            <w:pPr>
              <w:keepNext/>
              <w:keepLines/>
              <w:spacing w:before="0" w:after="0"/>
              <w:jc w:val="right"/>
              <w:outlineLvl w:val="1"/>
              <w:rPr>
                <w:rFonts w:eastAsia="Times New Roman" w:cs="Calibri"/>
                <w:lang w:val="en-GB"/>
              </w:rPr>
            </w:pPr>
            <w:bookmarkStart w:id="1058" w:name="_Toc376199271"/>
            <w:r w:rsidRPr="006645DC">
              <w:rPr>
                <w:rFonts w:eastAsia="Times New Roman" w:cs="Calibri"/>
                <w:lang w:val="en-GB"/>
              </w:rPr>
              <w:t>38,9</w:t>
            </w:r>
            <w:bookmarkEnd w:id="1058"/>
          </w:p>
        </w:tc>
        <w:tc>
          <w:tcPr>
            <w:tcW w:w="1100" w:type="dxa"/>
            <w:tcBorders>
              <w:top w:val="nil"/>
              <w:left w:val="nil"/>
              <w:bottom w:val="single" w:sz="4" w:space="0" w:color="auto"/>
              <w:right w:val="single" w:sz="4" w:space="0" w:color="auto"/>
            </w:tcBorders>
            <w:shd w:val="clear" w:color="auto" w:fill="auto"/>
            <w:noWrap/>
            <w:vAlign w:val="center"/>
            <w:hideMark/>
          </w:tcPr>
          <w:p w14:paraId="6DB689BF" w14:textId="77777777" w:rsidR="0064018D" w:rsidRPr="006645DC" w:rsidRDefault="0064018D" w:rsidP="008314FB">
            <w:pPr>
              <w:keepNext/>
              <w:keepLines/>
              <w:spacing w:before="0" w:after="0"/>
              <w:jc w:val="right"/>
              <w:outlineLvl w:val="1"/>
              <w:rPr>
                <w:rFonts w:eastAsia="Times New Roman" w:cs="Calibri"/>
                <w:lang w:val="en-GB"/>
              </w:rPr>
            </w:pPr>
            <w:bookmarkStart w:id="1059" w:name="_Toc376199272"/>
            <w:r w:rsidRPr="006645DC">
              <w:rPr>
                <w:rFonts w:eastAsia="Times New Roman" w:cs="Calibri"/>
                <w:lang w:val="en-GB"/>
              </w:rPr>
              <w:t>15,5</w:t>
            </w:r>
            <w:bookmarkEnd w:id="1059"/>
          </w:p>
        </w:tc>
        <w:tc>
          <w:tcPr>
            <w:tcW w:w="1080" w:type="dxa"/>
            <w:tcBorders>
              <w:top w:val="nil"/>
              <w:left w:val="nil"/>
              <w:bottom w:val="single" w:sz="4" w:space="0" w:color="auto"/>
              <w:right w:val="single" w:sz="8" w:space="0" w:color="auto"/>
            </w:tcBorders>
            <w:shd w:val="clear" w:color="auto" w:fill="auto"/>
            <w:noWrap/>
            <w:vAlign w:val="center"/>
            <w:hideMark/>
          </w:tcPr>
          <w:p w14:paraId="0ECF66D7" w14:textId="77777777" w:rsidR="0064018D" w:rsidRPr="006645DC" w:rsidRDefault="0064018D" w:rsidP="008314FB">
            <w:pPr>
              <w:keepNext/>
              <w:keepLines/>
              <w:spacing w:before="0" w:after="0"/>
              <w:jc w:val="right"/>
              <w:outlineLvl w:val="1"/>
              <w:rPr>
                <w:rFonts w:eastAsia="Times New Roman" w:cs="Calibri"/>
                <w:lang w:val="en-GB"/>
              </w:rPr>
            </w:pPr>
            <w:bookmarkStart w:id="1060" w:name="_Toc376199273"/>
            <w:r w:rsidRPr="006645DC">
              <w:rPr>
                <w:rFonts w:eastAsia="Times New Roman" w:cs="Calibri"/>
                <w:lang w:val="en-GB"/>
              </w:rPr>
              <w:t>27,2</w:t>
            </w:r>
            <w:bookmarkEnd w:id="1060"/>
          </w:p>
        </w:tc>
      </w:tr>
      <w:tr w:rsidR="0064018D" w:rsidRPr="006645DC" w14:paraId="1AFD9BB6" w14:textId="77777777" w:rsidTr="008314FB">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7FDA4B05" w14:textId="77777777" w:rsidR="0064018D" w:rsidRPr="006645DC" w:rsidRDefault="0064018D" w:rsidP="008314FB">
            <w:pPr>
              <w:keepNext/>
              <w:keepLines/>
              <w:spacing w:before="0" w:after="0"/>
              <w:outlineLvl w:val="1"/>
              <w:rPr>
                <w:rFonts w:eastAsia="Times New Roman" w:cs="Calibri"/>
                <w:color w:val="000000"/>
                <w:lang w:val="en-GB"/>
              </w:rPr>
            </w:pPr>
            <w:bookmarkStart w:id="1061" w:name="_Toc376199274"/>
            <w:r w:rsidRPr="006645DC">
              <w:rPr>
                <w:rFonts w:eastAsia="Times New Roman" w:cs="Calibri"/>
                <w:color w:val="000000"/>
                <w:lang w:val="en-GB"/>
              </w:rPr>
              <w:t>Veliko Tarnovo</w:t>
            </w:r>
            <w:bookmarkEnd w:id="1061"/>
          </w:p>
        </w:tc>
        <w:tc>
          <w:tcPr>
            <w:tcW w:w="1240" w:type="dxa"/>
            <w:tcBorders>
              <w:top w:val="nil"/>
              <w:left w:val="nil"/>
              <w:bottom w:val="single" w:sz="4" w:space="0" w:color="auto"/>
              <w:right w:val="single" w:sz="4" w:space="0" w:color="auto"/>
            </w:tcBorders>
            <w:shd w:val="clear" w:color="auto" w:fill="auto"/>
            <w:noWrap/>
            <w:vAlign w:val="center"/>
            <w:hideMark/>
          </w:tcPr>
          <w:p w14:paraId="747CFA85" w14:textId="77777777" w:rsidR="0064018D" w:rsidRPr="006645DC" w:rsidRDefault="0064018D" w:rsidP="008314FB">
            <w:pPr>
              <w:keepNext/>
              <w:keepLines/>
              <w:spacing w:before="0" w:after="0"/>
              <w:jc w:val="right"/>
              <w:outlineLvl w:val="1"/>
              <w:rPr>
                <w:rFonts w:eastAsia="Times New Roman" w:cs="Calibri"/>
                <w:lang w:val="en-GB"/>
              </w:rPr>
            </w:pPr>
            <w:bookmarkStart w:id="1062" w:name="_Toc376199275"/>
            <w:r w:rsidRPr="006645DC">
              <w:rPr>
                <w:rFonts w:eastAsia="Times New Roman" w:cs="Calibri"/>
                <w:lang w:val="en-GB"/>
              </w:rPr>
              <w:t>16,6</w:t>
            </w:r>
            <w:bookmarkEnd w:id="1062"/>
          </w:p>
        </w:tc>
        <w:tc>
          <w:tcPr>
            <w:tcW w:w="1120" w:type="dxa"/>
            <w:tcBorders>
              <w:top w:val="nil"/>
              <w:left w:val="nil"/>
              <w:bottom w:val="single" w:sz="4" w:space="0" w:color="auto"/>
              <w:right w:val="single" w:sz="4" w:space="0" w:color="auto"/>
            </w:tcBorders>
            <w:shd w:val="clear" w:color="auto" w:fill="auto"/>
            <w:noWrap/>
            <w:vAlign w:val="center"/>
            <w:hideMark/>
          </w:tcPr>
          <w:p w14:paraId="79A3BC52"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63" w:name="_Toc376199276"/>
            <w:r w:rsidRPr="006645DC">
              <w:rPr>
                <w:rFonts w:eastAsia="Times New Roman" w:cs="Calibri"/>
                <w:color w:val="000000"/>
                <w:lang w:val="en-GB"/>
              </w:rPr>
              <w:t>47,2</w:t>
            </w:r>
            <w:bookmarkEnd w:id="1063"/>
          </w:p>
        </w:tc>
        <w:tc>
          <w:tcPr>
            <w:tcW w:w="1220" w:type="dxa"/>
            <w:tcBorders>
              <w:top w:val="nil"/>
              <w:left w:val="nil"/>
              <w:bottom w:val="single" w:sz="4" w:space="0" w:color="auto"/>
              <w:right w:val="single" w:sz="4" w:space="0" w:color="auto"/>
            </w:tcBorders>
            <w:shd w:val="clear" w:color="auto" w:fill="auto"/>
            <w:noWrap/>
            <w:vAlign w:val="center"/>
            <w:hideMark/>
          </w:tcPr>
          <w:p w14:paraId="197C874F"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64" w:name="_Toc376199277"/>
            <w:r w:rsidRPr="006645DC">
              <w:rPr>
                <w:rFonts w:eastAsia="Times New Roman" w:cs="Calibri"/>
                <w:color w:val="000000"/>
                <w:lang w:val="en-GB"/>
              </w:rPr>
              <w:t>28,2</w:t>
            </w:r>
            <w:bookmarkEnd w:id="1064"/>
          </w:p>
        </w:tc>
        <w:tc>
          <w:tcPr>
            <w:tcW w:w="1100" w:type="dxa"/>
            <w:tcBorders>
              <w:top w:val="nil"/>
              <w:left w:val="nil"/>
              <w:bottom w:val="single" w:sz="4" w:space="0" w:color="auto"/>
              <w:right w:val="single" w:sz="4" w:space="0" w:color="auto"/>
            </w:tcBorders>
            <w:shd w:val="clear" w:color="auto" w:fill="auto"/>
            <w:noWrap/>
            <w:vAlign w:val="center"/>
            <w:hideMark/>
          </w:tcPr>
          <w:p w14:paraId="595F9C5E"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65" w:name="_Toc376199278"/>
            <w:r w:rsidRPr="006645DC">
              <w:rPr>
                <w:rFonts w:eastAsia="Times New Roman" w:cs="Calibri"/>
                <w:color w:val="000000"/>
                <w:lang w:val="en-GB"/>
              </w:rPr>
              <w:t>18,5</w:t>
            </w:r>
            <w:bookmarkEnd w:id="1065"/>
          </w:p>
        </w:tc>
        <w:tc>
          <w:tcPr>
            <w:tcW w:w="1080" w:type="dxa"/>
            <w:tcBorders>
              <w:top w:val="nil"/>
              <w:left w:val="nil"/>
              <w:bottom w:val="single" w:sz="4" w:space="0" w:color="auto"/>
              <w:right w:val="single" w:sz="8" w:space="0" w:color="auto"/>
            </w:tcBorders>
            <w:shd w:val="clear" w:color="auto" w:fill="auto"/>
            <w:noWrap/>
            <w:vAlign w:val="center"/>
            <w:hideMark/>
          </w:tcPr>
          <w:p w14:paraId="43FEA49B"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66" w:name="_Toc376199279"/>
            <w:r w:rsidRPr="006645DC">
              <w:rPr>
                <w:rFonts w:eastAsia="Times New Roman" w:cs="Calibri"/>
                <w:color w:val="000000"/>
                <w:lang w:val="en-GB"/>
              </w:rPr>
              <w:t>17,7</w:t>
            </w:r>
            <w:bookmarkEnd w:id="1066"/>
          </w:p>
        </w:tc>
      </w:tr>
      <w:tr w:rsidR="0064018D" w:rsidRPr="006645DC" w14:paraId="5B1131B1" w14:textId="77777777" w:rsidTr="008314FB">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0E4B60F3" w14:textId="77777777" w:rsidR="0064018D" w:rsidRPr="006645DC" w:rsidRDefault="0064018D" w:rsidP="008314FB">
            <w:pPr>
              <w:keepNext/>
              <w:keepLines/>
              <w:spacing w:before="0" w:after="0"/>
              <w:outlineLvl w:val="1"/>
              <w:rPr>
                <w:rFonts w:eastAsia="Times New Roman" w:cs="Calibri"/>
                <w:color w:val="000000"/>
                <w:lang w:val="en-GB"/>
              </w:rPr>
            </w:pPr>
            <w:bookmarkStart w:id="1067" w:name="_Toc376199280"/>
            <w:r w:rsidRPr="006645DC">
              <w:rPr>
                <w:rFonts w:eastAsia="Times New Roman" w:cs="Calibri"/>
                <w:color w:val="000000"/>
                <w:lang w:val="en-GB"/>
              </w:rPr>
              <w:t>Ruse</w:t>
            </w:r>
            <w:bookmarkEnd w:id="1067"/>
          </w:p>
        </w:tc>
        <w:tc>
          <w:tcPr>
            <w:tcW w:w="1240" w:type="dxa"/>
            <w:tcBorders>
              <w:top w:val="nil"/>
              <w:left w:val="nil"/>
              <w:bottom w:val="single" w:sz="4" w:space="0" w:color="auto"/>
              <w:right w:val="single" w:sz="4" w:space="0" w:color="auto"/>
            </w:tcBorders>
            <w:shd w:val="clear" w:color="auto" w:fill="auto"/>
            <w:noWrap/>
            <w:vAlign w:val="center"/>
            <w:hideMark/>
          </w:tcPr>
          <w:p w14:paraId="7CD2F6DB" w14:textId="77777777" w:rsidR="0064018D" w:rsidRPr="006645DC" w:rsidRDefault="0064018D" w:rsidP="008314FB">
            <w:pPr>
              <w:keepNext/>
              <w:keepLines/>
              <w:spacing w:before="0" w:after="0"/>
              <w:jc w:val="right"/>
              <w:outlineLvl w:val="1"/>
              <w:rPr>
                <w:rFonts w:eastAsia="Times New Roman" w:cs="Calibri"/>
                <w:lang w:val="en-GB"/>
              </w:rPr>
            </w:pPr>
            <w:bookmarkStart w:id="1068" w:name="_Toc376199281"/>
            <w:r w:rsidRPr="006645DC">
              <w:rPr>
                <w:rFonts w:eastAsia="Times New Roman" w:cs="Calibri"/>
                <w:lang w:val="en-GB"/>
              </w:rPr>
              <w:t>14,5</w:t>
            </w:r>
            <w:bookmarkEnd w:id="1068"/>
          </w:p>
        </w:tc>
        <w:tc>
          <w:tcPr>
            <w:tcW w:w="1120" w:type="dxa"/>
            <w:tcBorders>
              <w:top w:val="nil"/>
              <w:left w:val="nil"/>
              <w:bottom w:val="single" w:sz="4" w:space="0" w:color="auto"/>
              <w:right w:val="single" w:sz="4" w:space="0" w:color="auto"/>
            </w:tcBorders>
            <w:shd w:val="clear" w:color="auto" w:fill="auto"/>
            <w:noWrap/>
            <w:vAlign w:val="center"/>
            <w:hideMark/>
          </w:tcPr>
          <w:p w14:paraId="445532AF"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69" w:name="_Toc376199282"/>
            <w:r w:rsidRPr="006645DC">
              <w:rPr>
                <w:rFonts w:eastAsia="Times New Roman" w:cs="Calibri"/>
                <w:color w:val="000000"/>
                <w:lang w:val="en-GB"/>
              </w:rPr>
              <w:t>49,9</w:t>
            </w:r>
            <w:bookmarkEnd w:id="1069"/>
          </w:p>
        </w:tc>
        <w:tc>
          <w:tcPr>
            <w:tcW w:w="1220" w:type="dxa"/>
            <w:tcBorders>
              <w:top w:val="nil"/>
              <w:left w:val="nil"/>
              <w:bottom w:val="single" w:sz="4" w:space="0" w:color="auto"/>
              <w:right w:val="single" w:sz="4" w:space="0" w:color="auto"/>
            </w:tcBorders>
            <w:shd w:val="clear" w:color="auto" w:fill="auto"/>
            <w:noWrap/>
            <w:vAlign w:val="center"/>
            <w:hideMark/>
          </w:tcPr>
          <w:p w14:paraId="1386389F"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70" w:name="_Toc376199283"/>
            <w:r w:rsidRPr="006645DC">
              <w:rPr>
                <w:rFonts w:eastAsia="Times New Roman" w:cs="Calibri"/>
                <w:color w:val="000000"/>
                <w:lang w:val="en-GB"/>
              </w:rPr>
              <w:t>32,0</w:t>
            </w:r>
            <w:bookmarkEnd w:id="1070"/>
          </w:p>
        </w:tc>
        <w:tc>
          <w:tcPr>
            <w:tcW w:w="1100" w:type="dxa"/>
            <w:tcBorders>
              <w:top w:val="nil"/>
              <w:left w:val="nil"/>
              <w:bottom w:val="single" w:sz="4" w:space="0" w:color="auto"/>
              <w:right w:val="single" w:sz="4" w:space="0" w:color="auto"/>
            </w:tcBorders>
            <w:shd w:val="clear" w:color="auto" w:fill="auto"/>
            <w:noWrap/>
            <w:vAlign w:val="center"/>
            <w:hideMark/>
          </w:tcPr>
          <w:p w14:paraId="1F36E575"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71" w:name="_Toc376199284"/>
            <w:r w:rsidRPr="006645DC">
              <w:rPr>
                <w:rFonts w:eastAsia="Times New Roman" w:cs="Calibri"/>
                <w:color w:val="000000"/>
                <w:lang w:val="en-GB"/>
              </w:rPr>
              <w:t>13,5</w:t>
            </w:r>
            <w:bookmarkEnd w:id="1071"/>
          </w:p>
        </w:tc>
        <w:tc>
          <w:tcPr>
            <w:tcW w:w="1080" w:type="dxa"/>
            <w:tcBorders>
              <w:top w:val="nil"/>
              <w:left w:val="nil"/>
              <w:bottom w:val="single" w:sz="4" w:space="0" w:color="auto"/>
              <w:right w:val="single" w:sz="8" w:space="0" w:color="auto"/>
            </w:tcBorders>
            <w:shd w:val="clear" w:color="auto" w:fill="auto"/>
            <w:noWrap/>
            <w:vAlign w:val="center"/>
            <w:hideMark/>
          </w:tcPr>
          <w:p w14:paraId="180D8E1A"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72" w:name="_Toc376199285"/>
            <w:r w:rsidRPr="006645DC">
              <w:rPr>
                <w:rFonts w:eastAsia="Times New Roman" w:cs="Calibri"/>
                <w:color w:val="000000"/>
                <w:lang w:val="en-GB"/>
              </w:rPr>
              <w:t>22,1</w:t>
            </w:r>
            <w:bookmarkEnd w:id="1072"/>
          </w:p>
        </w:tc>
      </w:tr>
      <w:tr w:rsidR="0064018D" w:rsidRPr="006645DC" w14:paraId="3B17D8EC" w14:textId="77777777" w:rsidTr="008314FB">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3DAC409F" w14:textId="77777777" w:rsidR="0064018D" w:rsidRPr="006645DC" w:rsidRDefault="0064018D" w:rsidP="008314FB">
            <w:pPr>
              <w:keepNext/>
              <w:keepLines/>
              <w:spacing w:before="0" w:after="0"/>
              <w:outlineLvl w:val="1"/>
              <w:rPr>
                <w:rFonts w:eastAsia="Times New Roman" w:cs="Calibri"/>
                <w:color w:val="000000"/>
                <w:lang w:val="en-GB"/>
              </w:rPr>
            </w:pPr>
            <w:bookmarkStart w:id="1073" w:name="_Toc376199286"/>
            <w:r w:rsidRPr="006645DC">
              <w:rPr>
                <w:rFonts w:eastAsia="Times New Roman" w:cs="Calibri"/>
                <w:color w:val="000000"/>
                <w:lang w:val="en-GB"/>
              </w:rPr>
              <w:t>Silistra</w:t>
            </w:r>
            <w:bookmarkEnd w:id="1073"/>
          </w:p>
        </w:tc>
        <w:tc>
          <w:tcPr>
            <w:tcW w:w="1240" w:type="dxa"/>
            <w:tcBorders>
              <w:top w:val="nil"/>
              <w:left w:val="nil"/>
              <w:bottom w:val="single" w:sz="4" w:space="0" w:color="auto"/>
              <w:right w:val="single" w:sz="4" w:space="0" w:color="auto"/>
            </w:tcBorders>
            <w:shd w:val="clear" w:color="auto" w:fill="auto"/>
            <w:noWrap/>
            <w:vAlign w:val="center"/>
            <w:hideMark/>
          </w:tcPr>
          <w:p w14:paraId="1437EE21" w14:textId="77777777" w:rsidR="0064018D" w:rsidRPr="006645DC" w:rsidRDefault="0064018D" w:rsidP="008314FB">
            <w:pPr>
              <w:keepNext/>
              <w:keepLines/>
              <w:spacing w:before="0" w:after="0"/>
              <w:jc w:val="right"/>
              <w:outlineLvl w:val="1"/>
              <w:rPr>
                <w:rFonts w:eastAsia="Times New Roman" w:cs="Calibri"/>
                <w:lang w:val="en-GB"/>
              </w:rPr>
            </w:pPr>
            <w:bookmarkStart w:id="1074" w:name="_Toc376199287"/>
            <w:r w:rsidRPr="006645DC">
              <w:rPr>
                <w:rFonts w:eastAsia="Times New Roman" w:cs="Calibri"/>
                <w:lang w:val="en-GB"/>
              </w:rPr>
              <w:t>11,6</w:t>
            </w:r>
            <w:bookmarkEnd w:id="1074"/>
          </w:p>
        </w:tc>
        <w:tc>
          <w:tcPr>
            <w:tcW w:w="1120" w:type="dxa"/>
            <w:tcBorders>
              <w:top w:val="nil"/>
              <w:left w:val="nil"/>
              <w:bottom w:val="single" w:sz="4" w:space="0" w:color="auto"/>
              <w:right w:val="single" w:sz="4" w:space="0" w:color="auto"/>
            </w:tcBorders>
            <w:shd w:val="clear" w:color="auto" w:fill="auto"/>
            <w:noWrap/>
            <w:vAlign w:val="center"/>
            <w:hideMark/>
          </w:tcPr>
          <w:p w14:paraId="40B71DB6"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75" w:name="_Toc376199288"/>
            <w:r w:rsidRPr="006645DC">
              <w:rPr>
                <w:rFonts w:eastAsia="Times New Roman" w:cs="Calibri"/>
                <w:color w:val="000000"/>
                <w:lang w:val="en-GB"/>
              </w:rPr>
              <w:t>43,0</w:t>
            </w:r>
            <w:bookmarkEnd w:id="1075"/>
          </w:p>
        </w:tc>
        <w:tc>
          <w:tcPr>
            <w:tcW w:w="1220" w:type="dxa"/>
            <w:tcBorders>
              <w:top w:val="nil"/>
              <w:left w:val="nil"/>
              <w:bottom w:val="single" w:sz="4" w:space="0" w:color="auto"/>
              <w:right w:val="single" w:sz="4" w:space="0" w:color="auto"/>
            </w:tcBorders>
            <w:shd w:val="clear" w:color="auto" w:fill="auto"/>
            <w:noWrap/>
            <w:vAlign w:val="center"/>
            <w:hideMark/>
          </w:tcPr>
          <w:p w14:paraId="4BFBB206"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76" w:name="_Toc376199289"/>
            <w:r w:rsidRPr="006645DC">
              <w:rPr>
                <w:rFonts w:eastAsia="Times New Roman" w:cs="Calibri"/>
                <w:color w:val="000000"/>
                <w:lang w:val="en-GB"/>
              </w:rPr>
              <w:t>30,6</w:t>
            </w:r>
            <w:bookmarkEnd w:id="1076"/>
          </w:p>
        </w:tc>
        <w:tc>
          <w:tcPr>
            <w:tcW w:w="1100" w:type="dxa"/>
            <w:tcBorders>
              <w:top w:val="nil"/>
              <w:left w:val="nil"/>
              <w:bottom w:val="single" w:sz="4" w:space="0" w:color="auto"/>
              <w:right w:val="single" w:sz="4" w:space="0" w:color="auto"/>
            </w:tcBorders>
            <w:shd w:val="clear" w:color="auto" w:fill="auto"/>
            <w:noWrap/>
            <w:vAlign w:val="center"/>
            <w:hideMark/>
          </w:tcPr>
          <w:p w14:paraId="11E96108"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77" w:name="_Toc376199290"/>
            <w:r w:rsidRPr="006645DC">
              <w:rPr>
                <w:rFonts w:eastAsia="Times New Roman" w:cs="Calibri"/>
                <w:color w:val="000000"/>
                <w:lang w:val="en-GB"/>
              </w:rPr>
              <w:t>15,7</w:t>
            </w:r>
            <w:bookmarkEnd w:id="1077"/>
          </w:p>
        </w:tc>
        <w:tc>
          <w:tcPr>
            <w:tcW w:w="1080" w:type="dxa"/>
            <w:tcBorders>
              <w:top w:val="nil"/>
              <w:left w:val="nil"/>
              <w:bottom w:val="single" w:sz="4" w:space="0" w:color="auto"/>
              <w:right w:val="single" w:sz="8" w:space="0" w:color="auto"/>
            </w:tcBorders>
            <w:shd w:val="clear" w:color="auto" w:fill="auto"/>
            <w:noWrap/>
            <w:vAlign w:val="center"/>
            <w:hideMark/>
          </w:tcPr>
          <w:p w14:paraId="413C2302"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78" w:name="_Toc376199291"/>
            <w:r w:rsidRPr="006645DC">
              <w:rPr>
                <w:rFonts w:eastAsia="Times New Roman" w:cs="Calibri"/>
                <w:color w:val="000000"/>
                <w:lang w:val="en-GB"/>
              </w:rPr>
              <w:t>29,7</w:t>
            </w:r>
            <w:bookmarkEnd w:id="1078"/>
          </w:p>
        </w:tc>
      </w:tr>
      <w:tr w:rsidR="0064018D" w:rsidRPr="006645DC" w14:paraId="63F93824" w14:textId="77777777" w:rsidTr="008314FB">
        <w:trPr>
          <w:trHeight w:val="315"/>
          <w:jc w:val="center"/>
        </w:trPr>
        <w:tc>
          <w:tcPr>
            <w:tcW w:w="1780" w:type="dxa"/>
            <w:tcBorders>
              <w:top w:val="nil"/>
              <w:left w:val="single" w:sz="8" w:space="0" w:color="auto"/>
              <w:bottom w:val="nil"/>
              <w:right w:val="single" w:sz="4" w:space="0" w:color="auto"/>
            </w:tcBorders>
            <w:shd w:val="clear" w:color="auto" w:fill="auto"/>
            <w:noWrap/>
            <w:vAlign w:val="center"/>
            <w:hideMark/>
          </w:tcPr>
          <w:p w14:paraId="1CE99D5E" w14:textId="77777777" w:rsidR="0064018D" w:rsidRPr="006645DC" w:rsidRDefault="0064018D" w:rsidP="008314FB">
            <w:pPr>
              <w:keepNext/>
              <w:keepLines/>
              <w:spacing w:before="0" w:after="0"/>
              <w:outlineLvl w:val="1"/>
              <w:rPr>
                <w:rFonts w:eastAsia="Times New Roman" w:cs="Calibri"/>
                <w:color w:val="000000"/>
                <w:lang w:val="en-GB"/>
              </w:rPr>
            </w:pPr>
            <w:bookmarkStart w:id="1079" w:name="_Toc376199292"/>
            <w:r w:rsidRPr="006645DC">
              <w:rPr>
                <w:rFonts w:eastAsia="Times New Roman" w:cs="Calibri"/>
                <w:color w:val="000000"/>
                <w:lang w:val="en-GB"/>
              </w:rPr>
              <w:t>Dobrich</w:t>
            </w:r>
            <w:bookmarkEnd w:id="1079"/>
          </w:p>
        </w:tc>
        <w:tc>
          <w:tcPr>
            <w:tcW w:w="1240" w:type="dxa"/>
            <w:tcBorders>
              <w:top w:val="nil"/>
              <w:left w:val="nil"/>
              <w:bottom w:val="single" w:sz="4" w:space="0" w:color="auto"/>
              <w:right w:val="single" w:sz="4" w:space="0" w:color="auto"/>
            </w:tcBorders>
            <w:shd w:val="clear" w:color="auto" w:fill="auto"/>
            <w:noWrap/>
            <w:vAlign w:val="center"/>
            <w:hideMark/>
          </w:tcPr>
          <w:p w14:paraId="4946EB80" w14:textId="77777777" w:rsidR="0064018D" w:rsidRPr="006645DC" w:rsidRDefault="0064018D" w:rsidP="008314FB">
            <w:pPr>
              <w:keepNext/>
              <w:keepLines/>
              <w:spacing w:before="0" w:after="0"/>
              <w:jc w:val="right"/>
              <w:outlineLvl w:val="1"/>
              <w:rPr>
                <w:rFonts w:eastAsia="Times New Roman" w:cs="Calibri"/>
                <w:lang w:val="en-GB"/>
              </w:rPr>
            </w:pPr>
            <w:bookmarkStart w:id="1080" w:name="_Toc376199293"/>
            <w:r w:rsidRPr="006645DC">
              <w:rPr>
                <w:rFonts w:eastAsia="Times New Roman" w:cs="Calibri"/>
                <w:lang w:val="en-GB"/>
              </w:rPr>
              <w:t>10,3</w:t>
            </w:r>
            <w:bookmarkEnd w:id="1080"/>
          </w:p>
        </w:tc>
        <w:tc>
          <w:tcPr>
            <w:tcW w:w="1120" w:type="dxa"/>
            <w:tcBorders>
              <w:top w:val="nil"/>
              <w:left w:val="nil"/>
              <w:bottom w:val="nil"/>
              <w:right w:val="single" w:sz="4" w:space="0" w:color="auto"/>
            </w:tcBorders>
            <w:shd w:val="clear" w:color="auto" w:fill="auto"/>
            <w:noWrap/>
            <w:vAlign w:val="center"/>
            <w:hideMark/>
          </w:tcPr>
          <w:p w14:paraId="40C56ADC"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81" w:name="_Toc376199294"/>
            <w:r w:rsidRPr="006645DC">
              <w:rPr>
                <w:rFonts w:eastAsia="Times New Roman" w:cs="Calibri"/>
                <w:color w:val="000000"/>
                <w:lang w:val="en-GB"/>
              </w:rPr>
              <w:t>41,9</w:t>
            </w:r>
            <w:bookmarkEnd w:id="1081"/>
          </w:p>
        </w:tc>
        <w:tc>
          <w:tcPr>
            <w:tcW w:w="1220" w:type="dxa"/>
            <w:tcBorders>
              <w:top w:val="nil"/>
              <w:left w:val="nil"/>
              <w:bottom w:val="nil"/>
              <w:right w:val="single" w:sz="4" w:space="0" w:color="auto"/>
            </w:tcBorders>
            <w:shd w:val="clear" w:color="auto" w:fill="auto"/>
            <w:noWrap/>
            <w:vAlign w:val="center"/>
            <w:hideMark/>
          </w:tcPr>
          <w:p w14:paraId="70A16032"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82" w:name="_Toc376199295"/>
            <w:r w:rsidRPr="006645DC">
              <w:rPr>
                <w:rFonts w:eastAsia="Times New Roman" w:cs="Calibri"/>
                <w:color w:val="000000"/>
                <w:lang w:val="en-GB"/>
              </w:rPr>
              <w:t>22,1</w:t>
            </w:r>
            <w:bookmarkEnd w:id="1082"/>
          </w:p>
        </w:tc>
        <w:tc>
          <w:tcPr>
            <w:tcW w:w="1100" w:type="dxa"/>
            <w:tcBorders>
              <w:top w:val="nil"/>
              <w:left w:val="nil"/>
              <w:bottom w:val="nil"/>
              <w:right w:val="single" w:sz="4" w:space="0" w:color="auto"/>
            </w:tcBorders>
            <w:shd w:val="clear" w:color="auto" w:fill="auto"/>
            <w:noWrap/>
            <w:vAlign w:val="center"/>
            <w:hideMark/>
          </w:tcPr>
          <w:p w14:paraId="79F45C0A"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83" w:name="_Toc376199296"/>
            <w:r w:rsidRPr="006645DC">
              <w:rPr>
                <w:rFonts w:eastAsia="Times New Roman" w:cs="Calibri"/>
                <w:color w:val="000000"/>
                <w:lang w:val="en-GB"/>
              </w:rPr>
              <w:t>17,3</w:t>
            </w:r>
            <w:bookmarkEnd w:id="1083"/>
          </w:p>
        </w:tc>
        <w:tc>
          <w:tcPr>
            <w:tcW w:w="1080" w:type="dxa"/>
            <w:tcBorders>
              <w:top w:val="nil"/>
              <w:left w:val="nil"/>
              <w:bottom w:val="nil"/>
              <w:right w:val="single" w:sz="8" w:space="0" w:color="auto"/>
            </w:tcBorders>
            <w:shd w:val="clear" w:color="auto" w:fill="auto"/>
            <w:noWrap/>
            <w:vAlign w:val="center"/>
            <w:hideMark/>
          </w:tcPr>
          <w:p w14:paraId="2E7BF1D5" w14:textId="77777777" w:rsidR="0064018D" w:rsidRPr="006645DC" w:rsidRDefault="0064018D" w:rsidP="008314FB">
            <w:pPr>
              <w:keepNext/>
              <w:keepLines/>
              <w:spacing w:before="0" w:after="0"/>
              <w:jc w:val="right"/>
              <w:outlineLvl w:val="1"/>
              <w:rPr>
                <w:rFonts w:eastAsia="Times New Roman" w:cs="Calibri"/>
                <w:color w:val="000000"/>
                <w:lang w:val="en-GB"/>
              </w:rPr>
            </w:pPr>
            <w:bookmarkStart w:id="1084" w:name="_Toc376199297"/>
            <w:r w:rsidRPr="006645DC">
              <w:rPr>
                <w:rFonts w:eastAsia="Times New Roman" w:cs="Calibri"/>
                <w:color w:val="000000"/>
                <w:lang w:val="en-GB"/>
              </w:rPr>
              <w:t>30,5</w:t>
            </w:r>
            <w:bookmarkEnd w:id="1084"/>
          </w:p>
        </w:tc>
      </w:tr>
      <w:tr w:rsidR="0064018D" w:rsidRPr="006645DC" w14:paraId="00A7B43A" w14:textId="77777777" w:rsidTr="008314FB">
        <w:trPr>
          <w:trHeight w:val="315"/>
          <w:jc w:val="center"/>
        </w:trPr>
        <w:tc>
          <w:tcPr>
            <w:tcW w:w="1780" w:type="dxa"/>
            <w:tcBorders>
              <w:top w:val="single" w:sz="8" w:space="0" w:color="auto"/>
              <w:left w:val="single" w:sz="8" w:space="0" w:color="auto"/>
              <w:bottom w:val="single" w:sz="8" w:space="0" w:color="auto"/>
              <w:right w:val="nil"/>
            </w:tcBorders>
            <w:shd w:val="clear" w:color="auto" w:fill="auto"/>
            <w:noWrap/>
            <w:vAlign w:val="center"/>
            <w:hideMark/>
          </w:tcPr>
          <w:p w14:paraId="6AEBAD05" w14:textId="77777777" w:rsidR="0064018D" w:rsidRPr="006645DC" w:rsidRDefault="0064018D" w:rsidP="008314FB">
            <w:pPr>
              <w:keepNext/>
              <w:keepLines/>
              <w:spacing w:before="0" w:after="0"/>
              <w:outlineLvl w:val="1"/>
              <w:rPr>
                <w:rFonts w:eastAsia="Times New Roman" w:cs="Calibri"/>
                <w:b/>
                <w:bCs/>
                <w:color w:val="000000"/>
                <w:lang w:val="en-GB"/>
              </w:rPr>
            </w:pPr>
            <w:bookmarkStart w:id="1085" w:name="_Toc376199298"/>
            <w:r w:rsidRPr="006645DC">
              <w:rPr>
                <w:rFonts w:eastAsia="Times New Roman" w:cs="Calibri"/>
                <w:b/>
                <w:bCs/>
                <w:color w:val="000000"/>
                <w:lang w:val="en-GB"/>
              </w:rPr>
              <w:t>Bulgaria:</w:t>
            </w:r>
            <w:bookmarkEnd w:id="1085"/>
          </w:p>
        </w:tc>
        <w:tc>
          <w:tcPr>
            <w:tcW w:w="124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6E5980E4" w14:textId="77777777" w:rsidR="0064018D" w:rsidRPr="006645DC" w:rsidRDefault="0064018D" w:rsidP="008314FB">
            <w:pPr>
              <w:keepNext/>
              <w:keepLines/>
              <w:spacing w:before="0" w:after="0"/>
              <w:jc w:val="right"/>
              <w:outlineLvl w:val="1"/>
              <w:rPr>
                <w:rFonts w:eastAsia="Times New Roman" w:cs="Calibri"/>
                <w:b/>
                <w:bCs/>
                <w:color w:val="000000"/>
                <w:lang w:val="en-GB"/>
              </w:rPr>
            </w:pPr>
            <w:bookmarkStart w:id="1086" w:name="_Toc376199299"/>
            <w:r w:rsidRPr="006645DC">
              <w:rPr>
                <w:rFonts w:eastAsia="Times New Roman" w:cs="Calibri"/>
                <w:b/>
                <w:bCs/>
                <w:color w:val="000000"/>
                <w:lang w:val="en-GB"/>
              </w:rPr>
              <w:t>8,1</w:t>
            </w:r>
            <w:bookmarkEnd w:id="1086"/>
          </w:p>
        </w:tc>
        <w:tc>
          <w:tcPr>
            <w:tcW w:w="1120" w:type="dxa"/>
            <w:tcBorders>
              <w:top w:val="single" w:sz="8" w:space="0" w:color="auto"/>
              <w:left w:val="nil"/>
              <w:bottom w:val="single" w:sz="8" w:space="0" w:color="auto"/>
              <w:right w:val="nil"/>
            </w:tcBorders>
            <w:shd w:val="clear" w:color="auto" w:fill="auto"/>
            <w:noWrap/>
            <w:vAlign w:val="center"/>
            <w:hideMark/>
          </w:tcPr>
          <w:p w14:paraId="7AB29034" w14:textId="77777777" w:rsidR="0064018D" w:rsidRPr="006645DC" w:rsidRDefault="0064018D" w:rsidP="008314FB">
            <w:pPr>
              <w:keepNext/>
              <w:keepLines/>
              <w:spacing w:before="0" w:after="0"/>
              <w:jc w:val="right"/>
              <w:outlineLvl w:val="1"/>
              <w:rPr>
                <w:rFonts w:eastAsia="Times New Roman" w:cs="Calibri"/>
                <w:b/>
                <w:bCs/>
                <w:color w:val="000000"/>
                <w:lang w:val="en-GB"/>
              </w:rPr>
            </w:pPr>
            <w:bookmarkStart w:id="1087" w:name="_Toc376199300"/>
            <w:r w:rsidRPr="006645DC">
              <w:rPr>
                <w:rFonts w:eastAsia="Times New Roman" w:cs="Calibri"/>
                <w:b/>
                <w:bCs/>
                <w:color w:val="000000"/>
                <w:lang w:val="en-GB"/>
              </w:rPr>
              <w:t>43,5</w:t>
            </w:r>
            <w:bookmarkEnd w:id="1087"/>
          </w:p>
        </w:tc>
        <w:tc>
          <w:tcPr>
            <w:tcW w:w="1220" w:type="dxa"/>
            <w:tcBorders>
              <w:top w:val="single" w:sz="8" w:space="0" w:color="auto"/>
              <w:left w:val="single" w:sz="4" w:space="0" w:color="auto"/>
              <w:bottom w:val="single" w:sz="8" w:space="0" w:color="auto"/>
              <w:right w:val="nil"/>
            </w:tcBorders>
            <w:shd w:val="clear" w:color="auto" w:fill="auto"/>
            <w:noWrap/>
            <w:vAlign w:val="center"/>
            <w:hideMark/>
          </w:tcPr>
          <w:p w14:paraId="2F5311F4" w14:textId="77777777" w:rsidR="0064018D" w:rsidRPr="006645DC" w:rsidRDefault="0064018D" w:rsidP="008314FB">
            <w:pPr>
              <w:keepNext/>
              <w:keepLines/>
              <w:spacing w:before="0" w:after="0"/>
              <w:jc w:val="right"/>
              <w:outlineLvl w:val="1"/>
              <w:rPr>
                <w:rFonts w:eastAsia="Times New Roman" w:cs="Calibri"/>
                <w:b/>
                <w:bCs/>
                <w:color w:val="000000"/>
                <w:lang w:val="en-GB"/>
              </w:rPr>
            </w:pPr>
            <w:bookmarkStart w:id="1088" w:name="_Toc376199301"/>
            <w:r w:rsidRPr="006645DC">
              <w:rPr>
                <w:rFonts w:eastAsia="Times New Roman" w:cs="Calibri"/>
                <w:b/>
                <w:bCs/>
                <w:color w:val="000000"/>
                <w:lang w:val="en-GB"/>
              </w:rPr>
              <w:t>28,1</w:t>
            </w:r>
            <w:bookmarkEnd w:id="1088"/>
          </w:p>
        </w:tc>
        <w:tc>
          <w:tcPr>
            <w:tcW w:w="1100" w:type="dxa"/>
            <w:tcBorders>
              <w:top w:val="single" w:sz="8" w:space="0" w:color="auto"/>
              <w:left w:val="single" w:sz="4" w:space="0" w:color="auto"/>
              <w:bottom w:val="single" w:sz="8" w:space="0" w:color="auto"/>
              <w:right w:val="nil"/>
            </w:tcBorders>
            <w:shd w:val="clear" w:color="auto" w:fill="auto"/>
            <w:noWrap/>
            <w:vAlign w:val="center"/>
            <w:hideMark/>
          </w:tcPr>
          <w:p w14:paraId="20E4893F" w14:textId="77777777" w:rsidR="0064018D" w:rsidRPr="006645DC" w:rsidRDefault="0064018D" w:rsidP="008314FB">
            <w:pPr>
              <w:keepNext/>
              <w:keepLines/>
              <w:spacing w:before="0" w:after="0"/>
              <w:jc w:val="right"/>
              <w:outlineLvl w:val="1"/>
              <w:rPr>
                <w:rFonts w:eastAsia="Times New Roman" w:cs="Calibri"/>
                <w:b/>
                <w:bCs/>
                <w:color w:val="000000"/>
                <w:lang w:val="en-GB"/>
              </w:rPr>
            </w:pPr>
            <w:bookmarkStart w:id="1089" w:name="_Toc376199302"/>
            <w:r w:rsidRPr="006645DC">
              <w:rPr>
                <w:rFonts w:eastAsia="Times New Roman" w:cs="Calibri"/>
                <w:b/>
                <w:bCs/>
                <w:color w:val="000000"/>
                <w:lang w:val="en-GB"/>
              </w:rPr>
              <w:t>17,5</w:t>
            </w:r>
            <w:bookmarkEnd w:id="1089"/>
          </w:p>
        </w:tc>
        <w:tc>
          <w:tcPr>
            <w:tcW w:w="1080"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7A71F3ED" w14:textId="77777777" w:rsidR="0064018D" w:rsidRPr="006645DC" w:rsidRDefault="0064018D" w:rsidP="008314FB">
            <w:pPr>
              <w:keepNext/>
              <w:keepLines/>
              <w:spacing w:before="0" w:after="0"/>
              <w:jc w:val="right"/>
              <w:outlineLvl w:val="1"/>
              <w:rPr>
                <w:rFonts w:eastAsia="Times New Roman" w:cs="Calibri"/>
                <w:b/>
                <w:bCs/>
                <w:color w:val="000000"/>
                <w:lang w:val="en-GB"/>
              </w:rPr>
            </w:pPr>
            <w:bookmarkStart w:id="1090" w:name="_Toc376199303"/>
            <w:r w:rsidRPr="006645DC">
              <w:rPr>
                <w:rFonts w:eastAsia="Times New Roman" w:cs="Calibri"/>
                <w:b/>
                <w:bCs/>
                <w:color w:val="000000"/>
                <w:lang w:val="en-GB"/>
              </w:rPr>
              <w:t>31,0</w:t>
            </w:r>
            <w:bookmarkEnd w:id="1090"/>
          </w:p>
        </w:tc>
      </w:tr>
    </w:tbl>
    <w:p w14:paraId="3CB9C28D" w14:textId="77777777" w:rsidR="0064018D" w:rsidRPr="006645DC" w:rsidRDefault="0064018D" w:rsidP="0064018D">
      <w:pPr>
        <w:pStyle w:val="Caption"/>
        <w:rPr>
          <w:lang w:val="en-GB"/>
        </w:rPr>
      </w:pPr>
      <w:bookmarkStart w:id="1091" w:name="_Toc391150126"/>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29</w:t>
      </w:r>
      <w:r w:rsidR="005979EB" w:rsidRPr="006645DC">
        <w:rPr>
          <w:lang w:val="en-GB"/>
        </w:rPr>
        <w:fldChar w:fldCharType="end"/>
      </w:r>
      <w:r w:rsidRPr="006645DC">
        <w:rPr>
          <w:lang w:val="en-GB"/>
        </w:rPr>
        <w:t xml:space="preserve"> - Structure of youth unemployment by level of education until September 2013</w:t>
      </w:r>
      <w:bookmarkEnd w:id="1091"/>
    </w:p>
    <w:p w14:paraId="3D697EE1" w14:textId="77777777" w:rsidR="0064018D" w:rsidRPr="006645DC" w:rsidRDefault="0064018D" w:rsidP="0064018D">
      <w:pPr>
        <w:pStyle w:val="Heading4"/>
        <w:rPr>
          <w:lang w:val="en-GB"/>
        </w:rPr>
      </w:pPr>
      <w:r w:rsidRPr="006645DC">
        <w:rPr>
          <w:lang w:val="en-GB"/>
        </w:rPr>
        <w:t xml:space="preserve"> Source: Bulgarian Employment Agency</w:t>
      </w:r>
    </w:p>
    <w:p w14:paraId="13355302" w14:textId="77777777" w:rsidR="0064018D" w:rsidRPr="006645DC" w:rsidRDefault="0064018D" w:rsidP="0064018D">
      <w:pPr>
        <w:rPr>
          <w:lang w:val="en-GB"/>
        </w:rPr>
      </w:pPr>
      <w:r w:rsidRPr="006645DC">
        <w:rPr>
          <w:lang w:val="en-GB"/>
        </w:rPr>
        <w:t>The low level of unemployment among people with higher education in the districts of Vidin, Vratsa and Montana can be explained by the fact that there is no university in these cities and by their proximity with Sofia, where people with higher education will naturally move in search for job opportunities. On the other hand, districts with national universities such as Veliko Turnovo and Ruse have an important level of unemployment for young people with higher education.</w:t>
      </w:r>
    </w:p>
    <w:p w14:paraId="7FBE4253" w14:textId="77777777" w:rsidR="0064018D" w:rsidRPr="006645DC" w:rsidRDefault="0064018D" w:rsidP="0064018D">
      <w:pPr>
        <w:rPr>
          <w:lang w:val="en-GB"/>
        </w:rPr>
      </w:pPr>
      <w:r w:rsidRPr="006645DC">
        <w:rPr>
          <w:lang w:val="en-GB"/>
        </w:rPr>
        <w:t xml:space="preserve">Despite the differences in employment structure and unemployment evolution, the whole cross-border area seems to display similarities in terms of employment opportunities for the persons with university education level. This indicates a relative difficulty of the university </w:t>
      </w:r>
      <w:r w:rsidR="00B63EA8" w:rsidRPr="006645DC">
        <w:rPr>
          <w:lang w:val="en-GB"/>
        </w:rPr>
        <w:t>centres</w:t>
      </w:r>
      <w:r w:rsidRPr="006645DC">
        <w:rPr>
          <w:lang w:val="en-GB"/>
        </w:rPr>
        <w:t xml:space="preserve"> in the area to cater to the real demand on the labour market and the existence of factors that drive the brain-drain. </w:t>
      </w:r>
    </w:p>
    <w:p w14:paraId="410358BF" w14:textId="77777777" w:rsidR="0064018D" w:rsidRPr="006645DC" w:rsidRDefault="0064018D" w:rsidP="0064018D">
      <w:pPr>
        <w:pStyle w:val="Heading3"/>
        <w:rPr>
          <w:lang w:val="en-GB"/>
        </w:rPr>
      </w:pPr>
      <w:bookmarkStart w:id="1092" w:name="_Toc254543797"/>
      <w:r w:rsidRPr="006645DC">
        <w:rPr>
          <w:lang w:val="en-GB"/>
        </w:rPr>
        <w:t>Paid workforce</w:t>
      </w:r>
      <w:bookmarkEnd w:id="1092"/>
    </w:p>
    <w:p w14:paraId="3870751F" w14:textId="77777777" w:rsidR="0064018D" w:rsidRPr="006645DC" w:rsidRDefault="0064018D" w:rsidP="0064018D">
      <w:pPr>
        <w:rPr>
          <w:b/>
          <w:lang w:val="en-GB"/>
        </w:rPr>
      </w:pPr>
      <w:r w:rsidRPr="006645DC">
        <w:rPr>
          <w:lang w:val="en-GB"/>
        </w:rPr>
        <w:t xml:space="preserve">This category represents the population that receives a salary either in a regular manner or as seasonal worker. The rate of employees in the overall occupied population of the cross-border area of Romania was less than 50% (with Giurgiu, Teleorman reaching even 30% values) while in the overall Romania the value was of 51% (2012 figures). This can indicate in the same time a higher proportion of independent workers and workers inside their household (which is obvious in an area dominated by small-plot agriculture) and a higher use by the economic sector of temporary employment. These elements are </w:t>
      </w:r>
      <w:r w:rsidRPr="006645DC">
        <w:rPr>
          <w:lang w:val="en-GB"/>
        </w:rPr>
        <w:lastRenderedPageBreak/>
        <w:t xml:space="preserve">constitutive of an area where income security is low and with an important social stress. Only Constanta, with its strongly urban population is again different.  </w:t>
      </w:r>
    </w:p>
    <w:p w14:paraId="4D4A0904" w14:textId="77777777" w:rsidR="0064018D" w:rsidRPr="006645DC" w:rsidRDefault="0064018D" w:rsidP="0064018D">
      <w:pPr>
        <w:rPr>
          <w:lang w:val="en-GB"/>
        </w:rPr>
      </w:pPr>
      <w:r w:rsidRPr="006645DC">
        <w:rPr>
          <w:lang w:val="en-GB"/>
        </w:rPr>
        <w:t>The permanently occupied population in the Bulgarian cross-border area with a labour contract in 2012 represents 56.78% of the regional workforce, compared to a national level of 67.82%. The highest rates are reported for Veliko Turnovo, Ruse and Pleven, while the smaller cities in agricultural or mountainous areas such as Silistra, Vidin and Montana display lower rates. Reasons for the low levels of people on labour contract compared to the national rate can be various:</w:t>
      </w:r>
    </w:p>
    <w:p w14:paraId="2C48C7BB" w14:textId="77777777" w:rsidR="0064018D" w:rsidRPr="006645DC" w:rsidRDefault="0064018D" w:rsidP="00FC552C">
      <w:pPr>
        <w:pStyle w:val="ListParagraph"/>
        <w:numPr>
          <w:ilvl w:val="0"/>
          <w:numId w:val="12"/>
        </w:numPr>
        <w:autoSpaceDE w:val="0"/>
        <w:autoSpaceDN w:val="0"/>
        <w:adjustRightInd w:val="0"/>
        <w:ind w:left="924" w:hanging="357"/>
        <w:rPr>
          <w:lang w:val="en-GB"/>
        </w:rPr>
      </w:pPr>
      <w:r w:rsidRPr="006645DC">
        <w:rPr>
          <w:lang w:val="en-GB"/>
        </w:rPr>
        <w:t>Self-employment or agricultural producers;</w:t>
      </w:r>
    </w:p>
    <w:p w14:paraId="7F230C46" w14:textId="77777777" w:rsidR="0064018D" w:rsidRPr="006645DC" w:rsidRDefault="0064018D" w:rsidP="00FC552C">
      <w:pPr>
        <w:pStyle w:val="ListParagraph"/>
        <w:numPr>
          <w:ilvl w:val="0"/>
          <w:numId w:val="12"/>
        </w:numPr>
        <w:autoSpaceDE w:val="0"/>
        <w:autoSpaceDN w:val="0"/>
        <w:adjustRightInd w:val="0"/>
        <w:ind w:left="924" w:hanging="357"/>
        <w:rPr>
          <w:lang w:val="en-GB"/>
        </w:rPr>
      </w:pPr>
      <w:r w:rsidRPr="006645DC">
        <w:rPr>
          <w:lang w:val="en-GB"/>
        </w:rPr>
        <w:t>Grey economy.</w:t>
      </w:r>
    </w:p>
    <w:p w14:paraId="7E9AD43C" w14:textId="77777777" w:rsidR="0064018D" w:rsidRPr="006645DC" w:rsidRDefault="0064018D" w:rsidP="00C951D5">
      <w:pPr>
        <w:pStyle w:val="Heading5"/>
        <w:numPr>
          <w:ilvl w:val="0"/>
          <w:numId w:val="129"/>
        </w:numPr>
        <w:rPr>
          <w:lang w:val="en-GB"/>
        </w:rPr>
      </w:pPr>
      <w:r w:rsidRPr="006645DC">
        <w:rPr>
          <w:lang w:val="en-GB"/>
        </w:rPr>
        <w:t>Salary revenue and pay inequalities</w:t>
      </w:r>
    </w:p>
    <w:p w14:paraId="14CCF6EA" w14:textId="77777777" w:rsidR="0064018D" w:rsidRPr="006645DC" w:rsidRDefault="0064018D" w:rsidP="0064018D">
      <w:pPr>
        <w:rPr>
          <w:lang w:val="en-GB"/>
        </w:rPr>
      </w:pPr>
      <w:r w:rsidRPr="006645DC">
        <w:rPr>
          <w:lang w:val="en-GB"/>
        </w:rPr>
        <w:t xml:space="preserve">In 2012, the net monthly average salary in Romania was 338 Euro, while in Bulgaria it was 415 euro, higher by 18%, namely 77 Euro. </w:t>
      </w:r>
    </w:p>
    <w:p w14:paraId="16291EE4" w14:textId="77777777" w:rsidR="0064018D" w:rsidRPr="006645DC" w:rsidRDefault="0064018D" w:rsidP="0064018D">
      <w:pPr>
        <w:rPr>
          <w:lang w:val="en-GB"/>
        </w:rPr>
      </w:pPr>
      <w:r w:rsidRPr="006645DC">
        <w:rPr>
          <w:lang w:val="en-GB"/>
        </w:rPr>
        <w:t>The cross-border area in Romania is an area of depressed revenue (70% to 80% of the national average) if we compare it to the national values, with the exception of the county of Constanta (94.5%). The area displayed in 2012 an average net monthly salary that represented 85% of the national average. This comparison is even worse if we look at the average net monthly salary of Bucharest (2012), the capital city being</w:t>
      </w:r>
      <w:r w:rsidR="00B63EA8" w:rsidRPr="006645DC">
        <w:rPr>
          <w:lang w:val="en-GB"/>
        </w:rPr>
        <w:t xml:space="preserve"> in</w:t>
      </w:r>
      <w:r w:rsidRPr="006645DC">
        <w:rPr>
          <w:lang w:val="en-GB"/>
        </w:rPr>
        <w:t xml:space="preserve"> the immediate neighbour</w:t>
      </w:r>
      <w:r w:rsidR="00B63EA8" w:rsidRPr="006645DC">
        <w:rPr>
          <w:lang w:val="en-GB"/>
        </w:rPr>
        <w:t>ing</w:t>
      </w:r>
      <w:r w:rsidRPr="006645DC">
        <w:rPr>
          <w:lang w:val="en-GB"/>
        </w:rPr>
        <w:t xml:space="preserve"> of the area. Calarasi, Giurgiu and Teleorman, all in the catchment area for commuting with the capital, display average salary earnings that are only marginally higher than 50% of the average earning in Bucharest. This indicates the “irresistible labour market attraction” of the capital city towards the workforce of these counties. In the perspective of balances territorial development, this represents a major concern and challenge as the most flexible and best trained workforce of these territories is not a competitive asset for the cross-border area but contributes to the prosperity of Bucharest.  </w:t>
      </w:r>
    </w:p>
    <w:tbl>
      <w:tblPr>
        <w:tblW w:w="10102" w:type="dxa"/>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3720"/>
        <w:gridCol w:w="1053"/>
        <w:gridCol w:w="2608"/>
        <w:gridCol w:w="2721"/>
      </w:tblGrid>
      <w:tr w:rsidR="002F582C" w:rsidRPr="006645DC" w14:paraId="6FDF664A" w14:textId="77777777" w:rsidTr="00393EB7">
        <w:trPr>
          <w:trHeight w:val="283"/>
          <w:jc w:val="center"/>
        </w:trPr>
        <w:tc>
          <w:tcPr>
            <w:tcW w:w="3720" w:type="dxa"/>
            <w:shd w:val="clear" w:color="auto" w:fill="auto"/>
            <w:vAlign w:val="center"/>
          </w:tcPr>
          <w:p w14:paraId="4292C6ED" w14:textId="77777777" w:rsidR="0064018D" w:rsidRPr="006645DC" w:rsidRDefault="0064018D" w:rsidP="00393EB7">
            <w:pPr>
              <w:spacing w:before="0" w:after="0"/>
              <w:jc w:val="center"/>
              <w:rPr>
                <w:rFonts w:eastAsia="Times New Roman" w:cs="Calibri"/>
                <w:b/>
                <w:bCs/>
                <w:color w:val="000000"/>
                <w:lang w:val="en-GB"/>
              </w:rPr>
            </w:pPr>
            <w:r w:rsidRPr="006645DC">
              <w:rPr>
                <w:rFonts w:eastAsia="Times New Roman" w:cs="Calibri"/>
                <w:b/>
                <w:bCs/>
                <w:color w:val="000000"/>
                <w:lang w:val="en-GB"/>
              </w:rPr>
              <w:t>Average net monthly salary in 2012</w:t>
            </w:r>
          </w:p>
        </w:tc>
        <w:tc>
          <w:tcPr>
            <w:tcW w:w="1053" w:type="dxa"/>
            <w:shd w:val="clear" w:color="auto" w:fill="auto"/>
            <w:noWrap/>
            <w:vAlign w:val="center"/>
          </w:tcPr>
          <w:p w14:paraId="13E6517C" w14:textId="77777777" w:rsidR="0064018D" w:rsidRPr="006645DC" w:rsidRDefault="0064018D" w:rsidP="00393EB7">
            <w:pPr>
              <w:spacing w:before="0" w:after="0"/>
              <w:jc w:val="center"/>
              <w:rPr>
                <w:rFonts w:eastAsia="Times New Roman" w:cs="Calibri"/>
                <w:b/>
                <w:bCs/>
                <w:color w:val="000000"/>
                <w:lang w:val="en-GB"/>
              </w:rPr>
            </w:pPr>
            <w:r w:rsidRPr="006645DC">
              <w:rPr>
                <w:rFonts w:eastAsia="Times New Roman" w:cs="Calibri"/>
                <w:b/>
                <w:bCs/>
                <w:color w:val="000000"/>
                <w:lang w:val="en-GB"/>
              </w:rPr>
              <w:t>EUR</w:t>
            </w:r>
          </w:p>
        </w:tc>
        <w:tc>
          <w:tcPr>
            <w:tcW w:w="2608" w:type="dxa"/>
            <w:shd w:val="clear" w:color="auto" w:fill="auto"/>
            <w:vAlign w:val="center"/>
          </w:tcPr>
          <w:p w14:paraId="05D0BE4B" w14:textId="77777777" w:rsidR="0064018D" w:rsidRPr="006645DC" w:rsidRDefault="0064018D" w:rsidP="00393EB7">
            <w:pPr>
              <w:spacing w:before="0" w:after="0"/>
              <w:jc w:val="center"/>
              <w:rPr>
                <w:rFonts w:eastAsia="Times New Roman" w:cs="Calibri"/>
                <w:b/>
                <w:bCs/>
                <w:color w:val="000000"/>
                <w:lang w:val="en-GB"/>
              </w:rPr>
            </w:pPr>
            <w:r w:rsidRPr="006645DC">
              <w:rPr>
                <w:rFonts w:eastAsia="Times New Roman" w:cs="Calibri"/>
                <w:b/>
                <w:bCs/>
                <w:color w:val="000000"/>
                <w:lang w:val="en-GB"/>
              </w:rPr>
              <w:t>% of the national average</w:t>
            </w:r>
          </w:p>
        </w:tc>
        <w:tc>
          <w:tcPr>
            <w:tcW w:w="2721" w:type="dxa"/>
            <w:shd w:val="clear" w:color="auto" w:fill="auto"/>
            <w:vAlign w:val="center"/>
          </w:tcPr>
          <w:p w14:paraId="3420F839" w14:textId="77777777" w:rsidR="0064018D" w:rsidRPr="006645DC" w:rsidRDefault="0064018D" w:rsidP="00393EB7">
            <w:pPr>
              <w:spacing w:before="0" w:after="0"/>
              <w:jc w:val="center"/>
              <w:rPr>
                <w:rFonts w:eastAsia="Times New Roman" w:cs="Calibri"/>
                <w:b/>
                <w:bCs/>
                <w:color w:val="000000"/>
                <w:lang w:val="en-GB"/>
              </w:rPr>
            </w:pPr>
            <w:r w:rsidRPr="006645DC">
              <w:rPr>
                <w:rFonts w:eastAsia="Times New Roman" w:cs="Calibri"/>
                <w:b/>
                <w:bCs/>
                <w:color w:val="000000"/>
                <w:lang w:val="en-GB"/>
              </w:rPr>
              <w:t>% of the Bucharest average</w:t>
            </w:r>
          </w:p>
        </w:tc>
      </w:tr>
      <w:tr w:rsidR="002F582C" w:rsidRPr="006645DC" w14:paraId="4689C39B" w14:textId="77777777" w:rsidTr="00393EB7">
        <w:trPr>
          <w:trHeight w:val="283"/>
          <w:jc w:val="center"/>
        </w:trPr>
        <w:tc>
          <w:tcPr>
            <w:tcW w:w="3720" w:type="dxa"/>
            <w:shd w:val="clear" w:color="auto" w:fill="auto"/>
            <w:vAlign w:val="center"/>
            <w:hideMark/>
          </w:tcPr>
          <w:p w14:paraId="68641EF0" w14:textId="77777777" w:rsidR="0064018D" w:rsidRPr="006645DC" w:rsidRDefault="0064018D" w:rsidP="00393EB7">
            <w:pPr>
              <w:spacing w:before="0" w:after="0"/>
              <w:rPr>
                <w:rFonts w:eastAsia="Times New Roman" w:cs="Calibri"/>
                <w:b/>
                <w:bCs/>
                <w:color w:val="000000"/>
                <w:lang w:val="en-GB"/>
              </w:rPr>
            </w:pPr>
            <w:r w:rsidRPr="006645DC">
              <w:rPr>
                <w:rFonts w:eastAsia="Times New Roman" w:cs="Calibri"/>
                <w:b/>
                <w:bCs/>
                <w:color w:val="000000"/>
                <w:lang w:val="en-GB"/>
              </w:rPr>
              <w:t>Romania</w:t>
            </w:r>
          </w:p>
        </w:tc>
        <w:tc>
          <w:tcPr>
            <w:tcW w:w="1053" w:type="dxa"/>
            <w:shd w:val="clear" w:color="auto" w:fill="auto"/>
            <w:noWrap/>
            <w:vAlign w:val="center"/>
            <w:hideMark/>
          </w:tcPr>
          <w:p w14:paraId="6403D958"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093" w:name="_Toc376199304"/>
            <w:r w:rsidRPr="006645DC">
              <w:rPr>
                <w:rFonts w:eastAsia="Times New Roman" w:cs="Calibri"/>
                <w:color w:val="000000"/>
                <w:lang w:val="en-GB"/>
              </w:rPr>
              <w:t>338</w:t>
            </w:r>
            <w:bookmarkEnd w:id="1093"/>
          </w:p>
        </w:tc>
        <w:tc>
          <w:tcPr>
            <w:tcW w:w="2608" w:type="dxa"/>
            <w:shd w:val="clear" w:color="auto" w:fill="auto"/>
            <w:vAlign w:val="center"/>
          </w:tcPr>
          <w:p w14:paraId="02B5DDFD"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094" w:name="_Toc376199305"/>
            <w:r w:rsidRPr="006645DC">
              <w:rPr>
                <w:rFonts w:eastAsia="Times New Roman" w:cs="Calibri"/>
                <w:color w:val="000000"/>
                <w:lang w:val="en-GB"/>
              </w:rPr>
              <w:t>100</w:t>
            </w:r>
            <w:bookmarkEnd w:id="1094"/>
          </w:p>
        </w:tc>
        <w:tc>
          <w:tcPr>
            <w:tcW w:w="2721" w:type="dxa"/>
            <w:shd w:val="clear" w:color="auto" w:fill="auto"/>
            <w:vAlign w:val="center"/>
          </w:tcPr>
          <w:p w14:paraId="1611DE4C"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095" w:name="_Toc376199306"/>
            <w:r w:rsidRPr="006645DC">
              <w:rPr>
                <w:rFonts w:cs="Calibri"/>
                <w:color w:val="000000"/>
                <w:lang w:val="en-GB"/>
              </w:rPr>
              <w:t>68</w:t>
            </w:r>
            <w:bookmarkEnd w:id="1095"/>
          </w:p>
        </w:tc>
      </w:tr>
      <w:tr w:rsidR="002F582C" w:rsidRPr="006645DC" w14:paraId="7A532D83" w14:textId="77777777" w:rsidTr="00393EB7">
        <w:trPr>
          <w:trHeight w:val="283"/>
          <w:jc w:val="center"/>
        </w:trPr>
        <w:tc>
          <w:tcPr>
            <w:tcW w:w="3720" w:type="dxa"/>
            <w:shd w:val="clear" w:color="auto" w:fill="auto"/>
            <w:vAlign w:val="center"/>
            <w:hideMark/>
          </w:tcPr>
          <w:p w14:paraId="2E21F26B" w14:textId="77777777" w:rsidR="0064018D" w:rsidRPr="006645DC" w:rsidRDefault="0064018D" w:rsidP="00393EB7">
            <w:pPr>
              <w:keepNext/>
              <w:keepLines/>
              <w:spacing w:before="0" w:after="0"/>
              <w:outlineLvl w:val="1"/>
              <w:rPr>
                <w:rFonts w:eastAsia="Times New Roman" w:cs="Calibri"/>
                <w:b/>
                <w:bCs/>
                <w:color w:val="000000"/>
                <w:lang w:val="en-GB"/>
              </w:rPr>
            </w:pPr>
            <w:bookmarkStart w:id="1096" w:name="_Toc376199307"/>
            <w:r w:rsidRPr="006645DC">
              <w:rPr>
                <w:rFonts w:eastAsia="Times New Roman" w:cs="Calibri"/>
                <w:b/>
                <w:bCs/>
                <w:color w:val="000000"/>
                <w:lang w:val="en-GB"/>
              </w:rPr>
              <w:t>Constanta</w:t>
            </w:r>
            <w:bookmarkEnd w:id="1096"/>
          </w:p>
        </w:tc>
        <w:tc>
          <w:tcPr>
            <w:tcW w:w="1053" w:type="dxa"/>
            <w:shd w:val="clear" w:color="auto" w:fill="auto"/>
            <w:noWrap/>
            <w:vAlign w:val="center"/>
            <w:hideMark/>
          </w:tcPr>
          <w:p w14:paraId="675DB5EE"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097" w:name="_Toc376199308"/>
            <w:r w:rsidRPr="006645DC">
              <w:rPr>
                <w:rFonts w:eastAsia="Times New Roman" w:cs="Calibri"/>
                <w:color w:val="000000"/>
                <w:lang w:val="en-GB"/>
              </w:rPr>
              <w:t>319</w:t>
            </w:r>
            <w:bookmarkEnd w:id="1097"/>
          </w:p>
        </w:tc>
        <w:tc>
          <w:tcPr>
            <w:tcW w:w="2608" w:type="dxa"/>
            <w:shd w:val="clear" w:color="auto" w:fill="auto"/>
            <w:vAlign w:val="center"/>
          </w:tcPr>
          <w:p w14:paraId="11195B1B"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098" w:name="_Toc376199309"/>
            <w:r w:rsidRPr="006645DC">
              <w:rPr>
                <w:rFonts w:cs="Calibri"/>
                <w:color w:val="000000"/>
                <w:lang w:val="en-GB"/>
              </w:rPr>
              <w:t>94</w:t>
            </w:r>
            <w:bookmarkEnd w:id="1098"/>
          </w:p>
        </w:tc>
        <w:tc>
          <w:tcPr>
            <w:tcW w:w="2721" w:type="dxa"/>
            <w:shd w:val="clear" w:color="auto" w:fill="auto"/>
            <w:vAlign w:val="center"/>
          </w:tcPr>
          <w:p w14:paraId="14C8E703" w14:textId="77777777" w:rsidR="0064018D" w:rsidRPr="006645DC" w:rsidRDefault="0064018D" w:rsidP="00393EB7">
            <w:pPr>
              <w:keepNext/>
              <w:keepLines/>
              <w:spacing w:before="0" w:after="0"/>
              <w:jc w:val="right"/>
              <w:outlineLvl w:val="1"/>
              <w:rPr>
                <w:rFonts w:cs="Calibri"/>
                <w:color w:val="000000"/>
                <w:lang w:val="en-GB"/>
              </w:rPr>
            </w:pPr>
            <w:bookmarkStart w:id="1099" w:name="_Toc376199310"/>
            <w:r w:rsidRPr="006645DC">
              <w:rPr>
                <w:rFonts w:cs="Calibri"/>
                <w:color w:val="000000"/>
                <w:lang w:val="en-GB"/>
              </w:rPr>
              <w:t>64</w:t>
            </w:r>
            <w:bookmarkEnd w:id="1099"/>
          </w:p>
        </w:tc>
      </w:tr>
      <w:tr w:rsidR="002F582C" w:rsidRPr="006645DC" w14:paraId="5F03808C" w14:textId="77777777" w:rsidTr="00393EB7">
        <w:trPr>
          <w:trHeight w:val="283"/>
          <w:jc w:val="center"/>
        </w:trPr>
        <w:tc>
          <w:tcPr>
            <w:tcW w:w="3720" w:type="dxa"/>
            <w:shd w:val="clear" w:color="auto" w:fill="auto"/>
            <w:vAlign w:val="center"/>
            <w:hideMark/>
          </w:tcPr>
          <w:p w14:paraId="6405E91B" w14:textId="77777777" w:rsidR="0064018D" w:rsidRPr="006645DC" w:rsidRDefault="0064018D" w:rsidP="00393EB7">
            <w:pPr>
              <w:keepNext/>
              <w:keepLines/>
              <w:spacing w:before="0" w:after="0"/>
              <w:outlineLvl w:val="1"/>
              <w:rPr>
                <w:rFonts w:eastAsia="Times New Roman" w:cs="Calibri"/>
                <w:b/>
                <w:bCs/>
                <w:color w:val="000000"/>
                <w:lang w:val="en-GB"/>
              </w:rPr>
            </w:pPr>
            <w:bookmarkStart w:id="1100" w:name="_Toc376199311"/>
            <w:r w:rsidRPr="006645DC">
              <w:rPr>
                <w:rFonts w:eastAsia="Times New Roman" w:cs="Calibri"/>
                <w:b/>
                <w:bCs/>
                <w:color w:val="000000"/>
                <w:lang w:val="en-GB"/>
              </w:rPr>
              <w:t>Calarasi</w:t>
            </w:r>
            <w:bookmarkEnd w:id="1100"/>
          </w:p>
        </w:tc>
        <w:tc>
          <w:tcPr>
            <w:tcW w:w="1053" w:type="dxa"/>
            <w:shd w:val="clear" w:color="auto" w:fill="auto"/>
            <w:noWrap/>
            <w:vAlign w:val="center"/>
            <w:hideMark/>
          </w:tcPr>
          <w:p w14:paraId="51CCAE03"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01" w:name="_Toc376199312"/>
            <w:r w:rsidRPr="006645DC">
              <w:rPr>
                <w:rFonts w:eastAsia="Times New Roman" w:cs="Calibri"/>
                <w:color w:val="000000"/>
                <w:lang w:val="en-GB"/>
              </w:rPr>
              <w:t>264</w:t>
            </w:r>
            <w:bookmarkEnd w:id="1101"/>
          </w:p>
        </w:tc>
        <w:tc>
          <w:tcPr>
            <w:tcW w:w="2608" w:type="dxa"/>
            <w:shd w:val="clear" w:color="auto" w:fill="auto"/>
            <w:vAlign w:val="center"/>
          </w:tcPr>
          <w:p w14:paraId="343C96F0"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02" w:name="_Toc376199313"/>
            <w:r w:rsidRPr="006645DC">
              <w:rPr>
                <w:rFonts w:cs="Calibri"/>
                <w:color w:val="000000"/>
                <w:lang w:val="en-GB"/>
              </w:rPr>
              <w:t>78</w:t>
            </w:r>
            <w:bookmarkEnd w:id="1102"/>
          </w:p>
        </w:tc>
        <w:tc>
          <w:tcPr>
            <w:tcW w:w="2721" w:type="dxa"/>
            <w:shd w:val="clear" w:color="auto" w:fill="auto"/>
            <w:vAlign w:val="center"/>
          </w:tcPr>
          <w:p w14:paraId="1377339B" w14:textId="77777777" w:rsidR="0064018D" w:rsidRPr="006645DC" w:rsidRDefault="0064018D" w:rsidP="00393EB7">
            <w:pPr>
              <w:keepNext/>
              <w:keepLines/>
              <w:spacing w:before="0" w:after="0"/>
              <w:jc w:val="right"/>
              <w:outlineLvl w:val="1"/>
              <w:rPr>
                <w:rFonts w:cs="Calibri"/>
                <w:color w:val="000000"/>
                <w:lang w:val="en-GB"/>
              </w:rPr>
            </w:pPr>
            <w:bookmarkStart w:id="1103" w:name="_Toc376199314"/>
            <w:r w:rsidRPr="006645DC">
              <w:rPr>
                <w:rFonts w:cs="Calibri"/>
                <w:color w:val="000000"/>
                <w:lang w:val="en-GB"/>
              </w:rPr>
              <w:t>53</w:t>
            </w:r>
            <w:bookmarkEnd w:id="1103"/>
          </w:p>
        </w:tc>
      </w:tr>
      <w:tr w:rsidR="002F582C" w:rsidRPr="006645DC" w14:paraId="2DA7B766" w14:textId="77777777" w:rsidTr="00393EB7">
        <w:trPr>
          <w:trHeight w:val="283"/>
          <w:jc w:val="center"/>
        </w:trPr>
        <w:tc>
          <w:tcPr>
            <w:tcW w:w="3720" w:type="dxa"/>
            <w:shd w:val="clear" w:color="auto" w:fill="auto"/>
            <w:vAlign w:val="center"/>
            <w:hideMark/>
          </w:tcPr>
          <w:p w14:paraId="24676064" w14:textId="77777777" w:rsidR="0064018D" w:rsidRPr="006645DC" w:rsidRDefault="0064018D" w:rsidP="00393EB7">
            <w:pPr>
              <w:keepNext/>
              <w:keepLines/>
              <w:spacing w:before="0" w:after="0"/>
              <w:outlineLvl w:val="1"/>
              <w:rPr>
                <w:rFonts w:eastAsia="Times New Roman" w:cs="Calibri"/>
                <w:b/>
                <w:bCs/>
                <w:color w:val="000000"/>
                <w:lang w:val="en-GB"/>
              </w:rPr>
            </w:pPr>
            <w:bookmarkStart w:id="1104" w:name="_Toc376199315"/>
            <w:r w:rsidRPr="006645DC">
              <w:rPr>
                <w:rFonts w:eastAsia="Times New Roman" w:cs="Calibri"/>
                <w:b/>
                <w:bCs/>
                <w:color w:val="000000"/>
                <w:lang w:val="en-GB"/>
              </w:rPr>
              <w:t>Giurgiu</w:t>
            </w:r>
            <w:bookmarkEnd w:id="1104"/>
          </w:p>
        </w:tc>
        <w:tc>
          <w:tcPr>
            <w:tcW w:w="1053" w:type="dxa"/>
            <w:shd w:val="clear" w:color="auto" w:fill="auto"/>
            <w:noWrap/>
            <w:vAlign w:val="center"/>
            <w:hideMark/>
          </w:tcPr>
          <w:p w14:paraId="2CE99487"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05" w:name="_Toc376199316"/>
            <w:r w:rsidRPr="006645DC">
              <w:rPr>
                <w:rFonts w:eastAsia="Times New Roman" w:cs="Calibri"/>
                <w:color w:val="000000"/>
                <w:lang w:val="en-GB"/>
              </w:rPr>
              <w:t>278</w:t>
            </w:r>
            <w:bookmarkEnd w:id="1105"/>
          </w:p>
        </w:tc>
        <w:tc>
          <w:tcPr>
            <w:tcW w:w="2608" w:type="dxa"/>
            <w:shd w:val="clear" w:color="auto" w:fill="auto"/>
            <w:vAlign w:val="center"/>
          </w:tcPr>
          <w:p w14:paraId="17F3BB5D"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06" w:name="_Toc376199317"/>
            <w:r w:rsidRPr="006645DC">
              <w:rPr>
                <w:rFonts w:cs="Calibri"/>
                <w:color w:val="000000"/>
                <w:lang w:val="en-GB"/>
              </w:rPr>
              <w:t>82</w:t>
            </w:r>
            <w:bookmarkEnd w:id="1106"/>
          </w:p>
        </w:tc>
        <w:tc>
          <w:tcPr>
            <w:tcW w:w="2721" w:type="dxa"/>
            <w:shd w:val="clear" w:color="auto" w:fill="auto"/>
            <w:vAlign w:val="center"/>
          </w:tcPr>
          <w:p w14:paraId="7C679AB9" w14:textId="77777777" w:rsidR="0064018D" w:rsidRPr="006645DC" w:rsidRDefault="0064018D" w:rsidP="00393EB7">
            <w:pPr>
              <w:keepNext/>
              <w:keepLines/>
              <w:spacing w:before="0" w:after="0"/>
              <w:jc w:val="right"/>
              <w:outlineLvl w:val="1"/>
              <w:rPr>
                <w:rFonts w:cs="Calibri"/>
                <w:color w:val="000000"/>
                <w:lang w:val="en-GB"/>
              </w:rPr>
            </w:pPr>
            <w:bookmarkStart w:id="1107" w:name="_Toc376199318"/>
            <w:r w:rsidRPr="006645DC">
              <w:rPr>
                <w:rFonts w:cs="Calibri"/>
                <w:color w:val="000000"/>
                <w:lang w:val="en-GB"/>
              </w:rPr>
              <w:t>56</w:t>
            </w:r>
            <w:bookmarkEnd w:id="1107"/>
          </w:p>
        </w:tc>
      </w:tr>
      <w:tr w:rsidR="002F582C" w:rsidRPr="006645DC" w14:paraId="345F699D" w14:textId="77777777" w:rsidTr="00393EB7">
        <w:trPr>
          <w:trHeight w:val="283"/>
          <w:jc w:val="center"/>
        </w:trPr>
        <w:tc>
          <w:tcPr>
            <w:tcW w:w="3720" w:type="dxa"/>
            <w:shd w:val="clear" w:color="auto" w:fill="auto"/>
            <w:vAlign w:val="center"/>
            <w:hideMark/>
          </w:tcPr>
          <w:p w14:paraId="16339834" w14:textId="77777777" w:rsidR="0064018D" w:rsidRPr="006645DC" w:rsidRDefault="0064018D" w:rsidP="00393EB7">
            <w:pPr>
              <w:keepNext/>
              <w:keepLines/>
              <w:spacing w:before="0" w:after="0"/>
              <w:outlineLvl w:val="1"/>
              <w:rPr>
                <w:rFonts w:eastAsia="Times New Roman" w:cs="Calibri"/>
                <w:b/>
                <w:bCs/>
                <w:color w:val="000000"/>
                <w:lang w:val="en-GB"/>
              </w:rPr>
            </w:pPr>
            <w:bookmarkStart w:id="1108" w:name="_Toc376199319"/>
            <w:r w:rsidRPr="006645DC">
              <w:rPr>
                <w:rFonts w:eastAsia="Times New Roman" w:cs="Calibri"/>
                <w:b/>
                <w:bCs/>
                <w:color w:val="000000"/>
                <w:lang w:val="en-GB"/>
              </w:rPr>
              <w:t>Teleorman</w:t>
            </w:r>
            <w:bookmarkEnd w:id="1108"/>
          </w:p>
        </w:tc>
        <w:tc>
          <w:tcPr>
            <w:tcW w:w="1053" w:type="dxa"/>
            <w:shd w:val="clear" w:color="auto" w:fill="auto"/>
            <w:noWrap/>
            <w:vAlign w:val="center"/>
            <w:hideMark/>
          </w:tcPr>
          <w:p w14:paraId="5462B5B1"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09" w:name="_Toc376199320"/>
            <w:r w:rsidRPr="006645DC">
              <w:rPr>
                <w:rFonts w:eastAsia="Times New Roman" w:cs="Calibri"/>
                <w:color w:val="000000"/>
                <w:lang w:val="en-GB"/>
              </w:rPr>
              <w:t>262</w:t>
            </w:r>
            <w:bookmarkEnd w:id="1109"/>
          </w:p>
        </w:tc>
        <w:tc>
          <w:tcPr>
            <w:tcW w:w="2608" w:type="dxa"/>
            <w:shd w:val="clear" w:color="auto" w:fill="auto"/>
            <w:vAlign w:val="center"/>
          </w:tcPr>
          <w:p w14:paraId="69E126FB"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10" w:name="_Toc376199321"/>
            <w:r w:rsidRPr="006645DC">
              <w:rPr>
                <w:rFonts w:cs="Calibri"/>
                <w:color w:val="000000"/>
                <w:lang w:val="en-GB"/>
              </w:rPr>
              <w:t>77</w:t>
            </w:r>
            <w:bookmarkEnd w:id="1110"/>
          </w:p>
        </w:tc>
        <w:tc>
          <w:tcPr>
            <w:tcW w:w="2721" w:type="dxa"/>
            <w:shd w:val="clear" w:color="auto" w:fill="auto"/>
            <w:vAlign w:val="center"/>
          </w:tcPr>
          <w:p w14:paraId="7DA169A9" w14:textId="77777777" w:rsidR="0064018D" w:rsidRPr="006645DC" w:rsidRDefault="0064018D" w:rsidP="00393EB7">
            <w:pPr>
              <w:keepNext/>
              <w:keepLines/>
              <w:spacing w:before="0" w:after="0"/>
              <w:jc w:val="right"/>
              <w:outlineLvl w:val="1"/>
              <w:rPr>
                <w:rFonts w:cs="Calibri"/>
                <w:color w:val="000000"/>
                <w:lang w:val="en-GB"/>
              </w:rPr>
            </w:pPr>
            <w:bookmarkStart w:id="1111" w:name="_Toc376199322"/>
            <w:r w:rsidRPr="006645DC">
              <w:rPr>
                <w:rFonts w:cs="Calibri"/>
                <w:color w:val="000000"/>
                <w:lang w:val="en-GB"/>
              </w:rPr>
              <w:t>52</w:t>
            </w:r>
            <w:bookmarkEnd w:id="1111"/>
          </w:p>
        </w:tc>
      </w:tr>
      <w:tr w:rsidR="002F582C" w:rsidRPr="006645DC" w14:paraId="3E0988BB" w14:textId="77777777" w:rsidTr="00393EB7">
        <w:trPr>
          <w:trHeight w:val="283"/>
          <w:jc w:val="center"/>
        </w:trPr>
        <w:tc>
          <w:tcPr>
            <w:tcW w:w="3720" w:type="dxa"/>
            <w:shd w:val="clear" w:color="auto" w:fill="auto"/>
            <w:vAlign w:val="center"/>
            <w:hideMark/>
          </w:tcPr>
          <w:p w14:paraId="4B637132" w14:textId="77777777" w:rsidR="0064018D" w:rsidRPr="006645DC" w:rsidRDefault="0064018D" w:rsidP="00393EB7">
            <w:pPr>
              <w:keepNext/>
              <w:keepLines/>
              <w:spacing w:before="0" w:after="0"/>
              <w:outlineLvl w:val="1"/>
              <w:rPr>
                <w:rFonts w:eastAsia="Times New Roman" w:cs="Calibri"/>
                <w:b/>
                <w:bCs/>
                <w:color w:val="000000"/>
                <w:lang w:val="en-GB"/>
              </w:rPr>
            </w:pPr>
            <w:bookmarkStart w:id="1112" w:name="_Toc376199323"/>
            <w:r w:rsidRPr="006645DC">
              <w:rPr>
                <w:rFonts w:eastAsia="Times New Roman" w:cs="Calibri"/>
                <w:b/>
                <w:bCs/>
                <w:color w:val="000000"/>
                <w:lang w:val="en-GB"/>
              </w:rPr>
              <w:t>Bucharest</w:t>
            </w:r>
            <w:bookmarkEnd w:id="1112"/>
          </w:p>
        </w:tc>
        <w:tc>
          <w:tcPr>
            <w:tcW w:w="1053" w:type="dxa"/>
            <w:shd w:val="clear" w:color="auto" w:fill="auto"/>
            <w:noWrap/>
            <w:vAlign w:val="center"/>
            <w:hideMark/>
          </w:tcPr>
          <w:p w14:paraId="40FA57BE"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13" w:name="_Toc376199324"/>
            <w:r w:rsidRPr="006645DC">
              <w:rPr>
                <w:rFonts w:eastAsia="Times New Roman" w:cs="Calibri"/>
                <w:color w:val="000000"/>
                <w:lang w:val="en-GB"/>
              </w:rPr>
              <w:t>496</w:t>
            </w:r>
            <w:bookmarkEnd w:id="1113"/>
          </w:p>
        </w:tc>
        <w:tc>
          <w:tcPr>
            <w:tcW w:w="2608" w:type="dxa"/>
            <w:shd w:val="clear" w:color="auto" w:fill="auto"/>
            <w:vAlign w:val="center"/>
          </w:tcPr>
          <w:p w14:paraId="5F04DFED"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14" w:name="_Toc376199325"/>
            <w:r w:rsidRPr="006645DC">
              <w:rPr>
                <w:rFonts w:cs="Calibri"/>
                <w:color w:val="000000"/>
                <w:lang w:val="en-GB"/>
              </w:rPr>
              <w:t>146</w:t>
            </w:r>
            <w:bookmarkEnd w:id="1114"/>
          </w:p>
        </w:tc>
        <w:tc>
          <w:tcPr>
            <w:tcW w:w="2721" w:type="dxa"/>
            <w:shd w:val="clear" w:color="auto" w:fill="auto"/>
            <w:vAlign w:val="center"/>
          </w:tcPr>
          <w:p w14:paraId="590F6103" w14:textId="77777777" w:rsidR="0064018D" w:rsidRPr="006645DC" w:rsidRDefault="0064018D" w:rsidP="00393EB7">
            <w:pPr>
              <w:keepNext/>
              <w:keepLines/>
              <w:spacing w:before="0" w:after="0"/>
              <w:jc w:val="right"/>
              <w:outlineLvl w:val="1"/>
              <w:rPr>
                <w:rFonts w:cs="Calibri"/>
                <w:color w:val="000000"/>
                <w:lang w:val="en-GB"/>
              </w:rPr>
            </w:pPr>
            <w:bookmarkStart w:id="1115" w:name="_Toc376199326"/>
            <w:r w:rsidRPr="006645DC">
              <w:rPr>
                <w:rFonts w:cs="Calibri"/>
                <w:color w:val="000000"/>
                <w:lang w:val="en-GB"/>
              </w:rPr>
              <w:t>100</w:t>
            </w:r>
            <w:bookmarkEnd w:id="1115"/>
          </w:p>
        </w:tc>
      </w:tr>
      <w:tr w:rsidR="002F582C" w:rsidRPr="006645DC" w14:paraId="74DB3FD6" w14:textId="77777777" w:rsidTr="00393EB7">
        <w:trPr>
          <w:trHeight w:val="283"/>
          <w:jc w:val="center"/>
        </w:trPr>
        <w:tc>
          <w:tcPr>
            <w:tcW w:w="3720" w:type="dxa"/>
            <w:shd w:val="clear" w:color="auto" w:fill="auto"/>
            <w:vAlign w:val="center"/>
            <w:hideMark/>
          </w:tcPr>
          <w:p w14:paraId="0ECF4335" w14:textId="77777777" w:rsidR="0064018D" w:rsidRPr="006645DC" w:rsidRDefault="0064018D" w:rsidP="00393EB7">
            <w:pPr>
              <w:keepNext/>
              <w:keepLines/>
              <w:spacing w:before="0" w:after="0"/>
              <w:outlineLvl w:val="1"/>
              <w:rPr>
                <w:rFonts w:eastAsia="Times New Roman" w:cs="Calibri"/>
                <w:b/>
                <w:bCs/>
                <w:color w:val="000000"/>
                <w:lang w:val="en-GB"/>
              </w:rPr>
            </w:pPr>
            <w:bookmarkStart w:id="1116" w:name="_Toc376199327"/>
            <w:r w:rsidRPr="006645DC">
              <w:rPr>
                <w:rFonts w:eastAsia="Times New Roman" w:cs="Calibri"/>
                <w:b/>
                <w:bCs/>
                <w:color w:val="000000"/>
                <w:lang w:val="en-GB"/>
              </w:rPr>
              <w:t>Dolj</w:t>
            </w:r>
            <w:bookmarkEnd w:id="1116"/>
          </w:p>
        </w:tc>
        <w:tc>
          <w:tcPr>
            <w:tcW w:w="1053" w:type="dxa"/>
            <w:shd w:val="clear" w:color="auto" w:fill="auto"/>
            <w:noWrap/>
            <w:vAlign w:val="center"/>
            <w:hideMark/>
          </w:tcPr>
          <w:p w14:paraId="4051F07E"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17" w:name="_Toc376199328"/>
            <w:r w:rsidRPr="006645DC">
              <w:rPr>
                <w:rFonts w:eastAsia="Times New Roman" w:cs="Calibri"/>
                <w:color w:val="000000"/>
                <w:lang w:val="en-GB"/>
              </w:rPr>
              <w:t>307</w:t>
            </w:r>
            <w:bookmarkEnd w:id="1117"/>
          </w:p>
        </w:tc>
        <w:tc>
          <w:tcPr>
            <w:tcW w:w="2608" w:type="dxa"/>
            <w:shd w:val="clear" w:color="auto" w:fill="auto"/>
            <w:vAlign w:val="center"/>
          </w:tcPr>
          <w:p w14:paraId="2283DA02"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18" w:name="_Toc376199329"/>
            <w:r w:rsidRPr="006645DC">
              <w:rPr>
                <w:rFonts w:cs="Calibri"/>
                <w:color w:val="000000"/>
                <w:lang w:val="en-GB"/>
              </w:rPr>
              <w:t>90</w:t>
            </w:r>
            <w:bookmarkEnd w:id="1118"/>
          </w:p>
        </w:tc>
        <w:tc>
          <w:tcPr>
            <w:tcW w:w="2721" w:type="dxa"/>
            <w:shd w:val="clear" w:color="auto" w:fill="auto"/>
            <w:vAlign w:val="center"/>
          </w:tcPr>
          <w:p w14:paraId="374F3619" w14:textId="77777777" w:rsidR="0064018D" w:rsidRPr="006645DC" w:rsidRDefault="0064018D" w:rsidP="00393EB7">
            <w:pPr>
              <w:keepNext/>
              <w:keepLines/>
              <w:spacing w:before="0" w:after="0"/>
              <w:jc w:val="right"/>
              <w:outlineLvl w:val="1"/>
              <w:rPr>
                <w:rFonts w:cs="Calibri"/>
                <w:color w:val="000000"/>
                <w:lang w:val="en-GB"/>
              </w:rPr>
            </w:pPr>
            <w:bookmarkStart w:id="1119" w:name="_Toc376199330"/>
            <w:r w:rsidRPr="006645DC">
              <w:rPr>
                <w:rFonts w:cs="Calibri"/>
                <w:color w:val="000000"/>
                <w:lang w:val="en-GB"/>
              </w:rPr>
              <w:t>62</w:t>
            </w:r>
            <w:bookmarkEnd w:id="1119"/>
          </w:p>
        </w:tc>
      </w:tr>
      <w:tr w:rsidR="002F582C" w:rsidRPr="006645DC" w14:paraId="73E0878E" w14:textId="77777777" w:rsidTr="00393EB7">
        <w:trPr>
          <w:trHeight w:val="283"/>
          <w:jc w:val="center"/>
        </w:trPr>
        <w:tc>
          <w:tcPr>
            <w:tcW w:w="3720" w:type="dxa"/>
            <w:shd w:val="clear" w:color="auto" w:fill="auto"/>
            <w:vAlign w:val="center"/>
            <w:hideMark/>
          </w:tcPr>
          <w:p w14:paraId="1A2CDE05" w14:textId="77777777" w:rsidR="0064018D" w:rsidRPr="006645DC" w:rsidRDefault="0064018D" w:rsidP="00393EB7">
            <w:pPr>
              <w:keepNext/>
              <w:keepLines/>
              <w:spacing w:before="0" w:after="0"/>
              <w:outlineLvl w:val="1"/>
              <w:rPr>
                <w:rFonts w:eastAsia="Times New Roman" w:cs="Calibri"/>
                <w:b/>
                <w:bCs/>
                <w:color w:val="000000"/>
                <w:lang w:val="en-GB"/>
              </w:rPr>
            </w:pPr>
            <w:bookmarkStart w:id="1120" w:name="_Toc376199331"/>
            <w:r w:rsidRPr="006645DC">
              <w:rPr>
                <w:rFonts w:eastAsia="Times New Roman" w:cs="Calibri"/>
                <w:b/>
                <w:bCs/>
                <w:color w:val="000000"/>
                <w:lang w:val="en-GB"/>
              </w:rPr>
              <w:t>Mehedinti</w:t>
            </w:r>
            <w:bookmarkEnd w:id="1120"/>
          </w:p>
        </w:tc>
        <w:tc>
          <w:tcPr>
            <w:tcW w:w="1053" w:type="dxa"/>
            <w:shd w:val="clear" w:color="auto" w:fill="auto"/>
            <w:noWrap/>
            <w:vAlign w:val="center"/>
            <w:hideMark/>
          </w:tcPr>
          <w:p w14:paraId="464E213C"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21" w:name="_Toc376199332"/>
            <w:r w:rsidRPr="006645DC">
              <w:rPr>
                <w:rFonts w:eastAsia="Times New Roman" w:cs="Calibri"/>
                <w:color w:val="000000"/>
                <w:lang w:val="en-GB"/>
              </w:rPr>
              <w:t>290</w:t>
            </w:r>
            <w:bookmarkEnd w:id="1121"/>
          </w:p>
        </w:tc>
        <w:tc>
          <w:tcPr>
            <w:tcW w:w="2608" w:type="dxa"/>
            <w:shd w:val="clear" w:color="auto" w:fill="auto"/>
            <w:vAlign w:val="center"/>
          </w:tcPr>
          <w:p w14:paraId="3E5DD636"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22" w:name="_Toc376199333"/>
            <w:r w:rsidRPr="006645DC">
              <w:rPr>
                <w:rFonts w:cs="Calibri"/>
                <w:color w:val="000000"/>
                <w:lang w:val="en-GB"/>
              </w:rPr>
              <w:t>85</w:t>
            </w:r>
            <w:bookmarkEnd w:id="1122"/>
          </w:p>
        </w:tc>
        <w:tc>
          <w:tcPr>
            <w:tcW w:w="2721" w:type="dxa"/>
            <w:shd w:val="clear" w:color="auto" w:fill="auto"/>
            <w:vAlign w:val="center"/>
          </w:tcPr>
          <w:p w14:paraId="30EFA02C" w14:textId="77777777" w:rsidR="0064018D" w:rsidRPr="006645DC" w:rsidRDefault="0064018D" w:rsidP="00393EB7">
            <w:pPr>
              <w:keepNext/>
              <w:keepLines/>
              <w:spacing w:before="0" w:after="0"/>
              <w:jc w:val="right"/>
              <w:outlineLvl w:val="1"/>
              <w:rPr>
                <w:rFonts w:cs="Calibri"/>
                <w:color w:val="000000"/>
                <w:lang w:val="en-GB"/>
              </w:rPr>
            </w:pPr>
            <w:bookmarkStart w:id="1123" w:name="_Toc376199334"/>
            <w:r w:rsidRPr="006645DC">
              <w:rPr>
                <w:rFonts w:cs="Calibri"/>
                <w:color w:val="000000"/>
                <w:lang w:val="en-GB"/>
              </w:rPr>
              <w:t>58</w:t>
            </w:r>
            <w:bookmarkEnd w:id="1123"/>
          </w:p>
        </w:tc>
      </w:tr>
      <w:tr w:rsidR="002F582C" w:rsidRPr="006645DC" w14:paraId="04566B5E" w14:textId="77777777" w:rsidTr="00393EB7">
        <w:trPr>
          <w:trHeight w:val="283"/>
          <w:jc w:val="center"/>
        </w:trPr>
        <w:tc>
          <w:tcPr>
            <w:tcW w:w="3720" w:type="dxa"/>
            <w:shd w:val="clear" w:color="auto" w:fill="auto"/>
            <w:vAlign w:val="center"/>
            <w:hideMark/>
          </w:tcPr>
          <w:p w14:paraId="07BD4F0C" w14:textId="77777777" w:rsidR="0064018D" w:rsidRPr="006645DC" w:rsidRDefault="0064018D" w:rsidP="00393EB7">
            <w:pPr>
              <w:keepNext/>
              <w:keepLines/>
              <w:spacing w:before="0" w:after="0"/>
              <w:outlineLvl w:val="1"/>
              <w:rPr>
                <w:rFonts w:eastAsia="Times New Roman" w:cs="Calibri"/>
                <w:b/>
                <w:bCs/>
                <w:color w:val="000000"/>
                <w:lang w:val="en-GB"/>
              </w:rPr>
            </w:pPr>
            <w:bookmarkStart w:id="1124" w:name="_Toc376199335"/>
            <w:r w:rsidRPr="006645DC">
              <w:rPr>
                <w:rFonts w:eastAsia="Times New Roman" w:cs="Calibri"/>
                <w:b/>
                <w:bCs/>
                <w:color w:val="000000"/>
                <w:lang w:val="en-GB"/>
              </w:rPr>
              <w:t>Olt</w:t>
            </w:r>
            <w:bookmarkEnd w:id="1124"/>
          </w:p>
        </w:tc>
        <w:tc>
          <w:tcPr>
            <w:tcW w:w="1053" w:type="dxa"/>
            <w:shd w:val="clear" w:color="auto" w:fill="auto"/>
            <w:noWrap/>
            <w:vAlign w:val="center"/>
            <w:hideMark/>
          </w:tcPr>
          <w:p w14:paraId="048E279A"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25" w:name="_Toc376199336"/>
            <w:r w:rsidRPr="006645DC">
              <w:rPr>
                <w:rFonts w:eastAsia="Times New Roman" w:cs="Calibri"/>
                <w:color w:val="000000"/>
                <w:lang w:val="en-GB"/>
              </w:rPr>
              <w:t>295</w:t>
            </w:r>
            <w:bookmarkEnd w:id="1125"/>
          </w:p>
        </w:tc>
        <w:tc>
          <w:tcPr>
            <w:tcW w:w="2608" w:type="dxa"/>
            <w:shd w:val="clear" w:color="auto" w:fill="auto"/>
            <w:vAlign w:val="center"/>
          </w:tcPr>
          <w:p w14:paraId="5C91E0D0" w14:textId="77777777" w:rsidR="0064018D" w:rsidRPr="006645DC" w:rsidRDefault="0064018D" w:rsidP="00393EB7">
            <w:pPr>
              <w:keepNext/>
              <w:keepLines/>
              <w:spacing w:before="0" w:after="0"/>
              <w:jc w:val="right"/>
              <w:outlineLvl w:val="1"/>
              <w:rPr>
                <w:rFonts w:eastAsia="Times New Roman" w:cs="Calibri"/>
                <w:color w:val="000000"/>
                <w:lang w:val="en-GB"/>
              </w:rPr>
            </w:pPr>
            <w:bookmarkStart w:id="1126" w:name="_Toc376199337"/>
            <w:r w:rsidRPr="006645DC">
              <w:rPr>
                <w:rFonts w:cs="Calibri"/>
                <w:color w:val="000000"/>
                <w:lang w:val="en-GB"/>
              </w:rPr>
              <w:t>87</w:t>
            </w:r>
            <w:bookmarkEnd w:id="1126"/>
          </w:p>
        </w:tc>
        <w:tc>
          <w:tcPr>
            <w:tcW w:w="2721" w:type="dxa"/>
            <w:shd w:val="clear" w:color="auto" w:fill="auto"/>
            <w:vAlign w:val="center"/>
          </w:tcPr>
          <w:p w14:paraId="636A694C" w14:textId="77777777" w:rsidR="0064018D" w:rsidRPr="006645DC" w:rsidRDefault="0064018D" w:rsidP="00393EB7">
            <w:pPr>
              <w:keepNext/>
              <w:keepLines/>
              <w:spacing w:before="0" w:after="0"/>
              <w:jc w:val="right"/>
              <w:outlineLvl w:val="1"/>
              <w:rPr>
                <w:rFonts w:cs="Calibri"/>
                <w:color w:val="000000"/>
                <w:lang w:val="en-GB"/>
              </w:rPr>
            </w:pPr>
            <w:bookmarkStart w:id="1127" w:name="_Toc376199338"/>
            <w:r w:rsidRPr="006645DC">
              <w:rPr>
                <w:rFonts w:cs="Calibri"/>
                <w:color w:val="000000"/>
                <w:lang w:val="en-GB"/>
              </w:rPr>
              <w:t>59</w:t>
            </w:r>
            <w:bookmarkEnd w:id="1127"/>
          </w:p>
        </w:tc>
      </w:tr>
    </w:tbl>
    <w:p w14:paraId="0261B810" w14:textId="77777777" w:rsidR="00FD0316" w:rsidRPr="006645DC" w:rsidRDefault="00FD0316" w:rsidP="00FD0316">
      <w:pPr>
        <w:pStyle w:val="Caption"/>
        <w:rPr>
          <w:lang w:val="en-GB"/>
        </w:rPr>
      </w:pPr>
      <w:bookmarkStart w:id="1128" w:name="_Toc391150127"/>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30</w:t>
      </w:r>
      <w:r w:rsidR="005979EB" w:rsidRPr="006645DC">
        <w:rPr>
          <w:lang w:val="en-GB"/>
        </w:rPr>
        <w:fldChar w:fldCharType="end"/>
      </w:r>
      <w:r w:rsidRPr="006645DC">
        <w:rPr>
          <w:lang w:val="en-GB"/>
        </w:rPr>
        <w:t xml:space="preserve"> - Average net monthly salary in 2012</w:t>
      </w:r>
      <w:r w:rsidR="0058116B" w:rsidRPr="006645DC">
        <w:rPr>
          <w:lang w:val="en-GB"/>
        </w:rPr>
        <w:t xml:space="preserve"> (% of the national average, % of the Bucharest average)</w:t>
      </w:r>
      <w:bookmarkEnd w:id="1128"/>
    </w:p>
    <w:p w14:paraId="79DEF927" w14:textId="77777777" w:rsidR="0058116B" w:rsidRPr="006645DC" w:rsidRDefault="0058116B" w:rsidP="0058116B">
      <w:pPr>
        <w:pStyle w:val="Heading4"/>
        <w:rPr>
          <w:lang w:val="en-GB" w:eastAsia="ro-RO"/>
        </w:rPr>
      </w:pPr>
      <w:r w:rsidRPr="006645DC">
        <w:rPr>
          <w:lang w:val="en-GB" w:eastAsia="ro-RO"/>
        </w:rPr>
        <w:t>Source:</w:t>
      </w:r>
      <w:r w:rsidR="00BF2517" w:rsidRPr="006645DC">
        <w:rPr>
          <w:lang w:val="en-GB" w:eastAsia="ro-RO"/>
        </w:rPr>
        <w:t xml:space="preserve"> INS</w:t>
      </w:r>
    </w:p>
    <w:p w14:paraId="7A0947F9" w14:textId="77777777" w:rsidR="0058116B" w:rsidRPr="006645DC" w:rsidRDefault="0058116B" w:rsidP="0058116B">
      <w:pPr>
        <w:rPr>
          <w:lang w:val="en-GB" w:eastAsia="ro-RO"/>
        </w:rPr>
      </w:pPr>
    </w:p>
    <w:p w14:paraId="511B277F" w14:textId="77777777" w:rsidR="0064018D" w:rsidRPr="006645DC" w:rsidRDefault="0064018D" w:rsidP="0064018D">
      <w:pPr>
        <w:rPr>
          <w:lang w:val="en-GB"/>
        </w:rPr>
      </w:pPr>
      <w:r w:rsidRPr="006645DC">
        <w:rPr>
          <w:lang w:val="en-GB"/>
        </w:rPr>
        <w:lastRenderedPageBreak/>
        <w:t xml:space="preserve">Another important aspect of revenue inequality that is a challenge for social cohesion is the pay inequalities between women and men. In the cross border area women’s average net salary (2012) represents 85% of the salary of men. Given the fact that women are not strongly inactive compared to men this is a challenge that needs to be addressed. </w:t>
      </w:r>
    </w:p>
    <w:p w14:paraId="19C71FB6" w14:textId="77777777" w:rsidR="0064018D" w:rsidRPr="006645DC" w:rsidRDefault="0064018D" w:rsidP="0064018D">
      <w:pPr>
        <w:rPr>
          <w:lang w:val="en-GB"/>
        </w:rPr>
      </w:pPr>
      <w:r w:rsidRPr="006645DC">
        <w:rPr>
          <w:lang w:val="en-GB"/>
        </w:rPr>
        <w:t xml:space="preserve">The fluctuation of salary earnings and the rate of employed people in the cross-border region during the last years, when the economic crisis was strongly felt, is important from a social balance and economic development perspective. Great fluctuations and strong decreases explain the workforce migration and economic stagnation in the concerned territories. The chart below indicates relevant data for the Romanian cross-border counties (the salaries are expressed in EUR). </w:t>
      </w:r>
    </w:p>
    <w:p w14:paraId="0718442A" w14:textId="77777777" w:rsidR="0064018D" w:rsidRPr="006645DC" w:rsidRDefault="0064018D" w:rsidP="0064018D">
      <w:pPr>
        <w:spacing w:line="280" w:lineRule="auto"/>
        <w:jc w:val="center"/>
        <w:rPr>
          <w:sz w:val="24"/>
          <w:szCs w:val="24"/>
          <w:lang w:val="en-GB"/>
        </w:rPr>
      </w:pPr>
    </w:p>
    <w:p w14:paraId="48FBB7D4" w14:textId="77777777" w:rsidR="0064018D" w:rsidRPr="006645DC" w:rsidRDefault="00AA4C82" w:rsidP="0064018D">
      <w:pPr>
        <w:spacing w:line="280" w:lineRule="auto"/>
        <w:rPr>
          <w:sz w:val="24"/>
          <w:szCs w:val="24"/>
          <w:lang w:val="en-GB"/>
        </w:rPr>
      </w:pPr>
      <w:r w:rsidRPr="006645DC">
        <w:rPr>
          <w:noProof/>
          <w:sz w:val="24"/>
          <w:szCs w:val="24"/>
          <w:lang w:val="bg-BG" w:eastAsia="bg-BG"/>
        </w:rPr>
        <w:drawing>
          <wp:inline distT="0" distB="0" distL="0" distR="0" wp14:anchorId="68AAFFC6" wp14:editId="0323379C">
            <wp:extent cx="5495925" cy="2886075"/>
            <wp:effectExtent l="0" t="0" r="0" b="0"/>
            <wp:docPr id="65" name="Chart 1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7BC81F2C" w14:textId="77777777" w:rsidR="0064018D" w:rsidRPr="006645DC" w:rsidRDefault="0064018D" w:rsidP="0064018D">
      <w:pPr>
        <w:pStyle w:val="Caption"/>
        <w:rPr>
          <w:lang w:val="en-GB"/>
        </w:rPr>
      </w:pPr>
      <w:bookmarkStart w:id="1129" w:name="_Toc391150083"/>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34</w:t>
      </w:r>
      <w:r w:rsidR="005979EB" w:rsidRPr="006645DC">
        <w:rPr>
          <w:lang w:val="en-GB"/>
        </w:rPr>
        <w:fldChar w:fldCharType="end"/>
      </w:r>
      <w:r w:rsidRPr="006645DC">
        <w:rPr>
          <w:lang w:val="en-GB"/>
        </w:rPr>
        <w:t xml:space="preserve"> - The average net monthly salary’s evolution in the cross border area of Romania, EUR, 2008-2012</w:t>
      </w:r>
      <w:bookmarkEnd w:id="1129"/>
    </w:p>
    <w:p w14:paraId="4760CF0C" w14:textId="77777777" w:rsidR="0064018D" w:rsidRPr="006645DC" w:rsidRDefault="0064018D" w:rsidP="0064018D">
      <w:pPr>
        <w:pStyle w:val="Heading4"/>
        <w:rPr>
          <w:lang w:val="en-GB"/>
        </w:rPr>
      </w:pPr>
      <w:r w:rsidRPr="006645DC">
        <w:rPr>
          <w:lang w:val="en-GB"/>
        </w:rPr>
        <w:t>source: INS Romania</w:t>
      </w:r>
    </w:p>
    <w:p w14:paraId="67F3E722" w14:textId="77777777" w:rsidR="0064018D" w:rsidRPr="006645DC" w:rsidRDefault="0064018D" w:rsidP="0064018D">
      <w:pPr>
        <w:rPr>
          <w:lang w:val="en-GB"/>
        </w:rPr>
      </w:pPr>
    </w:p>
    <w:p w14:paraId="12F6F326" w14:textId="77777777" w:rsidR="0064018D" w:rsidRPr="006645DC" w:rsidRDefault="0064018D" w:rsidP="0064018D">
      <w:pPr>
        <w:rPr>
          <w:lang w:val="en-GB"/>
        </w:rPr>
      </w:pPr>
      <w:r w:rsidRPr="006645DC">
        <w:rPr>
          <w:lang w:val="en-GB"/>
        </w:rPr>
        <w:t>Even if some counties from the cross-border area recovered after the initial decrease of salaries due to the 2008-2010 economic crisis (Constanta, Dolj, Calarasi); the general trend i</w:t>
      </w:r>
      <w:r w:rsidR="00B63EA8" w:rsidRPr="006645DC">
        <w:rPr>
          <w:lang w:val="en-GB"/>
        </w:rPr>
        <w:t>n 2012 was of renewed decrease apart from the Olt County</w:t>
      </w:r>
      <w:r w:rsidRPr="006645DC">
        <w:rPr>
          <w:lang w:val="en-GB"/>
        </w:rPr>
        <w:t xml:space="preserve">.  </w:t>
      </w:r>
    </w:p>
    <w:p w14:paraId="26DAAC95" w14:textId="77777777" w:rsidR="0064018D" w:rsidRPr="006645DC" w:rsidRDefault="0064018D" w:rsidP="0064018D">
      <w:pPr>
        <w:rPr>
          <w:lang w:val="en-GB"/>
        </w:rPr>
      </w:pPr>
      <w:r w:rsidRPr="006645DC">
        <w:rPr>
          <w:lang w:val="en-GB"/>
        </w:rPr>
        <w:t>In Bulgaria, the cross-border area is similarly underpaid compared to national and capital levels. In fact, the differences between the amount of the average monthly salary within the cross-border districts compared to the national level and to the capital city levels are even more explicit than in Romania:</w:t>
      </w:r>
    </w:p>
    <w:p w14:paraId="2E1B9750" w14:textId="77777777" w:rsidR="0064018D" w:rsidRPr="006645DC" w:rsidRDefault="0064018D" w:rsidP="0064018D">
      <w:pPr>
        <w:rPr>
          <w:lang w:val="en-GB"/>
        </w:rPr>
      </w:pPr>
    </w:p>
    <w:tbl>
      <w:tblPr>
        <w:tblW w:w="9784" w:type="dxa"/>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3118"/>
        <w:gridCol w:w="1053"/>
        <w:gridCol w:w="2665"/>
        <w:gridCol w:w="2948"/>
      </w:tblGrid>
      <w:tr w:rsidR="0064018D" w:rsidRPr="006645DC" w14:paraId="70E35BE4" w14:textId="77777777" w:rsidTr="00393EB7">
        <w:trPr>
          <w:trHeight w:val="20"/>
          <w:jc w:val="center"/>
        </w:trPr>
        <w:tc>
          <w:tcPr>
            <w:tcW w:w="3118" w:type="dxa"/>
            <w:shd w:val="clear" w:color="auto" w:fill="auto"/>
            <w:vAlign w:val="center"/>
          </w:tcPr>
          <w:p w14:paraId="7388A0F7" w14:textId="77777777" w:rsidR="0064018D" w:rsidRPr="006645DC" w:rsidRDefault="0064018D" w:rsidP="00393EB7">
            <w:pPr>
              <w:spacing w:before="0" w:after="0"/>
              <w:rPr>
                <w:rFonts w:eastAsia="Times New Roman" w:cs="Calibri"/>
                <w:b/>
                <w:bCs/>
                <w:color w:val="000000"/>
                <w:lang w:val="en-GB"/>
              </w:rPr>
            </w:pPr>
            <w:r w:rsidRPr="006645DC">
              <w:rPr>
                <w:rFonts w:eastAsia="Times New Roman" w:cs="Calibri"/>
                <w:b/>
                <w:bCs/>
                <w:color w:val="000000"/>
                <w:lang w:val="en-GB"/>
              </w:rPr>
              <w:lastRenderedPageBreak/>
              <w:t>Average monthly salary in 2012</w:t>
            </w:r>
          </w:p>
        </w:tc>
        <w:tc>
          <w:tcPr>
            <w:tcW w:w="1053" w:type="dxa"/>
            <w:shd w:val="clear" w:color="auto" w:fill="auto"/>
            <w:noWrap/>
            <w:vAlign w:val="center"/>
          </w:tcPr>
          <w:p w14:paraId="5B9419D1" w14:textId="77777777" w:rsidR="0064018D" w:rsidRPr="006645DC" w:rsidRDefault="0064018D" w:rsidP="00393EB7">
            <w:pPr>
              <w:spacing w:before="0" w:after="0"/>
              <w:rPr>
                <w:rFonts w:eastAsia="Times New Roman" w:cs="Calibri"/>
                <w:b/>
                <w:bCs/>
                <w:color w:val="000000"/>
                <w:lang w:val="en-GB"/>
              </w:rPr>
            </w:pPr>
            <w:r w:rsidRPr="006645DC">
              <w:rPr>
                <w:rFonts w:eastAsia="Times New Roman" w:cs="Calibri"/>
                <w:b/>
                <w:bCs/>
                <w:color w:val="000000"/>
                <w:lang w:val="en-GB"/>
              </w:rPr>
              <w:t>EUR</w:t>
            </w:r>
          </w:p>
        </w:tc>
        <w:tc>
          <w:tcPr>
            <w:tcW w:w="2665" w:type="dxa"/>
            <w:shd w:val="clear" w:color="auto" w:fill="auto"/>
            <w:vAlign w:val="center"/>
          </w:tcPr>
          <w:p w14:paraId="5BAF4AF4" w14:textId="77777777" w:rsidR="0064018D" w:rsidRPr="006645DC" w:rsidRDefault="0064018D" w:rsidP="00393EB7">
            <w:pPr>
              <w:spacing w:before="0" w:after="0"/>
              <w:rPr>
                <w:rFonts w:eastAsia="Times New Roman" w:cs="Calibri"/>
                <w:b/>
                <w:bCs/>
                <w:color w:val="000000"/>
                <w:lang w:val="en-GB"/>
              </w:rPr>
            </w:pPr>
            <w:r w:rsidRPr="006645DC">
              <w:rPr>
                <w:rFonts w:eastAsia="Times New Roman" w:cs="Calibri"/>
                <w:b/>
                <w:bCs/>
                <w:color w:val="000000"/>
                <w:lang w:val="en-GB"/>
              </w:rPr>
              <w:t>% of the national average</w:t>
            </w:r>
          </w:p>
        </w:tc>
        <w:tc>
          <w:tcPr>
            <w:tcW w:w="2948" w:type="dxa"/>
            <w:shd w:val="clear" w:color="auto" w:fill="auto"/>
            <w:vAlign w:val="center"/>
          </w:tcPr>
          <w:p w14:paraId="6EDB5F49" w14:textId="77777777" w:rsidR="0064018D" w:rsidRPr="006645DC" w:rsidRDefault="0064018D" w:rsidP="00393EB7">
            <w:pPr>
              <w:spacing w:before="0" w:after="0"/>
              <w:rPr>
                <w:rFonts w:eastAsia="Times New Roman" w:cs="Calibri"/>
                <w:b/>
                <w:bCs/>
                <w:color w:val="000000"/>
                <w:lang w:val="en-GB"/>
              </w:rPr>
            </w:pPr>
            <w:r w:rsidRPr="006645DC">
              <w:rPr>
                <w:rFonts w:eastAsia="Times New Roman" w:cs="Calibri"/>
                <w:b/>
                <w:bCs/>
                <w:color w:val="000000"/>
                <w:lang w:val="en-GB"/>
              </w:rPr>
              <w:t>% of the Sofia capital average</w:t>
            </w:r>
          </w:p>
        </w:tc>
      </w:tr>
      <w:tr w:rsidR="0064018D" w:rsidRPr="006645DC" w14:paraId="248DFE9A" w14:textId="77777777" w:rsidTr="00393EB7">
        <w:trPr>
          <w:trHeight w:val="20"/>
          <w:jc w:val="center"/>
        </w:trPr>
        <w:tc>
          <w:tcPr>
            <w:tcW w:w="3118" w:type="dxa"/>
            <w:shd w:val="clear" w:color="auto" w:fill="auto"/>
            <w:vAlign w:val="center"/>
          </w:tcPr>
          <w:p w14:paraId="5D493B14" w14:textId="77777777" w:rsidR="0064018D" w:rsidRPr="006645DC" w:rsidRDefault="0064018D" w:rsidP="00393EB7">
            <w:pPr>
              <w:spacing w:before="0" w:after="0"/>
              <w:rPr>
                <w:rFonts w:eastAsia="Times New Roman" w:cs="Calibri"/>
                <w:b/>
                <w:bCs/>
                <w:color w:val="000000"/>
                <w:lang w:val="en-GB"/>
              </w:rPr>
            </w:pPr>
            <w:r w:rsidRPr="006645DC">
              <w:rPr>
                <w:rFonts w:eastAsia="Times New Roman" w:cs="Calibri"/>
                <w:b/>
                <w:bCs/>
                <w:color w:val="000000"/>
                <w:lang w:val="en-GB"/>
              </w:rPr>
              <w:t>Vidin</w:t>
            </w:r>
          </w:p>
        </w:tc>
        <w:tc>
          <w:tcPr>
            <w:tcW w:w="1053" w:type="dxa"/>
            <w:shd w:val="clear" w:color="auto" w:fill="auto"/>
            <w:noWrap/>
            <w:vAlign w:val="center"/>
          </w:tcPr>
          <w:p w14:paraId="5D6C54D7"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30" w:name="_Toc376199339"/>
            <w:r w:rsidRPr="006645DC">
              <w:rPr>
                <w:rFonts w:cs="Tahoma"/>
                <w:lang w:val="en-GB"/>
              </w:rPr>
              <w:t>260,25</w:t>
            </w:r>
            <w:bookmarkEnd w:id="1130"/>
          </w:p>
        </w:tc>
        <w:tc>
          <w:tcPr>
            <w:tcW w:w="2665" w:type="dxa"/>
            <w:shd w:val="clear" w:color="auto" w:fill="auto"/>
            <w:vAlign w:val="center"/>
          </w:tcPr>
          <w:p w14:paraId="1FFFAF7F"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31" w:name="_Toc376199340"/>
            <w:r w:rsidRPr="006645DC">
              <w:rPr>
                <w:rFonts w:cs="Tahoma"/>
                <w:lang w:val="en-GB"/>
              </w:rPr>
              <w:t>62,71</w:t>
            </w:r>
            <w:bookmarkEnd w:id="1131"/>
          </w:p>
        </w:tc>
        <w:tc>
          <w:tcPr>
            <w:tcW w:w="2948" w:type="dxa"/>
            <w:shd w:val="clear" w:color="auto" w:fill="auto"/>
            <w:vAlign w:val="center"/>
          </w:tcPr>
          <w:p w14:paraId="2EFC6A7D"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32" w:name="_Toc376199341"/>
            <w:r w:rsidRPr="006645DC">
              <w:rPr>
                <w:rFonts w:cs="Tahoma"/>
                <w:lang w:val="en-GB"/>
              </w:rPr>
              <w:t>43,47</w:t>
            </w:r>
            <w:bookmarkEnd w:id="1132"/>
          </w:p>
        </w:tc>
      </w:tr>
      <w:tr w:rsidR="0064018D" w:rsidRPr="006645DC" w14:paraId="100E7F30" w14:textId="77777777" w:rsidTr="00393EB7">
        <w:trPr>
          <w:trHeight w:val="20"/>
          <w:jc w:val="center"/>
        </w:trPr>
        <w:tc>
          <w:tcPr>
            <w:tcW w:w="3118" w:type="dxa"/>
            <w:shd w:val="clear" w:color="auto" w:fill="auto"/>
            <w:vAlign w:val="center"/>
          </w:tcPr>
          <w:p w14:paraId="766D0E78" w14:textId="77777777" w:rsidR="0064018D" w:rsidRPr="006645DC" w:rsidRDefault="0064018D" w:rsidP="00393EB7">
            <w:pPr>
              <w:keepNext/>
              <w:keepLines/>
              <w:spacing w:before="0" w:after="0"/>
              <w:outlineLvl w:val="1"/>
              <w:rPr>
                <w:rFonts w:eastAsia="Times New Roman" w:cs="Calibri"/>
                <w:b/>
                <w:bCs/>
                <w:color w:val="000000"/>
                <w:lang w:val="en-GB"/>
              </w:rPr>
            </w:pPr>
            <w:bookmarkStart w:id="1133" w:name="_Toc376199342"/>
            <w:r w:rsidRPr="006645DC">
              <w:rPr>
                <w:rFonts w:eastAsia="Times New Roman" w:cs="Calibri"/>
                <w:b/>
                <w:bCs/>
                <w:color w:val="000000"/>
                <w:lang w:val="en-GB"/>
              </w:rPr>
              <w:t>Vratsa</w:t>
            </w:r>
            <w:bookmarkEnd w:id="1133"/>
          </w:p>
        </w:tc>
        <w:tc>
          <w:tcPr>
            <w:tcW w:w="1053" w:type="dxa"/>
            <w:shd w:val="clear" w:color="auto" w:fill="auto"/>
            <w:noWrap/>
            <w:vAlign w:val="center"/>
          </w:tcPr>
          <w:p w14:paraId="50D0F818"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34" w:name="_Toc376199343"/>
            <w:r w:rsidRPr="006645DC">
              <w:rPr>
                <w:rFonts w:cs="Tahoma"/>
                <w:lang w:val="en-GB"/>
              </w:rPr>
              <w:t>409,55</w:t>
            </w:r>
            <w:bookmarkEnd w:id="1134"/>
          </w:p>
        </w:tc>
        <w:tc>
          <w:tcPr>
            <w:tcW w:w="2665" w:type="dxa"/>
            <w:shd w:val="clear" w:color="auto" w:fill="auto"/>
            <w:vAlign w:val="center"/>
          </w:tcPr>
          <w:p w14:paraId="7BCA9D23"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35" w:name="_Toc376199344"/>
            <w:r w:rsidRPr="006645DC">
              <w:rPr>
                <w:rFonts w:cs="Tahoma"/>
                <w:lang w:val="en-GB"/>
              </w:rPr>
              <w:t>98,69</w:t>
            </w:r>
            <w:bookmarkEnd w:id="1135"/>
          </w:p>
        </w:tc>
        <w:tc>
          <w:tcPr>
            <w:tcW w:w="2948" w:type="dxa"/>
            <w:shd w:val="clear" w:color="auto" w:fill="auto"/>
            <w:vAlign w:val="center"/>
          </w:tcPr>
          <w:p w14:paraId="26FB418D" w14:textId="77777777" w:rsidR="0064018D" w:rsidRPr="006645DC" w:rsidRDefault="0064018D" w:rsidP="00393EB7">
            <w:pPr>
              <w:keepNext/>
              <w:keepLines/>
              <w:spacing w:before="0" w:after="0" w:line="276" w:lineRule="auto"/>
              <w:jc w:val="right"/>
              <w:outlineLvl w:val="1"/>
              <w:rPr>
                <w:rFonts w:cs="Calibri"/>
                <w:color w:val="000000"/>
                <w:lang w:val="en-GB"/>
              </w:rPr>
            </w:pPr>
            <w:bookmarkStart w:id="1136" w:name="_Toc376199345"/>
            <w:r w:rsidRPr="006645DC">
              <w:rPr>
                <w:rFonts w:cs="Tahoma"/>
                <w:lang w:val="en-GB"/>
              </w:rPr>
              <w:t>68,40</w:t>
            </w:r>
            <w:bookmarkEnd w:id="1136"/>
          </w:p>
        </w:tc>
      </w:tr>
      <w:tr w:rsidR="0064018D" w:rsidRPr="006645DC" w14:paraId="78CBB6E0" w14:textId="77777777" w:rsidTr="00393EB7">
        <w:trPr>
          <w:trHeight w:val="20"/>
          <w:jc w:val="center"/>
        </w:trPr>
        <w:tc>
          <w:tcPr>
            <w:tcW w:w="3118" w:type="dxa"/>
            <w:shd w:val="clear" w:color="auto" w:fill="auto"/>
            <w:vAlign w:val="center"/>
          </w:tcPr>
          <w:p w14:paraId="17321A6C" w14:textId="77777777" w:rsidR="0064018D" w:rsidRPr="006645DC" w:rsidRDefault="0064018D" w:rsidP="00393EB7">
            <w:pPr>
              <w:keepNext/>
              <w:keepLines/>
              <w:spacing w:before="0" w:after="0"/>
              <w:outlineLvl w:val="1"/>
              <w:rPr>
                <w:rFonts w:eastAsia="Times New Roman" w:cs="Calibri"/>
                <w:b/>
                <w:bCs/>
                <w:color w:val="000000"/>
                <w:lang w:val="en-GB"/>
              </w:rPr>
            </w:pPr>
            <w:bookmarkStart w:id="1137" w:name="_Toc376199346"/>
            <w:r w:rsidRPr="006645DC">
              <w:rPr>
                <w:rFonts w:eastAsia="Times New Roman" w:cs="Calibri"/>
                <w:b/>
                <w:bCs/>
                <w:color w:val="000000"/>
                <w:lang w:val="en-GB"/>
              </w:rPr>
              <w:t>Montana</w:t>
            </w:r>
            <w:bookmarkEnd w:id="1137"/>
          </w:p>
        </w:tc>
        <w:tc>
          <w:tcPr>
            <w:tcW w:w="1053" w:type="dxa"/>
            <w:shd w:val="clear" w:color="auto" w:fill="auto"/>
            <w:noWrap/>
            <w:vAlign w:val="center"/>
          </w:tcPr>
          <w:p w14:paraId="782C6DBC"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38" w:name="_Toc376199347"/>
            <w:r w:rsidRPr="006645DC">
              <w:rPr>
                <w:rFonts w:cs="Tahoma"/>
                <w:lang w:val="en-GB"/>
              </w:rPr>
              <w:t>315,47</w:t>
            </w:r>
            <w:bookmarkEnd w:id="1138"/>
          </w:p>
        </w:tc>
        <w:tc>
          <w:tcPr>
            <w:tcW w:w="2665" w:type="dxa"/>
            <w:shd w:val="clear" w:color="auto" w:fill="auto"/>
            <w:vAlign w:val="center"/>
          </w:tcPr>
          <w:p w14:paraId="5B7AB098"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39" w:name="_Toc376199348"/>
            <w:r w:rsidRPr="006645DC">
              <w:rPr>
                <w:rFonts w:cs="Tahoma"/>
                <w:lang w:val="en-GB"/>
              </w:rPr>
              <w:t>76,02</w:t>
            </w:r>
            <w:bookmarkEnd w:id="1139"/>
          </w:p>
        </w:tc>
        <w:tc>
          <w:tcPr>
            <w:tcW w:w="2948" w:type="dxa"/>
            <w:shd w:val="clear" w:color="auto" w:fill="auto"/>
            <w:vAlign w:val="center"/>
          </w:tcPr>
          <w:p w14:paraId="0CD59542" w14:textId="77777777" w:rsidR="0064018D" w:rsidRPr="006645DC" w:rsidRDefault="0064018D" w:rsidP="00393EB7">
            <w:pPr>
              <w:keepNext/>
              <w:keepLines/>
              <w:spacing w:before="0" w:after="0" w:line="276" w:lineRule="auto"/>
              <w:jc w:val="right"/>
              <w:outlineLvl w:val="1"/>
              <w:rPr>
                <w:rFonts w:cs="Calibri"/>
                <w:color w:val="000000"/>
                <w:lang w:val="en-GB"/>
              </w:rPr>
            </w:pPr>
            <w:bookmarkStart w:id="1140" w:name="_Toc376199349"/>
            <w:r w:rsidRPr="006645DC">
              <w:rPr>
                <w:rFonts w:cs="Tahoma"/>
                <w:lang w:val="en-GB"/>
              </w:rPr>
              <w:t>52,69</w:t>
            </w:r>
            <w:bookmarkEnd w:id="1140"/>
          </w:p>
        </w:tc>
      </w:tr>
      <w:tr w:rsidR="0064018D" w:rsidRPr="006645DC" w14:paraId="332BBB90" w14:textId="77777777" w:rsidTr="00393EB7">
        <w:trPr>
          <w:trHeight w:val="20"/>
          <w:jc w:val="center"/>
        </w:trPr>
        <w:tc>
          <w:tcPr>
            <w:tcW w:w="3118" w:type="dxa"/>
            <w:shd w:val="clear" w:color="auto" w:fill="auto"/>
            <w:vAlign w:val="center"/>
          </w:tcPr>
          <w:p w14:paraId="3A33AE87" w14:textId="77777777" w:rsidR="0064018D" w:rsidRPr="006645DC" w:rsidRDefault="0064018D" w:rsidP="00393EB7">
            <w:pPr>
              <w:keepNext/>
              <w:keepLines/>
              <w:spacing w:before="0" w:after="0"/>
              <w:outlineLvl w:val="1"/>
              <w:rPr>
                <w:rFonts w:eastAsia="Times New Roman" w:cs="Calibri"/>
                <w:b/>
                <w:bCs/>
                <w:color w:val="000000"/>
                <w:lang w:val="en-GB"/>
              </w:rPr>
            </w:pPr>
            <w:bookmarkStart w:id="1141" w:name="_Toc376199350"/>
            <w:r w:rsidRPr="006645DC">
              <w:rPr>
                <w:rFonts w:eastAsia="Times New Roman" w:cs="Calibri"/>
                <w:b/>
                <w:bCs/>
                <w:color w:val="000000"/>
                <w:lang w:val="en-GB"/>
              </w:rPr>
              <w:t>Pleven</w:t>
            </w:r>
            <w:bookmarkEnd w:id="1141"/>
          </w:p>
        </w:tc>
        <w:tc>
          <w:tcPr>
            <w:tcW w:w="1053" w:type="dxa"/>
            <w:shd w:val="clear" w:color="auto" w:fill="auto"/>
            <w:noWrap/>
            <w:vAlign w:val="center"/>
          </w:tcPr>
          <w:p w14:paraId="6BBB5452"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42" w:name="_Toc376199351"/>
            <w:r w:rsidRPr="006645DC">
              <w:rPr>
                <w:rFonts w:cs="Tahoma"/>
                <w:lang w:val="en-GB"/>
              </w:rPr>
              <w:t>295,53</w:t>
            </w:r>
            <w:bookmarkEnd w:id="1142"/>
          </w:p>
        </w:tc>
        <w:tc>
          <w:tcPr>
            <w:tcW w:w="2665" w:type="dxa"/>
            <w:shd w:val="clear" w:color="auto" w:fill="auto"/>
            <w:vAlign w:val="center"/>
          </w:tcPr>
          <w:p w14:paraId="0C9EC17B"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43" w:name="_Toc376199352"/>
            <w:r w:rsidRPr="006645DC">
              <w:rPr>
                <w:rFonts w:cs="Tahoma"/>
                <w:lang w:val="en-GB"/>
              </w:rPr>
              <w:t>71,21</w:t>
            </w:r>
            <w:bookmarkEnd w:id="1143"/>
          </w:p>
        </w:tc>
        <w:tc>
          <w:tcPr>
            <w:tcW w:w="2948" w:type="dxa"/>
            <w:shd w:val="clear" w:color="auto" w:fill="auto"/>
            <w:vAlign w:val="center"/>
          </w:tcPr>
          <w:p w14:paraId="4171508B" w14:textId="77777777" w:rsidR="0064018D" w:rsidRPr="006645DC" w:rsidRDefault="0064018D" w:rsidP="00393EB7">
            <w:pPr>
              <w:keepNext/>
              <w:keepLines/>
              <w:spacing w:before="0" w:after="0" w:line="276" w:lineRule="auto"/>
              <w:jc w:val="right"/>
              <w:outlineLvl w:val="1"/>
              <w:rPr>
                <w:rFonts w:cs="Calibri"/>
                <w:color w:val="000000"/>
                <w:lang w:val="en-GB"/>
              </w:rPr>
            </w:pPr>
            <w:bookmarkStart w:id="1144" w:name="_Toc376199353"/>
            <w:r w:rsidRPr="006645DC">
              <w:rPr>
                <w:rFonts w:cs="Tahoma"/>
                <w:lang w:val="en-GB"/>
              </w:rPr>
              <w:t>49,36</w:t>
            </w:r>
            <w:bookmarkEnd w:id="1144"/>
          </w:p>
        </w:tc>
      </w:tr>
      <w:tr w:rsidR="0064018D" w:rsidRPr="006645DC" w14:paraId="1A4EA73C" w14:textId="77777777" w:rsidTr="00393EB7">
        <w:trPr>
          <w:trHeight w:val="20"/>
          <w:jc w:val="center"/>
        </w:trPr>
        <w:tc>
          <w:tcPr>
            <w:tcW w:w="3118" w:type="dxa"/>
            <w:shd w:val="clear" w:color="auto" w:fill="auto"/>
            <w:vAlign w:val="center"/>
          </w:tcPr>
          <w:p w14:paraId="2FC75FB3" w14:textId="77777777" w:rsidR="0064018D" w:rsidRPr="006645DC" w:rsidRDefault="0064018D" w:rsidP="00393EB7">
            <w:pPr>
              <w:keepNext/>
              <w:keepLines/>
              <w:spacing w:before="0" w:after="0"/>
              <w:outlineLvl w:val="1"/>
              <w:rPr>
                <w:rFonts w:eastAsia="Times New Roman" w:cs="Calibri"/>
                <w:b/>
                <w:bCs/>
                <w:color w:val="000000"/>
                <w:lang w:val="en-GB"/>
              </w:rPr>
            </w:pPr>
            <w:bookmarkStart w:id="1145" w:name="_Toc376199354"/>
            <w:r w:rsidRPr="006645DC">
              <w:rPr>
                <w:rFonts w:eastAsia="Times New Roman" w:cs="Calibri"/>
                <w:b/>
                <w:bCs/>
                <w:color w:val="000000"/>
                <w:lang w:val="en-GB"/>
              </w:rPr>
              <w:t>Veliko Turnovo</w:t>
            </w:r>
            <w:bookmarkEnd w:id="1145"/>
          </w:p>
        </w:tc>
        <w:tc>
          <w:tcPr>
            <w:tcW w:w="1053" w:type="dxa"/>
            <w:shd w:val="clear" w:color="auto" w:fill="auto"/>
            <w:noWrap/>
            <w:vAlign w:val="center"/>
          </w:tcPr>
          <w:p w14:paraId="0EAF2E72" w14:textId="77777777" w:rsidR="0064018D" w:rsidRPr="006645DC" w:rsidRDefault="0064018D" w:rsidP="00393EB7">
            <w:pPr>
              <w:keepNext/>
              <w:keepLines/>
              <w:spacing w:before="0" w:after="0" w:line="276" w:lineRule="auto"/>
              <w:jc w:val="right"/>
              <w:outlineLvl w:val="1"/>
              <w:rPr>
                <w:rFonts w:cs="Tahoma"/>
                <w:lang w:val="en-GB"/>
              </w:rPr>
            </w:pPr>
            <w:bookmarkStart w:id="1146" w:name="_Toc376199355"/>
            <w:r w:rsidRPr="006645DC">
              <w:rPr>
                <w:rFonts w:cs="Tahoma"/>
                <w:lang w:val="en-GB"/>
              </w:rPr>
              <w:t>306,78</w:t>
            </w:r>
            <w:bookmarkEnd w:id="1146"/>
          </w:p>
        </w:tc>
        <w:tc>
          <w:tcPr>
            <w:tcW w:w="2665" w:type="dxa"/>
            <w:shd w:val="clear" w:color="auto" w:fill="auto"/>
            <w:vAlign w:val="center"/>
          </w:tcPr>
          <w:p w14:paraId="71958BC6"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47" w:name="_Toc376199356"/>
            <w:r w:rsidRPr="006645DC">
              <w:rPr>
                <w:rFonts w:cs="Tahoma"/>
                <w:lang w:val="en-GB"/>
              </w:rPr>
              <w:t>73,92</w:t>
            </w:r>
            <w:bookmarkEnd w:id="1147"/>
          </w:p>
        </w:tc>
        <w:tc>
          <w:tcPr>
            <w:tcW w:w="2948" w:type="dxa"/>
            <w:shd w:val="clear" w:color="auto" w:fill="auto"/>
            <w:vAlign w:val="center"/>
          </w:tcPr>
          <w:p w14:paraId="11202C42" w14:textId="77777777" w:rsidR="0064018D" w:rsidRPr="006645DC" w:rsidRDefault="0064018D" w:rsidP="00393EB7">
            <w:pPr>
              <w:keepNext/>
              <w:keepLines/>
              <w:spacing w:before="0" w:after="0" w:line="276" w:lineRule="auto"/>
              <w:jc w:val="right"/>
              <w:outlineLvl w:val="1"/>
              <w:rPr>
                <w:rFonts w:cs="Calibri"/>
                <w:color w:val="000000"/>
                <w:lang w:val="en-GB"/>
              </w:rPr>
            </w:pPr>
            <w:bookmarkStart w:id="1148" w:name="_Toc376199357"/>
            <w:r w:rsidRPr="006645DC">
              <w:rPr>
                <w:rFonts w:cs="Tahoma"/>
                <w:lang w:val="en-GB"/>
              </w:rPr>
              <w:t>51,24</w:t>
            </w:r>
            <w:bookmarkEnd w:id="1148"/>
          </w:p>
        </w:tc>
      </w:tr>
      <w:tr w:rsidR="0064018D" w:rsidRPr="006645DC" w14:paraId="42B0B232" w14:textId="77777777" w:rsidTr="00393EB7">
        <w:trPr>
          <w:trHeight w:val="20"/>
          <w:jc w:val="center"/>
        </w:trPr>
        <w:tc>
          <w:tcPr>
            <w:tcW w:w="3118" w:type="dxa"/>
            <w:shd w:val="clear" w:color="auto" w:fill="auto"/>
            <w:vAlign w:val="center"/>
          </w:tcPr>
          <w:p w14:paraId="567278AB" w14:textId="77777777" w:rsidR="0064018D" w:rsidRPr="006645DC" w:rsidRDefault="0064018D" w:rsidP="00393EB7">
            <w:pPr>
              <w:keepNext/>
              <w:keepLines/>
              <w:spacing w:before="0" w:after="0"/>
              <w:outlineLvl w:val="1"/>
              <w:rPr>
                <w:rFonts w:eastAsia="Times New Roman" w:cs="Calibri"/>
                <w:b/>
                <w:bCs/>
                <w:color w:val="000000"/>
                <w:lang w:val="en-GB"/>
              </w:rPr>
            </w:pPr>
            <w:bookmarkStart w:id="1149" w:name="_Toc376199358"/>
            <w:r w:rsidRPr="006645DC">
              <w:rPr>
                <w:rFonts w:eastAsia="Times New Roman" w:cs="Calibri"/>
                <w:b/>
                <w:bCs/>
                <w:color w:val="000000"/>
                <w:lang w:val="en-GB"/>
              </w:rPr>
              <w:t>Ruse</w:t>
            </w:r>
            <w:bookmarkEnd w:id="1149"/>
          </w:p>
        </w:tc>
        <w:tc>
          <w:tcPr>
            <w:tcW w:w="1053" w:type="dxa"/>
            <w:shd w:val="clear" w:color="auto" w:fill="auto"/>
            <w:noWrap/>
            <w:vAlign w:val="center"/>
          </w:tcPr>
          <w:p w14:paraId="008C2A17"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50" w:name="_Toc376199359"/>
            <w:r w:rsidRPr="006645DC">
              <w:rPr>
                <w:rFonts w:cs="Tahoma"/>
                <w:lang w:val="en-GB"/>
              </w:rPr>
              <w:t>318,54</w:t>
            </w:r>
            <w:bookmarkEnd w:id="1150"/>
          </w:p>
        </w:tc>
        <w:tc>
          <w:tcPr>
            <w:tcW w:w="2665" w:type="dxa"/>
            <w:shd w:val="clear" w:color="auto" w:fill="auto"/>
            <w:vAlign w:val="center"/>
          </w:tcPr>
          <w:p w14:paraId="1C377266"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51" w:name="_Toc376199360"/>
            <w:r w:rsidRPr="006645DC">
              <w:rPr>
                <w:rFonts w:cs="Tahoma"/>
                <w:lang w:val="en-GB"/>
              </w:rPr>
              <w:t>76,76</w:t>
            </w:r>
            <w:bookmarkEnd w:id="1151"/>
          </w:p>
        </w:tc>
        <w:tc>
          <w:tcPr>
            <w:tcW w:w="2948" w:type="dxa"/>
            <w:shd w:val="clear" w:color="auto" w:fill="auto"/>
            <w:vAlign w:val="center"/>
          </w:tcPr>
          <w:p w14:paraId="162C75D2" w14:textId="77777777" w:rsidR="0064018D" w:rsidRPr="006645DC" w:rsidRDefault="0064018D" w:rsidP="00393EB7">
            <w:pPr>
              <w:keepNext/>
              <w:keepLines/>
              <w:spacing w:before="0" w:after="0" w:line="276" w:lineRule="auto"/>
              <w:jc w:val="right"/>
              <w:outlineLvl w:val="1"/>
              <w:rPr>
                <w:rFonts w:cs="Calibri"/>
                <w:color w:val="000000"/>
                <w:lang w:val="en-GB"/>
              </w:rPr>
            </w:pPr>
            <w:bookmarkStart w:id="1152" w:name="_Toc376199361"/>
            <w:r w:rsidRPr="006645DC">
              <w:rPr>
                <w:rFonts w:cs="Tahoma"/>
                <w:lang w:val="en-GB"/>
              </w:rPr>
              <w:t>53,20</w:t>
            </w:r>
            <w:bookmarkEnd w:id="1152"/>
          </w:p>
        </w:tc>
      </w:tr>
      <w:tr w:rsidR="0064018D" w:rsidRPr="006645DC" w14:paraId="4D9FF147" w14:textId="77777777" w:rsidTr="00393EB7">
        <w:trPr>
          <w:trHeight w:val="20"/>
          <w:jc w:val="center"/>
        </w:trPr>
        <w:tc>
          <w:tcPr>
            <w:tcW w:w="3118" w:type="dxa"/>
            <w:shd w:val="clear" w:color="auto" w:fill="auto"/>
            <w:vAlign w:val="center"/>
          </w:tcPr>
          <w:p w14:paraId="0FB11381" w14:textId="77777777" w:rsidR="0064018D" w:rsidRPr="006645DC" w:rsidRDefault="0064018D" w:rsidP="00393EB7">
            <w:pPr>
              <w:keepNext/>
              <w:keepLines/>
              <w:spacing w:before="0" w:after="0"/>
              <w:outlineLvl w:val="1"/>
              <w:rPr>
                <w:rFonts w:eastAsia="Times New Roman" w:cs="Calibri"/>
                <w:b/>
                <w:bCs/>
                <w:color w:val="000000"/>
                <w:lang w:val="en-GB"/>
              </w:rPr>
            </w:pPr>
            <w:bookmarkStart w:id="1153" w:name="_Toc376199362"/>
            <w:r w:rsidRPr="006645DC">
              <w:rPr>
                <w:rFonts w:eastAsia="Times New Roman" w:cs="Calibri"/>
                <w:b/>
                <w:bCs/>
                <w:color w:val="000000"/>
                <w:lang w:val="en-GB"/>
              </w:rPr>
              <w:t>Silistra</w:t>
            </w:r>
            <w:bookmarkEnd w:id="1153"/>
          </w:p>
        </w:tc>
        <w:tc>
          <w:tcPr>
            <w:tcW w:w="1053" w:type="dxa"/>
            <w:shd w:val="clear" w:color="auto" w:fill="auto"/>
            <w:noWrap/>
            <w:vAlign w:val="center"/>
          </w:tcPr>
          <w:p w14:paraId="1745E3E1"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54" w:name="_Toc376199363"/>
            <w:r w:rsidRPr="006645DC">
              <w:rPr>
                <w:rFonts w:cs="Tahoma"/>
                <w:lang w:val="en-GB"/>
              </w:rPr>
              <w:t>296,04</w:t>
            </w:r>
            <w:bookmarkEnd w:id="1154"/>
          </w:p>
        </w:tc>
        <w:tc>
          <w:tcPr>
            <w:tcW w:w="2665" w:type="dxa"/>
            <w:shd w:val="clear" w:color="auto" w:fill="auto"/>
            <w:vAlign w:val="center"/>
          </w:tcPr>
          <w:p w14:paraId="6F43E210"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55" w:name="_Toc376199364"/>
            <w:r w:rsidRPr="006645DC">
              <w:rPr>
                <w:rFonts w:cs="Tahoma"/>
                <w:lang w:val="en-GB"/>
              </w:rPr>
              <w:t>71,34</w:t>
            </w:r>
            <w:bookmarkEnd w:id="1155"/>
          </w:p>
        </w:tc>
        <w:tc>
          <w:tcPr>
            <w:tcW w:w="2948" w:type="dxa"/>
            <w:shd w:val="clear" w:color="auto" w:fill="auto"/>
            <w:vAlign w:val="center"/>
          </w:tcPr>
          <w:p w14:paraId="1A4469EA" w14:textId="77777777" w:rsidR="0064018D" w:rsidRPr="006645DC" w:rsidRDefault="0064018D" w:rsidP="00393EB7">
            <w:pPr>
              <w:keepNext/>
              <w:keepLines/>
              <w:spacing w:before="0" w:after="0" w:line="276" w:lineRule="auto"/>
              <w:jc w:val="right"/>
              <w:outlineLvl w:val="1"/>
              <w:rPr>
                <w:rFonts w:cs="Calibri"/>
                <w:color w:val="000000"/>
                <w:lang w:val="en-GB"/>
              </w:rPr>
            </w:pPr>
            <w:bookmarkStart w:id="1156" w:name="_Toc376199365"/>
            <w:r w:rsidRPr="006645DC">
              <w:rPr>
                <w:rFonts w:cs="Tahoma"/>
                <w:lang w:val="en-GB"/>
              </w:rPr>
              <w:t>49,44</w:t>
            </w:r>
            <w:bookmarkEnd w:id="1156"/>
          </w:p>
        </w:tc>
      </w:tr>
      <w:tr w:rsidR="0064018D" w:rsidRPr="006645DC" w14:paraId="41B15B12" w14:textId="77777777" w:rsidTr="00393EB7">
        <w:trPr>
          <w:trHeight w:val="20"/>
          <w:jc w:val="center"/>
        </w:trPr>
        <w:tc>
          <w:tcPr>
            <w:tcW w:w="3118" w:type="dxa"/>
            <w:shd w:val="clear" w:color="auto" w:fill="auto"/>
            <w:vAlign w:val="center"/>
          </w:tcPr>
          <w:p w14:paraId="0BF7FE46" w14:textId="77777777" w:rsidR="0064018D" w:rsidRPr="006645DC" w:rsidRDefault="0064018D" w:rsidP="00393EB7">
            <w:pPr>
              <w:keepNext/>
              <w:keepLines/>
              <w:spacing w:before="0" w:after="0"/>
              <w:outlineLvl w:val="1"/>
              <w:rPr>
                <w:rFonts w:eastAsia="Times New Roman" w:cs="Calibri"/>
                <w:b/>
                <w:bCs/>
                <w:color w:val="000000"/>
                <w:lang w:val="en-GB"/>
              </w:rPr>
            </w:pPr>
            <w:bookmarkStart w:id="1157" w:name="_Toc376199366"/>
            <w:r w:rsidRPr="006645DC">
              <w:rPr>
                <w:rFonts w:eastAsia="Times New Roman" w:cs="Calibri"/>
                <w:b/>
                <w:bCs/>
                <w:color w:val="000000"/>
                <w:lang w:val="en-GB"/>
              </w:rPr>
              <w:t>Dobrich</w:t>
            </w:r>
            <w:bookmarkEnd w:id="1157"/>
          </w:p>
        </w:tc>
        <w:tc>
          <w:tcPr>
            <w:tcW w:w="1053" w:type="dxa"/>
            <w:shd w:val="clear" w:color="auto" w:fill="auto"/>
            <w:noWrap/>
            <w:vAlign w:val="center"/>
          </w:tcPr>
          <w:p w14:paraId="43E26FDD" w14:textId="77777777" w:rsidR="0064018D" w:rsidRPr="006645DC" w:rsidRDefault="0064018D" w:rsidP="00393EB7">
            <w:pPr>
              <w:keepNext/>
              <w:keepLines/>
              <w:spacing w:before="0" w:after="0" w:line="276" w:lineRule="auto"/>
              <w:jc w:val="right"/>
              <w:outlineLvl w:val="1"/>
              <w:rPr>
                <w:rFonts w:cs="Tahoma"/>
                <w:lang w:val="en-GB"/>
              </w:rPr>
            </w:pPr>
            <w:bookmarkStart w:id="1158" w:name="_Toc376199367"/>
            <w:r w:rsidRPr="006645DC">
              <w:rPr>
                <w:rFonts w:cs="Tahoma"/>
                <w:lang w:val="en-GB"/>
              </w:rPr>
              <w:t>305,76</w:t>
            </w:r>
            <w:bookmarkEnd w:id="1158"/>
          </w:p>
        </w:tc>
        <w:tc>
          <w:tcPr>
            <w:tcW w:w="2665" w:type="dxa"/>
            <w:shd w:val="clear" w:color="auto" w:fill="auto"/>
            <w:vAlign w:val="center"/>
          </w:tcPr>
          <w:p w14:paraId="60EA401C" w14:textId="77777777" w:rsidR="0064018D" w:rsidRPr="006645DC" w:rsidRDefault="0064018D" w:rsidP="00393EB7">
            <w:pPr>
              <w:keepNext/>
              <w:keepLines/>
              <w:spacing w:before="0" w:after="0" w:line="276" w:lineRule="auto"/>
              <w:jc w:val="right"/>
              <w:outlineLvl w:val="1"/>
              <w:rPr>
                <w:rFonts w:eastAsia="Times New Roman" w:cs="Calibri"/>
                <w:color w:val="000000"/>
                <w:lang w:val="en-GB"/>
              </w:rPr>
            </w:pPr>
            <w:bookmarkStart w:id="1159" w:name="_Toc376199368"/>
            <w:r w:rsidRPr="006645DC">
              <w:rPr>
                <w:rFonts w:cs="Tahoma"/>
                <w:lang w:val="en-GB"/>
              </w:rPr>
              <w:t>73,68</w:t>
            </w:r>
            <w:bookmarkEnd w:id="1159"/>
          </w:p>
        </w:tc>
        <w:tc>
          <w:tcPr>
            <w:tcW w:w="2948" w:type="dxa"/>
            <w:shd w:val="clear" w:color="auto" w:fill="auto"/>
            <w:vAlign w:val="center"/>
          </w:tcPr>
          <w:p w14:paraId="15AA4F50" w14:textId="77777777" w:rsidR="0064018D" w:rsidRPr="006645DC" w:rsidRDefault="0064018D" w:rsidP="00393EB7">
            <w:pPr>
              <w:keepNext/>
              <w:keepLines/>
              <w:spacing w:before="0" w:after="0" w:line="276" w:lineRule="auto"/>
              <w:jc w:val="right"/>
              <w:outlineLvl w:val="1"/>
              <w:rPr>
                <w:rFonts w:cs="Calibri"/>
                <w:color w:val="000000"/>
                <w:lang w:val="en-GB"/>
              </w:rPr>
            </w:pPr>
            <w:bookmarkStart w:id="1160" w:name="_Toc376199369"/>
            <w:r w:rsidRPr="006645DC">
              <w:rPr>
                <w:rFonts w:cs="Tahoma"/>
                <w:lang w:val="en-GB"/>
              </w:rPr>
              <w:t>51,07</w:t>
            </w:r>
            <w:bookmarkEnd w:id="1160"/>
          </w:p>
        </w:tc>
      </w:tr>
      <w:tr w:rsidR="0064018D" w:rsidRPr="006645DC" w14:paraId="3056EB56" w14:textId="77777777" w:rsidTr="00393EB7">
        <w:trPr>
          <w:trHeight w:val="20"/>
          <w:jc w:val="center"/>
        </w:trPr>
        <w:tc>
          <w:tcPr>
            <w:tcW w:w="3118" w:type="dxa"/>
            <w:shd w:val="clear" w:color="auto" w:fill="auto"/>
            <w:vAlign w:val="center"/>
          </w:tcPr>
          <w:p w14:paraId="4BFFA56B" w14:textId="77777777" w:rsidR="0064018D" w:rsidRPr="006645DC" w:rsidRDefault="0064018D" w:rsidP="00393EB7">
            <w:pPr>
              <w:keepNext/>
              <w:keepLines/>
              <w:spacing w:before="0" w:after="0" w:line="276" w:lineRule="auto"/>
              <w:outlineLvl w:val="1"/>
              <w:rPr>
                <w:rFonts w:eastAsia="Times New Roman" w:cs="Calibri"/>
                <w:b/>
                <w:bCs/>
                <w:i/>
                <w:lang w:val="en-GB"/>
              </w:rPr>
            </w:pPr>
            <w:bookmarkStart w:id="1161" w:name="_Toc376199370"/>
            <w:r w:rsidRPr="006645DC">
              <w:rPr>
                <w:rFonts w:eastAsia="Times New Roman" w:cs="Calibri"/>
                <w:b/>
                <w:bCs/>
                <w:i/>
                <w:lang w:val="en-GB"/>
              </w:rPr>
              <w:t>Sofia (capital)</w:t>
            </w:r>
            <w:bookmarkEnd w:id="1161"/>
          </w:p>
        </w:tc>
        <w:tc>
          <w:tcPr>
            <w:tcW w:w="1053" w:type="dxa"/>
            <w:shd w:val="clear" w:color="auto" w:fill="auto"/>
            <w:noWrap/>
            <w:vAlign w:val="center"/>
          </w:tcPr>
          <w:p w14:paraId="2979D895" w14:textId="77777777" w:rsidR="0064018D" w:rsidRPr="006645DC" w:rsidRDefault="0064018D" w:rsidP="00393EB7">
            <w:pPr>
              <w:keepNext/>
              <w:keepLines/>
              <w:spacing w:before="0" w:after="0" w:line="276" w:lineRule="auto"/>
              <w:jc w:val="right"/>
              <w:outlineLvl w:val="1"/>
              <w:rPr>
                <w:rFonts w:cs="Tahoma"/>
                <w:b/>
                <w:i/>
                <w:lang w:val="en-GB"/>
              </w:rPr>
            </w:pPr>
            <w:bookmarkStart w:id="1162" w:name="_Toc376199371"/>
            <w:r w:rsidRPr="006645DC">
              <w:rPr>
                <w:rFonts w:cs="Tahoma"/>
                <w:b/>
                <w:i/>
                <w:lang w:val="en-GB"/>
              </w:rPr>
              <w:t>598,73</w:t>
            </w:r>
            <w:bookmarkEnd w:id="1162"/>
          </w:p>
        </w:tc>
        <w:tc>
          <w:tcPr>
            <w:tcW w:w="2665" w:type="dxa"/>
            <w:shd w:val="clear" w:color="auto" w:fill="auto"/>
            <w:vAlign w:val="center"/>
          </w:tcPr>
          <w:p w14:paraId="42769662" w14:textId="77777777" w:rsidR="0064018D" w:rsidRPr="006645DC" w:rsidRDefault="0064018D" w:rsidP="00393EB7">
            <w:pPr>
              <w:keepNext/>
              <w:keepLines/>
              <w:spacing w:before="0" w:after="0" w:line="276" w:lineRule="auto"/>
              <w:jc w:val="right"/>
              <w:outlineLvl w:val="1"/>
              <w:rPr>
                <w:rFonts w:cs="Tahoma"/>
                <w:b/>
                <w:i/>
                <w:lang w:val="en-GB"/>
              </w:rPr>
            </w:pPr>
            <w:bookmarkStart w:id="1163" w:name="_Toc376199372"/>
            <w:r w:rsidRPr="006645DC">
              <w:rPr>
                <w:rFonts w:cs="Tahoma"/>
                <w:b/>
                <w:i/>
                <w:lang w:val="en-GB"/>
              </w:rPr>
              <w:t>144,27</w:t>
            </w:r>
            <w:bookmarkEnd w:id="1163"/>
          </w:p>
        </w:tc>
        <w:tc>
          <w:tcPr>
            <w:tcW w:w="2948" w:type="dxa"/>
            <w:shd w:val="clear" w:color="auto" w:fill="auto"/>
            <w:vAlign w:val="center"/>
          </w:tcPr>
          <w:p w14:paraId="5A7407AA" w14:textId="77777777" w:rsidR="0064018D" w:rsidRPr="006645DC" w:rsidRDefault="00FD0316" w:rsidP="00393EB7">
            <w:pPr>
              <w:keepNext/>
              <w:keepLines/>
              <w:spacing w:before="0" w:after="0" w:line="276" w:lineRule="auto"/>
              <w:jc w:val="right"/>
              <w:outlineLvl w:val="1"/>
              <w:rPr>
                <w:rFonts w:cs="Tahoma"/>
                <w:b/>
                <w:i/>
                <w:lang w:val="en-GB"/>
              </w:rPr>
            </w:pPr>
            <w:bookmarkStart w:id="1164" w:name="_Toc376199373"/>
            <w:r w:rsidRPr="006645DC">
              <w:rPr>
                <w:rFonts w:cs="Tahoma"/>
                <w:b/>
                <w:i/>
                <w:lang w:val="en-GB"/>
              </w:rPr>
              <w:t>100</w:t>
            </w:r>
            <w:bookmarkEnd w:id="1164"/>
          </w:p>
        </w:tc>
      </w:tr>
    </w:tbl>
    <w:p w14:paraId="118F0F46" w14:textId="77777777" w:rsidR="0058116B" w:rsidRPr="006645DC" w:rsidRDefault="0058116B" w:rsidP="0058116B">
      <w:pPr>
        <w:pStyle w:val="Caption"/>
        <w:rPr>
          <w:lang w:val="en-GB"/>
        </w:rPr>
      </w:pPr>
      <w:bookmarkStart w:id="1165" w:name="_Toc391150128"/>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31</w:t>
      </w:r>
      <w:r w:rsidR="005979EB" w:rsidRPr="006645DC">
        <w:rPr>
          <w:lang w:val="en-GB"/>
        </w:rPr>
        <w:fldChar w:fldCharType="end"/>
      </w:r>
      <w:r w:rsidRPr="006645DC">
        <w:rPr>
          <w:lang w:val="en-GB"/>
        </w:rPr>
        <w:t xml:space="preserve"> - Average monthly salary in 2012 (% of the national average, % of the Sofia capital average)</w:t>
      </w:r>
      <w:bookmarkEnd w:id="1165"/>
    </w:p>
    <w:p w14:paraId="3849996B" w14:textId="77777777" w:rsidR="0058116B" w:rsidRPr="006645DC" w:rsidRDefault="0058116B" w:rsidP="0058116B">
      <w:pPr>
        <w:pStyle w:val="Heading4"/>
        <w:rPr>
          <w:lang w:val="en-GB"/>
        </w:rPr>
      </w:pPr>
      <w:r w:rsidRPr="006645DC">
        <w:rPr>
          <w:lang w:val="en-GB"/>
        </w:rPr>
        <w:t>Source:</w:t>
      </w:r>
      <w:r w:rsidR="00BF2517" w:rsidRPr="006645DC">
        <w:rPr>
          <w:lang w:val="en-GB"/>
        </w:rPr>
        <w:t xml:space="preserve"> NSI</w:t>
      </w:r>
    </w:p>
    <w:p w14:paraId="7A8F5F0E" w14:textId="77777777" w:rsidR="0058116B" w:rsidRPr="006645DC" w:rsidRDefault="0058116B" w:rsidP="0064018D">
      <w:pPr>
        <w:rPr>
          <w:lang w:val="en-GB"/>
        </w:rPr>
      </w:pPr>
    </w:p>
    <w:p w14:paraId="693E9D56" w14:textId="77777777" w:rsidR="0064018D" w:rsidRPr="006645DC" w:rsidRDefault="0064018D" w:rsidP="0064018D">
      <w:pPr>
        <w:rPr>
          <w:lang w:val="en-GB"/>
        </w:rPr>
      </w:pPr>
      <w:r w:rsidRPr="006645DC">
        <w:rPr>
          <w:lang w:val="en-GB"/>
        </w:rPr>
        <w:t xml:space="preserve">It is clearly visible from this table that the discrepancies in the Bulgarian cross-border districts are even more obvious than for the Romanian cross-border counties. The only exception is Vratsa, where the levels of the monthly salary are close to the national average. This indicates the important attraction of the capital for the districts of the cross-border area that are close to it. </w:t>
      </w:r>
    </w:p>
    <w:p w14:paraId="2226D2D2" w14:textId="77777777" w:rsidR="0064018D" w:rsidRPr="006645DC" w:rsidRDefault="0064018D" w:rsidP="0064018D">
      <w:pPr>
        <w:rPr>
          <w:lang w:val="en-GB"/>
        </w:rPr>
      </w:pPr>
      <w:r w:rsidRPr="006645DC">
        <w:rPr>
          <w:lang w:val="en-GB"/>
        </w:rPr>
        <w:t xml:space="preserve">Although salary amounts steadily increase over the years 2008-2012 both at national level and within the cross-border region districts, the whole cross-border region is lagging behind which makes the districts unattractive for educated people and youth searching quality jobs and good remuneration. </w:t>
      </w:r>
    </w:p>
    <w:p w14:paraId="46728F51" w14:textId="77777777" w:rsidR="0064018D" w:rsidRPr="006645DC" w:rsidRDefault="0064018D" w:rsidP="0064018D">
      <w:pPr>
        <w:pStyle w:val="Heading2"/>
        <w:rPr>
          <w:lang w:val="en-GB"/>
        </w:rPr>
      </w:pPr>
      <w:bookmarkStart w:id="1166" w:name="_Toc373340841"/>
      <w:bookmarkStart w:id="1167" w:name="_Toc376199374"/>
      <w:bookmarkStart w:id="1168" w:name="_Toc254543798"/>
      <w:bookmarkStart w:id="1169" w:name="_Toc391150183"/>
      <w:r w:rsidRPr="006645DC">
        <w:rPr>
          <w:lang w:val="en-GB"/>
        </w:rPr>
        <w:t>Education</w:t>
      </w:r>
      <w:bookmarkEnd w:id="1166"/>
      <w:bookmarkEnd w:id="1167"/>
      <w:bookmarkEnd w:id="1168"/>
      <w:bookmarkEnd w:id="1169"/>
    </w:p>
    <w:p w14:paraId="33F0E5C7" w14:textId="77777777" w:rsidR="0064018D" w:rsidRPr="006645DC" w:rsidRDefault="0064018D" w:rsidP="0064018D">
      <w:pPr>
        <w:rPr>
          <w:lang w:val="en-GB"/>
        </w:rPr>
      </w:pPr>
      <w:r w:rsidRPr="006645DC">
        <w:rPr>
          <w:lang w:val="en-GB"/>
        </w:rPr>
        <w:t xml:space="preserve">Education is a key social service and cohesion factor for a territory as it enables the social mobility and the development of competencies and abilities for the economic development of the region. The private companies need a stable flow of well-trained people in order to maintain and increase their competitiveness on the local, national and European market. A sound educational system that is responsive to the labour market requests is thus essential for both the livelihoods (revenue, career, social valorisation, etc.) of local citizens and for the economic development of companies in a region. </w:t>
      </w:r>
    </w:p>
    <w:p w14:paraId="3BABC47B" w14:textId="77777777" w:rsidR="0064018D" w:rsidRPr="006645DC" w:rsidRDefault="0064018D" w:rsidP="0064018D">
      <w:pPr>
        <w:rPr>
          <w:lang w:val="en-GB"/>
        </w:rPr>
      </w:pPr>
      <w:r w:rsidRPr="006645DC">
        <w:rPr>
          <w:lang w:val="en-GB"/>
        </w:rPr>
        <w:t xml:space="preserve">In the cross-border region, the demographic factor has </w:t>
      </w:r>
      <w:r w:rsidR="006509BE" w:rsidRPr="006645DC">
        <w:rPr>
          <w:lang w:val="en-GB"/>
        </w:rPr>
        <w:t>led</w:t>
      </w:r>
      <w:r w:rsidRPr="006645DC">
        <w:rPr>
          <w:lang w:val="en-GB"/>
        </w:rPr>
        <w:t xml:space="preserve"> to the decrease of school-age population (3-23 years old) and, implicitly, of school population, with strong negative impact on:</w:t>
      </w:r>
    </w:p>
    <w:p w14:paraId="479D7D92" w14:textId="77777777" w:rsidR="0064018D" w:rsidRPr="006645DC" w:rsidRDefault="0064018D" w:rsidP="0064018D">
      <w:pPr>
        <w:pStyle w:val="ListParagraph"/>
        <w:ind w:left="867"/>
        <w:rPr>
          <w:lang w:val="en-GB"/>
        </w:rPr>
      </w:pPr>
      <w:r w:rsidRPr="006645DC">
        <w:rPr>
          <w:lang w:val="en-GB"/>
        </w:rPr>
        <w:t>The active population levels (as seen previously)</w:t>
      </w:r>
    </w:p>
    <w:p w14:paraId="7FE7308A" w14:textId="77777777" w:rsidR="0064018D" w:rsidRPr="006645DC" w:rsidRDefault="0064018D" w:rsidP="0064018D">
      <w:pPr>
        <w:pStyle w:val="ListParagraph"/>
        <w:ind w:left="867"/>
        <w:rPr>
          <w:lang w:val="en-GB"/>
        </w:rPr>
      </w:pPr>
      <w:r w:rsidRPr="006645DC">
        <w:rPr>
          <w:lang w:val="en-GB"/>
        </w:rPr>
        <w:t xml:space="preserve">The revenue level of local employees (stagnating and decreasing with economic crisis) </w:t>
      </w:r>
    </w:p>
    <w:p w14:paraId="633E0A8D" w14:textId="77777777" w:rsidR="0064018D" w:rsidRPr="006645DC" w:rsidRDefault="0064018D" w:rsidP="0064018D">
      <w:pPr>
        <w:pStyle w:val="ListParagraph"/>
        <w:ind w:left="867"/>
        <w:rPr>
          <w:lang w:val="en-GB"/>
        </w:rPr>
      </w:pPr>
      <w:r w:rsidRPr="006645DC">
        <w:rPr>
          <w:lang w:val="en-GB"/>
        </w:rPr>
        <w:t xml:space="preserve">On the competitiveness of the local workforce on a longer timeframe basis </w:t>
      </w:r>
    </w:p>
    <w:p w14:paraId="5E27BD21" w14:textId="77777777" w:rsidR="0064018D" w:rsidRPr="006645DC" w:rsidRDefault="0064018D" w:rsidP="0064018D">
      <w:pPr>
        <w:pStyle w:val="ListParagraph"/>
        <w:ind w:left="867"/>
        <w:rPr>
          <w:lang w:val="en-GB"/>
        </w:rPr>
      </w:pPr>
      <w:r w:rsidRPr="006645DC">
        <w:rPr>
          <w:lang w:val="en-GB"/>
        </w:rPr>
        <w:t xml:space="preserve">The sustainability of the education system </w:t>
      </w:r>
    </w:p>
    <w:p w14:paraId="358F8922" w14:textId="77777777" w:rsidR="0064018D" w:rsidRPr="006645DC" w:rsidRDefault="0064018D" w:rsidP="0064018D">
      <w:pPr>
        <w:rPr>
          <w:lang w:val="en-GB"/>
        </w:rPr>
      </w:pPr>
      <w:r w:rsidRPr="006645DC">
        <w:rPr>
          <w:lang w:val="en-GB"/>
        </w:rPr>
        <w:lastRenderedPageBreak/>
        <w:t xml:space="preserve">In the Romanian area of the cross-border region, the school population was, in the 2011-2012 school / academic year, of 519 thousands pupils and students, with a weight of 13.9% of the total school population in Romania. The school/academic enrolled population in the Romanian cross-border area has dropped of 18% between 2000 and 2012, a decrease rate almost equal to the national one. </w:t>
      </w:r>
    </w:p>
    <w:p w14:paraId="5E8CB7A3" w14:textId="77777777" w:rsidR="0064018D" w:rsidRPr="006645DC" w:rsidRDefault="0064018D" w:rsidP="0064018D">
      <w:pPr>
        <w:autoSpaceDE w:val="0"/>
        <w:autoSpaceDN w:val="0"/>
        <w:adjustRightInd w:val="0"/>
        <w:jc w:val="center"/>
        <w:rPr>
          <w:sz w:val="24"/>
          <w:szCs w:val="24"/>
          <w:lang w:val="en-GB"/>
        </w:rPr>
      </w:pPr>
    </w:p>
    <w:p w14:paraId="576DE3B2" w14:textId="77777777" w:rsidR="0064018D" w:rsidRPr="006645DC" w:rsidRDefault="00AA4C82" w:rsidP="0064018D">
      <w:pPr>
        <w:autoSpaceDE w:val="0"/>
        <w:autoSpaceDN w:val="0"/>
        <w:adjustRightInd w:val="0"/>
        <w:jc w:val="center"/>
        <w:rPr>
          <w:sz w:val="24"/>
          <w:szCs w:val="24"/>
          <w:lang w:val="en-GB"/>
        </w:rPr>
      </w:pPr>
      <w:r w:rsidRPr="006645DC">
        <w:rPr>
          <w:noProof/>
          <w:sz w:val="24"/>
          <w:szCs w:val="24"/>
          <w:lang w:val="bg-BG" w:eastAsia="bg-BG"/>
        </w:rPr>
        <w:drawing>
          <wp:inline distT="0" distB="0" distL="0" distR="0" wp14:anchorId="791905A1" wp14:editId="4FF9E6E7">
            <wp:extent cx="5495925" cy="3209925"/>
            <wp:effectExtent l="0" t="0" r="0" b="0"/>
            <wp:docPr id="66" name="Chart 2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2DC50AB1" w14:textId="77777777" w:rsidR="0064018D" w:rsidRPr="006645DC" w:rsidRDefault="0064018D" w:rsidP="0064018D">
      <w:pPr>
        <w:pStyle w:val="Caption"/>
        <w:rPr>
          <w:lang w:val="en-GB"/>
        </w:rPr>
      </w:pPr>
      <w:bookmarkStart w:id="1170" w:name="_Toc391150084"/>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35</w:t>
      </w:r>
      <w:r w:rsidR="005979EB" w:rsidRPr="006645DC">
        <w:rPr>
          <w:lang w:val="en-GB"/>
        </w:rPr>
        <w:fldChar w:fldCharType="end"/>
      </w:r>
      <w:r w:rsidRPr="006645DC">
        <w:rPr>
          <w:lang w:val="en-GB"/>
        </w:rPr>
        <w:t xml:space="preserve"> - The evolution of the population enrolled in education 2008-2012 in the Romanian cross-border counties</w:t>
      </w:r>
      <w:bookmarkEnd w:id="1170"/>
    </w:p>
    <w:p w14:paraId="7B37F8C5" w14:textId="77777777" w:rsidR="0064018D" w:rsidRPr="006645DC" w:rsidRDefault="0064018D" w:rsidP="0064018D">
      <w:pPr>
        <w:pStyle w:val="Heading4"/>
        <w:rPr>
          <w:lang w:val="en-GB"/>
        </w:rPr>
      </w:pPr>
      <w:r w:rsidRPr="006645DC">
        <w:rPr>
          <w:lang w:val="en-GB"/>
        </w:rPr>
        <w:t>source: INS Romania</w:t>
      </w:r>
    </w:p>
    <w:p w14:paraId="2D4FA0EB" w14:textId="77777777" w:rsidR="0064018D" w:rsidRPr="006645DC" w:rsidRDefault="0064018D" w:rsidP="0064018D">
      <w:pPr>
        <w:rPr>
          <w:lang w:val="en-GB"/>
        </w:rPr>
      </w:pPr>
      <w:r w:rsidRPr="006645DC">
        <w:rPr>
          <w:lang w:val="en-GB"/>
        </w:rPr>
        <w:t>From the chart above, it is obvious that the decrease in the population enrolled in education is not the same in all the counties of the cross-border area, the most urbanized ones (Dolj and Constanta) be</w:t>
      </w:r>
      <w:r w:rsidR="00993523" w:rsidRPr="006645DC">
        <w:rPr>
          <w:lang w:val="en-GB"/>
        </w:rPr>
        <w:t>ing the most affected by this phenomenon</w:t>
      </w:r>
      <w:r w:rsidRPr="006645DC">
        <w:rPr>
          <w:lang w:val="en-GB"/>
        </w:rPr>
        <w:t xml:space="preserve">. This is due partly to depopulation and emigration and to school abandon. It is a worrying matter in counties like Dolj with a 15%decrease of the school population between 2008 and 2012. </w:t>
      </w:r>
    </w:p>
    <w:p w14:paraId="62DD1AE1" w14:textId="77777777" w:rsidR="0064018D" w:rsidRPr="006645DC" w:rsidRDefault="0064018D" w:rsidP="0064018D">
      <w:pPr>
        <w:rPr>
          <w:lang w:val="en-GB"/>
        </w:rPr>
      </w:pPr>
      <w:r w:rsidRPr="006645DC">
        <w:rPr>
          <w:lang w:val="en-GB"/>
        </w:rPr>
        <w:t xml:space="preserve">The split between levels of education is also important as it indicates the capacity of the system to ensure the finalization of the study cycles by pupils/students and the delivery of well-trained citizens. </w:t>
      </w:r>
    </w:p>
    <w:p w14:paraId="575D1CD4" w14:textId="77777777" w:rsidR="0064018D" w:rsidRPr="006645DC" w:rsidRDefault="0064018D" w:rsidP="0064018D">
      <w:pPr>
        <w:rPr>
          <w:lang w:val="en-GB"/>
        </w:rPr>
      </w:pPr>
      <w:r w:rsidRPr="006645DC">
        <w:rPr>
          <w:lang w:val="en-GB"/>
        </w:rPr>
        <w:t>The chart below presents the evolution of the school</w:t>
      </w:r>
      <w:r w:rsidR="00993523" w:rsidRPr="006645DC">
        <w:rPr>
          <w:lang w:val="en-GB"/>
        </w:rPr>
        <w:t>/academic-enrolled</w:t>
      </w:r>
      <w:r w:rsidRPr="006645DC">
        <w:rPr>
          <w:lang w:val="en-GB"/>
        </w:rPr>
        <w:t xml:space="preserve"> population in the Romanian cross-border area between 2008 and 2012. The general decrease is hiding some differences between the different education levels. The higher education/professional training sector and the primary have registers increases (remarkable for the primary), while the pre-school (</w:t>
      </w:r>
      <w:r w:rsidRPr="006645DC">
        <w:rPr>
          <w:i/>
          <w:lang w:val="en-GB"/>
        </w:rPr>
        <w:t>gradinita</w:t>
      </w:r>
      <w:r w:rsidRPr="006645DC">
        <w:rPr>
          <w:lang w:val="en-GB"/>
        </w:rPr>
        <w:t>) and the university</w:t>
      </w:r>
      <w:r w:rsidR="00993523" w:rsidRPr="006645DC">
        <w:rPr>
          <w:lang w:val="en-GB"/>
        </w:rPr>
        <w:t xml:space="preserve"> have seen important decreases: </w:t>
      </w:r>
      <w:r w:rsidRPr="006645DC">
        <w:rPr>
          <w:lang w:val="en-GB"/>
        </w:rPr>
        <w:t xml:space="preserve">the enrolled number of students drop by half in this period). The pre-school </w:t>
      </w:r>
      <w:r w:rsidRPr="006645DC">
        <w:rPr>
          <w:lang w:val="en-GB"/>
        </w:rPr>
        <w:lastRenderedPageBreak/>
        <w:t xml:space="preserve">availability and quality of services is important as it is a key for allowing parents to pursue their economic activity, here the decrease is rather linked to the general demographic decrease. </w:t>
      </w:r>
    </w:p>
    <w:p w14:paraId="2A27CADB" w14:textId="77777777" w:rsidR="0064018D" w:rsidRPr="006645DC" w:rsidRDefault="0064018D" w:rsidP="0064018D">
      <w:pPr>
        <w:autoSpaceDE w:val="0"/>
        <w:autoSpaceDN w:val="0"/>
        <w:adjustRightInd w:val="0"/>
        <w:jc w:val="center"/>
        <w:rPr>
          <w:sz w:val="24"/>
          <w:szCs w:val="24"/>
          <w:lang w:val="en-GB"/>
        </w:rPr>
      </w:pPr>
    </w:p>
    <w:p w14:paraId="539E053B" w14:textId="77777777" w:rsidR="0064018D" w:rsidRPr="006645DC" w:rsidRDefault="00AA4C82" w:rsidP="0064018D">
      <w:pPr>
        <w:autoSpaceDE w:val="0"/>
        <w:autoSpaceDN w:val="0"/>
        <w:adjustRightInd w:val="0"/>
        <w:jc w:val="center"/>
        <w:rPr>
          <w:sz w:val="24"/>
          <w:szCs w:val="24"/>
          <w:lang w:val="en-GB"/>
        </w:rPr>
      </w:pPr>
      <w:r w:rsidRPr="006645DC">
        <w:rPr>
          <w:noProof/>
          <w:sz w:val="24"/>
          <w:szCs w:val="24"/>
          <w:lang w:val="bg-BG" w:eastAsia="bg-BG"/>
        </w:rPr>
        <w:drawing>
          <wp:inline distT="0" distB="0" distL="0" distR="0" wp14:anchorId="411C0E99" wp14:editId="6C68E5E3">
            <wp:extent cx="5495925" cy="3209925"/>
            <wp:effectExtent l="0" t="0" r="0" b="0"/>
            <wp:docPr id="67" name="Chart 2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703B81D2" w14:textId="77777777" w:rsidR="0064018D" w:rsidRPr="006645DC" w:rsidRDefault="0064018D" w:rsidP="0064018D">
      <w:pPr>
        <w:pStyle w:val="Caption"/>
        <w:rPr>
          <w:lang w:val="en-GB"/>
        </w:rPr>
      </w:pPr>
      <w:bookmarkStart w:id="1171" w:name="_Toc391150085"/>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36</w:t>
      </w:r>
      <w:r w:rsidR="005979EB" w:rsidRPr="006645DC">
        <w:rPr>
          <w:lang w:val="en-GB"/>
        </w:rPr>
        <w:fldChar w:fldCharType="end"/>
      </w:r>
      <w:r w:rsidRPr="006645DC">
        <w:rPr>
          <w:lang w:val="en-GB"/>
        </w:rPr>
        <w:t xml:space="preserve"> - The evolution of the population enrolled in education 2008-2012 in the Romanian cross-border counties, evolution by education levels</w:t>
      </w:r>
      <w:bookmarkEnd w:id="1171"/>
    </w:p>
    <w:p w14:paraId="35F049E1" w14:textId="77777777" w:rsidR="0064018D" w:rsidRPr="006645DC" w:rsidRDefault="0064018D" w:rsidP="0064018D">
      <w:pPr>
        <w:pStyle w:val="Heading4"/>
        <w:rPr>
          <w:lang w:val="en-GB"/>
        </w:rPr>
      </w:pPr>
      <w:r w:rsidRPr="006645DC">
        <w:rPr>
          <w:lang w:val="en-GB"/>
        </w:rPr>
        <w:t>source: INS Romania</w:t>
      </w:r>
    </w:p>
    <w:p w14:paraId="5E4F087D" w14:textId="77777777" w:rsidR="0064018D" w:rsidRPr="006645DC" w:rsidRDefault="0064018D" w:rsidP="0064018D">
      <w:pPr>
        <w:rPr>
          <w:lang w:val="en-GB"/>
        </w:rPr>
      </w:pPr>
      <w:r w:rsidRPr="006645DC">
        <w:rPr>
          <w:lang w:val="en-GB"/>
        </w:rPr>
        <w:t xml:space="preserve">The higher education institutions (ISCED levels 5 and 6) have witnessed a slight decrease in the number of faculties that activate at the level of the Romanian cross-border area. The development of private faculties/universities seems to have stopped in recent years. Only Constanta, Teleorman and Dolj have private faculties that are active (8, 2 and 4 respectively in 2012) while public ones are present in Constanta (20), Dolj (15), Mehedinti (5), Olt (2), Calarasi and Teleorman (1). Constanta and Dolj, as regional urban centres, </w:t>
      </w:r>
      <w:r w:rsidR="00993523" w:rsidRPr="006645DC">
        <w:rPr>
          <w:lang w:val="en-GB"/>
        </w:rPr>
        <w:t>concentrate</w:t>
      </w:r>
      <w:r w:rsidRPr="006645DC">
        <w:rPr>
          <w:lang w:val="en-GB"/>
        </w:rPr>
        <w:t xml:space="preserve"> higher education infrastructure. The proximity of Bucharest is here also a strong factor that discourages the development of local higher education structures. Nevertheless their presence is an indication of the local demand. Because only Constanta and Craiova (Dolj) have self-standing universities that have their seat there, it is obvious that the most common answer to the demand is that universities based outside the area, usually from Bucharest, open local subsidiaries/faculties in order to be closer to the </w:t>
      </w:r>
      <w:r w:rsidR="00271447" w:rsidRPr="006645DC">
        <w:rPr>
          <w:lang w:val="en-GB"/>
        </w:rPr>
        <w:t>students</w:t>
      </w:r>
      <w:r w:rsidRPr="006645DC">
        <w:rPr>
          <w:lang w:val="en-GB"/>
        </w:rPr>
        <w:t xml:space="preserve"> and to tap additional student resources.  </w:t>
      </w:r>
    </w:p>
    <w:p w14:paraId="190595C1" w14:textId="77777777" w:rsidR="0064018D" w:rsidRPr="006645DC" w:rsidRDefault="0064018D" w:rsidP="0064018D">
      <w:pPr>
        <w:rPr>
          <w:lang w:val="en-GB"/>
        </w:rPr>
      </w:pPr>
      <w:r w:rsidRPr="006645DC">
        <w:rPr>
          <w:lang w:val="en-GB"/>
        </w:rPr>
        <w:t>In the 2010-2011 school / academic year, in the Bulgarian area of the cross-border region, there were 223,136 students registered, representing 21.6% of Bulgaria’s school population, the biggest proportion of school population in the Bulgarian area was recorded in the districts of Veliko Turnovo (15.2%) and Pleven (17.5%).</w:t>
      </w:r>
    </w:p>
    <w:p w14:paraId="064EC7A3" w14:textId="77777777" w:rsidR="0064018D" w:rsidRPr="006645DC" w:rsidRDefault="0064018D" w:rsidP="0064018D">
      <w:pPr>
        <w:rPr>
          <w:lang w:val="en-GB"/>
        </w:rPr>
      </w:pPr>
      <w:r w:rsidRPr="006645DC">
        <w:rPr>
          <w:lang w:val="en-GB"/>
        </w:rPr>
        <w:lastRenderedPageBreak/>
        <w:t>The teaching staff in the Romanian area decreased by 10% in a constant manner between 2008 and 2011. The counties that lose the most rapidly their teaching staff are Dolj and Teleorman, with Olt having registered even an increase in the mentioned period. Measures to retain the teaching staff, train new teachers/professors are becoming increasingly important for the stability and q</w:t>
      </w:r>
      <w:r w:rsidR="00271447" w:rsidRPr="006645DC">
        <w:rPr>
          <w:lang w:val="en-GB"/>
        </w:rPr>
        <w:t xml:space="preserve">uality of the education system, </w:t>
      </w:r>
      <w:r w:rsidRPr="006645DC">
        <w:rPr>
          <w:lang w:val="en-GB"/>
        </w:rPr>
        <w:t>mainly</w:t>
      </w:r>
      <w:r w:rsidR="00271447" w:rsidRPr="006645DC">
        <w:rPr>
          <w:lang w:val="en-GB"/>
        </w:rPr>
        <w:t xml:space="preserve"> the public one,</w:t>
      </w:r>
      <w:r w:rsidRPr="006645DC">
        <w:rPr>
          <w:lang w:val="en-GB"/>
        </w:rPr>
        <w:t xml:space="preserve"> in the cross-border area of Romania. </w:t>
      </w:r>
    </w:p>
    <w:p w14:paraId="174D6660" w14:textId="77777777" w:rsidR="0064018D" w:rsidRPr="006645DC" w:rsidRDefault="0064018D" w:rsidP="0064018D">
      <w:pPr>
        <w:rPr>
          <w:lang w:val="en-GB"/>
        </w:rPr>
      </w:pPr>
      <w:r w:rsidRPr="006645DC">
        <w:rPr>
          <w:lang w:val="en-GB"/>
        </w:rPr>
        <w:t xml:space="preserve">In the Bulgarian area, </w:t>
      </w:r>
      <w:r w:rsidR="00271447" w:rsidRPr="006645DC">
        <w:rPr>
          <w:lang w:val="en-GB"/>
        </w:rPr>
        <w:t>the teaching staff</w:t>
      </w:r>
      <w:r w:rsidRPr="006645DC">
        <w:rPr>
          <w:lang w:val="en-GB"/>
        </w:rPr>
        <w:t xml:space="preserve"> decreased from 3 175 people in the school year 2008/2009 to 2 901 people in the school year 2012/2013. The most rapid loss of teaching staff </w:t>
      </w:r>
      <w:r w:rsidR="00271447" w:rsidRPr="006645DC">
        <w:rPr>
          <w:lang w:val="en-GB"/>
        </w:rPr>
        <w:t>was</w:t>
      </w:r>
      <w:r w:rsidRPr="006645DC">
        <w:rPr>
          <w:lang w:val="en-GB"/>
        </w:rPr>
        <w:t xml:space="preserve"> recorded in the districts of Vratsa, Pleven and Dobrich, while in Vidin, Veliko Turnovo, Ruse and Silistra the teaching staff number has increased slightly. </w:t>
      </w:r>
    </w:p>
    <w:p w14:paraId="0F5D2028" w14:textId="77777777" w:rsidR="0064018D" w:rsidRPr="006645DC" w:rsidRDefault="0064018D" w:rsidP="0064018D">
      <w:pPr>
        <w:rPr>
          <w:lang w:val="en-GB"/>
        </w:rPr>
      </w:pPr>
      <w:r w:rsidRPr="006645DC">
        <w:rPr>
          <w:lang w:val="en-GB"/>
        </w:rPr>
        <w:t xml:space="preserve">The education system is effectively addressing the social cohesion if it manages to be a social mobility instrument and succeeds in giving young people career perspectives in a market economy. The key issues in this respect in the Romania-Bulgaria cross-border context are the school abandon (at the end of an intermediary cycle or during the cycle) and the illiteracy rate. The failure of the education system to attract and retain pupils/students in the area is very important for the socio-economic development of a deprived, post-industrial and heavily agricultural area. It is an ominous threat of chronic under-development and under-fulfilment of the social potential.  </w:t>
      </w:r>
    </w:p>
    <w:p w14:paraId="02A7699D" w14:textId="77777777" w:rsidR="0064018D" w:rsidRPr="006645DC" w:rsidRDefault="0064018D" w:rsidP="0064018D">
      <w:pPr>
        <w:rPr>
          <w:lang w:val="en-GB"/>
        </w:rPr>
      </w:pPr>
      <w:r w:rsidRPr="006645DC">
        <w:rPr>
          <w:lang w:val="en-GB"/>
        </w:rPr>
        <w:t>The illiteracy rate is worrying, especially in the Romanian area of the cross-border region. According to the latest national statistical surveys ,the 1</w:t>
      </w:r>
      <w:r w:rsidRPr="006645DC">
        <w:rPr>
          <w:vertAlign w:val="superscript"/>
          <w:lang w:val="en-GB"/>
        </w:rPr>
        <w:t>st</w:t>
      </w:r>
      <w:r w:rsidRPr="006645DC">
        <w:rPr>
          <w:lang w:val="en-GB"/>
        </w:rPr>
        <w:t>, 2</w:t>
      </w:r>
      <w:r w:rsidRPr="006645DC">
        <w:rPr>
          <w:vertAlign w:val="superscript"/>
          <w:lang w:val="en-GB"/>
        </w:rPr>
        <w:t>nd</w:t>
      </w:r>
      <w:r w:rsidRPr="006645DC">
        <w:rPr>
          <w:lang w:val="en-GB"/>
        </w:rPr>
        <w:t xml:space="preserve"> and 4</w:t>
      </w:r>
      <w:r w:rsidRPr="006645DC">
        <w:rPr>
          <w:vertAlign w:val="superscript"/>
          <w:lang w:val="en-GB"/>
        </w:rPr>
        <w:t>th</w:t>
      </w:r>
      <w:r w:rsidRPr="006645DC">
        <w:rPr>
          <w:lang w:val="en-GB"/>
        </w:rPr>
        <w:t xml:space="preserve"> counties in term of highest  rate of illiteracy in Romania are located in the cross-border region (Calarasi – 3.61% of the total population, Giurgiu – 3.19% and Teleorman – 2.43% respectively). The other Romanian counties in the cross-border region display also illiteracy rates higher than 1% of the resident population of 10 years and older. Even though, this represents strong decreases since the last general survey in 2002, the figures in absolute level are indicative of the risk of social exclusion and of the lack of alternatives that affect</w:t>
      </w:r>
      <w:r w:rsidR="00271447" w:rsidRPr="006645DC">
        <w:rPr>
          <w:lang w:val="en-GB"/>
        </w:rPr>
        <w:t xml:space="preserve"> many people in these counties, </w:t>
      </w:r>
      <w:r w:rsidRPr="006645DC">
        <w:rPr>
          <w:lang w:val="en-GB"/>
        </w:rPr>
        <w:t>as illiteracy is a epiphenomenon for a wider lack of access to education and t</w:t>
      </w:r>
      <w:r w:rsidR="00271447" w:rsidRPr="006645DC">
        <w:rPr>
          <w:lang w:val="en-GB"/>
        </w:rPr>
        <w:t>he social values attached to it</w:t>
      </w:r>
      <w:r w:rsidRPr="006645DC">
        <w:rPr>
          <w:lang w:val="en-GB"/>
        </w:rPr>
        <w:t xml:space="preserve">. </w:t>
      </w:r>
    </w:p>
    <w:p w14:paraId="6B8B5FA9" w14:textId="77777777" w:rsidR="0064018D" w:rsidRPr="006645DC" w:rsidRDefault="0064018D" w:rsidP="0064018D">
      <w:pPr>
        <w:rPr>
          <w:lang w:val="en-GB"/>
        </w:rPr>
      </w:pPr>
      <w:r w:rsidRPr="006645DC">
        <w:rPr>
          <w:lang w:val="en-GB"/>
        </w:rPr>
        <w:t xml:space="preserve">In Bulgaria, two of the districts (Dobrich and Silistra) are above the national percentage of illiterate population (1.17%). This is due to the fact that these two districts are rural with a higher number of ethnic minorities groups, among which this indicator is traditionally high. All other districts rank well in comparison with the national figure. </w:t>
      </w:r>
    </w:p>
    <w:p w14:paraId="5CE1B601" w14:textId="77777777" w:rsidR="004E5AD4" w:rsidRPr="006645DC" w:rsidRDefault="004E5AD4" w:rsidP="0064018D">
      <w:pPr>
        <w:rPr>
          <w:lang w:val="en-GB"/>
        </w:rPr>
      </w:pPr>
    </w:p>
    <w:p w14:paraId="5A102C96" w14:textId="77777777" w:rsidR="004E5AD4" w:rsidRPr="006645DC" w:rsidRDefault="004E5AD4" w:rsidP="0064018D">
      <w:pPr>
        <w:rPr>
          <w:lang w:val="en-GB"/>
        </w:rPr>
      </w:pPr>
    </w:p>
    <w:p w14:paraId="398B69BC" w14:textId="77777777" w:rsidR="004E5AD4" w:rsidRPr="006645DC" w:rsidRDefault="004E5AD4" w:rsidP="0064018D">
      <w:pPr>
        <w:rPr>
          <w:lang w:val="en-GB"/>
        </w:rPr>
      </w:pPr>
    </w:p>
    <w:p w14:paraId="346412B6" w14:textId="77777777" w:rsidR="004E5AD4" w:rsidRPr="006645DC" w:rsidRDefault="004E5AD4" w:rsidP="0064018D">
      <w:pPr>
        <w:rPr>
          <w:lang w:val="en-GB"/>
        </w:rPr>
      </w:pPr>
    </w:p>
    <w:p w14:paraId="7E2E998B" w14:textId="77777777" w:rsidR="004E5AD4" w:rsidRPr="006645DC" w:rsidRDefault="004E5AD4" w:rsidP="0064018D">
      <w:pPr>
        <w:rPr>
          <w:lang w:val="en-GB"/>
        </w:rPr>
      </w:pPr>
    </w:p>
    <w:p w14:paraId="5CC569FF" w14:textId="77777777" w:rsidR="004E5AD4" w:rsidRPr="006645DC" w:rsidRDefault="004E5AD4" w:rsidP="0064018D">
      <w:pPr>
        <w:rPr>
          <w:lang w:val="en-GB"/>
        </w:rPr>
      </w:pPr>
    </w:p>
    <w:p w14:paraId="1C804942" w14:textId="77777777" w:rsidR="004E5AD4" w:rsidRPr="006645DC" w:rsidRDefault="004E5AD4" w:rsidP="0064018D">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5"/>
        <w:gridCol w:w="791"/>
        <w:gridCol w:w="3060"/>
        <w:gridCol w:w="7"/>
        <w:gridCol w:w="803"/>
      </w:tblGrid>
      <w:tr w:rsidR="0064018D" w:rsidRPr="006645DC" w14:paraId="656BDA76" w14:textId="77777777" w:rsidTr="006F47B6">
        <w:trPr>
          <w:trHeight w:val="282"/>
          <w:jc w:val="center"/>
        </w:trPr>
        <w:tc>
          <w:tcPr>
            <w:tcW w:w="3245" w:type="dxa"/>
            <w:vAlign w:val="center"/>
          </w:tcPr>
          <w:p w14:paraId="008738DB" w14:textId="77777777" w:rsidR="0064018D" w:rsidRPr="006645DC" w:rsidRDefault="0064018D" w:rsidP="006F47B6">
            <w:pPr>
              <w:snapToGrid w:val="0"/>
              <w:spacing w:before="0" w:after="0" w:line="280" w:lineRule="auto"/>
              <w:jc w:val="center"/>
              <w:rPr>
                <w:rFonts w:cs="Calibri"/>
                <w:lang w:val="en-GB"/>
              </w:rPr>
            </w:pPr>
            <w:r w:rsidRPr="006645DC">
              <w:rPr>
                <w:rFonts w:cs="Calibri"/>
                <w:b/>
                <w:i/>
                <w:lang w:val="en-GB"/>
              </w:rPr>
              <w:lastRenderedPageBreak/>
              <w:t>Romanian area</w:t>
            </w:r>
          </w:p>
        </w:tc>
        <w:tc>
          <w:tcPr>
            <w:tcW w:w="791" w:type="dxa"/>
            <w:vAlign w:val="center"/>
          </w:tcPr>
          <w:p w14:paraId="5E9CCECC" w14:textId="77777777" w:rsidR="0064018D" w:rsidRPr="006645DC" w:rsidRDefault="0064018D" w:rsidP="006F47B6">
            <w:pPr>
              <w:snapToGrid w:val="0"/>
              <w:spacing w:before="0" w:after="0"/>
              <w:jc w:val="center"/>
              <w:rPr>
                <w:rFonts w:cs="Calibri"/>
                <w:lang w:val="en-GB"/>
              </w:rPr>
            </w:pPr>
            <w:r w:rsidRPr="006645DC">
              <w:rPr>
                <w:rFonts w:cs="Calibri"/>
                <w:lang w:val="en-GB"/>
              </w:rPr>
              <w:t>%</w:t>
            </w:r>
          </w:p>
        </w:tc>
        <w:tc>
          <w:tcPr>
            <w:tcW w:w="3060" w:type="dxa"/>
            <w:vAlign w:val="center"/>
          </w:tcPr>
          <w:p w14:paraId="40B64C84" w14:textId="77777777" w:rsidR="0064018D" w:rsidRPr="006645DC" w:rsidRDefault="0064018D" w:rsidP="006F47B6">
            <w:pPr>
              <w:snapToGrid w:val="0"/>
              <w:spacing w:before="0" w:after="0" w:line="280" w:lineRule="auto"/>
              <w:jc w:val="center"/>
              <w:rPr>
                <w:rFonts w:cs="Calibri"/>
                <w:lang w:val="en-GB"/>
              </w:rPr>
            </w:pPr>
            <w:r w:rsidRPr="006645DC">
              <w:rPr>
                <w:rFonts w:cs="Calibri"/>
                <w:b/>
                <w:i/>
                <w:lang w:val="en-GB"/>
              </w:rPr>
              <w:t>Bulgarian area</w:t>
            </w:r>
          </w:p>
        </w:tc>
        <w:tc>
          <w:tcPr>
            <w:tcW w:w="810" w:type="dxa"/>
            <w:gridSpan w:val="2"/>
            <w:vAlign w:val="center"/>
          </w:tcPr>
          <w:p w14:paraId="2CA2322E" w14:textId="77777777" w:rsidR="0064018D" w:rsidRPr="006645DC" w:rsidRDefault="0064018D" w:rsidP="006F47B6">
            <w:pPr>
              <w:snapToGrid w:val="0"/>
              <w:spacing w:before="0" w:after="0"/>
              <w:jc w:val="center"/>
              <w:rPr>
                <w:rFonts w:cs="Calibri"/>
                <w:b/>
                <w:i/>
                <w:lang w:val="en-GB"/>
              </w:rPr>
            </w:pPr>
            <w:r w:rsidRPr="006645DC">
              <w:rPr>
                <w:rFonts w:cs="Calibri"/>
                <w:i/>
                <w:lang w:val="en-GB"/>
              </w:rPr>
              <w:t>%</w:t>
            </w:r>
          </w:p>
        </w:tc>
      </w:tr>
      <w:tr w:rsidR="0064018D" w:rsidRPr="006645DC" w14:paraId="210D1306" w14:textId="77777777" w:rsidTr="00546086">
        <w:trPr>
          <w:trHeight w:val="315"/>
          <w:jc w:val="center"/>
        </w:trPr>
        <w:tc>
          <w:tcPr>
            <w:tcW w:w="3245" w:type="dxa"/>
            <w:vAlign w:val="center"/>
          </w:tcPr>
          <w:p w14:paraId="75A8D334" w14:textId="77777777" w:rsidR="0064018D" w:rsidRPr="006645DC" w:rsidRDefault="0064018D" w:rsidP="008314FB">
            <w:pPr>
              <w:snapToGrid w:val="0"/>
              <w:spacing w:before="0" w:after="0" w:line="280" w:lineRule="auto"/>
              <w:rPr>
                <w:rFonts w:cs="Calibri"/>
                <w:lang w:val="en-GB"/>
              </w:rPr>
            </w:pPr>
            <w:r w:rsidRPr="006645DC">
              <w:rPr>
                <w:rFonts w:cs="Calibri"/>
                <w:lang w:val="en-GB"/>
              </w:rPr>
              <w:t>Constanţa</w:t>
            </w:r>
          </w:p>
        </w:tc>
        <w:tc>
          <w:tcPr>
            <w:tcW w:w="791" w:type="dxa"/>
            <w:vAlign w:val="center"/>
          </w:tcPr>
          <w:p w14:paraId="68BB7922" w14:textId="77777777" w:rsidR="0064018D" w:rsidRPr="006645DC" w:rsidRDefault="0064018D" w:rsidP="008314FB">
            <w:pPr>
              <w:keepNext/>
              <w:keepLines/>
              <w:snapToGrid w:val="0"/>
              <w:spacing w:before="0" w:after="0"/>
              <w:outlineLvl w:val="1"/>
              <w:rPr>
                <w:rFonts w:cs="Calibri"/>
                <w:lang w:val="en-GB"/>
              </w:rPr>
            </w:pPr>
            <w:bookmarkStart w:id="1172" w:name="_Toc376199375"/>
            <w:r w:rsidRPr="006645DC">
              <w:rPr>
                <w:rFonts w:cs="Calibri"/>
                <w:lang w:val="en-GB"/>
              </w:rPr>
              <w:t>1.3</w:t>
            </w:r>
            <w:bookmarkEnd w:id="1172"/>
          </w:p>
        </w:tc>
        <w:tc>
          <w:tcPr>
            <w:tcW w:w="3067" w:type="dxa"/>
            <w:gridSpan w:val="2"/>
            <w:vAlign w:val="center"/>
          </w:tcPr>
          <w:p w14:paraId="7B23084E" w14:textId="77777777" w:rsidR="0064018D" w:rsidRPr="006645DC" w:rsidRDefault="0064018D" w:rsidP="006F47B6">
            <w:pPr>
              <w:keepNext/>
              <w:keepLines/>
              <w:snapToGrid w:val="0"/>
              <w:spacing w:before="0" w:after="0"/>
              <w:outlineLvl w:val="1"/>
              <w:rPr>
                <w:rFonts w:cs="Calibri"/>
                <w:lang w:val="en-GB"/>
              </w:rPr>
            </w:pPr>
            <w:bookmarkStart w:id="1173" w:name="_Toc376199376"/>
            <w:r w:rsidRPr="006645DC">
              <w:rPr>
                <w:rFonts w:cs="Calibri"/>
                <w:lang w:val="en-GB"/>
              </w:rPr>
              <w:t>Vidin</w:t>
            </w:r>
            <w:bookmarkEnd w:id="1173"/>
          </w:p>
        </w:tc>
        <w:tc>
          <w:tcPr>
            <w:tcW w:w="803" w:type="dxa"/>
            <w:vAlign w:val="center"/>
          </w:tcPr>
          <w:p w14:paraId="0A029B50" w14:textId="77777777" w:rsidR="0064018D" w:rsidRPr="006645DC" w:rsidRDefault="0064018D" w:rsidP="006F47B6">
            <w:pPr>
              <w:keepNext/>
              <w:keepLines/>
              <w:snapToGrid w:val="0"/>
              <w:spacing w:before="0" w:after="0"/>
              <w:outlineLvl w:val="1"/>
              <w:rPr>
                <w:rFonts w:cs="Calibri"/>
                <w:lang w:val="en-GB"/>
              </w:rPr>
            </w:pPr>
            <w:bookmarkStart w:id="1174" w:name="_Toc376199377"/>
            <w:r w:rsidRPr="006645DC">
              <w:rPr>
                <w:rFonts w:cs="Calibri"/>
                <w:color w:val="000000"/>
                <w:lang w:val="en-GB"/>
              </w:rPr>
              <w:t>0,92</w:t>
            </w:r>
            <w:bookmarkEnd w:id="1174"/>
          </w:p>
        </w:tc>
      </w:tr>
      <w:tr w:rsidR="0064018D" w:rsidRPr="006645DC" w14:paraId="43B5D370" w14:textId="77777777" w:rsidTr="00546086">
        <w:trPr>
          <w:trHeight w:val="315"/>
          <w:jc w:val="center"/>
        </w:trPr>
        <w:tc>
          <w:tcPr>
            <w:tcW w:w="3245" w:type="dxa"/>
            <w:vAlign w:val="center"/>
          </w:tcPr>
          <w:p w14:paraId="0D9F812F" w14:textId="77777777" w:rsidR="0064018D" w:rsidRPr="006645DC" w:rsidRDefault="0064018D" w:rsidP="008314FB">
            <w:pPr>
              <w:keepNext/>
              <w:keepLines/>
              <w:snapToGrid w:val="0"/>
              <w:spacing w:before="0" w:after="0"/>
              <w:outlineLvl w:val="1"/>
              <w:rPr>
                <w:rFonts w:cs="Calibri"/>
                <w:lang w:val="en-GB"/>
              </w:rPr>
            </w:pPr>
            <w:bookmarkStart w:id="1175" w:name="_Toc376199378"/>
            <w:r w:rsidRPr="006645DC">
              <w:rPr>
                <w:rFonts w:cs="Calibri"/>
                <w:lang w:val="en-GB"/>
              </w:rPr>
              <w:t>Călăraşi</w:t>
            </w:r>
            <w:bookmarkEnd w:id="1175"/>
          </w:p>
        </w:tc>
        <w:tc>
          <w:tcPr>
            <w:tcW w:w="791" w:type="dxa"/>
            <w:vAlign w:val="center"/>
          </w:tcPr>
          <w:p w14:paraId="3B2B9DCC" w14:textId="77777777" w:rsidR="0064018D" w:rsidRPr="006645DC" w:rsidRDefault="0064018D" w:rsidP="008314FB">
            <w:pPr>
              <w:keepNext/>
              <w:keepLines/>
              <w:snapToGrid w:val="0"/>
              <w:spacing w:before="0" w:after="0"/>
              <w:outlineLvl w:val="1"/>
              <w:rPr>
                <w:rFonts w:cs="Calibri"/>
                <w:lang w:val="en-GB"/>
              </w:rPr>
            </w:pPr>
            <w:bookmarkStart w:id="1176" w:name="_Toc376199379"/>
            <w:r w:rsidRPr="006645DC">
              <w:rPr>
                <w:rFonts w:cs="Calibri"/>
                <w:lang w:val="en-GB"/>
              </w:rPr>
              <w:t>3.5</w:t>
            </w:r>
            <w:bookmarkEnd w:id="1176"/>
          </w:p>
        </w:tc>
        <w:tc>
          <w:tcPr>
            <w:tcW w:w="3067" w:type="dxa"/>
            <w:gridSpan w:val="2"/>
            <w:vAlign w:val="center"/>
          </w:tcPr>
          <w:p w14:paraId="13517E05" w14:textId="77777777" w:rsidR="0064018D" w:rsidRPr="006645DC" w:rsidRDefault="0064018D" w:rsidP="006F47B6">
            <w:pPr>
              <w:keepNext/>
              <w:keepLines/>
              <w:snapToGrid w:val="0"/>
              <w:spacing w:before="0" w:after="0"/>
              <w:outlineLvl w:val="1"/>
              <w:rPr>
                <w:rFonts w:cs="Calibri"/>
                <w:lang w:val="en-GB"/>
              </w:rPr>
            </w:pPr>
            <w:bookmarkStart w:id="1177" w:name="_Toc376199380"/>
            <w:r w:rsidRPr="006645DC">
              <w:rPr>
                <w:rFonts w:cs="Calibri"/>
                <w:lang w:val="en-GB"/>
              </w:rPr>
              <w:t>Vratsa</w:t>
            </w:r>
            <w:bookmarkEnd w:id="1177"/>
          </w:p>
        </w:tc>
        <w:tc>
          <w:tcPr>
            <w:tcW w:w="803" w:type="dxa"/>
            <w:vAlign w:val="center"/>
          </w:tcPr>
          <w:p w14:paraId="385C304D" w14:textId="77777777" w:rsidR="0064018D" w:rsidRPr="006645DC" w:rsidRDefault="0064018D" w:rsidP="006F47B6">
            <w:pPr>
              <w:keepNext/>
              <w:keepLines/>
              <w:snapToGrid w:val="0"/>
              <w:spacing w:before="0" w:after="0"/>
              <w:outlineLvl w:val="1"/>
              <w:rPr>
                <w:rFonts w:cs="Calibri"/>
                <w:lang w:val="en-GB"/>
              </w:rPr>
            </w:pPr>
            <w:bookmarkStart w:id="1178" w:name="_Toc376199381"/>
            <w:r w:rsidRPr="006645DC">
              <w:rPr>
                <w:rFonts w:cs="Calibri"/>
                <w:color w:val="000000"/>
                <w:lang w:val="en-GB"/>
              </w:rPr>
              <w:t>0,87</w:t>
            </w:r>
            <w:bookmarkEnd w:id="1178"/>
          </w:p>
        </w:tc>
      </w:tr>
      <w:tr w:rsidR="0064018D" w:rsidRPr="006645DC" w14:paraId="719E7E2F" w14:textId="77777777" w:rsidTr="00546086">
        <w:trPr>
          <w:trHeight w:val="315"/>
          <w:jc w:val="center"/>
        </w:trPr>
        <w:tc>
          <w:tcPr>
            <w:tcW w:w="3245" w:type="dxa"/>
            <w:vAlign w:val="center"/>
          </w:tcPr>
          <w:p w14:paraId="317D44E2" w14:textId="77777777" w:rsidR="0064018D" w:rsidRPr="006645DC" w:rsidRDefault="0064018D" w:rsidP="008314FB">
            <w:pPr>
              <w:keepNext/>
              <w:keepLines/>
              <w:snapToGrid w:val="0"/>
              <w:spacing w:before="0" w:after="0"/>
              <w:outlineLvl w:val="1"/>
              <w:rPr>
                <w:rFonts w:cs="Calibri"/>
                <w:lang w:val="en-GB"/>
              </w:rPr>
            </w:pPr>
            <w:bookmarkStart w:id="1179" w:name="_Toc376199382"/>
            <w:r w:rsidRPr="006645DC">
              <w:rPr>
                <w:rFonts w:cs="Calibri"/>
                <w:lang w:val="en-GB"/>
              </w:rPr>
              <w:t>Giurgiu</w:t>
            </w:r>
            <w:bookmarkEnd w:id="1179"/>
          </w:p>
        </w:tc>
        <w:tc>
          <w:tcPr>
            <w:tcW w:w="791" w:type="dxa"/>
            <w:vAlign w:val="center"/>
          </w:tcPr>
          <w:p w14:paraId="2DC859BC" w14:textId="77777777" w:rsidR="0064018D" w:rsidRPr="006645DC" w:rsidRDefault="0064018D" w:rsidP="008314FB">
            <w:pPr>
              <w:keepNext/>
              <w:keepLines/>
              <w:snapToGrid w:val="0"/>
              <w:spacing w:before="0" w:after="0"/>
              <w:outlineLvl w:val="1"/>
              <w:rPr>
                <w:rFonts w:cs="Calibri"/>
                <w:lang w:val="en-GB"/>
              </w:rPr>
            </w:pPr>
            <w:bookmarkStart w:id="1180" w:name="_Toc376199383"/>
            <w:r w:rsidRPr="006645DC">
              <w:rPr>
                <w:rFonts w:cs="Calibri"/>
                <w:lang w:val="en-GB"/>
              </w:rPr>
              <w:t>3.8</w:t>
            </w:r>
            <w:bookmarkEnd w:id="1180"/>
          </w:p>
        </w:tc>
        <w:tc>
          <w:tcPr>
            <w:tcW w:w="3067" w:type="dxa"/>
            <w:gridSpan w:val="2"/>
            <w:vAlign w:val="center"/>
          </w:tcPr>
          <w:p w14:paraId="7A274DA5" w14:textId="77777777" w:rsidR="0064018D" w:rsidRPr="006645DC" w:rsidRDefault="0064018D" w:rsidP="006F47B6">
            <w:pPr>
              <w:keepNext/>
              <w:keepLines/>
              <w:snapToGrid w:val="0"/>
              <w:spacing w:before="0" w:after="0"/>
              <w:outlineLvl w:val="1"/>
              <w:rPr>
                <w:rFonts w:cs="Calibri"/>
                <w:lang w:val="en-GB"/>
              </w:rPr>
            </w:pPr>
            <w:bookmarkStart w:id="1181" w:name="_Toc376199384"/>
            <w:r w:rsidRPr="006645DC">
              <w:rPr>
                <w:rFonts w:cs="Calibri"/>
                <w:lang w:val="en-GB"/>
              </w:rPr>
              <w:t>Montana</w:t>
            </w:r>
            <w:bookmarkEnd w:id="1181"/>
          </w:p>
        </w:tc>
        <w:tc>
          <w:tcPr>
            <w:tcW w:w="803" w:type="dxa"/>
            <w:vAlign w:val="center"/>
          </w:tcPr>
          <w:p w14:paraId="50DAB6AA" w14:textId="77777777" w:rsidR="0064018D" w:rsidRPr="006645DC" w:rsidRDefault="0064018D" w:rsidP="006F47B6">
            <w:pPr>
              <w:keepNext/>
              <w:keepLines/>
              <w:spacing w:before="0" w:after="0"/>
              <w:outlineLvl w:val="1"/>
              <w:rPr>
                <w:rFonts w:cs="Calibri"/>
                <w:color w:val="000000"/>
                <w:lang w:val="en-GB"/>
              </w:rPr>
            </w:pPr>
            <w:bookmarkStart w:id="1182" w:name="_Toc376199385"/>
            <w:r w:rsidRPr="006645DC">
              <w:rPr>
                <w:rFonts w:cs="Calibri"/>
                <w:color w:val="000000"/>
                <w:lang w:val="en-GB"/>
              </w:rPr>
              <w:t>0,80</w:t>
            </w:r>
            <w:bookmarkEnd w:id="1182"/>
          </w:p>
        </w:tc>
      </w:tr>
      <w:tr w:rsidR="0064018D" w:rsidRPr="006645DC" w14:paraId="012A0457" w14:textId="77777777" w:rsidTr="00546086">
        <w:trPr>
          <w:trHeight w:val="315"/>
          <w:jc w:val="center"/>
        </w:trPr>
        <w:tc>
          <w:tcPr>
            <w:tcW w:w="3245" w:type="dxa"/>
            <w:vAlign w:val="center"/>
          </w:tcPr>
          <w:p w14:paraId="685BB686" w14:textId="77777777" w:rsidR="0064018D" w:rsidRPr="006645DC" w:rsidRDefault="0064018D" w:rsidP="008314FB">
            <w:pPr>
              <w:keepNext/>
              <w:keepLines/>
              <w:snapToGrid w:val="0"/>
              <w:spacing w:before="0" w:after="0"/>
              <w:outlineLvl w:val="1"/>
              <w:rPr>
                <w:rFonts w:cs="Calibri"/>
                <w:lang w:val="en-GB"/>
              </w:rPr>
            </w:pPr>
            <w:bookmarkStart w:id="1183" w:name="_Toc376199386"/>
            <w:r w:rsidRPr="006645DC">
              <w:rPr>
                <w:rFonts w:cs="Calibri"/>
                <w:lang w:val="en-GB"/>
              </w:rPr>
              <w:t>Teleorman</w:t>
            </w:r>
            <w:bookmarkEnd w:id="1183"/>
          </w:p>
        </w:tc>
        <w:tc>
          <w:tcPr>
            <w:tcW w:w="791" w:type="dxa"/>
            <w:vAlign w:val="center"/>
          </w:tcPr>
          <w:p w14:paraId="217630C9" w14:textId="77777777" w:rsidR="0064018D" w:rsidRPr="006645DC" w:rsidRDefault="0064018D" w:rsidP="008314FB">
            <w:pPr>
              <w:keepNext/>
              <w:keepLines/>
              <w:snapToGrid w:val="0"/>
              <w:spacing w:before="0" w:after="0"/>
              <w:outlineLvl w:val="1"/>
              <w:rPr>
                <w:rFonts w:cs="Calibri"/>
                <w:lang w:val="en-GB"/>
              </w:rPr>
            </w:pPr>
            <w:bookmarkStart w:id="1184" w:name="_Toc376199387"/>
            <w:r w:rsidRPr="006645DC">
              <w:rPr>
                <w:rFonts w:cs="Calibri"/>
                <w:lang w:val="en-GB"/>
              </w:rPr>
              <w:t>2.3</w:t>
            </w:r>
            <w:bookmarkEnd w:id="1184"/>
          </w:p>
        </w:tc>
        <w:tc>
          <w:tcPr>
            <w:tcW w:w="3067" w:type="dxa"/>
            <w:gridSpan w:val="2"/>
            <w:vAlign w:val="center"/>
          </w:tcPr>
          <w:p w14:paraId="4E3A5D65" w14:textId="77777777" w:rsidR="0064018D" w:rsidRPr="006645DC" w:rsidRDefault="0064018D" w:rsidP="006F47B6">
            <w:pPr>
              <w:keepNext/>
              <w:keepLines/>
              <w:snapToGrid w:val="0"/>
              <w:spacing w:before="0" w:after="0"/>
              <w:outlineLvl w:val="1"/>
              <w:rPr>
                <w:rFonts w:cs="Calibri"/>
                <w:lang w:val="en-GB"/>
              </w:rPr>
            </w:pPr>
            <w:bookmarkStart w:id="1185" w:name="_Toc376199388"/>
            <w:r w:rsidRPr="006645DC">
              <w:rPr>
                <w:rFonts w:cs="Calibri"/>
                <w:lang w:val="en-GB"/>
              </w:rPr>
              <w:t>Pleven</w:t>
            </w:r>
            <w:bookmarkEnd w:id="1185"/>
          </w:p>
        </w:tc>
        <w:tc>
          <w:tcPr>
            <w:tcW w:w="803" w:type="dxa"/>
            <w:vAlign w:val="center"/>
          </w:tcPr>
          <w:p w14:paraId="301DC562" w14:textId="77777777" w:rsidR="0064018D" w:rsidRPr="006645DC" w:rsidRDefault="0064018D" w:rsidP="006F47B6">
            <w:pPr>
              <w:keepNext/>
              <w:keepLines/>
              <w:spacing w:before="0" w:after="0"/>
              <w:outlineLvl w:val="1"/>
              <w:rPr>
                <w:rFonts w:cs="Calibri"/>
                <w:color w:val="000000"/>
                <w:lang w:val="en-GB"/>
              </w:rPr>
            </w:pPr>
            <w:bookmarkStart w:id="1186" w:name="_Toc376199389"/>
            <w:r w:rsidRPr="006645DC">
              <w:rPr>
                <w:rFonts w:cs="Calibri"/>
                <w:color w:val="000000"/>
                <w:lang w:val="en-GB"/>
              </w:rPr>
              <w:t>1,06</w:t>
            </w:r>
            <w:bookmarkEnd w:id="1186"/>
          </w:p>
        </w:tc>
      </w:tr>
      <w:tr w:rsidR="0064018D" w:rsidRPr="006645DC" w14:paraId="00CD9B7E" w14:textId="77777777" w:rsidTr="00546086">
        <w:trPr>
          <w:trHeight w:val="315"/>
          <w:jc w:val="center"/>
        </w:trPr>
        <w:tc>
          <w:tcPr>
            <w:tcW w:w="3245" w:type="dxa"/>
            <w:vAlign w:val="center"/>
          </w:tcPr>
          <w:p w14:paraId="43F538E0" w14:textId="77777777" w:rsidR="0064018D" w:rsidRPr="006645DC" w:rsidRDefault="0064018D" w:rsidP="008314FB">
            <w:pPr>
              <w:keepNext/>
              <w:keepLines/>
              <w:snapToGrid w:val="0"/>
              <w:spacing w:before="0" w:after="0"/>
              <w:outlineLvl w:val="1"/>
              <w:rPr>
                <w:rFonts w:cs="Calibri"/>
                <w:lang w:val="en-GB"/>
              </w:rPr>
            </w:pPr>
            <w:bookmarkStart w:id="1187" w:name="_Toc376199390"/>
            <w:r w:rsidRPr="006645DC">
              <w:rPr>
                <w:rFonts w:cs="Calibri"/>
                <w:lang w:val="en-GB"/>
              </w:rPr>
              <w:t>Dolj</w:t>
            </w:r>
            <w:bookmarkEnd w:id="1187"/>
          </w:p>
        </w:tc>
        <w:tc>
          <w:tcPr>
            <w:tcW w:w="791" w:type="dxa"/>
            <w:vAlign w:val="center"/>
          </w:tcPr>
          <w:p w14:paraId="3193B6DA" w14:textId="77777777" w:rsidR="0064018D" w:rsidRPr="006645DC" w:rsidRDefault="0064018D" w:rsidP="008314FB">
            <w:pPr>
              <w:keepNext/>
              <w:keepLines/>
              <w:snapToGrid w:val="0"/>
              <w:spacing w:before="0" w:after="0"/>
              <w:outlineLvl w:val="1"/>
              <w:rPr>
                <w:rFonts w:cs="Calibri"/>
                <w:lang w:val="en-GB"/>
              </w:rPr>
            </w:pPr>
            <w:bookmarkStart w:id="1188" w:name="_Toc376199391"/>
            <w:r w:rsidRPr="006645DC">
              <w:rPr>
                <w:rFonts w:cs="Calibri"/>
                <w:lang w:val="en-GB"/>
              </w:rPr>
              <w:t>1.3</w:t>
            </w:r>
            <w:bookmarkEnd w:id="1188"/>
          </w:p>
        </w:tc>
        <w:tc>
          <w:tcPr>
            <w:tcW w:w="3067" w:type="dxa"/>
            <w:gridSpan w:val="2"/>
            <w:vAlign w:val="center"/>
          </w:tcPr>
          <w:p w14:paraId="0ADAA775" w14:textId="77777777" w:rsidR="0064018D" w:rsidRPr="006645DC" w:rsidRDefault="0064018D" w:rsidP="006F47B6">
            <w:pPr>
              <w:keepNext/>
              <w:keepLines/>
              <w:snapToGrid w:val="0"/>
              <w:spacing w:before="0" w:after="0"/>
              <w:outlineLvl w:val="1"/>
              <w:rPr>
                <w:rFonts w:cs="Calibri"/>
                <w:lang w:val="en-GB"/>
              </w:rPr>
            </w:pPr>
            <w:bookmarkStart w:id="1189" w:name="_Toc376199392"/>
            <w:r w:rsidRPr="006645DC">
              <w:rPr>
                <w:rFonts w:cs="Calibri"/>
                <w:lang w:val="en-GB"/>
              </w:rPr>
              <w:t>Veliko Turnovo</w:t>
            </w:r>
            <w:bookmarkEnd w:id="1189"/>
          </w:p>
        </w:tc>
        <w:tc>
          <w:tcPr>
            <w:tcW w:w="803" w:type="dxa"/>
            <w:vAlign w:val="center"/>
          </w:tcPr>
          <w:p w14:paraId="0156FA51" w14:textId="77777777" w:rsidR="0064018D" w:rsidRPr="006645DC" w:rsidRDefault="0064018D" w:rsidP="006F47B6">
            <w:pPr>
              <w:keepNext/>
              <w:keepLines/>
              <w:spacing w:before="0" w:after="0"/>
              <w:outlineLvl w:val="1"/>
              <w:rPr>
                <w:rFonts w:cs="Calibri"/>
                <w:color w:val="000000"/>
                <w:lang w:val="en-GB"/>
              </w:rPr>
            </w:pPr>
            <w:bookmarkStart w:id="1190" w:name="_Toc376199393"/>
            <w:r w:rsidRPr="006645DC">
              <w:rPr>
                <w:rFonts w:cs="Calibri"/>
                <w:color w:val="000000"/>
                <w:lang w:val="en-GB"/>
              </w:rPr>
              <w:t>0,64</w:t>
            </w:r>
            <w:bookmarkEnd w:id="1190"/>
          </w:p>
        </w:tc>
      </w:tr>
      <w:tr w:rsidR="0064018D" w:rsidRPr="006645DC" w14:paraId="1986E823" w14:textId="77777777" w:rsidTr="00546086">
        <w:trPr>
          <w:trHeight w:val="315"/>
          <w:jc w:val="center"/>
        </w:trPr>
        <w:tc>
          <w:tcPr>
            <w:tcW w:w="3245" w:type="dxa"/>
            <w:vAlign w:val="center"/>
          </w:tcPr>
          <w:p w14:paraId="6AD2EEBD" w14:textId="77777777" w:rsidR="0064018D" w:rsidRPr="006645DC" w:rsidRDefault="0064018D" w:rsidP="008314FB">
            <w:pPr>
              <w:keepNext/>
              <w:keepLines/>
              <w:snapToGrid w:val="0"/>
              <w:spacing w:before="0" w:after="0"/>
              <w:outlineLvl w:val="1"/>
              <w:rPr>
                <w:rFonts w:cs="Calibri"/>
                <w:lang w:val="en-GB"/>
              </w:rPr>
            </w:pPr>
            <w:bookmarkStart w:id="1191" w:name="_Toc376199394"/>
            <w:r w:rsidRPr="006645DC">
              <w:rPr>
                <w:rFonts w:cs="Calibri"/>
                <w:lang w:val="en-GB"/>
              </w:rPr>
              <w:t>Mehedinţi</w:t>
            </w:r>
            <w:bookmarkEnd w:id="1191"/>
          </w:p>
        </w:tc>
        <w:tc>
          <w:tcPr>
            <w:tcW w:w="791" w:type="dxa"/>
            <w:vAlign w:val="center"/>
          </w:tcPr>
          <w:p w14:paraId="391DB651" w14:textId="77777777" w:rsidR="0064018D" w:rsidRPr="006645DC" w:rsidRDefault="0064018D" w:rsidP="008314FB">
            <w:pPr>
              <w:keepNext/>
              <w:keepLines/>
              <w:snapToGrid w:val="0"/>
              <w:spacing w:before="0" w:after="0"/>
              <w:outlineLvl w:val="1"/>
              <w:rPr>
                <w:rFonts w:cs="Calibri"/>
                <w:lang w:val="en-GB"/>
              </w:rPr>
            </w:pPr>
            <w:bookmarkStart w:id="1192" w:name="_Toc376199395"/>
            <w:r w:rsidRPr="006645DC">
              <w:rPr>
                <w:rFonts w:cs="Calibri"/>
                <w:lang w:val="en-GB"/>
              </w:rPr>
              <w:t>2.1</w:t>
            </w:r>
            <w:bookmarkEnd w:id="1192"/>
          </w:p>
        </w:tc>
        <w:tc>
          <w:tcPr>
            <w:tcW w:w="3067" w:type="dxa"/>
            <w:gridSpan w:val="2"/>
            <w:vAlign w:val="center"/>
          </w:tcPr>
          <w:p w14:paraId="43E81113" w14:textId="77777777" w:rsidR="0064018D" w:rsidRPr="006645DC" w:rsidRDefault="0064018D" w:rsidP="006F47B6">
            <w:pPr>
              <w:keepNext/>
              <w:keepLines/>
              <w:snapToGrid w:val="0"/>
              <w:spacing w:before="0" w:after="0"/>
              <w:outlineLvl w:val="1"/>
              <w:rPr>
                <w:rFonts w:cs="Calibri"/>
                <w:lang w:val="en-GB"/>
              </w:rPr>
            </w:pPr>
            <w:bookmarkStart w:id="1193" w:name="_Toc376199396"/>
            <w:r w:rsidRPr="006645DC">
              <w:rPr>
                <w:rFonts w:cs="Calibri"/>
                <w:color w:val="000000"/>
                <w:lang w:val="en-GB"/>
              </w:rPr>
              <w:t>Ruse</w:t>
            </w:r>
            <w:bookmarkEnd w:id="1193"/>
          </w:p>
        </w:tc>
        <w:tc>
          <w:tcPr>
            <w:tcW w:w="803" w:type="dxa"/>
            <w:vAlign w:val="center"/>
          </w:tcPr>
          <w:p w14:paraId="38E3E2F7" w14:textId="77777777" w:rsidR="0064018D" w:rsidRPr="006645DC" w:rsidRDefault="0064018D" w:rsidP="006F47B6">
            <w:pPr>
              <w:keepNext/>
              <w:keepLines/>
              <w:snapToGrid w:val="0"/>
              <w:spacing w:before="0" w:after="0"/>
              <w:outlineLvl w:val="1"/>
              <w:rPr>
                <w:rFonts w:cs="Calibri"/>
                <w:lang w:val="en-GB"/>
              </w:rPr>
            </w:pPr>
            <w:bookmarkStart w:id="1194" w:name="_Toc376199397"/>
            <w:r w:rsidRPr="006645DC">
              <w:rPr>
                <w:rFonts w:cs="Calibri"/>
                <w:color w:val="000000"/>
                <w:lang w:val="en-GB"/>
              </w:rPr>
              <w:t>0,61</w:t>
            </w:r>
            <w:bookmarkEnd w:id="1194"/>
          </w:p>
        </w:tc>
      </w:tr>
      <w:tr w:rsidR="0064018D" w:rsidRPr="006645DC" w14:paraId="32108871" w14:textId="77777777" w:rsidTr="00546086">
        <w:trPr>
          <w:trHeight w:val="315"/>
          <w:jc w:val="center"/>
        </w:trPr>
        <w:tc>
          <w:tcPr>
            <w:tcW w:w="3245" w:type="dxa"/>
            <w:tcBorders>
              <w:bottom w:val="single" w:sz="4" w:space="0" w:color="auto"/>
            </w:tcBorders>
            <w:vAlign w:val="center"/>
          </w:tcPr>
          <w:p w14:paraId="6784485A" w14:textId="77777777" w:rsidR="0064018D" w:rsidRPr="006645DC" w:rsidRDefault="0064018D" w:rsidP="008314FB">
            <w:pPr>
              <w:keepNext/>
              <w:keepLines/>
              <w:snapToGrid w:val="0"/>
              <w:spacing w:before="0" w:after="0"/>
              <w:outlineLvl w:val="1"/>
              <w:rPr>
                <w:rFonts w:cs="Calibri"/>
                <w:lang w:val="en-GB"/>
              </w:rPr>
            </w:pPr>
            <w:bookmarkStart w:id="1195" w:name="_Toc376199398"/>
            <w:r w:rsidRPr="006645DC">
              <w:rPr>
                <w:rFonts w:cs="Calibri"/>
                <w:lang w:val="en-GB"/>
              </w:rPr>
              <w:t>Olt</w:t>
            </w:r>
            <w:bookmarkEnd w:id="1195"/>
          </w:p>
        </w:tc>
        <w:tc>
          <w:tcPr>
            <w:tcW w:w="791" w:type="dxa"/>
            <w:tcBorders>
              <w:bottom w:val="single" w:sz="4" w:space="0" w:color="auto"/>
            </w:tcBorders>
            <w:vAlign w:val="center"/>
          </w:tcPr>
          <w:p w14:paraId="58D88307" w14:textId="77777777" w:rsidR="0064018D" w:rsidRPr="006645DC" w:rsidRDefault="0064018D" w:rsidP="008314FB">
            <w:pPr>
              <w:keepNext/>
              <w:keepLines/>
              <w:snapToGrid w:val="0"/>
              <w:spacing w:before="0" w:after="0"/>
              <w:outlineLvl w:val="1"/>
              <w:rPr>
                <w:rFonts w:cs="Calibri"/>
                <w:lang w:val="en-GB"/>
              </w:rPr>
            </w:pPr>
            <w:bookmarkStart w:id="1196" w:name="_Toc376199399"/>
            <w:r w:rsidRPr="006645DC">
              <w:rPr>
                <w:rFonts w:cs="Calibri"/>
                <w:lang w:val="en-GB"/>
              </w:rPr>
              <w:t>1.4</w:t>
            </w:r>
            <w:bookmarkEnd w:id="1196"/>
          </w:p>
        </w:tc>
        <w:tc>
          <w:tcPr>
            <w:tcW w:w="3067" w:type="dxa"/>
            <w:gridSpan w:val="2"/>
            <w:tcBorders>
              <w:bottom w:val="single" w:sz="4" w:space="0" w:color="auto"/>
            </w:tcBorders>
            <w:vAlign w:val="center"/>
          </w:tcPr>
          <w:p w14:paraId="052797B0" w14:textId="77777777" w:rsidR="0064018D" w:rsidRPr="006645DC" w:rsidRDefault="0064018D" w:rsidP="006F47B6">
            <w:pPr>
              <w:keepNext/>
              <w:keepLines/>
              <w:snapToGrid w:val="0"/>
              <w:spacing w:before="0" w:after="0"/>
              <w:outlineLvl w:val="1"/>
              <w:rPr>
                <w:rFonts w:cs="Calibri"/>
                <w:lang w:val="en-GB"/>
              </w:rPr>
            </w:pPr>
            <w:bookmarkStart w:id="1197" w:name="_Toc376199400"/>
            <w:r w:rsidRPr="006645DC">
              <w:rPr>
                <w:rFonts w:cs="Calibri"/>
                <w:lang w:val="en-GB"/>
              </w:rPr>
              <w:t>Silistra</w:t>
            </w:r>
            <w:bookmarkEnd w:id="1197"/>
          </w:p>
        </w:tc>
        <w:tc>
          <w:tcPr>
            <w:tcW w:w="803" w:type="dxa"/>
            <w:tcBorders>
              <w:bottom w:val="single" w:sz="4" w:space="0" w:color="auto"/>
            </w:tcBorders>
            <w:vAlign w:val="center"/>
          </w:tcPr>
          <w:p w14:paraId="5AF2DCE1" w14:textId="77777777" w:rsidR="0064018D" w:rsidRPr="006645DC" w:rsidRDefault="0064018D" w:rsidP="006F47B6">
            <w:pPr>
              <w:keepNext/>
              <w:keepLines/>
              <w:snapToGrid w:val="0"/>
              <w:spacing w:before="0" w:after="0"/>
              <w:outlineLvl w:val="1"/>
              <w:rPr>
                <w:rFonts w:cs="Calibri"/>
                <w:lang w:val="en-GB"/>
              </w:rPr>
            </w:pPr>
            <w:bookmarkStart w:id="1198" w:name="_Toc376199401"/>
            <w:r w:rsidRPr="006645DC">
              <w:rPr>
                <w:rFonts w:cs="Calibri"/>
                <w:color w:val="000000"/>
                <w:lang w:val="en-GB"/>
              </w:rPr>
              <w:t>2,54</w:t>
            </w:r>
            <w:bookmarkEnd w:id="1198"/>
          </w:p>
        </w:tc>
      </w:tr>
      <w:tr w:rsidR="0064018D" w:rsidRPr="006645DC" w14:paraId="3FEB5D08" w14:textId="77777777" w:rsidTr="00546086">
        <w:trPr>
          <w:trHeight w:val="113"/>
          <w:jc w:val="center"/>
        </w:trPr>
        <w:tc>
          <w:tcPr>
            <w:tcW w:w="4036" w:type="dxa"/>
            <w:gridSpan w:val="2"/>
            <w:tcBorders>
              <w:left w:val="single" w:sz="4" w:space="0" w:color="auto"/>
            </w:tcBorders>
            <w:vAlign w:val="center"/>
          </w:tcPr>
          <w:p w14:paraId="3F4F35B0" w14:textId="77777777" w:rsidR="0064018D" w:rsidRPr="006645DC" w:rsidRDefault="0064018D" w:rsidP="008314FB">
            <w:pPr>
              <w:snapToGrid w:val="0"/>
              <w:spacing w:before="0" w:after="0"/>
              <w:rPr>
                <w:rFonts w:cs="Calibri"/>
                <w:lang w:val="en-GB"/>
              </w:rPr>
            </w:pPr>
          </w:p>
        </w:tc>
        <w:tc>
          <w:tcPr>
            <w:tcW w:w="3067" w:type="dxa"/>
            <w:gridSpan w:val="2"/>
            <w:vAlign w:val="center"/>
          </w:tcPr>
          <w:p w14:paraId="5CCB6439" w14:textId="77777777" w:rsidR="0064018D" w:rsidRPr="006645DC" w:rsidRDefault="0064018D" w:rsidP="006F47B6">
            <w:pPr>
              <w:keepNext/>
              <w:keepLines/>
              <w:snapToGrid w:val="0"/>
              <w:spacing w:before="0" w:after="0"/>
              <w:outlineLvl w:val="1"/>
              <w:rPr>
                <w:rFonts w:cs="Calibri"/>
                <w:lang w:val="en-GB"/>
              </w:rPr>
            </w:pPr>
            <w:bookmarkStart w:id="1199" w:name="_Toc376199402"/>
            <w:r w:rsidRPr="006645DC">
              <w:rPr>
                <w:rFonts w:cs="Calibri"/>
                <w:lang w:val="en-GB"/>
              </w:rPr>
              <w:t>Dobrich</w:t>
            </w:r>
            <w:bookmarkEnd w:id="1199"/>
          </w:p>
        </w:tc>
        <w:tc>
          <w:tcPr>
            <w:tcW w:w="803" w:type="dxa"/>
            <w:vAlign w:val="center"/>
          </w:tcPr>
          <w:p w14:paraId="01D0BCE5" w14:textId="77777777" w:rsidR="0064018D" w:rsidRPr="006645DC" w:rsidRDefault="0064018D" w:rsidP="006F47B6">
            <w:pPr>
              <w:keepNext/>
              <w:keepLines/>
              <w:spacing w:before="0" w:after="0"/>
              <w:outlineLvl w:val="1"/>
              <w:rPr>
                <w:rFonts w:cs="Calibri"/>
                <w:color w:val="000000"/>
                <w:lang w:val="en-GB"/>
              </w:rPr>
            </w:pPr>
            <w:bookmarkStart w:id="1200" w:name="_Toc376199403"/>
            <w:r w:rsidRPr="006645DC">
              <w:rPr>
                <w:rFonts w:cs="Calibri"/>
                <w:color w:val="000000"/>
                <w:lang w:val="en-GB"/>
              </w:rPr>
              <w:t>2,09</w:t>
            </w:r>
            <w:bookmarkEnd w:id="1200"/>
          </w:p>
        </w:tc>
      </w:tr>
    </w:tbl>
    <w:p w14:paraId="435CCC75" w14:textId="77777777" w:rsidR="0064018D" w:rsidRPr="006645DC" w:rsidRDefault="0064018D" w:rsidP="0064018D">
      <w:pPr>
        <w:pStyle w:val="Caption"/>
        <w:rPr>
          <w:color w:val="000000"/>
          <w:lang w:val="en-GB"/>
        </w:rPr>
      </w:pPr>
      <w:bookmarkStart w:id="1201" w:name="_Toc391150129"/>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32</w:t>
      </w:r>
      <w:r w:rsidR="005979EB" w:rsidRPr="006645DC">
        <w:rPr>
          <w:lang w:val="en-GB"/>
        </w:rPr>
        <w:fldChar w:fldCharType="end"/>
      </w:r>
      <w:r w:rsidRPr="006645DC">
        <w:rPr>
          <w:lang w:val="en-GB"/>
        </w:rPr>
        <w:t xml:space="preserve"> - Proportion of illiterate population</w:t>
      </w:r>
      <w:r w:rsidRPr="006645DC">
        <w:rPr>
          <w:rStyle w:val="FootnoteReference"/>
          <w:lang w:val="en-GB"/>
        </w:rPr>
        <w:footnoteReference w:id="22"/>
      </w:r>
      <w:r w:rsidRPr="006645DC">
        <w:rPr>
          <w:lang w:val="en-GB"/>
        </w:rPr>
        <w:t>in the Romania-Bulgaria cross-border region, 2011</w:t>
      </w:r>
      <w:bookmarkEnd w:id="1201"/>
    </w:p>
    <w:p w14:paraId="5A1C7919" w14:textId="77777777" w:rsidR="0064018D" w:rsidRPr="006645DC" w:rsidRDefault="0064018D" w:rsidP="0064018D">
      <w:pPr>
        <w:pStyle w:val="Heading4"/>
        <w:rPr>
          <w:lang w:val="en-GB"/>
        </w:rPr>
      </w:pPr>
      <w:r w:rsidRPr="006645DC">
        <w:rPr>
          <w:lang w:val="en-GB"/>
        </w:rPr>
        <w:t>Source: Population and household census</w:t>
      </w:r>
    </w:p>
    <w:p w14:paraId="115E90B2" w14:textId="77777777" w:rsidR="0064018D" w:rsidRPr="006645DC" w:rsidRDefault="0064018D" w:rsidP="0064018D">
      <w:pPr>
        <w:pStyle w:val="Heading2"/>
        <w:rPr>
          <w:lang w:val="en-GB"/>
        </w:rPr>
      </w:pPr>
      <w:bookmarkStart w:id="1202" w:name="_Toc373340842"/>
      <w:bookmarkStart w:id="1203" w:name="_Toc376199404"/>
      <w:bookmarkStart w:id="1204" w:name="_Toc254543799"/>
      <w:bookmarkStart w:id="1205" w:name="_Toc391150184"/>
      <w:r w:rsidRPr="006645DC">
        <w:rPr>
          <w:lang w:val="en-GB"/>
        </w:rPr>
        <w:t>Social services</w:t>
      </w:r>
      <w:bookmarkEnd w:id="1202"/>
      <w:bookmarkEnd w:id="1203"/>
      <w:bookmarkEnd w:id="1204"/>
      <w:bookmarkEnd w:id="1205"/>
    </w:p>
    <w:p w14:paraId="73E1C39E" w14:textId="77777777" w:rsidR="0064018D" w:rsidRPr="006645DC" w:rsidRDefault="0064018D" w:rsidP="0064018D">
      <w:pPr>
        <w:rPr>
          <w:lang w:val="en-GB"/>
        </w:rPr>
      </w:pPr>
      <w:r w:rsidRPr="006645DC">
        <w:rPr>
          <w:lang w:val="en-GB"/>
        </w:rPr>
        <w:t xml:space="preserve">Good and sustainable social services like healthcare and the availability of utilities are important components of the quality of life of the residents in a territory. If healthcare is not available or not accessible, the social cohesion of a territory is at high risk of social tension and migration. The attractiveness for investments and tourism depends also of these services. </w:t>
      </w:r>
    </w:p>
    <w:p w14:paraId="371A8520" w14:textId="77777777" w:rsidR="0064018D" w:rsidRPr="006645DC" w:rsidRDefault="0064018D" w:rsidP="0064018D">
      <w:pPr>
        <w:rPr>
          <w:lang w:val="en-GB"/>
        </w:rPr>
      </w:pPr>
      <w:r w:rsidRPr="006645DC">
        <w:rPr>
          <w:lang w:val="en-GB"/>
        </w:rPr>
        <w:t>The situation of healthcare in the Romanian cross-border area is very problematic as this traditionally agricultural and less developed area of the country was during the Communist period one of the areas targeted by pla</w:t>
      </w:r>
      <w:r w:rsidR="00271447" w:rsidRPr="006645DC">
        <w:rPr>
          <w:lang w:val="en-GB"/>
        </w:rPr>
        <w:t xml:space="preserve">nned radical industrialization, </w:t>
      </w:r>
      <w:r w:rsidRPr="006645DC">
        <w:rPr>
          <w:lang w:val="en-GB"/>
        </w:rPr>
        <w:t>through heavy industries an</w:t>
      </w:r>
      <w:r w:rsidR="00271447" w:rsidRPr="006645DC">
        <w:rPr>
          <w:lang w:val="en-GB"/>
        </w:rPr>
        <w:t>d transport industry facilities,</w:t>
      </w:r>
      <w:r w:rsidRPr="006645DC">
        <w:rPr>
          <w:lang w:val="en-GB"/>
        </w:rPr>
        <w:t xml:space="preserve"> that led to intense urban development in former agricultural or commercial small towns-hubs like Calarasi, Oltenita, Turnu Magurele, Giurgiu, etc. The universal healthcare coverage that was advocated by the political regime and the public healthcare issues that were raised by the new urban populations were answered by major investments in healthcare infrastructure. After 1990, the economic transition and the economic failure of big industrial plants put a lot of stress on the public healthcare system through a complex set of phenomena: decrease of healthcare contributions of big industrial facilities, uncertain central government’s financing, different reform plans (i.e. the creation of the family doctor system) that were implemented with mixed results, migration of the urban population (in the 90s to the countryside, in the 2000s to Western Europe) and finally the firstly timid and then more articulated development of the private healthcare sector in the area. </w:t>
      </w:r>
    </w:p>
    <w:p w14:paraId="0F71F8DD" w14:textId="77777777" w:rsidR="0064018D" w:rsidRPr="006645DC" w:rsidRDefault="0064018D" w:rsidP="0064018D">
      <w:pPr>
        <w:rPr>
          <w:lang w:val="en-GB"/>
        </w:rPr>
      </w:pPr>
      <w:r w:rsidRPr="006645DC">
        <w:rPr>
          <w:lang w:val="en-GB"/>
        </w:rPr>
        <w:t xml:space="preserve">This evolution can be best described by the evolution of the number of operating hospitals in the area during the 1990-2012 period: in 1990 there were 62, while in 2000 they were 57 and went up again to 60 in 2011 and 2012. In fact the only Romanian counties that registered increases in the number of </w:t>
      </w:r>
      <w:r w:rsidRPr="006645DC">
        <w:rPr>
          <w:lang w:val="en-GB"/>
        </w:rPr>
        <w:lastRenderedPageBreak/>
        <w:t xml:space="preserve">active hospitals were Constanta and Dolj, counties with main urban centres and an economy that </w:t>
      </w:r>
      <w:r w:rsidR="00271447" w:rsidRPr="006645DC">
        <w:rPr>
          <w:lang w:val="en-GB"/>
        </w:rPr>
        <w:t xml:space="preserve">better </w:t>
      </w:r>
      <w:r w:rsidRPr="006645DC">
        <w:rPr>
          <w:lang w:val="en-GB"/>
        </w:rPr>
        <w:t>managed to overcome the transition. The others registered even during the 2000s continued decreases due to a more fragile social and economic situation. This is also illustrated by the fact that private hospitals</w:t>
      </w:r>
      <w:r w:rsidR="00982279" w:rsidRPr="006645DC">
        <w:rPr>
          <w:lang w:val="en-GB"/>
        </w:rPr>
        <w:t xml:space="preserve"> were</w:t>
      </w:r>
      <w:r w:rsidRPr="006645DC">
        <w:rPr>
          <w:lang w:val="en-GB"/>
        </w:rPr>
        <w:t xml:space="preserve"> developed</w:t>
      </w:r>
      <w:r w:rsidR="00982279" w:rsidRPr="006645DC">
        <w:rPr>
          <w:lang w:val="en-GB"/>
        </w:rPr>
        <w:t xml:space="preserve"> only in Craiova and Constanta, 7 private hospitals in 2012,</w:t>
      </w:r>
      <w:r w:rsidRPr="006645DC">
        <w:rPr>
          <w:lang w:val="en-GB"/>
        </w:rPr>
        <w:t xml:space="preserve"> w</w:t>
      </w:r>
      <w:r w:rsidR="00982279" w:rsidRPr="006645DC">
        <w:rPr>
          <w:lang w:val="en-GB"/>
        </w:rPr>
        <w:t>h</w:t>
      </w:r>
      <w:r w:rsidRPr="006645DC">
        <w:rPr>
          <w:lang w:val="en-GB"/>
        </w:rPr>
        <w:t xml:space="preserve">ere higher income level potential clientele can be found. </w:t>
      </w:r>
    </w:p>
    <w:p w14:paraId="226500C4" w14:textId="77777777" w:rsidR="0064018D" w:rsidRPr="006645DC" w:rsidRDefault="0064018D" w:rsidP="0064018D">
      <w:pPr>
        <w:rPr>
          <w:lang w:val="en-GB"/>
        </w:rPr>
      </w:pPr>
      <w:r w:rsidRPr="006645DC">
        <w:rPr>
          <w:lang w:val="en-GB"/>
        </w:rPr>
        <w:t>In the Bulgarian cross-border region, the number of health establishments (including hospital care, dispensaries and outpatient health establishments) in 2008 was of 71. It has decreased to 62 in 2012. The districts</w:t>
      </w:r>
      <w:r w:rsidR="00982279" w:rsidRPr="006645DC">
        <w:rPr>
          <w:lang w:val="en-GB"/>
        </w:rPr>
        <w:t xml:space="preserve"> of</w:t>
      </w:r>
      <w:r w:rsidRPr="006645DC">
        <w:rPr>
          <w:lang w:val="en-GB"/>
        </w:rPr>
        <w:t xml:space="preserve"> Vratsa, Montana and Silistra kept their health infrastructure, while the number of health establishments in all the other districts decreased. The main reason for this decrease is the optimisation policy of the health care system announced by the Ministry of Health due to the inability of providing a self-sustainable quality patient care. The most drastic decrease happened in the district of Ruse, where the number of health establishments decreased from 13 in 2008 to 9 in 2012. </w:t>
      </w:r>
    </w:p>
    <w:p w14:paraId="17DB27D0" w14:textId="77777777" w:rsidR="0064018D" w:rsidRPr="006645DC" w:rsidRDefault="0064018D" w:rsidP="0064018D">
      <w:pPr>
        <w:rPr>
          <w:lang w:val="en-GB"/>
        </w:rPr>
      </w:pPr>
      <w:r w:rsidRPr="006645DC">
        <w:rPr>
          <w:lang w:val="en-GB"/>
        </w:rPr>
        <w:t>In the Romanian area, if we look the number of beds available per 1000 inhabitants ratio, the situation is slightly different from the one illustrated by the hospital numbers and their evolution, but indicates anyway an overall deficiencies of healthcare infrastructure. Apart from Dolj that displays a higher number of beds per 1000 inhabitants, the other counties are below and far below the national average, with counties such as Giurgiu and Calarasi that have around half of the national average. This last situation can partially be explain</w:t>
      </w:r>
      <w:r w:rsidR="00982279" w:rsidRPr="006645DC">
        <w:rPr>
          <w:lang w:val="en-GB"/>
        </w:rPr>
        <w:t xml:space="preserve">ed by the fact that part of these counties </w:t>
      </w:r>
      <w:r w:rsidRPr="006645DC">
        <w:rPr>
          <w:lang w:val="en-GB"/>
        </w:rPr>
        <w:t xml:space="preserve">(Giurgiu, Calarasi, Teleorman) are very closed to the Romanian capital, and the population in these areas very often go for treatment in hospital units from Bucharest. Nevertheless, the absolute figures are far below the EU average. </w:t>
      </w:r>
    </w:p>
    <w:p w14:paraId="4D930A6A" w14:textId="77777777" w:rsidR="0064018D" w:rsidRPr="006645DC" w:rsidRDefault="0064018D" w:rsidP="0064018D">
      <w:pPr>
        <w:autoSpaceDE w:val="0"/>
        <w:autoSpaceDN w:val="0"/>
        <w:adjustRightInd w:val="0"/>
        <w:rPr>
          <w:szCs w:val="24"/>
          <w:lang w:val="en-GB"/>
        </w:rPr>
      </w:pPr>
    </w:p>
    <w:p w14:paraId="1D0352A9" w14:textId="77777777" w:rsidR="0064018D" w:rsidRPr="006645DC" w:rsidRDefault="00AA4C82" w:rsidP="0064018D">
      <w:pPr>
        <w:autoSpaceDE w:val="0"/>
        <w:autoSpaceDN w:val="0"/>
        <w:adjustRightInd w:val="0"/>
        <w:jc w:val="center"/>
        <w:rPr>
          <w:sz w:val="24"/>
          <w:szCs w:val="24"/>
          <w:lang w:val="en-GB"/>
        </w:rPr>
      </w:pPr>
      <w:r w:rsidRPr="006645DC">
        <w:rPr>
          <w:noProof/>
          <w:sz w:val="24"/>
          <w:szCs w:val="24"/>
          <w:lang w:val="bg-BG" w:eastAsia="bg-BG"/>
        </w:rPr>
        <w:lastRenderedPageBreak/>
        <w:drawing>
          <wp:inline distT="0" distB="0" distL="0" distR="0" wp14:anchorId="0F481B4C" wp14:editId="5C4BE064">
            <wp:extent cx="5895975" cy="3257550"/>
            <wp:effectExtent l="0" t="0" r="0" b="0"/>
            <wp:docPr id="68" name="Chart 3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2386E22E" w14:textId="77777777" w:rsidR="0064018D" w:rsidRPr="006645DC" w:rsidRDefault="0064018D" w:rsidP="0064018D">
      <w:pPr>
        <w:pStyle w:val="Caption"/>
        <w:rPr>
          <w:lang w:val="en-GB"/>
        </w:rPr>
      </w:pPr>
      <w:bookmarkStart w:id="1206" w:name="_Toc391150086"/>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37</w:t>
      </w:r>
      <w:r w:rsidR="005979EB" w:rsidRPr="006645DC">
        <w:rPr>
          <w:lang w:val="en-GB"/>
        </w:rPr>
        <w:fldChar w:fldCharType="end"/>
      </w:r>
      <w:r w:rsidRPr="006645DC">
        <w:rPr>
          <w:lang w:val="en-GB"/>
        </w:rPr>
        <w:t xml:space="preserve"> - The evolution of the number of hospital beds/1000 inhabitants in the Romanian cross-border area, 2007-2012</w:t>
      </w:r>
      <w:bookmarkEnd w:id="1206"/>
    </w:p>
    <w:p w14:paraId="089FCED0" w14:textId="77777777" w:rsidR="0064018D" w:rsidRPr="006645DC" w:rsidRDefault="0064018D" w:rsidP="0064018D">
      <w:pPr>
        <w:pStyle w:val="Heading4"/>
        <w:rPr>
          <w:lang w:val="en-GB"/>
        </w:rPr>
      </w:pPr>
      <w:r w:rsidRPr="006645DC">
        <w:rPr>
          <w:lang w:val="en-GB"/>
        </w:rPr>
        <w:t xml:space="preserve"> source : INS, Détente Consultants calculations</w:t>
      </w:r>
    </w:p>
    <w:p w14:paraId="75CDBBB4" w14:textId="77777777" w:rsidR="0064018D" w:rsidRPr="006645DC" w:rsidRDefault="0064018D" w:rsidP="0064018D">
      <w:pPr>
        <w:rPr>
          <w:lang w:val="en-GB"/>
        </w:rPr>
      </w:pPr>
    </w:p>
    <w:p w14:paraId="70A6E6CB" w14:textId="77777777" w:rsidR="002F582C" w:rsidRPr="006645DC" w:rsidRDefault="0064018D" w:rsidP="0064018D">
      <w:pPr>
        <w:rPr>
          <w:lang w:val="en-GB"/>
        </w:rPr>
      </w:pPr>
      <w:r w:rsidRPr="006645DC">
        <w:rPr>
          <w:lang w:val="en-GB"/>
        </w:rPr>
        <w:t>In the Bulgarian cross-border region the number of beds fluctuates in the period 2008 to 2012, as indicated in the table:</w:t>
      </w:r>
    </w:p>
    <w:tbl>
      <w:tblPr>
        <w:tblW w:w="8040" w:type="dxa"/>
        <w:jc w:val="center"/>
        <w:tblLook w:val="04A0" w:firstRow="1" w:lastRow="0" w:firstColumn="1" w:lastColumn="0" w:noHBand="0" w:noVBand="1"/>
      </w:tblPr>
      <w:tblGrid>
        <w:gridCol w:w="1780"/>
        <w:gridCol w:w="1340"/>
        <w:gridCol w:w="1480"/>
        <w:gridCol w:w="1120"/>
        <w:gridCol w:w="1220"/>
        <w:gridCol w:w="1100"/>
      </w:tblGrid>
      <w:tr w:rsidR="0064018D" w:rsidRPr="006645DC" w14:paraId="776AF6C7" w14:textId="77777777" w:rsidTr="00546086">
        <w:trPr>
          <w:trHeight w:val="315"/>
          <w:jc w:val="center"/>
        </w:trPr>
        <w:tc>
          <w:tcPr>
            <w:tcW w:w="1780" w:type="dxa"/>
            <w:tcBorders>
              <w:top w:val="single" w:sz="8" w:space="0" w:color="auto"/>
              <w:left w:val="single" w:sz="8" w:space="0" w:color="auto"/>
              <w:bottom w:val="single" w:sz="8" w:space="0" w:color="auto"/>
              <w:right w:val="nil"/>
            </w:tcBorders>
            <w:shd w:val="clear" w:color="auto" w:fill="auto"/>
            <w:vAlign w:val="center"/>
            <w:hideMark/>
          </w:tcPr>
          <w:p w14:paraId="4DF0E412"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District</w:t>
            </w:r>
          </w:p>
        </w:tc>
        <w:tc>
          <w:tcPr>
            <w:tcW w:w="1340" w:type="dxa"/>
            <w:tcBorders>
              <w:top w:val="single" w:sz="8" w:space="0" w:color="auto"/>
              <w:left w:val="single" w:sz="4" w:space="0" w:color="auto"/>
              <w:bottom w:val="single" w:sz="8" w:space="0" w:color="auto"/>
              <w:right w:val="nil"/>
            </w:tcBorders>
            <w:shd w:val="clear" w:color="auto" w:fill="auto"/>
            <w:vAlign w:val="center"/>
            <w:hideMark/>
          </w:tcPr>
          <w:p w14:paraId="2D6A56CA"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2008</w:t>
            </w:r>
          </w:p>
        </w:tc>
        <w:tc>
          <w:tcPr>
            <w:tcW w:w="1480" w:type="dxa"/>
            <w:tcBorders>
              <w:top w:val="single" w:sz="8" w:space="0" w:color="auto"/>
              <w:left w:val="single" w:sz="4" w:space="0" w:color="auto"/>
              <w:bottom w:val="single" w:sz="8" w:space="0" w:color="auto"/>
              <w:right w:val="nil"/>
            </w:tcBorders>
            <w:shd w:val="clear" w:color="auto" w:fill="auto"/>
            <w:vAlign w:val="center"/>
            <w:hideMark/>
          </w:tcPr>
          <w:p w14:paraId="63904B76"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2009</w:t>
            </w:r>
          </w:p>
        </w:tc>
        <w:tc>
          <w:tcPr>
            <w:tcW w:w="1120" w:type="dxa"/>
            <w:tcBorders>
              <w:top w:val="single" w:sz="8" w:space="0" w:color="auto"/>
              <w:left w:val="single" w:sz="4" w:space="0" w:color="auto"/>
              <w:bottom w:val="single" w:sz="8" w:space="0" w:color="auto"/>
              <w:right w:val="nil"/>
            </w:tcBorders>
            <w:shd w:val="clear" w:color="auto" w:fill="auto"/>
            <w:vAlign w:val="center"/>
            <w:hideMark/>
          </w:tcPr>
          <w:p w14:paraId="31ABE408"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2010</w:t>
            </w:r>
          </w:p>
        </w:tc>
        <w:tc>
          <w:tcPr>
            <w:tcW w:w="1220" w:type="dxa"/>
            <w:tcBorders>
              <w:top w:val="single" w:sz="8" w:space="0" w:color="auto"/>
              <w:left w:val="single" w:sz="4" w:space="0" w:color="auto"/>
              <w:bottom w:val="single" w:sz="8" w:space="0" w:color="auto"/>
              <w:right w:val="nil"/>
            </w:tcBorders>
            <w:shd w:val="clear" w:color="auto" w:fill="auto"/>
            <w:vAlign w:val="center"/>
            <w:hideMark/>
          </w:tcPr>
          <w:p w14:paraId="2A57CB8B"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2011</w:t>
            </w:r>
          </w:p>
        </w:tc>
        <w:tc>
          <w:tcPr>
            <w:tcW w:w="1100"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052855A9"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2012</w:t>
            </w:r>
          </w:p>
        </w:tc>
      </w:tr>
      <w:tr w:rsidR="0064018D" w:rsidRPr="006645DC" w14:paraId="6B58B260" w14:textId="77777777" w:rsidTr="006F47B6">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5D8A2DF2" w14:textId="77777777" w:rsidR="0064018D" w:rsidRPr="006645DC" w:rsidRDefault="0064018D" w:rsidP="006F47B6">
            <w:pPr>
              <w:spacing w:before="0" w:after="0"/>
              <w:rPr>
                <w:rFonts w:eastAsia="Times New Roman" w:cs="Calibri"/>
                <w:color w:val="000000"/>
                <w:lang w:val="en-GB"/>
              </w:rPr>
            </w:pPr>
            <w:r w:rsidRPr="006645DC">
              <w:rPr>
                <w:rFonts w:eastAsia="Times New Roman" w:cs="Calibri"/>
                <w:color w:val="000000"/>
                <w:lang w:val="en-GB"/>
              </w:rPr>
              <w:t>Vidin</w:t>
            </w:r>
          </w:p>
        </w:tc>
        <w:tc>
          <w:tcPr>
            <w:tcW w:w="1340" w:type="dxa"/>
            <w:tcBorders>
              <w:top w:val="nil"/>
              <w:left w:val="nil"/>
              <w:bottom w:val="single" w:sz="4" w:space="0" w:color="auto"/>
              <w:right w:val="single" w:sz="4" w:space="0" w:color="auto"/>
            </w:tcBorders>
            <w:shd w:val="clear" w:color="auto" w:fill="auto"/>
            <w:noWrap/>
            <w:vAlign w:val="center"/>
            <w:hideMark/>
          </w:tcPr>
          <w:p w14:paraId="19118E49" w14:textId="77777777" w:rsidR="0064018D" w:rsidRPr="006645DC" w:rsidRDefault="0064018D" w:rsidP="006F47B6">
            <w:pPr>
              <w:keepNext/>
              <w:keepLines/>
              <w:spacing w:before="0" w:after="0"/>
              <w:jc w:val="right"/>
              <w:outlineLvl w:val="1"/>
              <w:rPr>
                <w:rFonts w:eastAsia="Times New Roman" w:cs="Calibri"/>
                <w:sz w:val="20"/>
                <w:szCs w:val="20"/>
                <w:lang w:val="en-GB"/>
              </w:rPr>
            </w:pPr>
            <w:bookmarkStart w:id="1207" w:name="_Toc376199405"/>
            <w:r w:rsidRPr="006645DC">
              <w:rPr>
                <w:rFonts w:eastAsia="Times New Roman" w:cs="Calibri"/>
                <w:sz w:val="20"/>
                <w:szCs w:val="20"/>
                <w:lang w:val="en-GB"/>
              </w:rPr>
              <w:t>461</w:t>
            </w:r>
            <w:bookmarkEnd w:id="1207"/>
          </w:p>
        </w:tc>
        <w:tc>
          <w:tcPr>
            <w:tcW w:w="1480" w:type="dxa"/>
            <w:tcBorders>
              <w:top w:val="nil"/>
              <w:left w:val="nil"/>
              <w:bottom w:val="single" w:sz="4" w:space="0" w:color="auto"/>
              <w:right w:val="single" w:sz="4" w:space="0" w:color="auto"/>
            </w:tcBorders>
            <w:shd w:val="clear" w:color="auto" w:fill="auto"/>
            <w:noWrap/>
            <w:vAlign w:val="center"/>
            <w:hideMark/>
          </w:tcPr>
          <w:p w14:paraId="518C332D"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08" w:name="_Toc376199406"/>
            <w:r w:rsidRPr="006645DC">
              <w:rPr>
                <w:rFonts w:eastAsia="Times New Roman" w:cs="Calibri"/>
                <w:color w:val="000000"/>
                <w:lang w:val="en-GB"/>
              </w:rPr>
              <w:t>470</w:t>
            </w:r>
            <w:bookmarkEnd w:id="1208"/>
          </w:p>
        </w:tc>
        <w:tc>
          <w:tcPr>
            <w:tcW w:w="1120" w:type="dxa"/>
            <w:tcBorders>
              <w:top w:val="nil"/>
              <w:left w:val="nil"/>
              <w:bottom w:val="single" w:sz="4" w:space="0" w:color="auto"/>
              <w:right w:val="single" w:sz="4" w:space="0" w:color="auto"/>
            </w:tcBorders>
            <w:shd w:val="clear" w:color="auto" w:fill="auto"/>
            <w:noWrap/>
            <w:vAlign w:val="center"/>
            <w:hideMark/>
          </w:tcPr>
          <w:p w14:paraId="0A942915"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09" w:name="_Toc376199407"/>
            <w:r w:rsidRPr="006645DC">
              <w:rPr>
                <w:rFonts w:eastAsia="Times New Roman" w:cs="Calibri"/>
                <w:color w:val="000000"/>
                <w:lang w:val="en-GB"/>
              </w:rPr>
              <w:t>458</w:t>
            </w:r>
            <w:bookmarkEnd w:id="1209"/>
          </w:p>
        </w:tc>
        <w:tc>
          <w:tcPr>
            <w:tcW w:w="1220" w:type="dxa"/>
            <w:tcBorders>
              <w:top w:val="nil"/>
              <w:left w:val="nil"/>
              <w:bottom w:val="single" w:sz="4" w:space="0" w:color="auto"/>
              <w:right w:val="single" w:sz="4" w:space="0" w:color="auto"/>
            </w:tcBorders>
            <w:shd w:val="clear" w:color="auto" w:fill="auto"/>
            <w:noWrap/>
            <w:vAlign w:val="center"/>
            <w:hideMark/>
          </w:tcPr>
          <w:p w14:paraId="70F8B509"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10" w:name="_Toc376199408"/>
            <w:r w:rsidRPr="006645DC">
              <w:rPr>
                <w:rFonts w:eastAsia="Times New Roman" w:cs="Calibri"/>
                <w:color w:val="000000"/>
                <w:lang w:val="en-GB"/>
              </w:rPr>
              <w:t>366</w:t>
            </w:r>
            <w:bookmarkEnd w:id="1210"/>
          </w:p>
        </w:tc>
        <w:tc>
          <w:tcPr>
            <w:tcW w:w="1100" w:type="dxa"/>
            <w:tcBorders>
              <w:top w:val="nil"/>
              <w:left w:val="nil"/>
              <w:bottom w:val="nil"/>
              <w:right w:val="single" w:sz="8" w:space="0" w:color="auto"/>
            </w:tcBorders>
            <w:shd w:val="clear" w:color="auto" w:fill="auto"/>
            <w:noWrap/>
            <w:vAlign w:val="center"/>
            <w:hideMark/>
          </w:tcPr>
          <w:p w14:paraId="10461322"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11" w:name="_Toc376199409"/>
            <w:r w:rsidRPr="006645DC">
              <w:rPr>
                <w:rFonts w:eastAsia="Times New Roman" w:cs="Calibri"/>
                <w:color w:val="000000"/>
                <w:lang w:val="en-GB"/>
              </w:rPr>
              <w:t>360</w:t>
            </w:r>
            <w:bookmarkEnd w:id="1211"/>
          </w:p>
        </w:tc>
      </w:tr>
      <w:tr w:rsidR="0064018D" w:rsidRPr="006645DC" w14:paraId="11518106" w14:textId="77777777" w:rsidTr="006F47B6">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44C00177" w14:textId="77777777" w:rsidR="0064018D" w:rsidRPr="006645DC" w:rsidRDefault="0064018D" w:rsidP="006F47B6">
            <w:pPr>
              <w:keepNext/>
              <w:keepLines/>
              <w:spacing w:before="0" w:after="0"/>
              <w:outlineLvl w:val="1"/>
              <w:rPr>
                <w:rFonts w:eastAsia="Times New Roman" w:cs="Calibri"/>
                <w:color w:val="000000"/>
                <w:lang w:val="en-GB"/>
              </w:rPr>
            </w:pPr>
            <w:bookmarkStart w:id="1212" w:name="_Toc376199410"/>
            <w:r w:rsidRPr="006645DC">
              <w:rPr>
                <w:rFonts w:eastAsia="Times New Roman" w:cs="Calibri"/>
                <w:color w:val="000000"/>
                <w:lang w:val="en-GB"/>
              </w:rPr>
              <w:t>Vratsa</w:t>
            </w:r>
            <w:bookmarkEnd w:id="1212"/>
          </w:p>
        </w:tc>
        <w:tc>
          <w:tcPr>
            <w:tcW w:w="1340" w:type="dxa"/>
            <w:tcBorders>
              <w:top w:val="nil"/>
              <w:left w:val="nil"/>
              <w:bottom w:val="single" w:sz="4" w:space="0" w:color="auto"/>
              <w:right w:val="single" w:sz="4" w:space="0" w:color="auto"/>
            </w:tcBorders>
            <w:shd w:val="clear" w:color="auto" w:fill="auto"/>
            <w:noWrap/>
            <w:vAlign w:val="center"/>
            <w:hideMark/>
          </w:tcPr>
          <w:p w14:paraId="1504FDFC" w14:textId="77777777" w:rsidR="0064018D" w:rsidRPr="006645DC" w:rsidRDefault="0064018D" w:rsidP="006F47B6">
            <w:pPr>
              <w:keepNext/>
              <w:keepLines/>
              <w:spacing w:before="0" w:after="0"/>
              <w:jc w:val="right"/>
              <w:outlineLvl w:val="1"/>
              <w:rPr>
                <w:rFonts w:eastAsia="Times New Roman" w:cs="Calibri"/>
                <w:sz w:val="20"/>
                <w:szCs w:val="20"/>
                <w:lang w:val="en-GB"/>
              </w:rPr>
            </w:pPr>
            <w:bookmarkStart w:id="1213" w:name="_Toc376199411"/>
            <w:r w:rsidRPr="006645DC">
              <w:rPr>
                <w:rFonts w:eastAsia="Times New Roman" w:cs="Calibri"/>
                <w:sz w:val="20"/>
                <w:szCs w:val="20"/>
                <w:lang w:val="en-GB"/>
              </w:rPr>
              <w:t>1 375</w:t>
            </w:r>
            <w:bookmarkEnd w:id="1213"/>
          </w:p>
        </w:tc>
        <w:tc>
          <w:tcPr>
            <w:tcW w:w="1480" w:type="dxa"/>
            <w:tcBorders>
              <w:top w:val="nil"/>
              <w:left w:val="nil"/>
              <w:bottom w:val="single" w:sz="4" w:space="0" w:color="auto"/>
              <w:right w:val="single" w:sz="4" w:space="0" w:color="auto"/>
            </w:tcBorders>
            <w:shd w:val="clear" w:color="auto" w:fill="auto"/>
            <w:noWrap/>
            <w:vAlign w:val="center"/>
            <w:hideMark/>
          </w:tcPr>
          <w:p w14:paraId="7B907885"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14" w:name="_Toc376199412"/>
            <w:r w:rsidRPr="006645DC">
              <w:rPr>
                <w:rFonts w:eastAsia="Times New Roman" w:cs="Calibri"/>
                <w:color w:val="000000"/>
                <w:lang w:val="en-GB"/>
              </w:rPr>
              <w:t>1 427</w:t>
            </w:r>
            <w:bookmarkEnd w:id="1214"/>
          </w:p>
        </w:tc>
        <w:tc>
          <w:tcPr>
            <w:tcW w:w="1120" w:type="dxa"/>
            <w:tcBorders>
              <w:top w:val="nil"/>
              <w:left w:val="nil"/>
              <w:bottom w:val="single" w:sz="4" w:space="0" w:color="auto"/>
              <w:right w:val="single" w:sz="4" w:space="0" w:color="auto"/>
            </w:tcBorders>
            <w:shd w:val="clear" w:color="auto" w:fill="auto"/>
            <w:noWrap/>
            <w:vAlign w:val="center"/>
            <w:hideMark/>
          </w:tcPr>
          <w:p w14:paraId="706C8D8F"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15" w:name="_Toc376199413"/>
            <w:r w:rsidRPr="006645DC">
              <w:rPr>
                <w:rFonts w:eastAsia="Times New Roman" w:cs="Calibri"/>
                <w:color w:val="000000"/>
                <w:lang w:val="en-GB"/>
              </w:rPr>
              <w:t>1 219</w:t>
            </w:r>
            <w:bookmarkEnd w:id="1215"/>
          </w:p>
        </w:tc>
        <w:tc>
          <w:tcPr>
            <w:tcW w:w="1220" w:type="dxa"/>
            <w:tcBorders>
              <w:top w:val="nil"/>
              <w:left w:val="nil"/>
              <w:bottom w:val="single" w:sz="4" w:space="0" w:color="auto"/>
              <w:right w:val="single" w:sz="4" w:space="0" w:color="auto"/>
            </w:tcBorders>
            <w:shd w:val="clear" w:color="auto" w:fill="auto"/>
            <w:noWrap/>
            <w:vAlign w:val="center"/>
            <w:hideMark/>
          </w:tcPr>
          <w:p w14:paraId="0F7FA1E9"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16" w:name="_Toc376199414"/>
            <w:r w:rsidRPr="006645DC">
              <w:rPr>
                <w:rFonts w:eastAsia="Times New Roman" w:cs="Calibri"/>
                <w:color w:val="000000"/>
                <w:lang w:val="en-GB"/>
              </w:rPr>
              <w:t>1 312</w:t>
            </w:r>
            <w:bookmarkEnd w:id="1216"/>
          </w:p>
        </w:tc>
        <w:tc>
          <w:tcPr>
            <w:tcW w:w="1100" w:type="dxa"/>
            <w:tcBorders>
              <w:top w:val="single" w:sz="4" w:space="0" w:color="auto"/>
              <w:left w:val="nil"/>
              <w:bottom w:val="single" w:sz="4" w:space="0" w:color="auto"/>
              <w:right w:val="single" w:sz="8" w:space="0" w:color="auto"/>
            </w:tcBorders>
            <w:shd w:val="clear" w:color="auto" w:fill="auto"/>
            <w:noWrap/>
            <w:vAlign w:val="center"/>
            <w:hideMark/>
          </w:tcPr>
          <w:p w14:paraId="2E731DF8"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17" w:name="_Toc376199415"/>
            <w:r w:rsidRPr="006645DC">
              <w:rPr>
                <w:rFonts w:eastAsia="Times New Roman" w:cs="Calibri"/>
                <w:color w:val="000000"/>
                <w:lang w:val="en-GB"/>
              </w:rPr>
              <w:t>1 271</w:t>
            </w:r>
            <w:bookmarkEnd w:id="1217"/>
          </w:p>
        </w:tc>
      </w:tr>
      <w:tr w:rsidR="0064018D" w:rsidRPr="006645DC" w14:paraId="2075D5EC" w14:textId="77777777" w:rsidTr="006F47B6">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7ECF730E" w14:textId="77777777" w:rsidR="0064018D" w:rsidRPr="006645DC" w:rsidRDefault="0064018D" w:rsidP="006F47B6">
            <w:pPr>
              <w:keepNext/>
              <w:keepLines/>
              <w:spacing w:before="0" w:after="0"/>
              <w:outlineLvl w:val="1"/>
              <w:rPr>
                <w:rFonts w:eastAsia="Times New Roman" w:cs="Calibri"/>
                <w:color w:val="000000"/>
                <w:lang w:val="en-GB"/>
              </w:rPr>
            </w:pPr>
            <w:bookmarkStart w:id="1218" w:name="_Toc376199416"/>
            <w:r w:rsidRPr="006645DC">
              <w:rPr>
                <w:rFonts w:eastAsia="Times New Roman" w:cs="Calibri"/>
                <w:color w:val="000000"/>
                <w:lang w:val="en-GB"/>
              </w:rPr>
              <w:t>Montana</w:t>
            </w:r>
            <w:bookmarkEnd w:id="1218"/>
          </w:p>
        </w:tc>
        <w:tc>
          <w:tcPr>
            <w:tcW w:w="1340" w:type="dxa"/>
            <w:tcBorders>
              <w:top w:val="nil"/>
              <w:left w:val="nil"/>
              <w:bottom w:val="nil"/>
              <w:right w:val="nil"/>
            </w:tcBorders>
            <w:shd w:val="clear" w:color="auto" w:fill="auto"/>
            <w:noWrap/>
            <w:vAlign w:val="center"/>
            <w:hideMark/>
          </w:tcPr>
          <w:p w14:paraId="777DE2E8" w14:textId="77777777" w:rsidR="0064018D" w:rsidRPr="006645DC" w:rsidRDefault="0064018D" w:rsidP="006F47B6">
            <w:pPr>
              <w:keepNext/>
              <w:keepLines/>
              <w:spacing w:before="0" w:after="0"/>
              <w:jc w:val="right"/>
              <w:outlineLvl w:val="1"/>
              <w:rPr>
                <w:rFonts w:eastAsia="Times New Roman" w:cs="Calibri"/>
                <w:sz w:val="20"/>
                <w:szCs w:val="20"/>
                <w:lang w:val="en-GB"/>
              </w:rPr>
            </w:pPr>
            <w:bookmarkStart w:id="1219" w:name="_Toc376199417"/>
            <w:r w:rsidRPr="006645DC">
              <w:rPr>
                <w:rFonts w:eastAsia="Times New Roman" w:cs="Calibri"/>
                <w:sz w:val="20"/>
                <w:szCs w:val="20"/>
                <w:lang w:val="en-GB"/>
              </w:rPr>
              <w:t>930</w:t>
            </w:r>
            <w:bookmarkEnd w:id="1219"/>
          </w:p>
        </w:tc>
        <w:tc>
          <w:tcPr>
            <w:tcW w:w="1480" w:type="dxa"/>
            <w:tcBorders>
              <w:top w:val="nil"/>
              <w:left w:val="single" w:sz="4" w:space="0" w:color="auto"/>
              <w:bottom w:val="single" w:sz="4" w:space="0" w:color="auto"/>
              <w:right w:val="single" w:sz="4" w:space="0" w:color="auto"/>
            </w:tcBorders>
            <w:shd w:val="clear" w:color="auto" w:fill="auto"/>
            <w:noWrap/>
            <w:vAlign w:val="center"/>
            <w:hideMark/>
          </w:tcPr>
          <w:p w14:paraId="3376E42E"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20" w:name="_Toc376199418"/>
            <w:r w:rsidRPr="006645DC">
              <w:rPr>
                <w:rFonts w:eastAsia="Times New Roman" w:cs="Calibri"/>
                <w:color w:val="000000"/>
                <w:lang w:val="en-GB"/>
              </w:rPr>
              <w:t>960</w:t>
            </w:r>
            <w:bookmarkEnd w:id="1220"/>
          </w:p>
        </w:tc>
        <w:tc>
          <w:tcPr>
            <w:tcW w:w="1120" w:type="dxa"/>
            <w:tcBorders>
              <w:top w:val="nil"/>
              <w:left w:val="nil"/>
              <w:bottom w:val="single" w:sz="4" w:space="0" w:color="auto"/>
              <w:right w:val="single" w:sz="4" w:space="0" w:color="auto"/>
            </w:tcBorders>
            <w:shd w:val="clear" w:color="auto" w:fill="auto"/>
            <w:noWrap/>
            <w:vAlign w:val="center"/>
            <w:hideMark/>
          </w:tcPr>
          <w:p w14:paraId="731C82F6"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21" w:name="_Toc376199419"/>
            <w:r w:rsidRPr="006645DC">
              <w:rPr>
                <w:rFonts w:eastAsia="Times New Roman" w:cs="Calibri"/>
                <w:color w:val="000000"/>
                <w:lang w:val="en-GB"/>
              </w:rPr>
              <w:t>910</w:t>
            </w:r>
            <w:bookmarkEnd w:id="1221"/>
          </w:p>
        </w:tc>
        <w:tc>
          <w:tcPr>
            <w:tcW w:w="1220" w:type="dxa"/>
            <w:tcBorders>
              <w:top w:val="nil"/>
              <w:left w:val="nil"/>
              <w:bottom w:val="single" w:sz="4" w:space="0" w:color="auto"/>
              <w:right w:val="single" w:sz="4" w:space="0" w:color="auto"/>
            </w:tcBorders>
            <w:shd w:val="clear" w:color="auto" w:fill="auto"/>
            <w:noWrap/>
            <w:vAlign w:val="center"/>
            <w:hideMark/>
          </w:tcPr>
          <w:p w14:paraId="27D917CC"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22" w:name="_Toc376199420"/>
            <w:r w:rsidRPr="006645DC">
              <w:rPr>
                <w:rFonts w:eastAsia="Times New Roman" w:cs="Calibri"/>
                <w:color w:val="000000"/>
                <w:lang w:val="en-GB"/>
              </w:rPr>
              <w:t>897</w:t>
            </w:r>
            <w:bookmarkEnd w:id="1222"/>
          </w:p>
        </w:tc>
        <w:tc>
          <w:tcPr>
            <w:tcW w:w="1100" w:type="dxa"/>
            <w:tcBorders>
              <w:top w:val="nil"/>
              <w:left w:val="nil"/>
              <w:bottom w:val="nil"/>
              <w:right w:val="single" w:sz="8" w:space="0" w:color="auto"/>
            </w:tcBorders>
            <w:shd w:val="clear" w:color="auto" w:fill="auto"/>
            <w:noWrap/>
            <w:vAlign w:val="center"/>
            <w:hideMark/>
          </w:tcPr>
          <w:p w14:paraId="4E72AD79"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23" w:name="_Toc376199421"/>
            <w:r w:rsidRPr="006645DC">
              <w:rPr>
                <w:rFonts w:eastAsia="Times New Roman" w:cs="Calibri"/>
                <w:color w:val="000000"/>
                <w:lang w:val="en-GB"/>
              </w:rPr>
              <w:t>897</w:t>
            </w:r>
            <w:bookmarkEnd w:id="1223"/>
          </w:p>
        </w:tc>
      </w:tr>
      <w:tr w:rsidR="0064018D" w:rsidRPr="006645DC" w14:paraId="5830B7FC" w14:textId="77777777" w:rsidTr="006F47B6">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639C85D7" w14:textId="77777777" w:rsidR="0064018D" w:rsidRPr="006645DC" w:rsidRDefault="0064018D" w:rsidP="006F47B6">
            <w:pPr>
              <w:keepNext/>
              <w:keepLines/>
              <w:spacing w:before="0" w:after="0"/>
              <w:outlineLvl w:val="1"/>
              <w:rPr>
                <w:rFonts w:eastAsia="Times New Roman" w:cs="Calibri"/>
                <w:color w:val="000000"/>
                <w:lang w:val="en-GB"/>
              </w:rPr>
            </w:pPr>
            <w:bookmarkStart w:id="1224" w:name="_Toc376199422"/>
            <w:r w:rsidRPr="006645DC">
              <w:rPr>
                <w:rFonts w:eastAsia="Times New Roman" w:cs="Calibri"/>
                <w:color w:val="000000"/>
                <w:lang w:val="en-GB"/>
              </w:rPr>
              <w:t>Pleven</w:t>
            </w:r>
            <w:bookmarkEnd w:id="1224"/>
          </w:p>
        </w:tc>
        <w:tc>
          <w:tcPr>
            <w:tcW w:w="1340" w:type="dxa"/>
            <w:tcBorders>
              <w:top w:val="single" w:sz="4" w:space="0" w:color="auto"/>
              <w:left w:val="nil"/>
              <w:bottom w:val="single" w:sz="4" w:space="0" w:color="auto"/>
              <w:right w:val="single" w:sz="4" w:space="0" w:color="auto"/>
            </w:tcBorders>
            <w:shd w:val="clear" w:color="auto" w:fill="auto"/>
            <w:noWrap/>
            <w:vAlign w:val="center"/>
            <w:hideMark/>
          </w:tcPr>
          <w:p w14:paraId="06C77169" w14:textId="77777777" w:rsidR="0064018D" w:rsidRPr="006645DC" w:rsidRDefault="0064018D" w:rsidP="006F47B6">
            <w:pPr>
              <w:keepNext/>
              <w:keepLines/>
              <w:spacing w:before="0" w:after="0"/>
              <w:jc w:val="right"/>
              <w:outlineLvl w:val="1"/>
              <w:rPr>
                <w:rFonts w:eastAsia="Times New Roman" w:cs="Calibri"/>
                <w:sz w:val="20"/>
                <w:szCs w:val="20"/>
                <w:lang w:val="en-GB"/>
              </w:rPr>
            </w:pPr>
            <w:bookmarkStart w:id="1225" w:name="_Toc376199423"/>
            <w:r w:rsidRPr="006645DC">
              <w:rPr>
                <w:rFonts w:eastAsia="Times New Roman" w:cs="Calibri"/>
                <w:sz w:val="20"/>
                <w:szCs w:val="20"/>
                <w:lang w:val="en-GB"/>
              </w:rPr>
              <w:t>1 585</w:t>
            </w:r>
            <w:bookmarkEnd w:id="1225"/>
          </w:p>
        </w:tc>
        <w:tc>
          <w:tcPr>
            <w:tcW w:w="1480" w:type="dxa"/>
            <w:tcBorders>
              <w:top w:val="nil"/>
              <w:left w:val="nil"/>
              <w:bottom w:val="single" w:sz="4" w:space="0" w:color="auto"/>
              <w:right w:val="single" w:sz="4" w:space="0" w:color="auto"/>
            </w:tcBorders>
            <w:shd w:val="clear" w:color="auto" w:fill="auto"/>
            <w:noWrap/>
            <w:vAlign w:val="center"/>
            <w:hideMark/>
          </w:tcPr>
          <w:p w14:paraId="2C5676A1"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26" w:name="_Toc376199424"/>
            <w:r w:rsidRPr="006645DC">
              <w:rPr>
                <w:rFonts w:eastAsia="Times New Roman" w:cs="Calibri"/>
                <w:color w:val="000000"/>
                <w:lang w:val="en-GB"/>
              </w:rPr>
              <w:t>1 635</w:t>
            </w:r>
            <w:bookmarkEnd w:id="1226"/>
          </w:p>
        </w:tc>
        <w:tc>
          <w:tcPr>
            <w:tcW w:w="1120" w:type="dxa"/>
            <w:tcBorders>
              <w:top w:val="nil"/>
              <w:left w:val="nil"/>
              <w:bottom w:val="single" w:sz="4" w:space="0" w:color="auto"/>
              <w:right w:val="single" w:sz="4" w:space="0" w:color="auto"/>
            </w:tcBorders>
            <w:shd w:val="clear" w:color="auto" w:fill="auto"/>
            <w:noWrap/>
            <w:vAlign w:val="center"/>
            <w:hideMark/>
          </w:tcPr>
          <w:p w14:paraId="0C11BBC8"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27" w:name="_Toc376199425"/>
            <w:r w:rsidRPr="006645DC">
              <w:rPr>
                <w:rFonts w:eastAsia="Times New Roman" w:cs="Calibri"/>
                <w:color w:val="000000"/>
                <w:lang w:val="en-GB"/>
              </w:rPr>
              <w:t>1 674</w:t>
            </w:r>
            <w:bookmarkEnd w:id="1227"/>
          </w:p>
        </w:tc>
        <w:tc>
          <w:tcPr>
            <w:tcW w:w="1220" w:type="dxa"/>
            <w:tcBorders>
              <w:top w:val="nil"/>
              <w:left w:val="nil"/>
              <w:bottom w:val="single" w:sz="4" w:space="0" w:color="auto"/>
              <w:right w:val="single" w:sz="4" w:space="0" w:color="auto"/>
            </w:tcBorders>
            <w:shd w:val="clear" w:color="auto" w:fill="auto"/>
            <w:noWrap/>
            <w:vAlign w:val="center"/>
            <w:hideMark/>
          </w:tcPr>
          <w:p w14:paraId="1F5DB177"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28" w:name="_Toc376199426"/>
            <w:r w:rsidRPr="006645DC">
              <w:rPr>
                <w:rFonts w:eastAsia="Times New Roman" w:cs="Calibri"/>
                <w:color w:val="000000"/>
                <w:lang w:val="en-GB"/>
              </w:rPr>
              <w:t>1 678</w:t>
            </w:r>
            <w:bookmarkEnd w:id="1228"/>
          </w:p>
        </w:tc>
        <w:tc>
          <w:tcPr>
            <w:tcW w:w="1100" w:type="dxa"/>
            <w:tcBorders>
              <w:top w:val="single" w:sz="4" w:space="0" w:color="auto"/>
              <w:left w:val="nil"/>
              <w:bottom w:val="nil"/>
              <w:right w:val="single" w:sz="8" w:space="0" w:color="auto"/>
            </w:tcBorders>
            <w:shd w:val="clear" w:color="auto" w:fill="auto"/>
            <w:noWrap/>
            <w:vAlign w:val="center"/>
            <w:hideMark/>
          </w:tcPr>
          <w:p w14:paraId="686DD27B"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29" w:name="_Toc376199427"/>
            <w:r w:rsidRPr="006645DC">
              <w:rPr>
                <w:rFonts w:eastAsia="Times New Roman" w:cs="Calibri"/>
                <w:color w:val="000000"/>
                <w:lang w:val="en-GB"/>
              </w:rPr>
              <w:t>1 647</w:t>
            </w:r>
            <w:bookmarkEnd w:id="1229"/>
          </w:p>
        </w:tc>
      </w:tr>
      <w:tr w:rsidR="0064018D" w:rsidRPr="006645DC" w14:paraId="5507B3D7" w14:textId="77777777" w:rsidTr="006F47B6">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600F2FB0" w14:textId="77777777" w:rsidR="0064018D" w:rsidRPr="006645DC" w:rsidRDefault="0064018D" w:rsidP="006F47B6">
            <w:pPr>
              <w:keepNext/>
              <w:keepLines/>
              <w:spacing w:before="0" w:after="0"/>
              <w:outlineLvl w:val="1"/>
              <w:rPr>
                <w:rFonts w:eastAsia="Times New Roman" w:cs="Calibri"/>
                <w:color w:val="000000"/>
                <w:lang w:val="en-GB"/>
              </w:rPr>
            </w:pPr>
            <w:bookmarkStart w:id="1230" w:name="_Toc376199428"/>
            <w:r w:rsidRPr="006645DC">
              <w:rPr>
                <w:rFonts w:eastAsia="Times New Roman" w:cs="Calibri"/>
                <w:color w:val="000000"/>
                <w:lang w:val="en-GB"/>
              </w:rPr>
              <w:t>Veliko Tarnovo</w:t>
            </w:r>
            <w:bookmarkEnd w:id="1230"/>
          </w:p>
        </w:tc>
        <w:tc>
          <w:tcPr>
            <w:tcW w:w="1340" w:type="dxa"/>
            <w:tcBorders>
              <w:top w:val="nil"/>
              <w:left w:val="nil"/>
              <w:bottom w:val="single" w:sz="4" w:space="0" w:color="auto"/>
              <w:right w:val="single" w:sz="4" w:space="0" w:color="auto"/>
            </w:tcBorders>
            <w:shd w:val="clear" w:color="auto" w:fill="auto"/>
            <w:noWrap/>
            <w:vAlign w:val="center"/>
            <w:hideMark/>
          </w:tcPr>
          <w:p w14:paraId="41A5576B"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31" w:name="_Toc376199429"/>
            <w:r w:rsidRPr="006645DC">
              <w:rPr>
                <w:rFonts w:eastAsia="Times New Roman" w:cs="Calibri"/>
                <w:color w:val="000000"/>
                <w:lang w:val="en-GB"/>
              </w:rPr>
              <w:t>1 867</w:t>
            </w:r>
            <w:bookmarkEnd w:id="1231"/>
          </w:p>
        </w:tc>
        <w:tc>
          <w:tcPr>
            <w:tcW w:w="1480" w:type="dxa"/>
            <w:tcBorders>
              <w:top w:val="nil"/>
              <w:left w:val="nil"/>
              <w:bottom w:val="single" w:sz="4" w:space="0" w:color="auto"/>
              <w:right w:val="single" w:sz="4" w:space="0" w:color="auto"/>
            </w:tcBorders>
            <w:shd w:val="clear" w:color="auto" w:fill="auto"/>
            <w:noWrap/>
            <w:vAlign w:val="center"/>
            <w:hideMark/>
          </w:tcPr>
          <w:p w14:paraId="7F176D99"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32" w:name="_Toc376199430"/>
            <w:r w:rsidRPr="006645DC">
              <w:rPr>
                <w:rFonts w:eastAsia="Times New Roman" w:cs="Calibri"/>
                <w:color w:val="000000"/>
                <w:lang w:val="en-GB"/>
              </w:rPr>
              <w:t>1 885</w:t>
            </w:r>
            <w:bookmarkEnd w:id="1232"/>
          </w:p>
        </w:tc>
        <w:tc>
          <w:tcPr>
            <w:tcW w:w="1120" w:type="dxa"/>
            <w:tcBorders>
              <w:top w:val="nil"/>
              <w:left w:val="nil"/>
              <w:bottom w:val="single" w:sz="4" w:space="0" w:color="auto"/>
              <w:right w:val="single" w:sz="4" w:space="0" w:color="auto"/>
            </w:tcBorders>
            <w:shd w:val="clear" w:color="auto" w:fill="auto"/>
            <w:noWrap/>
            <w:vAlign w:val="center"/>
            <w:hideMark/>
          </w:tcPr>
          <w:p w14:paraId="40D47C98"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33" w:name="_Toc376199431"/>
            <w:r w:rsidRPr="006645DC">
              <w:rPr>
                <w:rFonts w:eastAsia="Times New Roman" w:cs="Calibri"/>
                <w:color w:val="000000"/>
                <w:lang w:val="en-GB"/>
              </w:rPr>
              <w:t>1 738</w:t>
            </w:r>
            <w:bookmarkEnd w:id="1233"/>
          </w:p>
        </w:tc>
        <w:tc>
          <w:tcPr>
            <w:tcW w:w="1220" w:type="dxa"/>
            <w:tcBorders>
              <w:top w:val="nil"/>
              <w:left w:val="nil"/>
              <w:bottom w:val="single" w:sz="4" w:space="0" w:color="auto"/>
              <w:right w:val="single" w:sz="4" w:space="0" w:color="auto"/>
            </w:tcBorders>
            <w:shd w:val="clear" w:color="auto" w:fill="auto"/>
            <w:noWrap/>
            <w:vAlign w:val="center"/>
            <w:hideMark/>
          </w:tcPr>
          <w:p w14:paraId="32BCB05B"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34" w:name="_Toc376199432"/>
            <w:r w:rsidRPr="006645DC">
              <w:rPr>
                <w:rFonts w:eastAsia="Times New Roman" w:cs="Calibri"/>
                <w:color w:val="000000"/>
                <w:lang w:val="en-GB"/>
              </w:rPr>
              <w:t>1 624</w:t>
            </w:r>
            <w:bookmarkEnd w:id="1234"/>
          </w:p>
        </w:tc>
        <w:tc>
          <w:tcPr>
            <w:tcW w:w="1100" w:type="dxa"/>
            <w:tcBorders>
              <w:top w:val="single" w:sz="4" w:space="0" w:color="auto"/>
              <w:left w:val="nil"/>
              <w:bottom w:val="nil"/>
              <w:right w:val="single" w:sz="8" w:space="0" w:color="auto"/>
            </w:tcBorders>
            <w:shd w:val="clear" w:color="auto" w:fill="auto"/>
            <w:noWrap/>
            <w:vAlign w:val="center"/>
            <w:hideMark/>
          </w:tcPr>
          <w:p w14:paraId="0BC6646F"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35" w:name="_Toc376199433"/>
            <w:r w:rsidRPr="006645DC">
              <w:rPr>
                <w:rFonts w:eastAsia="Times New Roman" w:cs="Calibri"/>
                <w:color w:val="000000"/>
                <w:lang w:val="en-GB"/>
              </w:rPr>
              <w:t>1 566</w:t>
            </w:r>
            <w:bookmarkEnd w:id="1235"/>
          </w:p>
        </w:tc>
      </w:tr>
      <w:tr w:rsidR="0064018D" w:rsidRPr="006645DC" w14:paraId="36ABE1EB" w14:textId="77777777" w:rsidTr="006F47B6">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238B1DD1" w14:textId="77777777" w:rsidR="0064018D" w:rsidRPr="006645DC" w:rsidRDefault="0064018D" w:rsidP="006F47B6">
            <w:pPr>
              <w:keepNext/>
              <w:keepLines/>
              <w:spacing w:before="0" w:after="0"/>
              <w:outlineLvl w:val="1"/>
              <w:rPr>
                <w:rFonts w:eastAsia="Times New Roman" w:cs="Calibri"/>
                <w:color w:val="000000"/>
                <w:lang w:val="en-GB"/>
              </w:rPr>
            </w:pPr>
            <w:bookmarkStart w:id="1236" w:name="_Toc376199434"/>
            <w:r w:rsidRPr="006645DC">
              <w:rPr>
                <w:rFonts w:eastAsia="Times New Roman" w:cs="Calibri"/>
                <w:color w:val="000000"/>
                <w:lang w:val="en-GB"/>
              </w:rPr>
              <w:t>Ruse</w:t>
            </w:r>
            <w:bookmarkEnd w:id="1236"/>
          </w:p>
        </w:tc>
        <w:tc>
          <w:tcPr>
            <w:tcW w:w="1340" w:type="dxa"/>
            <w:tcBorders>
              <w:top w:val="nil"/>
              <w:left w:val="nil"/>
              <w:bottom w:val="single" w:sz="4" w:space="0" w:color="auto"/>
              <w:right w:val="single" w:sz="4" w:space="0" w:color="auto"/>
            </w:tcBorders>
            <w:shd w:val="clear" w:color="auto" w:fill="auto"/>
            <w:noWrap/>
            <w:vAlign w:val="center"/>
            <w:hideMark/>
          </w:tcPr>
          <w:p w14:paraId="2B03A52E"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37" w:name="_Toc376199435"/>
            <w:r w:rsidRPr="006645DC">
              <w:rPr>
                <w:rFonts w:eastAsia="Times New Roman" w:cs="Calibri"/>
                <w:color w:val="000000"/>
                <w:lang w:val="en-GB"/>
              </w:rPr>
              <w:t>1 628</w:t>
            </w:r>
            <w:bookmarkEnd w:id="1237"/>
          </w:p>
        </w:tc>
        <w:tc>
          <w:tcPr>
            <w:tcW w:w="1480" w:type="dxa"/>
            <w:tcBorders>
              <w:top w:val="nil"/>
              <w:left w:val="nil"/>
              <w:bottom w:val="single" w:sz="4" w:space="0" w:color="auto"/>
              <w:right w:val="single" w:sz="4" w:space="0" w:color="auto"/>
            </w:tcBorders>
            <w:shd w:val="clear" w:color="auto" w:fill="auto"/>
            <w:noWrap/>
            <w:vAlign w:val="center"/>
            <w:hideMark/>
          </w:tcPr>
          <w:p w14:paraId="45E4AFC6"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38" w:name="_Toc376199436"/>
            <w:r w:rsidRPr="006645DC">
              <w:rPr>
                <w:rFonts w:eastAsia="Times New Roman" w:cs="Calibri"/>
                <w:color w:val="000000"/>
                <w:lang w:val="en-GB"/>
              </w:rPr>
              <w:t>1 636</w:t>
            </w:r>
            <w:bookmarkEnd w:id="1238"/>
          </w:p>
        </w:tc>
        <w:tc>
          <w:tcPr>
            <w:tcW w:w="1120" w:type="dxa"/>
            <w:tcBorders>
              <w:top w:val="nil"/>
              <w:left w:val="nil"/>
              <w:bottom w:val="single" w:sz="4" w:space="0" w:color="auto"/>
              <w:right w:val="single" w:sz="4" w:space="0" w:color="auto"/>
            </w:tcBorders>
            <w:shd w:val="clear" w:color="auto" w:fill="auto"/>
            <w:noWrap/>
            <w:vAlign w:val="center"/>
            <w:hideMark/>
          </w:tcPr>
          <w:p w14:paraId="71382581"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39" w:name="_Toc376199437"/>
            <w:r w:rsidRPr="006645DC">
              <w:rPr>
                <w:rFonts w:eastAsia="Times New Roman" w:cs="Calibri"/>
                <w:color w:val="000000"/>
                <w:lang w:val="en-GB"/>
              </w:rPr>
              <w:t>1 562</w:t>
            </w:r>
            <w:bookmarkEnd w:id="1239"/>
          </w:p>
        </w:tc>
        <w:tc>
          <w:tcPr>
            <w:tcW w:w="1220" w:type="dxa"/>
            <w:tcBorders>
              <w:top w:val="nil"/>
              <w:left w:val="nil"/>
              <w:bottom w:val="single" w:sz="4" w:space="0" w:color="auto"/>
              <w:right w:val="single" w:sz="4" w:space="0" w:color="auto"/>
            </w:tcBorders>
            <w:shd w:val="clear" w:color="auto" w:fill="auto"/>
            <w:noWrap/>
            <w:vAlign w:val="center"/>
            <w:hideMark/>
          </w:tcPr>
          <w:p w14:paraId="1203B942"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40" w:name="_Toc376199438"/>
            <w:r w:rsidRPr="006645DC">
              <w:rPr>
                <w:rFonts w:eastAsia="Times New Roman" w:cs="Calibri"/>
                <w:color w:val="000000"/>
                <w:lang w:val="en-GB"/>
              </w:rPr>
              <w:t>1 514</w:t>
            </w:r>
            <w:bookmarkEnd w:id="1240"/>
          </w:p>
        </w:tc>
        <w:tc>
          <w:tcPr>
            <w:tcW w:w="1100" w:type="dxa"/>
            <w:tcBorders>
              <w:top w:val="single" w:sz="4" w:space="0" w:color="auto"/>
              <w:left w:val="nil"/>
              <w:bottom w:val="single" w:sz="4" w:space="0" w:color="auto"/>
              <w:right w:val="single" w:sz="8" w:space="0" w:color="auto"/>
            </w:tcBorders>
            <w:shd w:val="clear" w:color="auto" w:fill="auto"/>
            <w:noWrap/>
            <w:vAlign w:val="center"/>
            <w:hideMark/>
          </w:tcPr>
          <w:p w14:paraId="33E6C1F7"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41" w:name="_Toc376199439"/>
            <w:r w:rsidRPr="006645DC">
              <w:rPr>
                <w:rFonts w:eastAsia="Times New Roman" w:cs="Calibri"/>
                <w:color w:val="000000"/>
                <w:lang w:val="en-GB"/>
              </w:rPr>
              <w:t>1 504</w:t>
            </w:r>
            <w:bookmarkEnd w:id="1241"/>
          </w:p>
        </w:tc>
      </w:tr>
      <w:tr w:rsidR="0064018D" w:rsidRPr="006645DC" w14:paraId="1C398DAF" w14:textId="77777777" w:rsidTr="006F47B6">
        <w:trPr>
          <w:trHeight w:val="30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7B06CF41" w14:textId="77777777" w:rsidR="0064018D" w:rsidRPr="006645DC" w:rsidRDefault="0064018D" w:rsidP="006F47B6">
            <w:pPr>
              <w:keepNext/>
              <w:keepLines/>
              <w:spacing w:before="0" w:after="0"/>
              <w:outlineLvl w:val="1"/>
              <w:rPr>
                <w:rFonts w:eastAsia="Times New Roman" w:cs="Calibri"/>
                <w:color w:val="000000"/>
                <w:lang w:val="en-GB"/>
              </w:rPr>
            </w:pPr>
            <w:bookmarkStart w:id="1242" w:name="_Toc376199440"/>
            <w:r w:rsidRPr="006645DC">
              <w:rPr>
                <w:rFonts w:eastAsia="Times New Roman" w:cs="Calibri"/>
                <w:color w:val="000000"/>
                <w:lang w:val="en-GB"/>
              </w:rPr>
              <w:t>Silistra</w:t>
            </w:r>
            <w:bookmarkEnd w:id="1242"/>
          </w:p>
        </w:tc>
        <w:tc>
          <w:tcPr>
            <w:tcW w:w="1340" w:type="dxa"/>
            <w:tcBorders>
              <w:top w:val="nil"/>
              <w:left w:val="nil"/>
              <w:bottom w:val="single" w:sz="4" w:space="0" w:color="auto"/>
              <w:right w:val="single" w:sz="4" w:space="0" w:color="auto"/>
            </w:tcBorders>
            <w:shd w:val="clear" w:color="auto" w:fill="auto"/>
            <w:noWrap/>
            <w:vAlign w:val="center"/>
            <w:hideMark/>
          </w:tcPr>
          <w:p w14:paraId="4F49FD7A"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43" w:name="_Toc376199441"/>
            <w:r w:rsidRPr="006645DC">
              <w:rPr>
                <w:rFonts w:eastAsia="Times New Roman" w:cs="Calibri"/>
                <w:color w:val="000000"/>
                <w:lang w:val="en-GB"/>
              </w:rPr>
              <w:t>576</w:t>
            </w:r>
            <w:bookmarkEnd w:id="1243"/>
          </w:p>
        </w:tc>
        <w:tc>
          <w:tcPr>
            <w:tcW w:w="1480" w:type="dxa"/>
            <w:tcBorders>
              <w:top w:val="nil"/>
              <w:left w:val="nil"/>
              <w:bottom w:val="single" w:sz="4" w:space="0" w:color="auto"/>
              <w:right w:val="single" w:sz="4" w:space="0" w:color="auto"/>
            </w:tcBorders>
            <w:shd w:val="clear" w:color="auto" w:fill="auto"/>
            <w:noWrap/>
            <w:vAlign w:val="center"/>
            <w:hideMark/>
          </w:tcPr>
          <w:p w14:paraId="648E1DBD"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44" w:name="_Toc376199442"/>
            <w:r w:rsidRPr="006645DC">
              <w:rPr>
                <w:rFonts w:eastAsia="Times New Roman" w:cs="Calibri"/>
                <w:color w:val="000000"/>
                <w:lang w:val="en-GB"/>
              </w:rPr>
              <w:t>567</w:t>
            </w:r>
            <w:bookmarkEnd w:id="1244"/>
          </w:p>
        </w:tc>
        <w:tc>
          <w:tcPr>
            <w:tcW w:w="1120" w:type="dxa"/>
            <w:tcBorders>
              <w:top w:val="nil"/>
              <w:left w:val="nil"/>
              <w:bottom w:val="single" w:sz="4" w:space="0" w:color="auto"/>
              <w:right w:val="single" w:sz="4" w:space="0" w:color="auto"/>
            </w:tcBorders>
            <w:shd w:val="clear" w:color="auto" w:fill="auto"/>
            <w:noWrap/>
            <w:vAlign w:val="center"/>
            <w:hideMark/>
          </w:tcPr>
          <w:p w14:paraId="3B17D57F"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45" w:name="_Toc376199443"/>
            <w:r w:rsidRPr="006645DC">
              <w:rPr>
                <w:rFonts w:eastAsia="Times New Roman" w:cs="Calibri"/>
                <w:color w:val="000000"/>
                <w:lang w:val="en-GB"/>
              </w:rPr>
              <w:t>475</w:t>
            </w:r>
            <w:bookmarkEnd w:id="1245"/>
          </w:p>
        </w:tc>
        <w:tc>
          <w:tcPr>
            <w:tcW w:w="1220" w:type="dxa"/>
            <w:tcBorders>
              <w:top w:val="nil"/>
              <w:left w:val="nil"/>
              <w:bottom w:val="single" w:sz="4" w:space="0" w:color="auto"/>
              <w:right w:val="single" w:sz="4" w:space="0" w:color="auto"/>
            </w:tcBorders>
            <w:shd w:val="clear" w:color="auto" w:fill="auto"/>
            <w:noWrap/>
            <w:vAlign w:val="center"/>
            <w:hideMark/>
          </w:tcPr>
          <w:p w14:paraId="1C6629F4"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46" w:name="_Toc376199444"/>
            <w:r w:rsidRPr="006645DC">
              <w:rPr>
                <w:rFonts w:eastAsia="Times New Roman" w:cs="Calibri"/>
                <w:color w:val="000000"/>
                <w:lang w:val="en-GB"/>
              </w:rPr>
              <w:t>436</w:t>
            </w:r>
            <w:bookmarkEnd w:id="1246"/>
          </w:p>
        </w:tc>
        <w:tc>
          <w:tcPr>
            <w:tcW w:w="1100" w:type="dxa"/>
            <w:tcBorders>
              <w:top w:val="nil"/>
              <w:left w:val="nil"/>
              <w:bottom w:val="nil"/>
              <w:right w:val="single" w:sz="8" w:space="0" w:color="auto"/>
            </w:tcBorders>
            <w:shd w:val="clear" w:color="auto" w:fill="auto"/>
            <w:noWrap/>
            <w:vAlign w:val="center"/>
            <w:hideMark/>
          </w:tcPr>
          <w:p w14:paraId="16642DB1"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47" w:name="_Toc376199445"/>
            <w:r w:rsidRPr="006645DC">
              <w:rPr>
                <w:rFonts w:eastAsia="Times New Roman" w:cs="Calibri"/>
                <w:color w:val="000000"/>
                <w:lang w:val="en-GB"/>
              </w:rPr>
              <w:t>442</w:t>
            </w:r>
            <w:bookmarkEnd w:id="1247"/>
          </w:p>
        </w:tc>
      </w:tr>
      <w:tr w:rsidR="0064018D" w:rsidRPr="006645DC" w14:paraId="415071B3" w14:textId="77777777" w:rsidTr="006F47B6">
        <w:trPr>
          <w:trHeight w:val="315"/>
          <w:jc w:val="center"/>
        </w:trPr>
        <w:tc>
          <w:tcPr>
            <w:tcW w:w="1780" w:type="dxa"/>
            <w:tcBorders>
              <w:top w:val="nil"/>
              <w:left w:val="single" w:sz="8" w:space="0" w:color="auto"/>
              <w:bottom w:val="nil"/>
              <w:right w:val="single" w:sz="4" w:space="0" w:color="auto"/>
            </w:tcBorders>
            <w:shd w:val="clear" w:color="auto" w:fill="auto"/>
            <w:noWrap/>
            <w:vAlign w:val="center"/>
            <w:hideMark/>
          </w:tcPr>
          <w:p w14:paraId="66FD36C2" w14:textId="77777777" w:rsidR="0064018D" w:rsidRPr="006645DC" w:rsidRDefault="0064018D" w:rsidP="006F47B6">
            <w:pPr>
              <w:keepNext/>
              <w:keepLines/>
              <w:spacing w:before="0" w:after="0"/>
              <w:outlineLvl w:val="1"/>
              <w:rPr>
                <w:rFonts w:eastAsia="Times New Roman" w:cs="Calibri"/>
                <w:color w:val="000000"/>
                <w:lang w:val="en-GB"/>
              </w:rPr>
            </w:pPr>
            <w:bookmarkStart w:id="1248" w:name="_Toc376199446"/>
            <w:r w:rsidRPr="006645DC">
              <w:rPr>
                <w:rFonts w:eastAsia="Times New Roman" w:cs="Calibri"/>
                <w:color w:val="000000"/>
                <w:lang w:val="en-GB"/>
              </w:rPr>
              <w:t>Dobrich</w:t>
            </w:r>
            <w:bookmarkEnd w:id="1248"/>
          </w:p>
        </w:tc>
        <w:tc>
          <w:tcPr>
            <w:tcW w:w="1340" w:type="dxa"/>
            <w:tcBorders>
              <w:top w:val="nil"/>
              <w:left w:val="nil"/>
              <w:bottom w:val="nil"/>
              <w:right w:val="single" w:sz="4" w:space="0" w:color="auto"/>
            </w:tcBorders>
            <w:shd w:val="clear" w:color="auto" w:fill="auto"/>
            <w:noWrap/>
            <w:vAlign w:val="center"/>
            <w:hideMark/>
          </w:tcPr>
          <w:p w14:paraId="1B2A958F"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49" w:name="_Toc376199447"/>
            <w:r w:rsidRPr="006645DC">
              <w:rPr>
                <w:rFonts w:eastAsia="Times New Roman" w:cs="Calibri"/>
                <w:color w:val="000000"/>
                <w:lang w:val="en-GB"/>
              </w:rPr>
              <w:t>1 014</w:t>
            </w:r>
            <w:bookmarkEnd w:id="1249"/>
          </w:p>
        </w:tc>
        <w:tc>
          <w:tcPr>
            <w:tcW w:w="1480" w:type="dxa"/>
            <w:tcBorders>
              <w:top w:val="nil"/>
              <w:left w:val="nil"/>
              <w:bottom w:val="nil"/>
              <w:right w:val="single" w:sz="4" w:space="0" w:color="auto"/>
            </w:tcBorders>
            <w:shd w:val="clear" w:color="auto" w:fill="auto"/>
            <w:noWrap/>
            <w:vAlign w:val="center"/>
            <w:hideMark/>
          </w:tcPr>
          <w:p w14:paraId="4BB843B3"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50" w:name="_Toc376199448"/>
            <w:r w:rsidRPr="006645DC">
              <w:rPr>
                <w:rFonts w:eastAsia="Times New Roman" w:cs="Calibri"/>
                <w:color w:val="000000"/>
                <w:lang w:val="en-GB"/>
              </w:rPr>
              <w:t>994</w:t>
            </w:r>
            <w:bookmarkEnd w:id="1250"/>
          </w:p>
        </w:tc>
        <w:tc>
          <w:tcPr>
            <w:tcW w:w="1120" w:type="dxa"/>
            <w:tcBorders>
              <w:top w:val="nil"/>
              <w:left w:val="nil"/>
              <w:bottom w:val="nil"/>
              <w:right w:val="single" w:sz="4" w:space="0" w:color="auto"/>
            </w:tcBorders>
            <w:shd w:val="clear" w:color="auto" w:fill="auto"/>
            <w:noWrap/>
            <w:vAlign w:val="center"/>
            <w:hideMark/>
          </w:tcPr>
          <w:p w14:paraId="7709FF11"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51" w:name="_Toc376199449"/>
            <w:r w:rsidRPr="006645DC">
              <w:rPr>
                <w:rFonts w:eastAsia="Times New Roman" w:cs="Calibri"/>
                <w:color w:val="000000"/>
                <w:lang w:val="en-GB"/>
              </w:rPr>
              <w:t>1 000</w:t>
            </w:r>
            <w:bookmarkEnd w:id="1251"/>
          </w:p>
        </w:tc>
        <w:tc>
          <w:tcPr>
            <w:tcW w:w="1220" w:type="dxa"/>
            <w:tcBorders>
              <w:top w:val="nil"/>
              <w:left w:val="nil"/>
              <w:bottom w:val="nil"/>
              <w:right w:val="single" w:sz="4" w:space="0" w:color="auto"/>
            </w:tcBorders>
            <w:shd w:val="clear" w:color="auto" w:fill="auto"/>
            <w:noWrap/>
            <w:vAlign w:val="center"/>
            <w:hideMark/>
          </w:tcPr>
          <w:p w14:paraId="558B3599"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52" w:name="_Toc376199450"/>
            <w:r w:rsidRPr="006645DC">
              <w:rPr>
                <w:rFonts w:eastAsia="Times New Roman" w:cs="Calibri"/>
                <w:color w:val="000000"/>
                <w:lang w:val="en-GB"/>
              </w:rPr>
              <w:t>867</w:t>
            </w:r>
            <w:bookmarkEnd w:id="1252"/>
          </w:p>
        </w:tc>
        <w:tc>
          <w:tcPr>
            <w:tcW w:w="1100" w:type="dxa"/>
            <w:tcBorders>
              <w:top w:val="single" w:sz="4" w:space="0" w:color="auto"/>
              <w:left w:val="nil"/>
              <w:bottom w:val="nil"/>
              <w:right w:val="single" w:sz="8" w:space="0" w:color="auto"/>
            </w:tcBorders>
            <w:shd w:val="clear" w:color="auto" w:fill="auto"/>
            <w:noWrap/>
            <w:vAlign w:val="center"/>
            <w:hideMark/>
          </w:tcPr>
          <w:p w14:paraId="58940353"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53" w:name="_Toc376199451"/>
            <w:r w:rsidRPr="006645DC">
              <w:rPr>
                <w:rFonts w:eastAsia="Times New Roman" w:cs="Calibri"/>
                <w:color w:val="000000"/>
                <w:lang w:val="en-GB"/>
              </w:rPr>
              <w:t>845</w:t>
            </w:r>
            <w:bookmarkEnd w:id="1253"/>
          </w:p>
        </w:tc>
      </w:tr>
      <w:tr w:rsidR="0064018D" w:rsidRPr="006645DC" w14:paraId="132105F8" w14:textId="77777777" w:rsidTr="006F47B6">
        <w:trPr>
          <w:trHeight w:val="315"/>
          <w:jc w:val="center"/>
        </w:trPr>
        <w:tc>
          <w:tcPr>
            <w:tcW w:w="1780" w:type="dxa"/>
            <w:tcBorders>
              <w:top w:val="single" w:sz="8" w:space="0" w:color="auto"/>
              <w:left w:val="single" w:sz="8" w:space="0" w:color="auto"/>
              <w:bottom w:val="single" w:sz="8" w:space="0" w:color="auto"/>
              <w:right w:val="nil"/>
            </w:tcBorders>
            <w:shd w:val="clear" w:color="auto" w:fill="auto"/>
            <w:noWrap/>
            <w:vAlign w:val="center"/>
            <w:hideMark/>
          </w:tcPr>
          <w:p w14:paraId="4626C51B" w14:textId="77777777" w:rsidR="0064018D" w:rsidRPr="006645DC" w:rsidRDefault="0064018D" w:rsidP="006F47B6">
            <w:pPr>
              <w:keepNext/>
              <w:keepLines/>
              <w:spacing w:before="0" w:after="0"/>
              <w:outlineLvl w:val="1"/>
              <w:rPr>
                <w:rFonts w:eastAsia="Times New Roman" w:cs="Calibri"/>
                <w:b/>
                <w:bCs/>
                <w:color w:val="000000"/>
                <w:lang w:val="en-GB"/>
              </w:rPr>
            </w:pPr>
            <w:bookmarkStart w:id="1254" w:name="_Toc376199452"/>
            <w:r w:rsidRPr="006645DC">
              <w:rPr>
                <w:rFonts w:eastAsia="Times New Roman" w:cs="Calibri"/>
                <w:b/>
                <w:bCs/>
                <w:color w:val="000000"/>
                <w:lang w:val="en-GB"/>
              </w:rPr>
              <w:t>Bulgaria:</w:t>
            </w:r>
            <w:bookmarkEnd w:id="1254"/>
          </w:p>
        </w:tc>
        <w:tc>
          <w:tcPr>
            <w:tcW w:w="1340" w:type="dxa"/>
            <w:tcBorders>
              <w:top w:val="single" w:sz="8" w:space="0" w:color="auto"/>
              <w:left w:val="single" w:sz="4" w:space="0" w:color="auto"/>
              <w:bottom w:val="single" w:sz="8" w:space="0" w:color="auto"/>
              <w:right w:val="nil"/>
            </w:tcBorders>
            <w:shd w:val="clear" w:color="auto" w:fill="auto"/>
            <w:noWrap/>
            <w:vAlign w:val="center"/>
            <w:hideMark/>
          </w:tcPr>
          <w:p w14:paraId="586477EC" w14:textId="77777777" w:rsidR="0064018D" w:rsidRPr="006645DC" w:rsidRDefault="0064018D" w:rsidP="006F47B6">
            <w:pPr>
              <w:keepNext/>
              <w:keepLines/>
              <w:spacing w:before="0" w:after="0"/>
              <w:jc w:val="right"/>
              <w:outlineLvl w:val="1"/>
              <w:rPr>
                <w:rFonts w:eastAsia="Times New Roman" w:cs="Calibri"/>
                <w:b/>
                <w:bCs/>
                <w:color w:val="000000"/>
                <w:lang w:val="en-GB"/>
              </w:rPr>
            </w:pPr>
            <w:bookmarkStart w:id="1255" w:name="_Toc376199453"/>
            <w:r w:rsidRPr="006645DC">
              <w:rPr>
                <w:rFonts w:eastAsia="Times New Roman" w:cs="Calibri"/>
                <w:b/>
                <w:bCs/>
                <w:color w:val="000000"/>
                <w:lang w:val="en-GB"/>
              </w:rPr>
              <w:t>49 507</w:t>
            </w:r>
            <w:bookmarkEnd w:id="1255"/>
          </w:p>
        </w:tc>
        <w:tc>
          <w:tcPr>
            <w:tcW w:w="1480"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21596DC8" w14:textId="77777777" w:rsidR="0064018D" w:rsidRPr="006645DC" w:rsidRDefault="0064018D" w:rsidP="006F47B6">
            <w:pPr>
              <w:keepNext/>
              <w:keepLines/>
              <w:spacing w:before="0" w:after="0"/>
              <w:jc w:val="right"/>
              <w:outlineLvl w:val="1"/>
              <w:rPr>
                <w:rFonts w:eastAsia="Times New Roman" w:cs="Calibri"/>
                <w:b/>
                <w:bCs/>
                <w:color w:val="000000"/>
                <w:lang w:val="en-GB"/>
              </w:rPr>
            </w:pPr>
            <w:bookmarkStart w:id="1256" w:name="_Toc376199454"/>
            <w:r w:rsidRPr="006645DC">
              <w:rPr>
                <w:rFonts w:eastAsia="Times New Roman" w:cs="Calibri"/>
                <w:b/>
                <w:bCs/>
                <w:color w:val="000000"/>
                <w:lang w:val="en-GB"/>
              </w:rPr>
              <w:t>50 041</w:t>
            </w:r>
            <w:bookmarkEnd w:id="1256"/>
          </w:p>
        </w:tc>
        <w:tc>
          <w:tcPr>
            <w:tcW w:w="1120" w:type="dxa"/>
            <w:tcBorders>
              <w:top w:val="single" w:sz="8" w:space="0" w:color="auto"/>
              <w:left w:val="nil"/>
              <w:bottom w:val="single" w:sz="8" w:space="0" w:color="auto"/>
              <w:right w:val="nil"/>
            </w:tcBorders>
            <w:shd w:val="clear" w:color="auto" w:fill="auto"/>
            <w:noWrap/>
            <w:vAlign w:val="center"/>
            <w:hideMark/>
          </w:tcPr>
          <w:p w14:paraId="7ED54B59" w14:textId="77777777" w:rsidR="0064018D" w:rsidRPr="006645DC" w:rsidRDefault="0064018D" w:rsidP="006F47B6">
            <w:pPr>
              <w:keepNext/>
              <w:keepLines/>
              <w:spacing w:before="0" w:after="0"/>
              <w:jc w:val="right"/>
              <w:outlineLvl w:val="1"/>
              <w:rPr>
                <w:rFonts w:eastAsia="Times New Roman" w:cs="Calibri"/>
                <w:b/>
                <w:bCs/>
                <w:color w:val="000000"/>
                <w:lang w:val="en-GB"/>
              </w:rPr>
            </w:pPr>
            <w:bookmarkStart w:id="1257" w:name="_Toc376199455"/>
            <w:r w:rsidRPr="006645DC">
              <w:rPr>
                <w:rFonts w:eastAsia="Times New Roman" w:cs="Calibri"/>
                <w:b/>
                <w:bCs/>
                <w:color w:val="000000"/>
                <w:lang w:val="en-GB"/>
              </w:rPr>
              <w:t>48 934</w:t>
            </w:r>
            <w:bookmarkEnd w:id="1257"/>
          </w:p>
        </w:tc>
        <w:tc>
          <w:tcPr>
            <w:tcW w:w="1220" w:type="dxa"/>
            <w:tcBorders>
              <w:top w:val="single" w:sz="8" w:space="0" w:color="auto"/>
              <w:left w:val="single" w:sz="4" w:space="0" w:color="auto"/>
              <w:bottom w:val="single" w:sz="8" w:space="0" w:color="auto"/>
              <w:right w:val="nil"/>
            </w:tcBorders>
            <w:shd w:val="clear" w:color="auto" w:fill="auto"/>
            <w:noWrap/>
            <w:vAlign w:val="center"/>
            <w:hideMark/>
          </w:tcPr>
          <w:p w14:paraId="57B8904A" w14:textId="77777777" w:rsidR="0064018D" w:rsidRPr="006645DC" w:rsidRDefault="0064018D" w:rsidP="006F47B6">
            <w:pPr>
              <w:keepNext/>
              <w:keepLines/>
              <w:spacing w:before="0" w:after="0"/>
              <w:jc w:val="right"/>
              <w:outlineLvl w:val="1"/>
              <w:rPr>
                <w:rFonts w:eastAsia="Times New Roman" w:cs="Calibri"/>
                <w:b/>
                <w:bCs/>
                <w:color w:val="000000"/>
                <w:lang w:val="en-GB"/>
              </w:rPr>
            </w:pPr>
            <w:bookmarkStart w:id="1258" w:name="_Toc376199456"/>
            <w:r w:rsidRPr="006645DC">
              <w:rPr>
                <w:rFonts w:eastAsia="Times New Roman" w:cs="Calibri"/>
                <w:b/>
                <w:bCs/>
                <w:color w:val="000000"/>
                <w:lang w:val="en-GB"/>
              </w:rPr>
              <w:t>47 391</w:t>
            </w:r>
            <w:bookmarkEnd w:id="1258"/>
          </w:p>
        </w:tc>
        <w:tc>
          <w:tcPr>
            <w:tcW w:w="1100"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5E844391" w14:textId="77777777" w:rsidR="0064018D" w:rsidRPr="006645DC" w:rsidRDefault="0064018D" w:rsidP="006F47B6">
            <w:pPr>
              <w:keepNext/>
              <w:keepLines/>
              <w:spacing w:before="0" w:after="0"/>
              <w:jc w:val="right"/>
              <w:outlineLvl w:val="1"/>
              <w:rPr>
                <w:rFonts w:eastAsia="Times New Roman" w:cs="Calibri"/>
                <w:b/>
                <w:bCs/>
                <w:color w:val="000000"/>
                <w:lang w:val="en-GB"/>
              </w:rPr>
            </w:pPr>
            <w:bookmarkStart w:id="1259" w:name="_Toc376199457"/>
            <w:r w:rsidRPr="006645DC">
              <w:rPr>
                <w:rFonts w:eastAsia="Times New Roman" w:cs="Calibri"/>
                <w:b/>
                <w:bCs/>
                <w:color w:val="000000"/>
                <w:lang w:val="en-GB"/>
              </w:rPr>
              <w:t>48 308</w:t>
            </w:r>
            <w:bookmarkEnd w:id="1259"/>
          </w:p>
        </w:tc>
      </w:tr>
    </w:tbl>
    <w:p w14:paraId="74EEAAF8" w14:textId="77777777" w:rsidR="0064018D" w:rsidRPr="006645DC" w:rsidRDefault="0064018D" w:rsidP="0064018D">
      <w:pPr>
        <w:pStyle w:val="Caption"/>
        <w:rPr>
          <w:lang w:val="en-GB"/>
        </w:rPr>
      </w:pPr>
      <w:bookmarkStart w:id="1260" w:name="_Toc391150130"/>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33</w:t>
      </w:r>
      <w:r w:rsidR="005979EB" w:rsidRPr="006645DC">
        <w:rPr>
          <w:lang w:val="en-GB"/>
        </w:rPr>
        <w:fldChar w:fldCharType="end"/>
      </w:r>
      <w:r w:rsidRPr="006645DC">
        <w:rPr>
          <w:lang w:val="en-GB"/>
        </w:rPr>
        <w:t xml:space="preserve"> - Number of beds in health establishments in the Bulgarian cross-border area 2008-2012</w:t>
      </w:r>
      <w:bookmarkEnd w:id="1260"/>
    </w:p>
    <w:p w14:paraId="0321EEEC" w14:textId="77777777" w:rsidR="0064018D" w:rsidRPr="006645DC" w:rsidRDefault="0064018D" w:rsidP="0064018D">
      <w:pPr>
        <w:pStyle w:val="Heading4"/>
        <w:rPr>
          <w:lang w:val="en-GB"/>
        </w:rPr>
      </w:pPr>
      <w:r w:rsidRPr="006645DC">
        <w:rPr>
          <w:lang w:val="en-GB"/>
        </w:rPr>
        <w:t>Source: NSI</w:t>
      </w:r>
    </w:p>
    <w:p w14:paraId="47D78CE8" w14:textId="77777777" w:rsidR="0064018D" w:rsidRPr="006645DC" w:rsidRDefault="0064018D" w:rsidP="0064018D">
      <w:pPr>
        <w:rPr>
          <w:lang w:val="en-GB"/>
        </w:rPr>
      </w:pPr>
    </w:p>
    <w:p w14:paraId="33456A77" w14:textId="77777777" w:rsidR="0064018D" w:rsidRPr="006645DC" w:rsidRDefault="0064018D" w:rsidP="0064018D">
      <w:pPr>
        <w:rPr>
          <w:lang w:val="en-GB"/>
        </w:rPr>
      </w:pPr>
      <w:r w:rsidRPr="006645DC">
        <w:rPr>
          <w:lang w:val="en-GB"/>
        </w:rPr>
        <w:lastRenderedPageBreak/>
        <w:t xml:space="preserve">The biggest decrease is observed in the districts of Dobrich, Veliko Turnovo, Ruse, Vidin and Silistra. The number of beds in health establishments in the Bulgarian cross-border area drastically decreased from 9.436 in 2008 to 8.532 in 2012. The optimisation of the health care system due to the lack of financial resources left many smaller cities without proper health care establishments making the population seek quality health services in bigger cities. Health care in rural areas is also of low quality. The population per physician in 2012 varies from 373 people in Silistra to 200 in Pleven. </w:t>
      </w:r>
    </w:p>
    <w:p w14:paraId="09121AF8" w14:textId="77777777" w:rsidR="00326942" w:rsidRPr="006645DC" w:rsidRDefault="00326942" w:rsidP="00326942">
      <w:pPr>
        <w:jc w:val="center"/>
        <w:rPr>
          <w:lang w:val="en-GB" w:eastAsia="fr-FR"/>
        </w:rPr>
      </w:pPr>
    </w:p>
    <w:p w14:paraId="16A1575D" w14:textId="77777777" w:rsidR="00326942" w:rsidRPr="006645DC" w:rsidRDefault="00AA4C82" w:rsidP="00326942">
      <w:pPr>
        <w:jc w:val="center"/>
        <w:rPr>
          <w:lang w:val="en-GB"/>
        </w:rPr>
      </w:pPr>
      <w:r w:rsidRPr="006645DC">
        <w:rPr>
          <w:noProof/>
          <w:lang w:val="bg-BG" w:eastAsia="bg-BG"/>
        </w:rPr>
        <w:drawing>
          <wp:inline distT="0" distB="0" distL="0" distR="0" wp14:anchorId="65EC357E" wp14:editId="31CD0275">
            <wp:extent cx="6438900" cy="4076700"/>
            <wp:effectExtent l="19050" t="0" r="0" b="0"/>
            <wp:docPr id="69" name="Picture 72" descr="Description: C:\Documents and Settings\Office\Desktop\AO en cours\2013\MDRAP_consultanta elaborare prog coop transf Ro-Bg\Raport 2_Territorial analysis\Draft Final_Territorial Analysis\Harti 29 11 2013\New folder\harti 29 11 201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Description: C:\Documents and Settings\Office\Desktop\AO en cours\2013\MDRAP_consultanta elaborare prog coop transf Ro-Bg\Raport 2_Territorial analysis\Draft Final_Territorial Analysis\Harti 29 11 2013\New folder\harti 29 11 201321.jpg"/>
                    <pic:cNvPicPr>
                      <a:picLocks noChangeAspect="1" noChangeArrowheads="1"/>
                    </pic:cNvPicPr>
                  </pic:nvPicPr>
                  <pic:blipFill>
                    <a:blip r:embed="rId99"/>
                    <a:srcRect/>
                    <a:stretch>
                      <a:fillRect/>
                    </a:stretch>
                  </pic:blipFill>
                  <pic:spPr bwMode="auto">
                    <a:xfrm>
                      <a:off x="0" y="0"/>
                      <a:ext cx="6438900" cy="4076700"/>
                    </a:xfrm>
                    <a:prstGeom prst="rect">
                      <a:avLst/>
                    </a:prstGeom>
                    <a:noFill/>
                    <a:ln w="9525">
                      <a:noFill/>
                      <a:miter lim="800000"/>
                      <a:headEnd/>
                      <a:tailEnd/>
                    </a:ln>
                  </pic:spPr>
                </pic:pic>
              </a:graphicData>
            </a:graphic>
          </wp:inline>
        </w:drawing>
      </w:r>
    </w:p>
    <w:p w14:paraId="46A15843" w14:textId="77777777" w:rsidR="00326942" w:rsidRPr="006645DC" w:rsidRDefault="00326942" w:rsidP="00326942">
      <w:pPr>
        <w:pStyle w:val="Caption"/>
        <w:rPr>
          <w:lang w:val="en-GB"/>
        </w:rPr>
      </w:pPr>
      <w:bookmarkStart w:id="1261" w:name="_Toc391150028"/>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24</w:t>
      </w:r>
      <w:r w:rsidR="005979EB" w:rsidRPr="006645DC">
        <w:rPr>
          <w:lang w:val="en-GB"/>
        </w:rPr>
        <w:fldChar w:fldCharType="end"/>
      </w:r>
      <w:r w:rsidRPr="006645DC">
        <w:rPr>
          <w:lang w:val="en-GB"/>
        </w:rPr>
        <w:t xml:space="preserve"> - Number of hospital beds/1000 inh., 2011</w:t>
      </w:r>
      <w:bookmarkEnd w:id="1261"/>
    </w:p>
    <w:p w14:paraId="36C3D523" w14:textId="77777777" w:rsidR="00326942" w:rsidRPr="006645DC" w:rsidRDefault="00326942" w:rsidP="00326942">
      <w:pPr>
        <w:pStyle w:val="Heading4"/>
        <w:rPr>
          <w:lang w:val="en-GB"/>
        </w:rPr>
      </w:pPr>
      <w:r w:rsidRPr="006645DC">
        <w:rPr>
          <w:lang w:val="en-GB"/>
        </w:rPr>
        <w:t xml:space="preserve">Source: INS, NSI, Détente Consultants </w:t>
      </w:r>
    </w:p>
    <w:p w14:paraId="11D46E8B" w14:textId="77777777" w:rsidR="0064018D" w:rsidRPr="006645DC" w:rsidRDefault="0064018D" w:rsidP="0064018D">
      <w:pPr>
        <w:rPr>
          <w:lang w:val="en-GB"/>
        </w:rPr>
      </w:pPr>
      <w:r w:rsidRPr="006645DC">
        <w:rPr>
          <w:lang w:val="en-GB"/>
        </w:rPr>
        <w:t xml:space="preserve">The preventive approach, which prevails in the healthcare public policy field in the European Union, can represent a solution to the financing difficulties that the big healthcare facilities face. It can also ensure healthcare spending economies on the medium and long term. Nevertheless this is a limited option for the area given the closure/lack of many little and rural medical facilities and the lack of medical personnel, worryingly accentuated in the recent years by a medical emigration phenomenon.  </w:t>
      </w:r>
    </w:p>
    <w:p w14:paraId="1DA18145" w14:textId="77777777" w:rsidR="0064018D" w:rsidRPr="006645DC" w:rsidRDefault="0064018D" w:rsidP="0064018D">
      <w:pPr>
        <w:rPr>
          <w:lang w:val="en-GB"/>
        </w:rPr>
      </w:pPr>
      <w:r w:rsidRPr="006645DC">
        <w:rPr>
          <w:lang w:val="en-GB"/>
        </w:rPr>
        <w:lastRenderedPageBreak/>
        <w:t>The EVOLUTION project survey among local population indicates that people are aware and maybe quite used to the lack of medical services: 20% of rural households in the Bulgarian area declared having no local access to any type of health unit and 12% in the Romanian area.</w:t>
      </w:r>
    </w:p>
    <w:p w14:paraId="57E90570" w14:textId="77777777" w:rsidR="0064018D" w:rsidRPr="006645DC" w:rsidRDefault="0064018D" w:rsidP="0064018D">
      <w:pPr>
        <w:rPr>
          <w:lang w:val="en-GB"/>
        </w:rPr>
      </w:pPr>
      <w:r w:rsidRPr="006645DC">
        <w:rPr>
          <w:lang w:val="en-GB"/>
        </w:rPr>
        <w:t xml:space="preserve">Despite these well-known difficulties in the rural health system, over half of the </w:t>
      </w:r>
      <w:r w:rsidR="00982279" w:rsidRPr="006645DC">
        <w:rPr>
          <w:lang w:val="en-GB"/>
        </w:rPr>
        <w:t xml:space="preserve">rural </w:t>
      </w:r>
      <w:r w:rsidRPr="006645DC">
        <w:rPr>
          <w:lang w:val="en-GB"/>
        </w:rPr>
        <w:t>population consider that the health services are adequate to their n</w:t>
      </w:r>
      <w:r w:rsidR="00982279" w:rsidRPr="006645DC">
        <w:rPr>
          <w:lang w:val="en-GB"/>
        </w:rPr>
        <w:t xml:space="preserve">eeds, </w:t>
      </w:r>
      <w:r w:rsidRPr="006645DC">
        <w:rPr>
          <w:lang w:val="en-GB"/>
        </w:rPr>
        <w:t>as compared to only</w:t>
      </w:r>
      <w:r w:rsidR="00982279" w:rsidRPr="006645DC">
        <w:rPr>
          <w:lang w:val="en-GB"/>
        </w:rPr>
        <w:t xml:space="preserve"> 45.4% in the urban environment</w:t>
      </w:r>
      <w:r w:rsidRPr="006645DC">
        <w:rPr>
          <w:lang w:val="en-GB"/>
        </w:rPr>
        <w:t>. But, the weight of positive answers in the rural environment varies from 65.6% (Giurgiu) to 30.0% (Călăraşi) depending of their proximity to main urban centres.</w:t>
      </w:r>
    </w:p>
    <w:p w14:paraId="21827D92" w14:textId="77777777" w:rsidR="0064018D" w:rsidRPr="006645DC" w:rsidRDefault="0064018D" w:rsidP="0064018D">
      <w:pPr>
        <w:rPr>
          <w:lang w:val="en-GB"/>
        </w:rPr>
      </w:pPr>
      <w:r w:rsidRPr="006645DC">
        <w:rPr>
          <w:lang w:val="en-GB"/>
        </w:rPr>
        <w:t xml:space="preserve">In the Bulgarian cross-border region, the survey finds that 41.7% of the population considered public health services as good and very good, 34.0% considered them satisfactory and 24.3% that they do not answer citizens’ needs. The repartition of weights per residential areas is rather balanced. The rates are similar in urban and rural areas: 42.2% of town population and 41.0% of rural population consider that public health services are good and very good, and the degree of </w:t>
      </w:r>
      <w:r w:rsidR="00982279" w:rsidRPr="006645DC">
        <w:rPr>
          <w:lang w:val="en-GB"/>
        </w:rPr>
        <w:t>dissatisfaction is</w:t>
      </w:r>
      <w:r w:rsidRPr="006645DC">
        <w:rPr>
          <w:lang w:val="en-GB"/>
        </w:rPr>
        <w:t xml:space="preserve"> the same (24.3%), both in urban and in the rural areas.</w:t>
      </w:r>
    </w:p>
    <w:p w14:paraId="26180263" w14:textId="77777777" w:rsidR="0064018D" w:rsidRPr="006645DC" w:rsidRDefault="00AA4C82" w:rsidP="0064018D">
      <w:pPr>
        <w:autoSpaceDE w:val="0"/>
        <w:autoSpaceDN w:val="0"/>
        <w:adjustRightInd w:val="0"/>
        <w:jc w:val="center"/>
        <w:rPr>
          <w:sz w:val="24"/>
          <w:szCs w:val="24"/>
          <w:lang w:val="en-GB"/>
        </w:rPr>
      </w:pPr>
      <w:r w:rsidRPr="006645DC">
        <w:rPr>
          <w:noProof/>
          <w:sz w:val="24"/>
          <w:szCs w:val="24"/>
          <w:lang w:val="bg-BG" w:eastAsia="bg-BG"/>
        </w:rPr>
        <w:drawing>
          <wp:inline distT="0" distB="0" distL="0" distR="0" wp14:anchorId="20E41A9F" wp14:editId="69DE109D">
            <wp:extent cx="5495925" cy="3209925"/>
            <wp:effectExtent l="0" t="0" r="0" b="0"/>
            <wp:docPr id="70" name="Chart 1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02205A39" w14:textId="77777777" w:rsidR="0064018D" w:rsidRPr="006645DC" w:rsidRDefault="0064018D" w:rsidP="0064018D">
      <w:pPr>
        <w:pStyle w:val="Caption"/>
        <w:rPr>
          <w:lang w:val="en-GB"/>
        </w:rPr>
      </w:pPr>
      <w:bookmarkStart w:id="1262" w:name="_Toc391150087"/>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38</w:t>
      </w:r>
      <w:r w:rsidR="005979EB" w:rsidRPr="006645DC">
        <w:rPr>
          <w:lang w:val="en-GB"/>
        </w:rPr>
        <w:fldChar w:fldCharType="end"/>
      </w:r>
      <w:r w:rsidRPr="006645DC">
        <w:rPr>
          <w:lang w:val="en-GB"/>
        </w:rPr>
        <w:t xml:space="preserve"> - The number of doctors per 1000 inhabitants in the Romanian cross-border area, 2007-2012</w:t>
      </w:r>
      <w:bookmarkEnd w:id="1262"/>
    </w:p>
    <w:p w14:paraId="2E31F069" w14:textId="77777777" w:rsidR="0064018D" w:rsidRPr="006645DC" w:rsidRDefault="0064018D" w:rsidP="0064018D">
      <w:pPr>
        <w:pStyle w:val="Heading4"/>
        <w:rPr>
          <w:lang w:val="en-GB"/>
        </w:rPr>
      </w:pPr>
      <w:r w:rsidRPr="006645DC">
        <w:rPr>
          <w:lang w:val="en-GB"/>
        </w:rPr>
        <w:t>source: INS Romania</w:t>
      </w:r>
    </w:p>
    <w:p w14:paraId="4CE0AC5C" w14:textId="77777777" w:rsidR="0064018D" w:rsidRPr="006645DC" w:rsidRDefault="0064018D" w:rsidP="0064018D">
      <w:pPr>
        <w:rPr>
          <w:lang w:val="en-GB"/>
        </w:rPr>
      </w:pPr>
      <w:r w:rsidRPr="006645DC">
        <w:rPr>
          <w:lang w:val="en-GB"/>
        </w:rPr>
        <w:t>The availability of doctors is another worrying factor, despite the fact that demographic decrease and relative stability in the number of registered doctors induce an increasing rate per 1000 inhabitants. The chart above presents a dire situation of the key healthcare personnel (the doctors, excluding dentists) in the cross-border area of Romania:</w:t>
      </w:r>
      <w:r w:rsidR="00982279" w:rsidRPr="006645DC">
        <w:rPr>
          <w:lang w:val="en-GB"/>
        </w:rPr>
        <w:t xml:space="preserve"> apart from the more urbanized and thus attractive for doctors,</w:t>
      </w:r>
      <w:r w:rsidRPr="006645DC">
        <w:rPr>
          <w:lang w:val="en-GB"/>
        </w:rPr>
        <w:t xml:space="preserve"> counties of Constanta and Dolj are above the national average, the other counties are far below this average. Some of them (Calarasi, Giurgiu, Teleorman) have less than 1.5 doctors for 1000 inhabitants, </w:t>
      </w:r>
      <w:r w:rsidRPr="006645DC">
        <w:rPr>
          <w:lang w:val="en-GB"/>
        </w:rPr>
        <w:lastRenderedPageBreak/>
        <w:t xml:space="preserve">half of the national average. This illustrates the difficult access of residents to preventive and constant medical care. Even though the counties near Bucharest take advantage of the capital’s healthcare infrastructure and medical personnel, they do so only in emergency or acute stage and not on a regular basis. </w:t>
      </w:r>
    </w:p>
    <w:p w14:paraId="78E00D6C" w14:textId="32A2BA5A" w:rsidR="002F582C" w:rsidRPr="006645DC" w:rsidRDefault="0064018D" w:rsidP="0064018D">
      <w:pPr>
        <w:rPr>
          <w:lang w:val="en-GB"/>
        </w:rPr>
      </w:pPr>
      <w:r w:rsidRPr="006645DC">
        <w:rPr>
          <w:lang w:val="en-GB"/>
        </w:rPr>
        <w:t>In the Bulgarian area the table below shows the distribution of medical care pr</w:t>
      </w:r>
      <w:r w:rsidR="000375AC">
        <w:rPr>
          <w:lang w:val="en-GB"/>
        </w:rPr>
        <w:t xml:space="preserve">ovision by districts for 2012: </w:t>
      </w:r>
    </w:p>
    <w:tbl>
      <w:tblPr>
        <w:tblW w:w="6655" w:type="dxa"/>
        <w:jc w:val="center"/>
        <w:tblLook w:val="04A0" w:firstRow="1" w:lastRow="0" w:firstColumn="1" w:lastColumn="0" w:noHBand="0" w:noVBand="1"/>
      </w:tblPr>
      <w:tblGrid>
        <w:gridCol w:w="1780"/>
        <w:gridCol w:w="2494"/>
        <w:gridCol w:w="2381"/>
      </w:tblGrid>
      <w:tr w:rsidR="0064018D" w:rsidRPr="006645DC" w14:paraId="4DBF0F33" w14:textId="77777777" w:rsidTr="00546086">
        <w:trPr>
          <w:trHeight w:val="20"/>
          <w:jc w:val="center"/>
        </w:trPr>
        <w:tc>
          <w:tcPr>
            <w:tcW w:w="1780" w:type="dxa"/>
            <w:tcBorders>
              <w:top w:val="single" w:sz="8" w:space="0" w:color="auto"/>
              <w:left w:val="single" w:sz="8" w:space="0" w:color="auto"/>
              <w:bottom w:val="single" w:sz="8" w:space="0" w:color="auto"/>
              <w:right w:val="nil"/>
            </w:tcBorders>
            <w:shd w:val="clear" w:color="auto" w:fill="auto"/>
            <w:vAlign w:val="center"/>
            <w:hideMark/>
          </w:tcPr>
          <w:p w14:paraId="466FD09C"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District</w:t>
            </w:r>
          </w:p>
        </w:tc>
        <w:tc>
          <w:tcPr>
            <w:tcW w:w="2494" w:type="dxa"/>
            <w:tcBorders>
              <w:top w:val="single" w:sz="8" w:space="0" w:color="auto"/>
              <w:left w:val="single" w:sz="4" w:space="0" w:color="auto"/>
              <w:bottom w:val="single" w:sz="8" w:space="0" w:color="auto"/>
              <w:right w:val="nil"/>
            </w:tcBorders>
            <w:shd w:val="clear" w:color="auto" w:fill="auto"/>
            <w:vAlign w:val="center"/>
            <w:hideMark/>
          </w:tcPr>
          <w:p w14:paraId="4AA2CB8F"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Population per Physician</w:t>
            </w:r>
          </w:p>
        </w:tc>
        <w:tc>
          <w:tcPr>
            <w:tcW w:w="2381"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62681373" w14:textId="77777777" w:rsidR="0064018D" w:rsidRPr="006645DC" w:rsidRDefault="0064018D" w:rsidP="00546086">
            <w:pPr>
              <w:spacing w:before="0" w:after="0"/>
              <w:jc w:val="center"/>
              <w:rPr>
                <w:rFonts w:eastAsia="Times New Roman" w:cs="Calibri"/>
                <w:b/>
                <w:bCs/>
                <w:color w:val="000000"/>
                <w:lang w:val="en-GB"/>
              </w:rPr>
            </w:pPr>
            <w:r w:rsidRPr="006645DC">
              <w:rPr>
                <w:rFonts w:eastAsia="Times New Roman" w:cs="Calibri"/>
                <w:b/>
                <w:bCs/>
                <w:color w:val="000000"/>
                <w:lang w:val="en-GB"/>
              </w:rPr>
              <w:t>Population per Dentist</w:t>
            </w:r>
          </w:p>
        </w:tc>
      </w:tr>
      <w:tr w:rsidR="0064018D" w:rsidRPr="006645DC" w14:paraId="0F74C134" w14:textId="77777777" w:rsidTr="006F47B6">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35B6EB00" w14:textId="77777777" w:rsidR="0064018D" w:rsidRPr="006645DC" w:rsidRDefault="0064018D" w:rsidP="006F47B6">
            <w:pPr>
              <w:spacing w:before="0" w:after="0"/>
              <w:rPr>
                <w:rFonts w:eastAsia="Times New Roman" w:cs="Calibri"/>
                <w:color w:val="000000"/>
                <w:lang w:val="en-GB"/>
              </w:rPr>
            </w:pPr>
            <w:r w:rsidRPr="006645DC">
              <w:rPr>
                <w:rFonts w:eastAsia="Times New Roman" w:cs="Calibri"/>
                <w:color w:val="000000"/>
                <w:lang w:val="en-GB"/>
              </w:rPr>
              <w:t>Vidin</w:t>
            </w:r>
          </w:p>
        </w:tc>
        <w:tc>
          <w:tcPr>
            <w:tcW w:w="2494" w:type="dxa"/>
            <w:tcBorders>
              <w:top w:val="nil"/>
              <w:left w:val="nil"/>
              <w:bottom w:val="single" w:sz="4" w:space="0" w:color="auto"/>
              <w:right w:val="single" w:sz="4" w:space="0" w:color="auto"/>
            </w:tcBorders>
            <w:shd w:val="clear" w:color="auto" w:fill="auto"/>
            <w:noWrap/>
            <w:vAlign w:val="center"/>
            <w:hideMark/>
          </w:tcPr>
          <w:p w14:paraId="45621FD0" w14:textId="77777777" w:rsidR="0064018D" w:rsidRPr="006645DC" w:rsidRDefault="0064018D" w:rsidP="006F47B6">
            <w:pPr>
              <w:keepNext/>
              <w:keepLines/>
              <w:spacing w:before="0" w:after="0"/>
              <w:jc w:val="right"/>
              <w:outlineLvl w:val="1"/>
              <w:rPr>
                <w:rFonts w:eastAsia="Times New Roman" w:cs="Calibri"/>
                <w:lang w:val="en-GB"/>
              </w:rPr>
            </w:pPr>
            <w:bookmarkStart w:id="1263" w:name="_Toc376199458"/>
            <w:r w:rsidRPr="006645DC">
              <w:rPr>
                <w:rFonts w:eastAsia="Times New Roman" w:cs="Calibri"/>
                <w:lang w:val="en-GB"/>
              </w:rPr>
              <w:t>284</w:t>
            </w:r>
            <w:bookmarkEnd w:id="1263"/>
          </w:p>
        </w:tc>
        <w:tc>
          <w:tcPr>
            <w:tcW w:w="2381" w:type="dxa"/>
            <w:tcBorders>
              <w:top w:val="nil"/>
              <w:left w:val="nil"/>
              <w:bottom w:val="single" w:sz="4" w:space="0" w:color="auto"/>
              <w:right w:val="single" w:sz="8" w:space="0" w:color="auto"/>
            </w:tcBorders>
            <w:shd w:val="clear" w:color="auto" w:fill="auto"/>
            <w:noWrap/>
            <w:vAlign w:val="center"/>
            <w:hideMark/>
          </w:tcPr>
          <w:p w14:paraId="606B4CF8" w14:textId="77777777" w:rsidR="0064018D" w:rsidRPr="006645DC" w:rsidRDefault="0064018D" w:rsidP="006F47B6">
            <w:pPr>
              <w:keepNext/>
              <w:keepLines/>
              <w:spacing w:before="0" w:after="0"/>
              <w:jc w:val="right"/>
              <w:outlineLvl w:val="1"/>
              <w:rPr>
                <w:rFonts w:eastAsia="Times New Roman" w:cs="Calibri"/>
                <w:lang w:val="en-GB"/>
              </w:rPr>
            </w:pPr>
            <w:bookmarkStart w:id="1264" w:name="_Toc376199459"/>
            <w:r w:rsidRPr="006645DC">
              <w:rPr>
                <w:rFonts w:eastAsia="Times New Roman" w:cs="Calibri"/>
                <w:lang w:val="en-GB"/>
              </w:rPr>
              <w:t>985</w:t>
            </w:r>
            <w:bookmarkEnd w:id="1264"/>
          </w:p>
        </w:tc>
      </w:tr>
      <w:tr w:rsidR="0064018D" w:rsidRPr="006645DC" w14:paraId="073991A8" w14:textId="77777777" w:rsidTr="006F47B6">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0D24AC14" w14:textId="77777777" w:rsidR="0064018D" w:rsidRPr="006645DC" w:rsidRDefault="0064018D" w:rsidP="006F47B6">
            <w:pPr>
              <w:keepNext/>
              <w:keepLines/>
              <w:spacing w:before="0" w:after="0"/>
              <w:outlineLvl w:val="1"/>
              <w:rPr>
                <w:rFonts w:eastAsia="Times New Roman" w:cs="Calibri"/>
                <w:color w:val="000000"/>
                <w:lang w:val="en-GB"/>
              </w:rPr>
            </w:pPr>
            <w:bookmarkStart w:id="1265" w:name="_Toc376199460"/>
            <w:r w:rsidRPr="006645DC">
              <w:rPr>
                <w:rFonts w:eastAsia="Times New Roman" w:cs="Calibri"/>
                <w:color w:val="000000"/>
                <w:lang w:val="en-GB"/>
              </w:rPr>
              <w:t>Vratsa</w:t>
            </w:r>
            <w:bookmarkEnd w:id="1265"/>
          </w:p>
        </w:tc>
        <w:tc>
          <w:tcPr>
            <w:tcW w:w="2494" w:type="dxa"/>
            <w:tcBorders>
              <w:top w:val="nil"/>
              <w:left w:val="nil"/>
              <w:bottom w:val="single" w:sz="4" w:space="0" w:color="auto"/>
              <w:right w:val="single" w:sz="4" w:space="0" w:color="auto"/>
            </w:tcBorders>
            <w:shd w:val="clear" w:color="auto" w:fill="auto"/>
            <w:noWrap/>
            <w:vAlign w:val="center"/>
            <w:hideMark/>
          </w:tcPr>
          <w:p w14:paraId="52EA39FB" w14:textId="77777777" w:rsidR="0064018D" w:rsidRPr="006645DC" w:rsidRDefault="0064018D" w:rsidP="006F47B6">
            <w:pPr>
              <w:keepNext/>
              <w:keepLines/>
              <w:spacing w:before="0" w:after="0"/>
              <w:jc w:val="right"/>
              <w:outlineLvl w:val="1"/>
              <w:rPr>
                <w:rFonts w:eastAsia="Times New Roman" w:cs="Calibri"/>
                <w:lang w:val="en-GB"/>
              </w:rPr>
            </w:pPr>
            <w:bookmarkStart w:id="1266" w:name="_Toc376199461"/>
            <w:r w:rsidRPr="006645DC">
              <w:rPr>
                <w:rFonts w:eastAsia="Times New Roman" w:cs="Calibri"/>
                <w:lang w:val="en-GB"/>
              </w:rPr>
              <w:t>269</w:t>
            </w:r>
            <w:bookmarkEnd w:id="1266"/>
          </w:p>
        </w:tc>
        <w:tc>
          <w:tcPr>
            <w:tcW w:w="2381" w:type="dxa"/>
            <w:tcBorders>
              <w:top w:val="nil"/>
              <w:left w:val="nil"/>
              <w:bottom w:val="single" w:sz="4" w:space="0" w:color="auto"/>
              <w:right w:val="single" w:sz="8" w:space="0" w:color="auto"/>
            </w:tcBorders>
            <w:shd w:val="clear" w:color="auto" w:fill="auto"/>
            <w:noWrap/>
            <w:vAlign w:val="center"/>
            <w:hideMark/>
          </w:tcPr>
          <w:p w14:paraId="7EBF2D4B" w14:textId="77777777" w:rsidR="0064018D" w:rsidRPr="006645DC" w:rsidRDefault="0064018D" w:rsidP="006F47B6">
            <w:pPr>
              <w:keepNext/>
              <w:keepLines/>
              <w:spacing w:before="0" w:after="0"/>
              <w:jc w:val="right"/>
              <w:outlineLvl w:val="1"/>
              <w:rPr>
                <w:rFonts w:eastAsia="Times New Roman" w:cs="Calibri"/>
                <w:lang w:val="en-GB"/>
              </w:rPr>
            </w:pPr>
            <w:bookmarkStart w:id="1267" w:name="_Toc376199462"/>
            <w:r w:rsidRPr="006645DC">
              <w:rPr>
                <w:rFonts w:eastAsia="Times New Roman" w:cs="Calibri"/>
                <w:lang w:val="en-GB"/>
              </w:rPr>
              <w:t>1 526</w:t>
            </w:r>
            <w:bookmarkEnd w:id="1267"/>
          </w:p>
        </w:tc>
      </w:tr>
      <w:tr w:rsidR="0064018D" w:rsidRPr="006645DC" w14:paraId="5CD6E03F" w14:textId="77777777" w:rsidTr="006F47B6">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469593CD" w14:textId="77777777" w:rsidR="0064018D" w:rsidRPr="006645DC" w:rsidRDefault="0064018D" w:rsidP="006F47B6">
            <w:pPr>
              <w:keepNext/>
              <w:keepLines/>
              <w:spacing w:before="0" w:after="0"/>
              <w:outlineLvl w:val="1"/>
              <w:rPr>
                <w:rFonts w:eastAsia="Times New Roman" w:cs="Calibri"/>
                <w:color w:val="000000"/>
                <w:lang w:val="en-GB"/>
              </w:rPr>
            </w:pPr>
            <w:bookmarkStart w:id="1268" w:name="_Toc376199463"/>
            <w:r w:rsidRPr="006645DC">
              <w:rPr>
                <w:rFonts w:eastAsia="Times New Roman" w:cs="Calibri"/>
                <w:color w:val="000000"/>
                <w:lang w:val="en-GB"/>
              </w:rPr>
              <w:t>Montana</w:t>
            </w:r>
            <w:bookmarkEnd w:id="1268"/>
          </w:p>
        </w:tc>
        <w:tc>
          <w:tcPr>
            <w:tcW w:w="2494" w:type="dxa"/>
            <w:tcBorders>
              <w:top w:val="nil"/>
              <w:left w:val="nil"/>
              <w:bottom w:val="single" w:sz="4" w:space="0" w:color="auto"/>
              <w:right w:val="single" w:sz="4" w:space="0" w:color="auto"/>
            </w:tcBorders>
            <w:shd w:val="clear" w:color="auto" w:fill="auto"/>
            <w:noWrap/>
            <w:vAlign w:val="center"/>
            <w:hideMark/>
          </w:tcPr>
          <w:p w14:paraId="7353FB08" w14:textId="77777777" w:rsidR="0064018D" w:rsidRPr="006645DC" w:rsidRDefault="0064018D" w:rsidP="006F47B6">
            <w:pPr>
              <w:keepNext/>
              <w:keepLines/>
              <w:spacing w:before="0" w:after="0"/>
              <w:jc w:val="right"/>
              <w:outlineLvl w:val="1"/>
              <w:rPr>
                <w:rFonts w:eastAsia="Times New Roman" w:cs="Calibri"/>
                <w:lang w:val="en-GB"/>
              </w:rPr>
            </w:pPr>
            <w:bookmarkStart w:id="1269" w:name="_Toc376199464"/>
            <w:r w:rsidRPr="006645DC">
              <w:rPr>
                <w:rFonts w:eastAsia="Times New Roman" w:cs="Calibri"/>
                <w:lang w:val="en-GB"/>
              </w:rPr>
              <w:t>301</w:t>
            </w:r>
            <w:bookmarkEnd w:id="1269"/>
          </w:p>
        </w:tc>
        <w:tc>
          <w:tcPr>
            <w:tcW w:w="2381" w:type="dxa"/>
            <w:tcBorders>
              <w:top w:val="nil"/>
              <w:left w:val="nil"/>
              <w:bottom w:val="single" w:sz="4" w:space="0" w:color="auto"/>
              <w:right w:val="single" w:sz="8" w:space="0" w:color="auto"/>
            </w:tcBorders>
            <w:shd w:val="clear" w:color="auto" w:fill="auto"/>
            <w:noWrap/>
            <w:vAlign w:val="center"/>
            <w:hideMark/>
          </w:tcPr>
          <w:p w14:paraId="77D260C2" w14:textId="77777777" w:rsidR="0064018D" w:rsidRPr="006645DC" w:rsidRDefault="0064018D" w:rsidP="006F47B6">
            <w:pPr>
              <w:keepNext/>
              <w:keepLines/>
              <w:spacing w:before="0" w:after="0"/>
              <w:jc w:val="right"/>
              <w:outlineLvl w:val="1"/>
              <w:rPr>
                <w:rFonts w:eastAsia="Times New Roman" w:cs="Calibri"/>
                <w:lang w:val="en-GB"/>
              </w:rPr>
            </w:pPr>
            <w:bookmarkStart w:id="1270" w:name="_Toc376199465"/>
            <w:r w:rsidRPr="006645DC">
              <w:rPr>
                <w:rFonts w:eastAsia="Times New Roman" w:cs="Calibri"/>
                <w:lang w:val="en-GB"/>
              </w:rPr>
              <w:t>1 633</w:t>
            </w:r>
            <w:bookmarkEnd w:id="1270"/>
          </w:p>
        </w:tc>
      </w:tr>
      <w:tr w:rsidR="0064018D" w:rsidRPr="006645DC" w14:paraId="08F1CC30" w14:textId="77777777" w:rsidTr="006F47B6">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3A65AEC6" w14:textId="77777777" w:rsidR="0064018D" w:rsidRPr="006645DC" w:rsidRDefault="0064018D" w:rsidP="006F47B6">
            <w:pPr>
              <w:keepNext/>
              <w:keepLines/>
              <w:spacing w:before="0" w:after="0"/>
              <w:outlineLvl w:val="1"/>
              <w:rPr>
                <w:rFonts w:eastAsia="Times New Roman" w:cs="Calibri"/>
                <w:color w:val="000000"/>
                <w:lang w:val="en-GB"/>
              </w:rPr>
            </w:pPr>
            <w:bookmarkStart w:id="1271" w:name="_Toc376199466"/>
            <w:r w:rsidRPr="006645DC">
              <w:rPr>
                <w:rFonts w:eastAsia="Times New Roman" w:cs="Calibri"/>
                <w:color w:val="000000"/>
                <w:lang w:val="en-GB"/>
              </w:rPr>
              <w:t>Pleven</w:t>
            </w:r>
            <w:bookmarkEnd w:id="1271"/>
          </w:p>
        </w:tc>
        <w:tc>
          <w:tcPr>
            <w:tcW w:w="2494" w:type="dxa"/>
            <w:tcBorders>
              <w:top w:val="nil"/>
              <w:left w:val="nil"/>
              <w:bottom w:val="single" w:sz="4" w:space="0" w:color="auto"/>
              <w:right w:val="single" w:sz="4" w:space="0" w:color="auto"/>
            </w:tcBorders>
            <w:shd w:val="clear" w:color="auto" w:fill="auto"/>
            <w:noWrap/>
            <w:vAlign w:val="center"/>
            <w:hideMark/>
          </w:tcPr>
          <w:p w14:paraId="69EEAC42" w14:textId="77777777" w:rsidR="0064018D" w:rsidRPr="006645DC" w:rsidRDefault="0064018D" w:rsidP="006F47B6">
            <w:pPr>
              <w:keepNext/>
              <w:keepLines/>
              <w:spacing w:before="0" w:after="0"/>
              <w:jc w:val="right"/>
              <w:outlineLvl w:val="1"/>
              <w:rPr>
                <w:rFonts w:eastAsia="Times New Roman" w:cs="Calibri"/>
                <w:lang w:val="en-GB"/>
              </w:rPr>
            </w:pPr>
            <w:bookmarkStart w:id="1272" w:name="_Toc376199467"/>
            <w:r w:rsidRPr="006645DC">
              <w:rPr>
                <w:rFonts w:eastAsia="Times New Roman" w:cs="Calibri"/>
                <w:lang w:val="en-GB"/>
              </w:rPr>
              <w:t>200</w:t>
            </w:r>
            <w:bookmarkEnd w:id="1272"/>
          </w:p>
        </w:tc>
        <w:tc>
          <w:tcPr>
            <w:tcW w:w="2381" w:type="dxa"/>
            <w:tcBorders>
              <w:top w:val="nil"/>
              <w:left w:val="nil"/>
              <w:bottom w:val="single" w:sz="4" w:space="0" w:color="auto"/>
              <w:right w:val="single" w:sz="8" w:space="0" w:color="auto"/>
            </w:tcBorders>
            <w:shd w:val="clear" w:color="auto" w:fill="auto"/>
            <w:noWrap/>
            <w:vAlign w:val="center"/>
            <w:hideMark/>
          </w:tcPr>
          <w:p w14:paraId="04534103" w14:textId="77777777" w:rsidR="0064018D" w:rsidRPr="006645DC" w:rsidRDefault="0064018D" w:rsidP="006F47B6">
            <w:pPr>
              <w:keepNext/>
              <w:keepLines/>
              <w:spacing w:before="0" w:after="0"/>
              <w:jc w:val="right"/>
              <w:outlineLvl w:val="1"/>
              <w:rPr>
                <w:rFonts w:eastAsia="Times New Roman" w:cs="Calibri"/>
                <w:lang w:val="en-GB"/>
              </w:rPr>
            </w:pPr>
            <w:bookmarkStart w:id="1273" w:name="_Toc376199468"/>
            <w:r w:rsidRPr="006645DC">
              <w:rPr>
                <w:rFonts w:eastAsia="Times New Roman" w:cs="Calibri"/>
                <w:lang w:val="en-GB"/>
              </w:rPr>
              <w:t>1 697</w:t>
            </w:r>
            <w:bookmarkEnd w:id="1273"/>
          </w:p>
        </w:tc>
      </w:tr>
      <w:tr w:rsidR="0064018D" w:rsidRPr="006645DC" w14:paraId="00450E84" w14:textId="77777777" w:rsidTr="006F47B6">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3F32F47A" w14:textId="77777777" w:rsidR="0064018D" w:rsidRPr="006645DC" w:rsidRDefault="0064018D" w:rsidP="006F47B6">
            <w:pPr>
              <w:keepNext/>
              <w:keepLines/>
              <w:spacing w:before="0" w:after="0"/>
              <w:outlineLvl w:val="1"/>
              <w:rPr>
                <w:rFonts w:eastAsia="Times New Roman" w:cs="Calibri"/>
                <w:color w:val="000000"/>
                <w:lang w:val="en-GB"/>
              </w:rPr>
            </w:pPr>
            <w:bookmarkStart w:id="1274" w:name="_Toc376199469"/>
            <w:r w:rsidRPr="006645DC">
              <w:rPr>
                <w:rFonts w:eastAsia="Times New Roman" w:cs="Calibri"/>
                <w:color w:val="000000"/>
                <w:lang w:val="en-GB"/>
              </w:rPr>
              <w:t>Veliko Tarnovo</w:t>
            </w:r>
            <w:bookmarkEnd w:id="1274"/>
          </w:p>
        </w:tc>
        <w:tc>
          <w:tcPr>
            <w:tcW w:w="2494" w:type="dxa"/>
            <w:tcBorders>
              <w:top w:val="nil"/>
              <w:left w:val="nil"/>
              <w:bottom w:val="single" w:sz="4" w:space="0" w:color="auto"/>
              <w:right w:val="single" w:sz="4" w:space="0" w:color="auto"/>
            </w:tcBorders>
            <w:shd w:val="clear" w:color="auto" w:fill="auto"/>
            <w:noWrap/>
            <w:vAlign w:val="center"/>
            <w:hideMark/>
          </w:tcPr>
          <w:p w14:paraId="20D9B826"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75" w:name="_Toc376199470"/>
            <w:r w:rsidRPr="006645DC">
              <w:rPr>
                <w:rFonts w:eastAsia="Times New Roman" w:cs="Calibri"/>
                <w:color w:val="000000"/>
                <w:lang w:val="en-GB"/>
              </w:rPr>
              <w:t>310</w:t>
            </w:r>
            <w:bookmarkEnd w:id="1275"/>
          </w:p>
        </w:tc>
        <w:tc>
          <w:tcPr>
            <w:tcW w:w="2381" w:type="dxa"/>
            <w:tcBorders>
              <w:top w:val="nil"/>
              <w:left w:val="nil"/>
              <w:bottom w:val="single" w:sz="4" w:space="0" w:color="auto"/>
              <w:right w:val="single" w:sz="8" w:space="0" w:color="auto"/>
            </w:tcBorders>
            <w:shd w:val="clear" w:color="auto" w:fill="auto"/>
            <w:noWrap/>
            <w:vAlign w:val="center"/>
            <w:hideMark/>
          </w:tcPr>
          <w:p w14:paraId="5B7A5CC0" w14:textId="77777777" w:rsidR="0064018D" w:rsidRPr="006645DC" w:rsidRDefault="0064018D" w:rsidP="006F47B6">
            <w:pPr>
              <w:keepNext/>
              <w:keepLines/>
              <w:spacing w:before="0" w:after="0"/>
              <w:jc w:val="right"/>
              <w:outlineLvl w:val="1"/>
              <w:rPr>
                <w:rFonts w:eastAsia="Times New Roman" w:cs="Calibri"/>
                <w:lang w:val="en-GB"/>
              </w:rPr>
            </w:pPr>
            <w:bookmarkStart w:id="1276" w:name="_Toc376199471"/>
            <w:r w:rsidRPr="006645DC">
              <w:rPr>
                <w:rFonts w:eastAsia="Times New Roman" w:cs="Calibri"/>
                <w:lang w:val="en-GB"/>
              </w:rPr>
              <w:t>1 314</w:t>
            </w:r>
            <w:bookmarkEnd w:id="1276"/>
          </w:p>
        </w:tc>
      </w:tr>
      <w:tr w:rsidR="0064018D" w:rsidRPr="006645DC" w14:paraId="0B653C9D" w14:textId="77777777" w:rsidTr="006F47B6">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744A8C7B" w14:textId="77777777" w:rsidR="0064018D" w:rsidRPr="006645DC" w:rsidRDefault="0064018D" w:rsidP="006F47B6">
            <w:pPr>
              <w:keepNext/>
              <w:keepLines/>
              <w:spacing w:before="0" w:after="0"/>
              <w:outlineLvl w:val="1"/>
              <w:rPr>
                <w:rFonts w:eastAsia="Times New Roman" w:cs="Calibri"/>
                <w:color w:val="000000"/>
                <w:lang w:val="en-GB"/>
              </w:rPr>
            </w:pPr>
            <w:bookmarkStart w:id="1277" w:name="_Toc376199472"/>
            <w:r w:rsidRPr="006645DC">
              <w:rPr>
                <w:rFonts w:eastAsia="Times New Roman" w:cs="Calibri"/>
                <w:color w:val="000000"/>
                <w:lang w:val="en-GB"/>
              </w:rPr>
              <w:t>Ruse</w:t>
            </w:r>
            <w:bookmarkEnd w:id="1277"/>
          </w:p>
        </w:tc>
        <w:tc>
          <w:tcPr>
            <w:tcW w:w="2494" w:type="dxa"/>
            <w:tcBorders>
              <w:top w:val="nil"/>
              <w:left w:val="nil"/>
              <w:bottom w:val="single" w:sz="4" w:space="0" w:color="auto"/>
              <w:right w:val="single" w:sz="4" w:space="0" w:color="auto"/>
            </w:tcBorders>
            <w:shd w:val="clear" w:color="auto" w:fill="auto"/>
            <w:noWrap/>
            <w:vAlign w:val="center"/>
            <w:hideMark/>
          </w:tcPr>
          <w:p w14:paraId="6AFC432B"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78" w:name="_Toc376199473"/>
            <w:r w:rsidRPr="006645DC">
              <w:rPr>
                <w:rFonts w:eastAsia="Times New Roman" w:cs="Calibri"/>
                <w:color w:val="000000"/>
                <w:lang w:val="en-GB"/>
              </w:rPr>
              <w:t>308</w:t>
            </w:r>
            <w:bookmarkEnd w:id="1278"/>
          </w:p>
        </w:tc>
        <w:tc>
          <w:tcPr>
            <w:tcW w:w="2381" w:type="dxa"/>
            <w:tcBorders>
              <w:top w:val="nil"/>
              <w:left w:val="nil"/>
              <w:bottom w:val="single" w:sz="4" w:space="0" w:color="auto"/>
              <w:right w:val="single" w:sz="8" w:space="0" w:color="auto"/>
            </w:tcBorders>
            <w:shd w:val="clear" w:color="auto" w:fill="auto"/>
            <w:noWrap/>
            <w:vAlign w:val="center"/>
            <w:hideMark/>
          </w:tcPr>
          <w:p w14:paraId="6AA9B3D7" w14:textId="77777777" w:rsidR="0064018D" w:rsidRPr="006645DC" w:rsidRDefault="0064018D" w:rsidP="006F47B6">
            <w:pPr>
              <w:keepNext/>
              <w:keepLines/>
              <w:spacing w:before="0" w:after="0"/>
              <w:jc w:val="right"/>
              <w:outlineLvl w:val="1"/>
              <w:rPr>
                <w:rFonts w:eastAsia="Times New Roman" w:cs="Calibri"/>
                <w:lang w:val="en-GB"/>
              </w:rPr>
            </w:pPr>
            <w:bookmarkStart w:id="1279" w:name="_Toc376199474"/>
            <w:r w:rsidRPr="006645DC">
              <w:rPr>
                <w:rFonts w:eastAsia="Times New Roman" w:cs="Calibri"/>
                <w:lang w:val="en-GB"/>
              </w:rPr>
              <w:t>1 272</w:t>
            </w:r>
            <w:bookmarkEnd w:id="1279"/>
          </w:p>
        </w:tc>
      </w:tr>
      <w:tr w:rsidR="0064018D" w:rsidRPr="006645DC" w14:paraId="35377DE9" w14:textId="77777777" w:rsidTr="006F47B6">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center"/>
            <w:hideMark/>
          </w:tcPr>
          <w:p w14:paraId="45D31007" w14:textId="77777777" w:rsidR="0064018D" w:rsidRPr="006645DC" w:rsidRDefault="0064018D" w:rsidP="006F47B6">
            <w:pPr>
              <w:keepNext/>
              <w:keepLines/>
              <w:spacing w:before="0" w:after="0"/>
              <w:outlineLvl w:val="1"/>
              <w:rPr>
                <w:rFonts w:eastAsia="Times New Roman" w:cs="Calibri"/>
                <w:color w:val="000000"/>
                <w:lang w:val="en-GB"/>
              </w:rPr>
            </w:pPr>
            <w:bookmarkStart w:id="1280" w:name="_Toc376199475"/>
            <w:r w:rsidRPr="006645DC">
              <w:rPr>
                <w:rFonts w:eastAsia="Times New Roman" w:cs="Calibri"/>
                <w:color w:val="000000"/>
                <w:lang w:val="en-GB"/>
              </w:rPr>
              <w:t>Silistra</w:t>
            </w:r>
            <w:bookmarkEnd w:id="1280"/>
          </w:p>
        </w:tc>
        <w:tc>
          <w:tcPr>
            <w:tcW w:w="2494" w:type="dxa"/>
            <w:tcBorders>
              <w:top w:val="nil"/>
              <w:left w:val="nil"/>
              <w:bottom w:val="single" w:sz="4" w:space="0" w:color="auto"/>
              <w:right w:val="single" w:sz="4" w:space="0" w:color="auto"/>
            </w:tcBorders>
            <w:shd w:val="clear" w:color="auto" w:fill="auto"/>
            <w:noWrap/>
            <w:vAlign w:val="center"/>
            <w:hideMark/>
          </w:tcPr>
          <w:p w14:paraId="4D1AB0D6"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81" w:name="_Toc376199476"/>
            <w:r w:rsidRPr="006645DC">
              <w:rPr>
                <w:rFonts w:eastAsia="Times New Roman" w:cs="Calibri"/>
                <w:color w:val="000000"/>
                <w:lang w:val="en-GB"/>
              </w:rPr>
              <w:t>373</w:t>
            </w:r>
            <w:bookmarkEnd w:id="1281"/>
          </w:p>
        </w:tc>
        <w:tc>
          <w:tcPr>
            <w:tcW w:w="2381" w:type="dxa"/>
            <w:tcBorders>
              <w:top w:val="nil"/>
              <w:left w:val="nil"/>
              <w:bottom w:val="single" w:sz="4" w:space="0" w:color="auto"/>
              <w:right w:val="single" w:sz="8" w:space="0" w:color="auto"/>
            </w:tcBorders>
            <w:shd w:val="clear" w:color="auto" w:fill="auto"/>
            <w:noWrap/>
            <w:vAlign w:val="center"/>
            <w:hideMark/>
          </w:tcPr>
          <w:p w14:paraId="13FEE8D9" w14:textId="77777777" w:rsidR="0064018D" w:rsidRPr="006645DC" w:rsidRDefault="0064018D" w:rsidP="006F47B6">
            <w:pPr>
              <w:keepNext/>
              <w:keepLines/>
              <w:spacing w:before="0" w:after="0"/>
              <w:jc w:val="right"/>
              <w:outlineLvl w:val="1"/>
              <w:rPr>
                <w:rFonts w:eastAsia="Times New Roman" w:cs="Calibri"/>
                <w:lang w:val="en-GB"/>
              </w:rPr>
            </w:pPr>
            <w:bookmarkStart w:id="1282" w:name="_Toc376199477"/>
            <w:r w:rsidRPr="006645DC">
              <w:rPr>
                <w:rFonts w:eastAsia="Times New Roman" w:cs="Calibri"/>
                <w:lang w:val="en-GB"/>
              </w:rPr>
              <w:t>1 803</w:t>
            </w:r>
            <w:bookmarkEnd w:id="1282"/>
          </w:p>
        </w:tc>
      </w:tr>
      <w:tr w:rsidR="0064018D" w:rsidRPr="006645DC" w14:paraId="2C88EC63" w14:textId="77777777" w:rsidTr="006F47B6">
        <w:trPr>
          <w:trHeight w:val="20"/>
          <w:jc w:val="center"/>
        </w:trPr>
        <w:tc>
          <w:tcPr>
            <w:tcW w:w="1780" w:type="dxa"/>
            <w:tcBorders>
              <w:top w:val="nil"/>
              <w:left w:val="single" w:sz="8" w:space="0" w:color="auto"/>
              <w:bottom w:val="nil"/>
              <w:right w:val="single" w:sz="4" w:space="0" w:color="auto"/>
            </w:tcBorders>
            <w:shd w:val="clear" w:color="auto" w:fill="auto"/>
            <w:noWrap/>
            <w:vAlign w:val="center"/>
            <w:hideMark/>
          </w:tcPr>
          <w:p w14:paraId="2CE62C83" w14:textId="77777777" w:rsidR="0064018D" w:rsidRPr="006645DC" w:rsidRDefault="0064018D" w:rsidP="006F47B6">
            <w:pPr>
              <w:keepNext/>
              <w:keepLines/>
              <w:spacing w:before="0" w:after="0"/>
              <w:outlineLvl w:val="1"/>
              <w:rPr>
                <w:rFonts w:eastAsia="Times New Roman" w:cs="Calibri"/>
                <w:color w:val="000000"/>
                <w:lang w:val="en-GB"/>
              </w:rPr>
            </w:pPr>
            <w:bookmarkStart w:id="1283" w:name="_Toc376199478"/>
            <w:r w:rsidRPr="006645DC">
              <w:rPr>
                <w:rFonts w:eastAsia="Times New Roman" w:cs="Calibri"/>
                <w:color w:val="000000"/>
                <w:lang w:val="en-GB"/>
              </w:rPr>
              <w:t>Dobrich</w:t>
            </w:r>
            <w:bookmarkEnd w:id="1283"/>
          </w:p>
        </w:tc>
        <w:tc>
          <w:tcPr>
            <w:tcW w:w="2494" w:type="dxa"/>
            <w:tcBorders>
              <w:top w:val="nil"/>
              <w:left w:val="nil"/>
              <w:bottom w:val="nil"/>
              <w:right w:val="single" w:sz="4" w:space="0" w:color="auto"/>
            </w:tcBorders>
            <w:shd w:val="clear" w:color="auto" w:fill="auto"/>
            <w:noWrap/>
            <w:vAlign w:val="center"/>
            <w:hideMark/>
          </w:tcPr>
          <w:p w14:paraId="15466167" w14:textId="77777777" w:rsidR="0064018D" w:rsidRPr="006645DC" w:rsidRDefault="0064018D" w:rsidP="006F47B6">
            <w:pPr>
              <w:keepNext/>
              <w:keepLines/>
              <w:spacing w:before="0" w:after="0"/>
              <w:jc w:val="right"/>
              <w:outlineLvl w:val="1"/>
              <w:rPr>
                <w:rFonts w:eastAsia="Times New Roman" w:cs="Calibri"/>
                <w:color w:val="000000"/>
                <w:lang w:val="en-GB"/>
              </w:rPr>
            </w:pPr>
            <w:bookmarkStart w:id="1284" w:name="_Toc376199479"/>
            <w:r w:rsidRPr="006645DC">
              <w:rPr>
                <w:rFonts w:eastAsia="Times New Roman" w:cs="Calibri"/>
                <w:color w:val="000000"/>
                <w:lang w:val="en-GB"/>
              </w:rPr>
              <w:t>355</w:t>
            </w:r>
            <w:bookmarkEnd w:id="1284"/>
          </w:p>
        </w:tc>
        <w:tc>
          <w:tcPr>
            <w:tcW w:w="2381" w:type="dxa"/>
            <w:tcBorders>
              <w:top w:val="nil"/>
              <w:left w:val="nil"/>
              <w:bottom w:val="single" w:sz="4" w:space="0" w:color="auto"/>
              <w:right w:val="single" w:sz="8" w:space="0" w:color="auto"/>
            </w:tcBorders>
            <w:shd w:val="clear" w:color="auto" w:fill="auto"/>
            <w:noWrap/>
            <w:vAlign w:val="center"/>
            <w:hideMark/>
          </w:tcPr>
          <w:p w14:paraId="48136EA8" w14:textId="77777777" w:rsidR="0064018D" w:rsidRPr="006645DC" w:rsidRDefault="0064018D" w:rsidP="006F47B6">
            <w:pPr>
              <w:keepNext/>
              <w:keepLines/>
              <w:spacing w:before="0" w:after="0"/>
              <w:jc w:val="right"/>
              <w:outlineLvl w:val="1"/>
              <w:rPr>
                <w:rFonts w:eastAsia="Times New Roman" w:cs="Calibri"/>
                <w:lang w:val="en-GB"/>
              </w:rPr>
            </w:pPr>
            <w:bookmarkStart w:id="1285" w:name="_Toc376199480"/>
            <w:r w:rsidRPr="006645DC">
              <w:rPr>
                <w:rFonts w:eastAsia="Times New Roman" w:cs="Calibri"/>
                <w:lang w:val="en-GB"/>
              </w:rPr>
              <w:t>1 541</w:t>
            </w:r>
            <w:bookmarkEnd w:id="1285"/>
          </w:p>
        </w:tc>
      </w:tr>
      <w:tr w:rsidR="0064018D" w:rsidRPr="006645DC" w14:paraId="5B0F6493" w14:textId="77777777" w:rsidTr="006F47B6">
        <w:trPr>
          <w:trHeight w:val="20"/>
          <w:jc w:val="center"/>
        </w:trPr>
        <w:tc>
          <w:tcPr>
            <w:tcW w:w="1780" w:type="dxa"/>
            <w:tcBorders>
              <w:top w:val="single" w:sz="8" w:space="0" w:color="auto"/>
              <w:left w:val="single" w:sz="8" w:space="0" w:color="auto"/>
              <w:bottom w:val="single" w:sz="8" w:space="0" w:color="auto"/>
              <w:right w:val="nil"/>
            </w:tcBorders>
            <w:shd w:val="clear" w:color="auto" w:fill="auto"/>
            <w:noWrap/>
            <w:vAlign w:val="center"/>
            <w:hideMark/>
          </w:tcPr>
          <w:p w14:paraId="1BE16523" w14:textId="77777777" w:rsidR="0064018D" w:rsidRPr="006645DC" w:rsidRDefault="0064018D" w:rsidP="006F47B6">
            <w:pPr>
              <w:keepNext/>
              <w:keepLines/>
              <w:spacing w:before="0" w:after="0"/>
              <w:outlineLvl w:val="1"/>
              <w:rPr>
                <w:rFonts w:eastAsia="Times New Roman" w:cs="Calibri"/>
                <w:b/>
                <w:bCs/>
                <w:color w:val="000000"/>
                <w:lang w:val="en-GB"/>
              </w:rPr>
            </w:pPr>
            <w:bookmarkStart w:id="1286" w:name="_Toc376199481"/>
            <w:r w:rsidRPr="006645DC">
              <w:rPr>
                <w:rFonts w:eastAsia="Times New Roman" w:cs="Calibri"/>
                <w:b/>
                <w:bCs/>
                <w:color w:val="000000"/>
                <w:lang w:val="en-GB"/>
              </w:rPr>
              <w:t>Bulgaria:</w:t>
            </w:r>
            <w:bookmarkEnd w:id="1286"/>
          </w:p>
        </w:tc>
        <w:tc>
          <w:tcPr>
            <w:tcW w:w="2494" w:type="dxa"/>
            <w:tcBorders>
              <w:top w:val="single" w:sz="8" w:space="0" w:color="auto"/>
              <w:left w:val="single" w:sz="4" w:space="0" w:color="auto"/>
              <w:bottom w:val="single" w:sz="8" w:space="0" w:color="auto"/>
              <w:right w:val="nil"/>
            </w:tcBorders>
            <w:shd w:val="clear" w:color="auto" w:fill="auto"/>
            <w:noWrap/>
            <w:vAlign w:val="center"/>
            <w:hideMark/>
          </w:tcPr>
          <w:p w14:paraId="30F1BB05" w14:textId="77777777" w:rsidR="0064018D" w:rsidRPr="006645DC" w:rsidRDefault="0064018D" w:rsidP="006F47B6">
            <w:pPr>
              <w:keepNext/>
              <w:keepLines/>
              <w:spacing w:before="0" w:after="0"/>
              <w:jc w:val="right"/>
              <w:outlineLvl w:val="1"/>
              <w:rPr>
                <w:rFonts w:eastAsia="Times New Roman" w:cs="Calibri"/>
                <w:b/>
                <w:bCs/>
                <w:color w:val="000000"/>
                <w:lang w:val="en-GB"/>
              </w:rPr>
            </w:pPr>
            <w:bookmarkStart w:id="1287" w:name="_Toc376199482"/>
            <w:r w:rsidRPr="006645DC">
              <w:rPr>
                <w:rFonts w:eastAsia="Times New Roman" w:cs="Calibri"/>
                <w:b/>
                <w:bCs/>
                <w:color w:val="000000"/>
                <w:lang w:val="en-GB"/>
              </w:rPr>
              <w:t>254</w:t>
            </w:r>
            <w:bookmarkEnd w:id="1287"/>
          </w:p>
        </w:tc>
        <w:tc>
          <w:tcPr>
            <w:tcW w:w="2381"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44A07759" w14:textId="77777777" w:rsidR="0064018D" w:rsidRPr="006645DC" w:rsidRDefault="0064018D" w:rsidP="006F47B6">
            <w:pPr>
              <w:keepNext/>
              <w:keepLines/>
              <w:spacing w:before="0" w:after="0"/>
              <w:jc w:val="right"/>
              <w:outlineLvl w:val="1"/>
              <w:rPr>
                <w:rFonts w:eastAsia="Times New Roman" w:cs="Calibri"/>
                <w:b/>
                <w:bCs/>
                <w:color w:val="000000"/>
                <w:lang w:val="en-GB"/>
              </w:rPr>
            </w:pPr>
            <w:bookmarkStart w:id="1288" w:name="_Toc376199483"/>
            <w:r w:rsidRPr="006645DC">
              <w:rPr>
                <w:rFonts w:eastAsia="Times New Roman" w:cs="Calibri"/>
                <w:b/>
                <w:bCs/>
                <w:color w:val="000000"/>
                <w:lang w:val="en-GB"/>
              </w:rPr>
              <w:t>1 086</w:t>
            </w:r>
            <w:bookmarkEnd w:id="1288"/>
          </w:p>
        </w:tc>
      </w:tr>
    </w:tbl>
    <w:p w14:paraId="78925409" w14:textId="77777777" w:rsidR="0064018D" w:rsidRPr="006645DC" w:rsidRDefault="0064018D" w:rsidP="0064018D">
      <w:pPr>
        <w:pStyle w:val="Caption"/>
        <w:rPr>
          <w:lang w:val="en-GB"/>
        </w:rPr>
      </w:pPr>
      <w:bookmarkStart w:id="1289" w:name="_Toc391150131"/>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34</w:t>
      </w:r>
      <w:r w:rsidR="005979EB" w:rsidRPr="006645DC">
        <w:rPr>
          <w:lang w:val="en-GB"/>
        </w:rPr>
        <w:fldChar w:fldCharType="end"/>
      </w:r>
      <w:r w:rsidRPr="006645DC">
        <w:rPr>
          <w:lang w:val="en-GB"/>
        </w:rPr>
        <w:t xml:space="preserve"> - Number of people per physician and per dentist in 2012 for the Bulgarian cross-border region</w:t>
      </w:r>
      <w:bookmarkEnd w:id="1289"/>
    </w:p>
    <w:p w14:paraId="20AEC80B" w14:textId="77777777" w:rsidR="0064018D" w:rsidRPr="006645DC" w:rsidRDefault="0064018D" w:rsidP="0064018D">
      <w:pPr>
        <w:pStyle w:val="Heading4"/>
        <w:rPr>
          <w:lang w:val="en-GB"/>
        </w:rPr>
      </w:pPr>
      <w:r w:rsidRPr="006645DC">
        <w:rPr>
          <w:lang w:val="en-GB"/>
        </w:rPr>
        <w:t>Source: NSI</w:t>
      </w:r>
      <w:r w:rsidR="00FD0316" w:rsidRPr="006645DC">
        <w:rPr>
          <w:lang w:val="en-GB"/>
        </w:rPr>
        <w:t xml:space="preserve"> Bulgaria</w:t>
      </w:r>
    </w:p>
    <w:p w14:paraId="6C3D21B0" w14:textId="77777777" w:rsidR="0064018D" w:rsidRPr="006645DC" w:rsidRDefault="0064018D" w:rsidP="00C22A61">
      <w:pPr>
        <w:pStyle w:val="Heading3"/>
        <w:numPr>
          <w:ilvl w:val="0"/>
          <w:numId w:val="21"/>
        </w:numPr>
        <w:rPr>
          <w:lang w:val="en-GB"/>
        </w:rPr>
      </w:pPr>
      <w:bookmarkStart w:id="1290" w:name="_Toc254543800"/>
      <w:r w:rsidRPr="006645DC">
        <w:rPr>
          <w:lang w:val="en-GB"/>
        </w:rPr>
        <w:t>Housing</w:t>
      </w:r>
      <w:bookmarkEnd w:id="1290"/>
    </w:p>
    <w:p w14:paraId="00425906" w14:textId="77777777" w:rsidR="0064018D" w:rsidRPr="006645DC" w:rsidRDefault="0064018D" w:rsidP="0064018D">
      <w:pPr>
        <w:rPr>
          <w:lang w:val="en-GB"/>
        </w:rPr>
      </w:pPr>
      <w:r w:rsidRPr="006645DC">
        <w:rPr>
          <w:lang w:val="en-GB"/>
        </w:rPr>
        <w:t xml:space="preserve">Housing is an important aspect of social cohesion as it is a key factor in the quality of life of residents. </w:t>
      </w:r>
    </w:p>
    <w:p w14:paraId="0C5DE6DE" w14:textId="77777777" w:rsidR="0064018D" w:rsidRPr="006645DC" w:rsidRDefault="0064018D" w:rsidP="0064018D">
      <w:pPr>
        <w:rPr>
          <w:lang w:val="en-GB"/>
        </w:rPr>
      </w:pPr>
      <w:r w:rsidRPr="006645DC">
        <w:rPr>
          <w:lang w:val="en-GB"/>
        </w:rPr>
        <w:t xml:space="preserve">In the Romanian area, the housing stock increased between 2007-2012 (see the charts below), in terms of number of units, </w:t>
      </w:r>
      <w:r w:rsidR="00982279" w:rsidRPr="006645DC">
        <w:rPr>
          <w:lang w:val="en-GB"/>
        </w:rPr>
        <w:t>built surface an</w:t>
      </w:r>
      <w:r w:rsidRPr="006645DC">
        <w:rPr>
          <w:lang w:val="en-GB"/>
        </w:rPr>
        <w:t xml:space="preserve"> surface per inhabitant.  Nevertheless important disparities between the counties are flagrant, especially in terms of the available housing space per inhabitant: Constanta and Dolj display rates that are 2 or 3 times higher than those of the other Romanian counties. The evolution of this indicator as well as the evolution of the overall housing stock shows a deepening gap between the more urbanized counties (Dolj, Constanta and somewhat Olt) and the more rural ones in the Romanian sector (Giurgiu, Calarasi, Mehedinti).  The charts below indicate also that the gap between the Romanian counties in terms of available housing space per inhabitant is much wider than the average surface of the houses. This indicates that even though housing varies little between the counties, in the more rural counties the distribution of the population on housing units is much more dense, the availability of housing space for population being more important in the urban counties. </w:t>
      </w:r>
    </w:p>
    <w:p w14:paraId="096E8228" w14:textId="77777777" w:rsidR="0078529E" w:rsidRPr="006645DC" w:rsidRDefault="00AA4C82" w:rsidP="0078529E">
      <w:pPr>
        <w:rPr>
          <w:lang w:val="en-GB"/>
        </w:rPr>
      </w:pPr>
      <w:r w:rsidRPr="006645DC">
        <w:rPr>
          <w:noProof/>
          <w:lang w:val="bg-BG" w:eastAsia="bg-BG"/>
        </w:rPr>
        <w:lastRenderedPageBreak/>
        <w:drawing>
          <wp:inline distT="0" distB="0" distL="0" distR="0" wp14:anchorId="0730427C" wp14:editId="617354A7">
            <wp:extent cx="5629275" cy="2543175"/>
            <wp:effectExtent l="0" t="0" r="0" b="0"/>
            <wp:docPr id="71" name="Chart 1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6F840087" w14:textId="77777777" w:rsidR="0078529E" w:rsidRPr="006645DC" w:rsidRDefault="0078529E" w:rsidP="00420C97">
      <w:pPr>
        <w:pStyle w:val="Caption"/>
        <w:rPr>
          <w:lang w:val="en-GB"/>
        </w:rPr>
      </w:pPr>
    </w:p>
    <w:p w14:paraId="36151AFB" w14:textId="77777777" w:rsidR="0064018D" w:rsidRPr="006645DC" w:rsidRDefault="00420C97" w:rsidP="00420C97">
      <w:pPr>
        <w:pStyle w:val="Caption"/>
        <w:rPr>
          <w:lang w:val="en-GB"/>
        </w:rPr>
      </w:pPr>
      <w:bookmarkStart w:id="1291" w:name="_Toc391150088"/>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39</w:t>
      </w:r>
      <w:r w:rsidR="005979EB" w:rsidRPr="006645DC">
        <w:rPr>
          <w:lang w:val="en-GB"/>
        </w:rPr>
        <w:fldChar w:fldCharType="end"/>
      </w:r>
      <w:r w:rsidRPr="006645DC">
        <w:rPr>
          <w:lang w:val="en-GB"/>
        </w:rPr>
        <w:t xml:space="preserve"> - </w:t>
      </w:r>
      <w:r w:rsidR="0064018D" w:rsidRPr="006645DC">
        <w:rPr>
          <w:lang w:val="en-GB"/>
        </w:rPr>
        <w:t>The evolution of housing surface in the Romania’s cross-border counties, 2007-2012</w:t>
      </w:r>
      <w:bookmarkEnd w:id="1291"/>
    </w:p>
    <w:p w14:paraId="62B8DD55" w14:textId="77777777" w:rsidR="0064018D" w:rsidRPr="006645DC" w:rsidRDefault="0064018D" w:rsidP="0064018D">
      <w:pPr>
        <w:pStyle w:val="Heading4"/>
        <w:rPr>
          <w:lang w:val="en-GB"/>
        </w:rPr>
      </w:pPr>
      <w:r w:rsidRPr="006645DC">
        <w:rPr>
          <w:lang w:val="en-GB"/>
        </w:rPr>
        <w:t xml:space="preserve"> source: INS Romania</w:t>
      </w:r>
    </w:p>
    <w:p w14:paraId="690FF106" w14:textId="77777777" w:rsidR="0064018D" w:rsidRPr="006645DC" w:rsidRDefault="0064018D" w:rsidP="0064018D">
      <w:pPr>
        <w:rPr>
          <w:lang w:val="en-GB"/>
        </w:rPr>
      </w:pPr>
    </w:p>
    <w:p w14:paraId="239E69A5" w14:textId="77777777" w:rsidR="0064018D" w:rsidRPr="006645DC" w:rsidRDefault="00AA4C82" w:rsidP="0064018D">
      <w:pPr>
        <w:spacing w:line="280" w:lineRule="auto"/>
        <w:jc w:val="center"/>
        <w:rPr>
          <w:i/>
          <w:sz w:val="18"/>
          <w:szCs w:val="18"/>
          <w:lang w:val="en-GB"/>
        </w:rPr>
      </w:pPr>
      <w:r w:rsidRPr="006645DC">
        <w:rPr>
          <w:noProof/>
          <w:sz w:val="24"/>
          <w:szCs w:val="24"/>
          <w:lang w:val="bg-BG" w:eastAsia="bg-BG"/>
        </w:rPr>
        <w:drawing>
          <wp:inline distT="0" distB="0" distL="0" distR="0" wp14:anchorId="2083810F" wp14:editId="6FFACF9F">
            <wp:extent cx="5495925" cy="2428875"/>
            <wp:effectExtent l="0" t="0" r="0" b="0"/>
            <wp:docPr id="72" name="Chart 1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0F479917" w14:textId="77777777" w:rsidR="0064018D" w:rsidRPr="006645DC" w:rsidRDefault="00420C97" w:rsidP="00420C97">
      <w:pPr>
        <w:pStyle w:val="Caption"/>
        <w:rPr>
          <w:lang w:val="en-GB"/>
        </w:rPr>
      </w:pPr>
      <w:bookmarkStart w:id="1292" w:name="_Toc391150089"/>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40</w:t>
      </w:r>
      <w:r w:rsidR="005979EB" w:rsidRPr="006645DC">
        <w:rPr>
          <w:lang w:val="en-GB"/>
        </w:rPr>
        <w:fldChar w:fldCharType="end"/>
      </w:r>
      <w:r w:rsidRPr="006645DC">
        <w:rPr>
          <w:lang w:val="en-GB"/>
        </w:rPr>
        <w:t xml:space="preserve"> - </w:t>
      </w:r>
      <w:r w:rsidR="0064018D" w:rsidRPr="006645DC">
        <w:rPr>
          <w:lang w:val="en-GB"/>
        </w:rPr>
        <w:t>The evolution of the number of square meters of available house per inhabitant in the Romanian cross-border area, evolution over 2007-2012 period</w:t>
      </w:r>
      <w:bookmarkEnd w:id="1292"/>
    </w:p>
    <w:p w14:paraId="48C8B908" w14:textId="77777777" w:rsidR="0064018D" w:rsidRPr="006645DC" w:rsidRDefault="0064018D" w:rsidP="0064018D">
      <w:pPr>
        <w:pStyle w:val="Heading4"/>
        <w:rPr>
          <w:sz w:val="24"/>
          <w:szCs w:val="24"/>
          <w:lang w:val="en-GB"/>
        </w:rPr>
      </w:pPr>
      <w:r w:rsidRPr="006645DC">
        <w:rPr>
          <w:lang w:val="en-GB"/>
        </w:rPr>
        <w:t>source: INS Romania, Détente Consultants calculation</w:t>
      </w:r>
    </w:p>
    <w:p w14:paraId="576F5227" w14:textId="77777777" w:rsidR="0064018D" w:rsidRPr="006645DC" w:rsidRDefault="0064018D" w:rsidP="0064018D">
      <w:pPr>
        <w:spacing w:line="280" w:lineRule="auto"/>
        <w:jc w:val="center"/>
        <w:rPr>
          <w:sz w:val="24"/>
          <w:szCs w:val="24"/>
          <w:lang w:val="en-GB"/>
        </w:rPr>
      </w:pPr>
    </w:p>
    <w:p w14:paraId="64AF91BC" w14:textId="77777777" w:rsidR="0064018D" w:rsidRPr="006645DC" w:rsidRDefault="0064018D" w:rsidP="0064018D">
      <w:pPr>
        <w:spacing w:line="280" w:lineRule="auto"/>
        <w:jc w:val="center"/>
        <w:rPr>
          <w:sz w:val="24"/>
          <w:szCs w:val="24"/>
          <w:lang w:val="en-GB"/>
        </w:rPr>
      </w:pPr>
    </w:p>
    <w:p w14:paraId="3E76C4E5" w14:textId="77777777" w:rsidR="0064018D" w:rsidRPr="006645DC" w:rsidRDefault="00AA4C82" w:rsidP="0064018D">
      <w:pPr>
        <w:spacing w:line="280" w:lineRule="auto"/>
        <w:jc w:val="center"/>
        <w:rPr>
          <w:sz w:val="24"/>
          <w:szCs w:val="24"/>
          <w:lang w:val="en-GB"/>
        </w:rPr>
      </w:pPr>
      <w:r w:rsidRPr="006645DC">
        <w:rPr>
          <w:noProof/>
          <w:sz w:val="24"/>
          <w:szCs w:val="24"/>
          <w:lang w:val="bg-BG" w:eastAsia="bg-BG"/>
        </w:rPr>
        <w:lastRenderedPageBreak/>
        <w:drawing>
          <wp:inline distT="0" distB="0" distL="0" distR="0" wp14:anchorId="03FC094A" wp14:editId="76FD1F8A">
            <wp:extent cx="5495925" cy="2647950"/>
            <wp:effectExtent l="0" t="0" r="0" b="0"/>
            <wp:docPr id="73" name="Chart 2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6D6C58BC" w14:textId="77777777" w:rsidR="0064018D" w:rsidRPr="006645DC" w:rsidRDefault="00420C97" w:rsidP="00420C97">
      <w:pPr>
        <w:pStyle w:val="Caption"/>
        <w:rPr>
          <w:lang w:val="en-GB"/>
        </w:rPr>
      </w:pPr>
      <w:bookmarkStart w:id="1293" w:name="_Toc391150090"/>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41</w:t>
      </w:r>
      <w:r w:rsidR="005979EB" w:rsidRPr="006645DC">
        <w:rPr>
          <w:lang w:val="en-GB"/>
        </w:rPr>
        <w:fldChar w:fldCharType="end"/>
      </w:r>
      <w:r w:rsidRPr="006645DC">
        <w:rPr>
          <w:lang w:val="en-GB"/>
        </w:rPr>
        <w:t xml:space="preserve"> - </w:t>
      </w:r>
      <w:r w:rsidR="0064018D" w:rsidRPr="006645DC">
        <w:rPr>
          <w:lang w:val="en-GB"/>
        </w:rPr>
        <w:t>The evolution of the average house surface in the Romanian counties of the cross-border area, 2007-2012</w:t>
      </w:r>
      <w:bookmarkEnd w:id="1293"/>
    </w:p>
    <w:p w14:paraId="70951270" w14:textId="77777777" w:rsidR="0064018D" w:rsidRPr="006645DC" w:rsidRDefault="0064018D" w:rsidP="0064018D">
      <w:pPr>
        <w:pStyle w:val="Heading4"/>
        <w:rPr>
          <w:lang w:val="en-GB"/>
        </w:rPr>
      </w:pPr>
      <w:r w:rsidRPr="006645DC">
        <w:rPr>
          <w:lang w:val="en-GB"/>
        </w:rPr>
        <w:t>source: INS Romania</w:t>
      </w:r>
    </w:p>
    <w:p w14:paraId="21F1537E" w14:textId="77777777" w:rsidR="0064018D" w:rsidRPr="006645DC" w:rsidRDefault="0064018D" w:rsidP="0064018D">
      <w:pPr>
        <w:rPr>
          <w:lang w:val="en-GB"/>
        </w:rPr>
      </w:pPr>
      <w:r w:rsidRPr="006645DC">
        <w:rPr>
          <w:lang w:val="en-GB"/>
        </w:rPr>
        <w:t xml:space="preserve">The distribution of housing inside the population of different counties is highly unequal, with great disparities of accessibility of housing between the more urban and less urban ones. This is in part due to the Communist period legacy of big apartment blocks quarters in the main industrial cities and its policy of ignoring the rural area for housing in view of the rapid and forced urbanization. Both the 90s and the 2000s periods (with its periods of economic growth and decline) only accentuated this reality of the distribution of housing space in the population of the Romanian cross-border counties, increasing thus the territorial disparities inside the cross-border area with the associated risk of poverty, social exclusion and emigration. </w:t>
      </w:r>
    </w:p>
    <w:p w14:paraId="421CC58A" w14:textId="77777777" w:rsidR="0064018D" w:rsidRPr="006645DC" w:rsidRDefault="0064018D" w:rsidP="0064018D">
      <w:pPr>
        <w:rPr>
          <w:lang w:val="en-GB"/>
        </w:rPr>
      </w:pPr>
      <w:r w:rsidRPr="006645DC">
        <w:rPr>
          <w:lang w:val="en-GB"/>
        </w:rPr>
        <w:t xml:space="preserve">In the Bulgarian area, fewer statistics are available but we can notice an increase of the housing funds, around 2.000 houses each, in the most touristic area, the districts of Dobrich and Veliko Târnovo. </w:t>
      </w:r>
    </w:p>
    <w:p w14:paraId="64D324E2" w14:textId="77777777" w:rsidR="0064018D" w:rsidRPr="006645DC" w:rsidRDefault="00AA4C82" w:rsidP="0064018D">
      <w:pPr>
        <w:spacing w:line="280" w:lineRule="auto"/>
        <w:jc w:val="center"/>
        <w:rPr>
          <w:sz w:val="24"/>
          <w:szCs w:val="24"/>
          <w:lang w:val="en-GB"/>
        </w:rPr>
      </w:pPr>
      <w:r w:rsidRPr="006645DC">
        <w:rPr>
          <w:noProof/>
          <w:sz w:val="24"/>
          <w:szCs w:val="24"/>
          <w:lang w:val="bg-BG" w:eastAsia="bg-BG"/>
        </w:rPr>
        <w:lastRenderedPageBreak/>
        <w:drawing>
          <wp:inline distT="0" distB="0" distL="0" distR="0" wp14:anchorId="67AFF228" wp14:editId="63E9E0A4">
            <wp:extent cx="4600575" cy="3190875"/>
            <wp:effectExtent l="19050" t="0" r="9525" b="0"/>
            <wp:docPr id="74"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04"/>
                    <a:srcRect/>
                    <a:stretch>
                      <a:fillRect/>
                    </a:stretch>
                  </pic:blipFill>
                  <pic:spPr bwMode="auto">
                    <a:xfrm>
                      <a:off x="0" y="0"/>
                      <a:ext cx="4600575" cy="3190875"/>
                    </a:xfrm>
                    <a:prstGeom prst="rect">
                      <a:avLst/>
                    </a:prstGeom>
                    <a:noFill/>
                    <a:ln w="9525">
                      <a:noFill/>
                      <a:miter lim="800000"/>
                      <a:headEnd/>
                      <a:tailEnd/>
                    </a:ln>
                  </pic:spPr>
                </pic:pic>
              </a:graphicData>
            </a:graphic>
          </wp:inline>
        </w:drawing>
      </w:r>
    </w:p>
    <w:p w14:paraId="133AE592" w14:textId="77777777" w:rsidR="0064018D" w:rsidRPr="006645DC" w:rsidRDefault="00420C97" w:rsidP="00420C97">
      <w:pPr>
        <w:pStyle w:val="Caption"/>
        <w:rPr>
          <w:lang w:val="en-GB"/>
        </w:rPr>
      </w:pPr>
      <w:bookmarkStart w:id="1294" w:name="_Toc391150091"/>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42</w:t>
      </w:r>
      <w:r w:rsidR="005979EB" w:rsidRPr="006645DC">
        <w:rPr>
          <w:lang w:val="en-GB"/>
        </w:rPr>
        <w:fldChar w:fldCharType="end"/>
      </w:r>
      <w:r w:rsidRPr="006645DC">
        <w:rPr>
          <w:lang w:val="en-GB"/>
        </w:rPr>
        <w:t xml:space="preserve"> - </w:t>
      </w:r>
      <w:r w:rsidR="0064018D" w:rsidRPr="006645DC">
        <w:rPr>
          <w:lang w:val="en-GB"/>
        </w:rPr>
        <w:t>The dynamics of the housing fund</w:t>
      </w:r>
      <w:bookmarkEnd w:id="1294"/>
    </w:p>
    <w:p w14:paraId="5585C1FE" w14:textId="77777777" w:rsidR="0064018D" w:rsidRPr="006645DC" w:rsidRDefault="0064018D" w:rsidP="0064018D">
      <w:pPr>
        <w:pStyle w:val="Heading4"/>
        <w:rPr>
          <w:lang w:val="en-GB"/>
        </w:rPr>
      </w:pPr>
      <w:r w:rsidRPr="006645DC">
        <w:rPr>
          <w:lang w:val="en-GB"/>
        </w:rPr>
        <w:t>Source: The National Institute of Statistics Romania and the National Institute of Statistics Bulgaria</w:t>
      </w:r>
    </w:p>
    <w:p w14:paraId="077010B5" w14:textId="77777777" w:rsidR="0064018D" w:rsidRPr="006645DC" w:rsidRDefault="0064018D" w:rsidP="0064018D">
      <w:pPr>
        <w:rPr>
          <w:lang w:val="en-GB"/>
        </w:rPr>
      </w:pPr>
    </w:p>
    <w:p w14:paraId="713DA4A7" w14:textId="77777777" w:rsidR="0064018D" w:rsidRPr="006645DC" w:rsidRDefault="0064018D" w:rsidP="0064018D">
      <w:pPr>
        <w:pStyle w:val="Heading3"/>
        <w:rPr>
          <w:lang w:val="en-GB"/>
        </w:rPr>
      </w:pPr>
      <w:bookmarkStart w:id="1295" w:name="_Toc254543801"/>
      <w:r w:rsidRPr="006645DC">
        <w:rPr>
          <w:lang w:val="en-GB"/>
        </w:rPr>
        <w:t>Utilities/urban equipment</w:t>
      </w:r>
      <w:bookmarkEnd w:id="1295"/>
    </w:p>
    <w:p w14:paraId="64E27DA5" w14:textId="77777777" w:rsidR="0064018D" w:rsidRPr="006645DC" w:rsidRDefault="0064018D" w:rsidP="0064018D">
      <w:pPr>
        <w:rPr>
          <w:lang w:val="en-GB"/>
        </w:rPr>
      </w:pPr>
      <w:r w:rsidRPr="006645DC">
        <w:rPr>
          <w:lang w:val="en-GB"/>
        </w:rPr>
        <w:t>In the cross-border region, equipment and infrastructure are insufficient, especially in the rural area. Thus, the water distribution and sewage systems as well as the drinking water networks cover less than 50% of the population in the cross-border counties, in the rural area the percentage of equipment coverage is of less than 10%. Many localities do not have a working wastewater treatment system yet, leading to considerable negative effects on the water quality in the Danube Basin</w:t>
      </w:r>
      <w:r w:rsidRPr="006645DC">
        <w:rPr>
          <w:rStyle w:val="FootnoteReference"/>
          <w:sz w:val="24"/>
          <w:szCs w:val="24"/>
          <w:lang w:val="en-GB"/>
        </w:rPr>
        <w:footnoteReference w:id="23"/>
      </w:r>
      <w:r w:rsidRPr="006645DC">
        <w:rPr>
          <w:lang w:val="en-GB"/>
        </w:rPr>
        <w:t xml:space="preserve">. </w:t>
      </w:r>
    </w:p>
    <w:p w14:paraId="5FFB2132" w14:textId="77777777" w:rsidR="0064018D" w:rsidRPr="006645DC" w:rsidRDefault="0064018D" w:rsidP="0064018D">
      <w:pPr>
        <w:rPr>
          <w:lang w:val="en-GB"/>
        </w:rPr>
      </w:pPr>
    </w:p>
    <w:p w14:paraId="4035577A" w14:textId="77777777" w:rsidR="002F582C" w:rsidRPr="006645DC" w:rsidRDefault="002F582C" w:rsidP="0064018D">
      <w:pPr>
        <w:rPr>
          <w:lang w:val="en-GB"/>
        </w:rPr>
      </w:pPr>
    </w:p>
    <w:p w14:paraId="5969B4C4" w14:textId="77777777" w:rsidR="002F582C" w:rsidRPr="006645DC" w:rsidRDefault="002F582C" w:rsidP="0064018D">
      <w:pPr>
        <w:rPr>
          <w:lang w:val="en-GB"/>
        </w:rPr>
      </w:pPr>
    </w:p>
    <w:tbl>
      <w:tblPr>
        <w:tblW w:w="9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87"/>
        <w:gridCol w:w="1701"/>
        <w:gridCol w:w="1814"/>
        <w:gridCol w:w="1814"/>
        <w:gridCol w:w="2409"/>
      </w:tblGrid>
      <w:tr w:rsidR="0064018D" w:rsidRPr="006645DC" w14:paraId="6A10BFF3" w14:textId="77777777" w:rsidTr="00546086">
        <w:trPr>
          <w:trHeight w:val="805"/>
          <w:jc w:val="center"/>
        </w:trPr>
        <w:tc>
          <w:tcPr>
            <w:tcW w:w="1587" w:type="dxa"/>
            <w:vAlign w:val="center"/>
          </w:tcPr>
          <w:p w14:paraId="4748AE0D" w14:textId="77777777" w:rsidR="0064018D" w:rsidRPr="006645DC" w:rsidRDefault="0064018D" w:rsidP="00546086">
            <w:pPr>
              <w:spacing w:before="0" w:after="0"/>
              <w:jc w:val="left"/>
              <w:rPr>
                <w:rFonts w:cs="Calibri"/>
                <w:b/>
                <w:color w:val="000000"/>
                <w:lang w:val="en-GB"/>
              </w:rPr>
            </w:pPr>
          </w:p>
        </w:tc>
        <w:tc>
          <w:tcPr>
            <w:tcW w:w="1701" w:type="dxa"/>
            <w:vAlign w:val="center"/>
          </w:tcPr>
          <w:p w14:paraId="4A4A0350" w14:textId="77777777" w:rsidR="0064018D" w:rsidRPr="006645DC" w:rsidRDefault="0064018D" w:rsidP="00546086">
            <w:pPr>
              <w:spacing w:before="0" w:after="0"/>
              <w:jc w:val="center"/>
              <w:rPr>
                <w:rFonts w:cs="Calibri"/>
                <w:b/>
                <w:lang w:val="en-GB"/>
              </w:rPr>
            </w:pPr>
            <w:r w:rsidRPr="006645DC">
              <w:rPr>
                <w:rFonts w:cs="Calibri"/>
                <w:b/>
                <w:lang w:val="en-GB"/>
              </w:rPr>
              <w:t>Rate of population connected to public sewage systems (%) - 2012</w:t>
            </w:r>
          </w:p>
        </w:tc>
        <w:tc>
          <w:tcPr>
            <w:tcW w:w="1814" w:type="dxa"/>
            <w:vAlign w:val="center"/>
          </w:tcPr>
          <w:p w14:paraId="146DDEB2" w14:textId="77777777" w:rsidR="0064018D" w:rsidRPr="006645DC" w:rsidRDefault="0064018D" w:rsidP="00546086">
            <w:pPr>
              <w:spacing w:before="0" w:after="0"/>
              <w:jc w:val="center"/>
              <w:rPr>
                <w:rFonts w:cs="Calibri"/>
                <w:lang w:val="en-GB"/>
              </w:rPr>
            </w:pPr>
            <w:r w:rsidRPr="006645DC">
              <w:rPr>
                <w:rFonts w:cs="Calibri"/>
                <w:b/>
                <w:lang w:val="en-GB"/>
              </w:rPr>
              <w:t>Rate of population being connected to public wastewater treatment plants (%)- 2012</w:t>
            </w:r>
          </w:p>
        </w:tc>
        <w:tc>
          <w:tcPr>
            <w:tcW w:w="1814" w:type="dxa"/>
            <w:vAlign w:val="center"/>
          </w:tcPr>
          <w:p w14:paraId="560502D8" w14:textId="77777777" w:rsidR="0064018D" w:rsidRPr="006645DC" w:rsidRDefault="0064018D" w:rsidP="00546086">
            <w:pPr>
              <w:spacing w:before="0" w:after="0"/>
              <w:jc w:val="center"/>
              <w:rPr>
                <w:rFonts w:cs="Calibri"/>
                <w:lang w:val="en-GB"/>
              </w:rPr>
            </w:pPr>
            <w:r w:rsidRPr="006645DC">
              <w:rPr>
                <w:rFonts w:cs="Calibri"/>
                <w:b/>
                <w:lang w:val="en-GB"/>
              </w:rPr>
              <w:t>Rate of population connected to public drinking-water systems (%) - 2011</w:t>
            </w:r>
          </w:p>
        </w:tc>
        <w:tc>
          <w:tcPr>
            <w:tcW w:w="2409" w:type="dxa"/>
            <w:vAlign w:val="center"/>
          </w:tcPr>
          <w:p w14:paraId="194AEA71" w14:textId="77777777" w:rsidR="0064018D" w:rsidRPr="006645DC" w:rsidRDefault="0064018D" w:rsidP="00546086">
            <w:pPr>
              <w:spacing w:before="0" w:after="0"/>
              <w:jc w:val="center"/>
              <w:rPr>
                <w:rFonts w:cs="Calibri"/>
                <w:lang w:val="en-GB"/>
              </w:rPr>
            </w:pPr>
            <w:r w:rsidRPr="006645DC">
              <w:rPr>
                <w:rFonts w:cs="Calibri"/>
                <w:b/>
                <w:lang w:val="en-GB"/>
              </w:rPr>
              <w:t>Gaps between the rates of public sewage and those of waste water treatment (%)</w:t>
            </w:r>
          </w:p>
        </w:tc>
      </w:tr>
      <w:tr w:rsidR="0064018D" w:rsidRPr="006645DC" w14:paraId="6F7B55BD" w14:textId="77777777" w:rsidTr="006F47B6">
        <w:trPr>
          <w:trHeight w:val="294"/>
          <w:jc w:val="center"/>
        </w:trPr>
        <w:tc>
          <w:tcPr>
            <w:tcW w:w="1587" w:type="dxa"/>
            <w:vAlign w:val="center"/>
          </w:tcPr>
          <w:p w14:paraId="1FA0B162" w14:textId="77777777" w:rsidR="0064018D" w:rsidRPr="006645DC" w:rsidRDefault="0064018D" w:rsidP="00546086">
            <w:pPr>
              <w:spacing w:before="0" w:after="0"/>
              <w:jc w:val="left"/>
              <w:rPr>
                <w:rFonts w:cs="Calibri"/>
                <w:b/>
                <w:color w:val="000000"/>
                <w:lang w:val="en-GB"/>
              </w:rPr>
            </w:pPr>
            <w:r w:rsidRPr="006645DC">
              <w:rPr>
                <w:rFonts w:cs="Calibri"/>
                <w:b/>
                <w:color w:val="000000"/>
                <w:lang w:val="en-GB"/>
              </w:rPr>
              <w:t>Romania</w:t>
            </w:r>
          </w:p>
        </w:tc>
        <w:tc>
          <w:tcPr>
            <w:tcW w:w="1701" w:type="dxa"/>
            <w:vAlign w:val="center"/>
          </w:tcPr>
          <w:p w14:paraId="72C1C9DA" w14:textId="77777777" w:rsidR="0064018D" w:rsidRPr="006645DC" w:rsidRDefault="0064018D" w:rsidP="006F47B6">
            <w:pPr>
              <w:keepNext/>
              <w:keepLines/>
              <w:spacing w:before="0" w:after="0"/>
              <w:jc w:val="right"/>
              <w:outlineLvl w:val="1"/>
              <w:rPr>
                <w:rFonts w:cs="Calibri"/>
                <w:b/>
                <w:color w:val="000000"/>
                <w:lang w:val="en-GB"/>
              </w:rPr>
            </w:pPr>
            <w:bookmarkStart w:id="1296" w:name="_Toc376199484"/>
            <w:r w:rsidRPr="006645DC">
              <w:rPr>
                <w:rFonts w:cs="Calibri"/>
                <w:b/>
                <w:color w:val="000000"/>
                <w:lang w:val="en-GB"/>
              </w:rPr>
              <w:t>44</w:t>
            </w:r>
            <w:bookmarkEnd w:id="1296"/>
          </w:p>
        </w:tc>
        <w:tc>
          <w:tcPr>
            <w:tcW w:w="1814" w:type="dxa"/>
            <w:vAlign w:val="center"/>
          </w:tcPr>
          <w:p w14:paraId="0F699474" w14:textId="77777777" w:rsidR="0064018D" w:rsidRPr="006645DC" w:rsidRDefault="0064018D" w:rsidP="006F47B6">
            <w:pPr>
              <w:keepNext/>
              <w:keepLines/>
              <w:spacing w:before="0" w:after="0"/>
              <w:jc w:val="right"/>
              <w:outlineLvl w:val="1"/>
              <w:rPr>
                <w:rFonts w:cs="Calibri"/>
                <w:b/>
                <w:color w:val="000000"/>
                <w:lang w:val="en-GB"/>
              </w:rPr>
            </w:pPr>
            <w:bookmarkStart w:id="1297" w:name="_Toc376199485"/>
            <w:r w:rsidRPr="006645DC">
              <w:rPr>
                <w:rFonts w:cs="Calibri"/>
                <w:b/>
                <w:color w:val="000000"/>
                <w:lang w:val="en-GB"/>
              </w:rPr>
              <w:t>40.2</w:t>
            </w:r>
            <w:bookmarkEnd w:id="1297"/>
          </w:p>
        </w:tc>
        <w:tc>
          <w:tcPr>
            <w:tcW w:w="1814" w:type="dxa"/>
            <w:vAlign w:val="center"/>
          </w:tcPr>
          <w:p w14:paraId="6070DB1D" w14:textId="77777777" w:rsidR="0064018D" w:rsidRPr="006645DC" w:rsidRDefault="0064018D" w:rsidP="006F47B6">
            <w:pPr>
              <w:keepNext/>
              <w:keepLines/>
              <w:spacing w:before="0" w:after="0"/>
              <w:jc w:val="right"/>
              <w:outlineLvl w:val="1"/>
              <w:rPr>
                <w:rFonts w:cs="Calibri"/>
                <w:b/>
                <w:color w:val="000000"/>
                <w:lang w:val="en-GB"/>
              </w:rPr>
            </w:pPr>
            <w:bookmarkStart w:id="1298" w:name="_Toc376199486"/>
            <w:r w:rsidRPr="006645DC">
              <w:rPr>
                <w:rFonts w:cs="Calibri"/>
                <w:b/>
                <w:color w:val="000000"/>
                <w:lang w:val="en-GB"/>
              </w:rPr>
              <w:t>56.5</w:t>
            </w:r>
            <w:bookmarkEnd w:id="1298"/>
          </w:p>
        </w:tc>
        <w:tc>
          <w:tcPr>
            <w:tcW w:w="2409" w:type="dxa"/>
            <w:vAlign w:val="center"/>
          </w:tcPr>
          <w:p w14:paraId="6492D17B" w14:textId="77777777" w:rsidR="0064018D" w:rsidRPr="006645DC" w:rsidRDefault="0064018D" w:rsidP="006F47B6">
            <w:pPr>
              <w:keepNext/>
              <w:keepLines/>
              <w:spacing w:before="0" w:after="0"/>
              <w:jc w:val="right"/>
              <w:outlineLvl w:val="1"/>
              <w:rPr>
                <w:rFonts w:cs="Calibri"/>
                <w:b/>
                <w:color w:val="000000"/>
                <w:lang w:val="en-GB"/>
              </w:rPr>
            </w:pPr>
            <w:bookmarkStart w:id="1299" w:name="_Toc376199487"/>
            <w:r w:rsidRPr="006645DC">
              <w:rPr>
                <w:rFonts w:cs="Calibri"/>
                <w:b/>
                <w:color w:val="000000"/>
                <w:lang w:val="en-GB"/>
              </w:rPr>
              <w:t>3.8</w:t>
            </w:r>
            <w:bookmarkEnd w:id="1299"/>
          </w:p>
        </w:tc>
      </w:tr>
      <w:tr w:rsidR="0064018D" w:rsidRPr="006645DC" w14:paraId="7DD0E4BF" w14:textId="77777777" w:rsidTr="006F47B6">
        <w:trPr>
          <w:trHeight w:val="294"/>
          <w:jc w:val="center"/>
        </w:trPr>
        <w:tc>
          <w:tcPr>
            <w:tcW w:w="1587" w:type="dxa"/>
            <w:vAlign w:val="center"/>
          </w:tcPr>
          <w:p w14:paraId="69952FBD" w14:textId="77777777" w:rsidR="0064018D" w:rsidRPr="006645DC" w:rsidRDefault="0064018D" w:rsidP="006F47B6">
            <w:pPr>
              <w:keepNext/>
              <w:keepLines/>
              <w:spacing w:before="0" w:after="0"/>
              <w:jc w:val="left"/>
              <w:outlineLvl w:val="1"/>
              <w:rPr>
                <w:rFonts w:cs="Calibri"/>
                <w:b/>
                <w:color w:val="000000"/>
                <w:lang w:val="en-GB"/>
              </w:rPr>
            </w:pPr>
            <w:bookmarkStart w:id="1300" w:name="_Toc376199488"/>
            <w:r w:rsidRPr="006645DC">
              <w:rPr>
                <w:rFonts w:cs="Calibri"/>
                <w:b/>
                <w:color w:val="000000"/>
                <w:lang w:val="en-GB"/>
              </w:rPr>
              <w:t>Constanţa</w:t>
            </w:r>
            <w:bookmarkEnd w:id="1300"/>
          </w:p>
        </w:tc>
        <w:tc>
          <w:tcPr>
            <w:tcW w:w="1701" w:type="dxa"/>
            <w:vAlign w:val="center"/>
          </w:tcPr>
          <w:p w14:paraId="1B555E13" w14:textId="77777777" w:rsidR="0064018D" w:rsidRPr="006645DC" w:rsidRDefault="0064018D" w:rsidP="006F47B6">
            <w:pPr>
              <w:keepNext/>
              <w:keepLines/>
              <w:spacing w:before="0" w:after="0"/>
              <w:jc w:val="right"/>
              <w:outlineLvl w:val="1"/>
              <w:rPr>
                <w:rFonts w:cs="Calibri"/>
                <w:color w:val="000000"/>
                <w:lang w:val="en-GB"/>
              </w:rPr>
            </w:pPr>
            <w:bookmarkStart w:id="1301" w:name="_Toc376199489"/>
            <w:r w:rsidRPr="006645DC">
              <w:rPr>
                <w:rFonts w:cs="Calibri"/>
                <w:color w:val="000000"/>
                <w:lang w:val="en-GB"/>
              </w:rPr>
              <w:t>60.6</w:t>
            </w:r>
            <w:bookmarkEnd w:id="1301"/>
          </w:p>
        </w:tc>
        <w:tc>
          <w:tcPr>
            <w:tcW w:w="1814" w:type="dxa"/>
            <w:vAlign w:val="center"/>
          </w:tcPr>
          <w:p w14:paraId="3506AE68" w14:textId="77777777" w:rsidR="0064018D" w:rsidRPr="006645DC" w:rsidRDefault="0064018D" w:rsidP="006F47B6">
            <w:pPr>
              <w:keepNext/>
              <w:keepLines/>
              <w:spacing w:before="0" w:after="0"/>
              <w:jc w:val="right"/>
              <w:outlineLvl w:val="1"/>
              <w:rPr>
                <w:rFonts w:cs="Calibri"/>
                <w:color w:val="000000"/>
                <w:lang w:val="en-GB"/>
              </w:rPr>
            </w:pPr>
            <w:bookmarkStart w:id="1302" w:name="_Toc376199490"/>
            <w:r w:rsidRPr="006645DC">
              <w:rPr>
                <w:rFonts w:cs="Calibri"/>
                <w:color w:val="000000"/>
                <w:lang w:val="en-GB"/>
              </w:rPr>
              <w:t>59.8</w:t>
            </w:r>
            <w:bookmarkEnd w:id="1302"/>
          </w:p>
        </w:tc>
        <w:tc>
          <w:tcPr>
            <w:tcW w:w="1814" w:type="dxa"/>
            <w:vAlign w:val="center"/>
          </w:tcPr>
          <w:p w14:paraId="5C5DABC3" w14:textId="77777777" w:rsidR="0064018D" w:rsidRPr="006645DC" w:rsidRDefault="0064018D" w:rsidP="006F47B6">
            <w:pPr>
              <w:keepNext/>
              <w:keepLines/>
              <w:spacing w:before="0" w:after="0"/>
              <w:jc w:val="right"/>
              <w:outlineLvl w:val="1"/>
              <w:rPr>
                <w:rFonts w:cs="Calibri"/>
                <w:color w:val="000000"/>
                <w:lang w:val="en-GB"/>
              </w:rPr>
            </w:pPr>
            <w:bookmarkStart w:id="1303" w:name="_Toc376199491"/>
            <w:r w:rsidRPr="006645DC">
              <w:rPr>
                <w:rFonts w:cs="Calibri"/>
                <w:color w:val="000000"/>
                <w:lang w:val="en-GB"/>
              </w:rPr>
              <w:t>75.2</w:t>
            </w:r>
            <w:bookmarkEnd w:id="1303"/>
          </w:p>
        </w:tc>
        <w:tc>
          <w:tcPr>
            <w:tcW w:w="2409" w:type="dxa"/>
            <w:vAlign w:val="center"/>
          </w:tcPr>
          <w:p w14:paraId="10934BD5" w14:textId="77777777" w:rsidR="0064018D" w:rsidRPr="006645DC" w:rsidRDefault="0064018D" w:rsidP="006F47B6">
            <w:pPr>
              <w:keepNext/>
              <w:keepLines/>
              <w:spacing w:before="0" w:after="0"/>
              <w:jc w:val="right"/>
              <w:outlineLvl w:val="1"/>
              <w:rPr>
                <w:rFonts w:cs="Calibri"/>
                <w:color w:val="000000"/>
                <w:lang w:val="en-GB"/>
              </w:rPr>
            </w:pPr>
            <w:bookmarkStart w:id="1304" w:name="_Toc376199492"/>
            <w:r w:rsidRPr="006645DC">
              <w:rPr>
                <w:rFonts w:cs="Calibri"/>
                <w:color w:val="000000"/>
                <w:lang w:val="en-GB"/>
              </w:rPr>
              <w:t>0.8</w:t>
            </w:r>
            <w:bookmarkEnd w:id="1304"/>
          </w:p>
        </w:tc>
      </w:tr>
      <w:tr w:rsidR="0064018D" w:rsidRPr="006645DC" w14:paraId="38F85F95" w14:textId="77777777" w:rsidTr="006F47B6">
        <w:trPr>
          <w:trHeight w:val="294"/>
          <w:jc w:val="center"/>
        </w:trPr>
        <w:tc>
          <w:tcPr>
            <w:tcW w:w="1587" w:type="dxa"/>
            <w:vAlign w:val="center"/>
          </w:tcPr>
          <w:p w14:paraId="51E46055" w14:textId="77777777" w:rsidR="0064018D" w:rsidRPr="006645DC" w:rsidRDefault="0064018D" w:rsidP="006F47B6">
            <w:pPr>
              <w:keepNext/>
              <w:keepLines/>
              <w:spacing w:before="0" w:after="0"/>
              <w:jc w:val="left"/>
              <w:outlineLvl w:val="1"/>
              <w:rPr>
                <w:rFonts w:cs="Calibri"/>
                <w:b/>
                <w:color w:val="000000"/>
                <w:lang w:val="en-GB"/>
              </w:rPr>
            </w:pPr>
            <w:bookmarkStart w:id="1305" w:name="_Toc376199493"/>
            <w:r w:rsidRPr="006645DC">
              <w:rPr>
                <w:rFonts w:cs="Calibri"/>
                <w:b/>
                <w:color w:val="000000"/>
                <w:lang w:val="en-GB"/>
              </w:rPr>
              <w:t>Călăraşi</w:t>
            </w:r>
            <w:bookmarkEnd w:id="1305"/>
          </w:p>
        </w:tc>
        <w:tc>
          <w:tcPr>
            <w:tcW w:w="1701" w:type="dxa"/>
            <w:vAlign w:val="center"/>
          </w:tcPr>
          <w:p w14:paraId="41507AEA" w14:textId="77777777" w:rsidR="0064018D" w:rsidRPr="006645DC" w:rsidRDefault="0064018D" w:rsidP="006F47B6">
            <w:pPr>
              <w:keepNext/>
              <w:keepLines/>
              <w:spacing w:before="0" w:after="0"/>
              <w:jc w:val="right"/>
              <w:outlineLvl w:val="1"/>
              <w:rPr>
                <w:rFonts w:cs="Calibri"/>
                <w:color w:val="000000"/>
                <w:lang w:val="en-GB"/>
              </w:rPr>
            </w:pPr>
            <w:bookmarkStart w:id="1306" w:name="_Toc376199494"/>
            <w:r w:rsidRPr="006645DC">
              <w:rPr>
                <w:rFonts w:cs="Calibri"/>
                <w:color w:val="000000"/>
                <w:lang w:val="en-GB"/>
              </w:rPr>
              <w:t>22.2</w:t>
            </w:r>
            <w:bookmarkEnd w:id="1306"/>
          </w:p>
        </w:tc>
        <w:tc>
          <w:tcPr>
            <w:tcW w:w="1814" w:type="dxa"/>
            <w:vAlign w:val="center"/>
          </w:tcPr>
          <w:p w14:paraId="47883B46" w14:textId="77777777" w:rsidR="0064018D" w:rsidRPr="006645DC" w:rsidRDefault="0064018D" w:rsidP="006F47B6">
            <w:pPr>
              <w:keepNext/>
              <w:keepLines/>
              <w:spacing w:before="0" w:after="0"/>
              <w:jc w:val="right"/>
              <w:outlineLvl w:val="1"/>
              <w:rPr>
                <w:rFonts w:cs="Calibri"/>
                <w:color w:val="000000"/>
                <w:lang w:val="en-GB"/>
              </w:rPr>
            </w:pPr>
            <w:bookmarkStart w:id="1307" w:name="_Toc376199495"/>
            <w:r w:rsidRPr="006645DC">
              <w:rPr>
                <w:rFonts w:cs="Calibri"/>
                <w:color w:val="000000"/>
                <w:lang w:val="en-GB"/>
              </w:rPr>
              <w:t>22.1</w:t>
            </w:r>
            <w:bookmarkEnd w:id="1307"/>
          </w:p>
        </w:tc>
        <w:tc>
          <w:tcPr>
            <w:tcW w:w="1814" w:type="dxa"/>
            <w:vAlign w:val="center"/>
          </w:tcPr>
          <w:p w14:paraId="5056C538" w14:textId="77777777" w:rsidR="0064018D" w:rsidRPr="006645DC" w:rsidRDefault="0064018D" w:rsidP="006F47B6">
            <w:pPr>
              <w:keepNext/>
              <w:keepLines/>
              <w:spacing w:before="0" w:after="0"/>
              <w:jc w:val="right"/>
              <w:outlineLvl w:val="1"/>
              <w:rPr>
                <w:rFonts w:cs="Calibri"/>
                <w:color w:val="000000"/>
                <w:lang w:val="en-GB"/>
              </w:rPr>
            </w:pPr>
            <w:bookmarkStart w:id="1308" w:name="_Toc376199496"/>
            <w:r w:rsidRPr="006645DC">
              <w:rPr>
                <w:rFonts w:cs="Calibri"/>
                <w:color w:val="000000"/>
                <w:lang w:val="en-GB"/>
              </w:rPr>
              <w:t>42.2</w:t>
            </w:r>
            <w:bookmarkEnd w:id="1308"/>
          </w:p>
        </w:tc>
        <w:tc>
          <w:tcPr>
            <w:tcW w:w="2409" w:type="dxa"/>
            <w:vAlign w:val="center"/>
          </w:tcPr>
          <w:p w14:paraId="2BD8D88D" w14:textId="77777777" w:rsidR="0064018D" w:rsidRPr="006645DC" w:rsidRDefault="0064018D" w:rsidP="006F47B6">
            <w:pPr>
              <w:keepNext/>
              <w:keepLines/>
              <w:spacing w:before="0" w:after="0"/>
              <w:jc w:val="right"/>
              <w:outlineLvl w:val="1"/>
              <w:rPr>
                <w:rFonts w:cs="Calibri"/>
                <w:color w:val="000000"/>
                <w:lang w:val="en-GB"/>
              </w:rPr>
            </w:pPr>
            <w:bookmarkStart w:id="1309" w:name="_Toc376199497"/>
            <w:r w:rsidRPr="006645DC">
              <w:rPr>
                <w:rFonts w:cs="Calibri"/>
                <w:color w:val="000000"/>
                <w:lang w:val="en-GB"/>
              </w:rPr>
              <w:t>0.1</w:t>
            </w:r>
            <w:bookmarkEnd w:id="1309"/>
          </w:p>
        </w:tc>
      </w:tr>
      <w:tr w:rsidR="0064018D" w:rsidRPr="006645DC" w14:paraId="1FD01CA7" w14:textId="77777777" w:rsidTr="006F47B6">
        <w:trPr>
          <w:trHeight w:val="294"/>
          <w:jc w:val="center"/>
        </w:trPr>
        <w:tc>
          <w:tcPr>
            <w:tcW w:w="1587" w:type="dxa"/>
            <w:vAlign w:val="center"/>
          </w:tcPr>
          <w:p w14:paraId="2B77A01C" w14:textId="77777777" w:rsidR="0064018D" w:rsidRPr="006645DC" w:rsidRDefault="0064018D" w:rsidP="006F47B6">
            <w:pPr>
              <w:keepNext/>
              <w:keepLines/>
              <w:spacing w:before="0" w:after="0"/>
              <w:jc w:val="left"/>
              <w:outlineLvl w:val="1"/>
              <w:rPr>
                <w:rFonts w:cs="Calibri"/>
                <w:b/>
                <w:color w:val="000000"/>
                <w:lang w:val="en-GB"/>
              </w:rPr>
            </w:pPr>
            <w:bookmarkStart w:id="1310" w:name="_Toc376199498"/>
            <w:r w:rsidRPr="006645DC">
              <w:rPr>
                <w:rFonts w:cs="Calibri"/>
                <w:b/>
                <w:color w:val="000000"/>
                <w:lang w:val="en-GB"/>
              </w:rPr>
              <w:t>Giurgiu</w:t>
            </w:r>
            <w:bookmarkEnd w:id="1310"/>
          </w:p>
        </w:tc>
        <w:tc>
          <w:tcPr>
            <w:tcW w:w="1701" w:type="dxa"/>
            <w:vAlign w:val="center"/>
          </w:tcPr>
          <w:p w14:paraId="274628DE" w14:textId="77777777" w:rsidR="0064018D" w:rsidRPr="006645DC" w:rsidRDefault="0064018D" w:rsidP="006F47B6">
            <w:pPr>
              <w:keepNext/>
              <w:keepLines/>
              <w:spacing w:before="0" w:after="0"/>
              <w:jc w:val="right"/>
              <w:outlineLvl w:val="1"/>
              <w:rPr>
                <w:rFonts w:cs="Calibri"/>
                <w:color w:val="000000"/>
                <w:lang w:val="en-GB"/>
              </w:rPr>
            </w:pPr>
            <w:bookmarkStart w:id="1311" w:name="_Toc376199499"/>
            <w:r w:rsidRPr="006645DC">
              <w:rPr>
                <w:rFonts w:cs="Calibri"/>
                <w:color w:val="000000"/>
                <w:lang w:val="en-GB"/>
              </w:rPr>
              <w:t>19</w:t>
            </w:r>
            <w:bookmarkEnd w:id="1311"/>
          </w:p>
        </w:tc>
        <w:tc>
          <w:tcPr>
            <w:tcW w:w="1814" w:type="dxa"/>
            <w:vAlign w:val="center"/>
          </w:tcPr>
          <w:p w14:paraId="499A8631" w14:textId="77777777" w:rsidR="0064018D" w:rsidRPr="006645DC" w:rsidRDefault="0064018D" w:rsidP="006F47B6">
            <w:pPr>
              <w:keepNext/>
              <w:keepLines/>
              <w:spacing w:before="0" w:after="0"/>
              <w:jc w:val="right"/>
              <w:outlineLvl w:val="1"/>
              <w:rPr>
                <w:rFonts w:cs="Calibri"/>
                <w:color w:val="000000"/>
                <w:lang w:val="en-GB"/>
              </w:rPr>
            </w:pPr>
            <w:bookmarkStart w:id="1312" w:name="_Toc376199500"/>
            <w:r w:rsidRPr="006645DC">
              <w:rPr>
                <w:rFonts w:cs="Calibri"/>
                <w:color w:val="000000"/>
                <w:lang w:val="en-GB"/>
              </w:rPr>
              <w:t>19.1</w:t>
            </w:r>
            <w:bookmarkEnd w:id="1312"/>
          </w:p>
        </w:tc>
        <w:tc>
          <w:tcPr>
            <w:tcW w:w="1814" w:type="dxa"/>
            <w:vAlign w:val="center"/>
          </w:tcPr>
          <w:p w14:paraId="481AF2D2" w14:textId="77777777" w:rsidR="0064018D" w:rsidRPr="006645DC" w:rsidRDefault="0064018D" w:rsidP="006F47B6">
            <w:pPr>
              <w:keepNext/>
              <w:keepLines/>
              <w:spacing w:before="0" w:after="0"/>
              <w:jc w:val="right"/>
              <w:outlineLvl w:val="1"/>
              <w:rPr>
                <w:rFonts w:cs="Calibri"/>
                <w:color w:val="000000"/>
                <w:lang w:val="en-GB"/>
              </w:rPr>
            </w:pPr>
            <w:bookmarkStart w:id="1313" w:name="_Toc376199501"/>
            <w:r w:rsidRPr="006645DC">
              <w:rPr>
                <w:rFonts w:cs="Calibri"/>
                <w:color w:val="000000"/>
                <w:lang w:val="en-GB"/>
              </w:rPr>
              <w:t>27.5</w:t>
            </w:r>
            <w:bookmarkEnd w:id="1313"/>
          </w:p>
        </w:tc>
        <w:tc>
          <w:tcPr>
            <w:tcW w:w="2409" w:type="dxa"/>
            <w:noWrap/>
            <w:vAlign w:val="center"/>
          </w:tcPr>
          <w:p w14:paraId="4CE24724" w14:textId="77777777" w:rsidR="0064018D" w:rsidRPr="006645DC" w:rsidRDefault="0064018D" w:rsidP="006F47B6">
            <w:pPr>
              <w:keepNext/>
              <w:keepLines/>
              <w:spacing w:before="0" w:after="0"/>
              <w:jc w:val="right"/>
              <w:outlineLvl w:val="1"/>
              <w:rPr>
                <w:rFonts w:cs="Calibri"/>
                <w:color w:val="000000"/>
                <w:lang w:val="en-GB"/>
              </w:rPr>
            </w:pPr>
            <w:bookmarkStart w:id="1314" w:name="_Toc376199502"/>
            <w:r w:rsidRPr="006645DC">
              <w:rPr>
                <w:rFonts w:cs="Calibri"/>
                <w:color w:val="000000"/>
                <w:lang w:val="en-GB"/>
              </w:rPr>
              <w:t>-0.1</w:t>
            </w:r>
            <w:bookmarkEnd w:id="1314"/>
          </w:p>
        </w:tc>
      </w:tr>
      <w:tr w:rsidR="0064018D" w:rsidRPr="006645DC" w14:paraId="6C8D96CF" w14:textId="77777777" w:rsidTr="006F47B6">
        <w:trPr>
          <w:trHeight w:val="294"/>
          <w:jc w:val="center"/>
        </w:trPr>
        <w:tc>
          <w:tcPr>
            <w:tcW w:w="1587" w:type="dxa"/>
            <w:vAlign w:val="center"/>
          </w:tcPr>
          <w:p w14:paraId="0DE7EDB7" w14:textId="77777777" w:rsidR="0064018D" w:rsidRPr="006645DC" w:rsidRDefault="0064018D" w:rsidP="006F47B6">
            <w:pPr>
              <w:keepNext/>
              <w:keepLines/>
              <w:spacing w:before="0" w:after="0"/>
              <w:jc w:val="left"/>
              <w:outlineLvl w:val="1"/>
              <w:rPr>
                <w:rFonts w:cs="Calibri"/>
                <w:b/>
                <w:color w:val="000000"/>
                <w:lang w:val="en-GB"/>
              </w:rPr>
            </w:pPr>
            <w:bookmarkStart w:id="1315" w:name="_Toc376199503"/>
            <w:r w:rsidRPr="006645DC">
              <w:rPr>
                <w:rFonts w:cs="Calibri"/>
                <w:b/>
                <w:color w:val="000000"/>
                <w:lang w:val="en-GB"/>
              </w:rPr>
              <w:t>Teleorman</w:t>
            </w:r>
            <w:bookmarkEnd w:id="1315"/>
          </w:p>
        </w:tc>
        <w:tc>
          <w:tcPr>
            <w:tcW w:w="1701" w:type="dxa"/>
            <w:vAlign w:val="center"/>
          </w:tcPr>
          <w:p w14:paraId="15973E0E" w14:textId="77777777" w:rsidR="0064018D" w:rsidRPr="006645DC" w:rsidRDefault="0064018D" w:rsidP="006F47B6">
            <w:pPr>
              <w:keepNext/>
              <w:keepLines/>
              <w:spacing w:before="0" w:after="0"/>
              <w:jc w:val="right"/>
              <w:outlineLvl w:val="1"/>
              <w:rPr>
                <w:rFonts w:cs="Calibri"/>
                <w:color w:val="000000"/>
                <w:lang w:val="en-GB"/>
              </w:rPr>
            </w:pPr>
            <w:bookmarkStart w:id="1316" w:name="_Toc376199504"/>
            <w:r w:rsidRPr="006645DC">
              <w:rPr>
                <w:rFonts w:cs="Calibri"/>
                <w:color w:val="000000"/>
                <w:lang w:val="en-GB"/>
              </w:rPr>
              <w:t>21</w:t>
            </w:r>
            <w:bookmarkEnd w:id="1316"/>
          </w:p>
        </w:tc>
        <w:tc>
          <w:tcPr>
            <w:tcW w:w="1814" w:type="dxa"/>
            <w:vAlign w:val="center"/>
          </w:tcPr>
          <w:p w14:paraId="663457E1" w14:textId="77777777" w:rsidR="0064018D" w:rsidRPr="006645DC" w:rsidRDefault="0064018D" w:rsidP="006F47B6">
            <w:pPr>
              <w:keepNext/>
              <w:keepLines/>
              <w:spacing w:before="0" w:after="0"/>
              <w:jc w:val="right"/>
              <w:outlineLvl w:val="1"/>
              <w:rPr>
                <w:rFonts w:cs="Calibri"/>
                <w:color w:val="000000"/>
                <w:lang w:val="en-GB"/>
              </w:rPr>
            </w:pPr>
            <w:bookmarkStart w:id="1317" w:name="_Toc376199505"/>
            <w:r w:rsidRPr="006645DC">
              <w:rPr>
                <w:rFonts w:cs="Calibri"/>
                <w:color w:val="000000"/>
                <w:lang w:val="en-GB"/>
              </w:rPr>
              <w:t>21.1</w:t>
            </w:r>
            <w:bookmarkEnd w:id="1317"/>
          </w:p>
        </w:tc>
        <w:tc>
          <w:tcPr>
            <w:tcW w:w="1814" w:type="dxa"/>
            <w:vAlign w:val="center"/>
          </w:tcPr>
          <w:p w14:paraId="011C46CE" w14:textId="77777777" w:rsidR="0064018D" w:rsidRPr="006645DC" w:rsidRDefault="0064018D" w:rsidP="006F47B6">
            <w:pPr>
              <w:keepNext/>
              <w:keepLines/>
              <w:spacing w:before="0" w:after="0"/>
              <w:jc w:val="right"/>
              <w:outlineLvl w:val="1"/>
              <w:rPr>
                <w:rFonts w:cs="Calibri"/>
                <w:color w:val="000000"/>
                <w:lang w:val="en-GB"/>
              </w:rPr>
            </w:pPr>
            <w:bookmarkStart w:id="1318" w:name="_Toc376199506"/>
            <w:r w:rsidRPr="006645DC">
              <w:rPr>
                <w:rFonts w:cs="Calibri"/>
                <w:color w:val="000000"/>
                <w:lang w:val="en-GB"/>
              </w:rPr>
              <w:t>26.1</w:t>
            </w:r>
            <w:bookmarkEnd w:id="1318"/>
          </w:p>
        </w:tc>
        <w:tc>
          <w:tcPr>
            <w:tcW w:w="2409" w:type="dxa"/>
            <w:vAlign w:val="center"/>
          </w:tcPr>
          <w:p w14:paraId="34D50E2D" w14:textId="77777777" w:rsidR="0064018D" w:rsidRPr="006645DC" w:rsidRDefault="0064018D" w:rsidP="006F47B6">
            <w:pPr>
              <w:keepNext/>
              <w:keepLines/>
              <w:spacing w:before="0" w:after="0"/>
              <w:jc w:val="right"/>
              <w:outlineLvl w:val="1"/>
              <w:rPr>
                <w:rFonts w:cs="Calibri"/>
                <w:color w:val="000000"/>
                <w:lang w:val="en-GB"/>
              </w:rPr>
            </w:pPr>
            <w:bookmarkStart w:id="1319" w:name="_Toc376199507"/>
            <w:r w:rsidRPr="006645DC">
              <w:rPr>
                <w:rFonts w:cs="Calibri"/>
                <w:color w:val="000000"/>
                <w:lang w:val="en-GB"/>
              </w:rPr>
              <w:t>-0.1</w:t>
            </w:r>
            <w:bookmarkEnd w:id="1319"/>
          </w:p>
        </w:tc>
      </w:tr>
      <w:tr w:rsidR="0064018D" w:rsidRPr="006645DC" w14:paraId="0D7764B8" w14:textId="77777777" w:rsidTr="006F47B6">
        <w:trPr>
          <w:trHeight w:val="294"/>
          <w:jc w:val="center"/>
        </w:trPr>
        <w:tc>
          <w:tcPr>
            <w:tcW w:w="1587" w:type="dxa"/>
            <w:vAlign w:val="center"/>
          </w:tcPr>
          <w:p w14:paraId="0EDF6CF7" w14:textId="77777777" w:rsidR="0064018D" w:rsidRPr="006645DC" w:rsidRDefault="0064018D" w:rsidP="006F47B6">
            <w:pPr>
              <w:keepNext/>
              <w:keepLines/>
              <w:spacing w:before="0" w:after="0"/>
              <w:jc w:val="left"/>
              <w:outlineLvl w:val="1"/>
              <w:rPr>
                <w:rFonts w:cs="Calibri"/>
                <w:b/>
                <w:color w:val="000000"/>
                <w:lang w:val="en-GB"/>
              </w:rPr>
            </w:pPr>
            <w:bookmarkStart w:id="1320" w:name="_Toc376199508"/>
            <w:r w:rsidRPr="006645DC">
              <w:rPr>
                <w:rFonts w:cs="Calibri"/>
                <w:b/>
                <w:color w:val="000000"/>
                <w:lang w:val="en-GB"/>
              </w:rPr>
              <w:t>Dolj</w:t>
            </w:r>
            <w:bookmarkEnd w:id="1320"/>
          </w:p>
        </w:tc>
        <w:tc>
          <w:tcPr>
            <w:tcW w:w="1701" w:type="dxa"/>
            <w:vAlign w:val="center"/>
          </w:tcPr>
          <w:p w14:paraId="2C63EEDD" w14:textId="77777777" w:rsidR="0064018D" w:rsidRPr="006645DC" w:rsidRDefault="0064018D" w:rsidP="006F47B6">
            <w:pPr>
              <w:keepNext/>
              <w:keepLines/>
              <w:spacing w:before="0" w:after="0"/>
              <w:jc w:val="right"/>
              <w:outlineLvl w:val="1"/>
              <w:rPr>
                <w:rFonts w:cs="Calibri"/>
                <w:color w:val="000000"/>
                <w:lang w:val="en-GB"/>
              </w:rPr>
            </w:pPr>
            <w:bookmarkStart w:id="1321" w:name="_Toc376199509"/>
            <w:r w:rsidRPr="006645DC">
              <w:rPr>
                <w:rFonts w:cs="Calibri"/>
                <w:color w:val="000000"/>
                <w:lang w:val="en-GB"/>
              </w:rPr>
              <w:t>44.7</w:t>
            </w:r>
            <w:bookmarkEnd w:id="1321"/>
          </w:p>
        </w:tc>
        <w:tc>
          <w:tcPr>
            <w:tcW w:w="1814" w:type="dxa"/>
            <w:vAlign w:val="center"/>
          </w:tcPr>
          <w:p w14:paraId="10CF516E" w14:textId="77777777" w:rsidR="0064018D" w:rsidRPr="006645DC" w:rsidRDefault="0064018D" w:rsidP="006F47B6">
            <w:pPr>
              <w:keepNext/>
              <w:keepLines/>
              <w:spacing w:before="0" w:after="0"/>
              <w:jc w:val="right"/>
              <w:outlineLvl w:val="1"/>
              <w:rPr>
                <w:rFonts w:cs="Calibri"/>
                <w:color w:val="000000"/>
                <w:lang w:val="en-GB"/>
              </w:rPr>
            </w:pPr>
            <w:bookmarkStart w:id="1322" w:name="_Toc376199510"/>
            <w:r w:rsidRPr="006645DC">
              <w:rPr>
                <w:rFonts w:cs="Calibri"/>
                <w:color w:val="000000"/>
                <w:lang w:val="en-GB"/>
              </w:rPr>
              <w:t>40.9</w:t>
            </w:r>
            <w:bookmarkEnd w:id="1322"/>
          </w:p>
        </w:tc>
        <w:tc>
          <w:tcPr>
            <w:tcW w:w="1814" w:type="dxa"/>
            <w:noWrap/>
            <w:vAlign w:val="center"/>
          </w:tcPr>
          <w:p w14:paraId="7C73A4D3" w14:textId="77777777" w:rsidR="0064018D" w:rsidRPr="006645DC" w:rsidRDefault="0064018D" w:rsidP="006F47B6">
            <w:pPr>
              <w:keepNext/>
              <w:keepLines/>
              <w:spacing w:before="0" w:after="0"/>
              <w:jc w:val="right"/>
              <w:outlineLvl w:val="1"/>
              <w:rPr>
                <w:rFonts w:cs="Calibri"/>
                <w:color w:val="000000"/>
                <w:lang w:val="en-GB"/>
              </w:rPr>
            </w:pPr>
            <w:bookmarkStart w:id="1323" w:name="_Toc376199511"/>
            <w:r w:rsidRPr="006645DC">
              <w:rPr>
                <w:rFonts w:cs="Calibri"/>
                <w:color w:val="000000"/>
                <w:lang w:val="en-GB"/>
              </w:rPr>
              <w:t>47.6</w:t>
            </w:r>
            <w:bookmarkEnd w:id="1323"/>
          </w:p>
        </w:tc>
        <w:tc>
          <w:tcPr>
            <w:tcW w:w="2409" w:type="dxa"/>
            <w:vAlign w:val="center"/>
          </w:tcPr>
          <w:p w14:paraId="7B8737DF" w14:textId="77777777" w:rsidR="0064018D" w:rsidRPr="006645DC" w:rsidRDefault="0064018D" w:rsidP="006F47B6">
            <w:pPr>
              <w:keepNext/>
              <w:keepLines/>
              <w:spacing w:before="0" w:after="0"/>
              <w:jc w:val="right"/>
              <w:outlineLvl w:val="1"/>
              <w:rPr>
                <w:rFonts w:cs="Calibri"/>
                <w:color w:val="000000"/>
                <w:lang w:val="en-GB"/>
              </w:rPr>
            </w:pPr>
            <w:bookmarkStart w:id="1324" w:name="_Toc376199512"/>
            <w:r w:rsidRPr="006645DC">
              <w:rPr>
                <w:rFonts w:cs="Calibri"/>
                <w:color w:val="000000"/>
                <w:lang w:val="en-GB"/>
              </w:rPr>
              <w:t>3.8</w:t>
            </w:r>
            <w:bookmarkEnd w:id="1324"/>
          </w:p>
        </w:tc>
      </w:tr>
      <w:tr w:rsidR="0064018D" w:rsidRPr="006645DC" w14:paraId="18E2F370" w14:textId="77777777" w:rsidTr="006F47B6">
        <w:trPr>
          <w:trHeight w:val="294"/>
          <w:jc w:val="center"/>
        </w:trPr>
        <w:tc>
          <w:tcPr>
            <w:tcW w:w="1587" w:type="dxa"/>
            <w:vAlign w:val="center"/>
          </w:tcPr>
          <w:p w14:paraId="385FA051" w14:textId="77777777" w:rsidR="0064018D" w:rsidRPr="006645DC" w:rsidRDefault="0064018D" w:rsidP="006F47B6">
            <w:pPr>
              <w:keepNext/>
              <w:keepLines/>
              <w:spacing w:before="0" w:after="0"/>
              <w:jc w:val="left"/>
              <w:outlineLvl w:val="1"/>
              <w:rPr>
                <w:rFonts w:cs="Calibri"/>
                <w:b/>
                <w:color w:val="000000"/>
                <w:lang w:val="en-GB"/>
              </w:rPr>
            </w:pPr>
            <w:bookmarkStart w:id="1325" w:name="_Toc376199513"/>
            <w:r w:rsidRPr="006645DC">
              <w:rPr>
                <w:rFonts w:cs="Calibri"/>
                <w:b/>
                <w:color w:val="000000"/>
                <w:lang w:val="en-GB"/>
              </w:rPr>
              <w:t>Mehedinţi</w:t>
            </w:r>
            <w:bookmarkEnd w:id="1325"/>
          </w:p>
        </w:tc>
        <w:tc>
          <w:tcPr>
            <w:tcW w:w="1701" w:type="dxa"/>
            <w:vAlign w:val="center"/>
          </w:tcPr>
          <w:p w14:paraId="4796031D" w14:textId="77777777" w:rsidR="0064018D" w:rsidRPr="006645DC" w:rsidRDefault="0064018D" w:rsidP="006F47B6">
            <w:pPr>
              <w:keepNext/>
              <w:keepLines/>
              <w:spacing w:before="0" w:after="0"/>
              <w:jc w:val="right"/>
              <w:outlineLvl w:val="1"/>
              <w:rPr>
                <w:rFonts w:cs="Calibri"/>
                <w:color w:val="000000"/>
                <w:lang w:val="en-GB"/>
              </w:rPr>
            </w:pPr>
            <w:bookmarkStart w:id="1326" w:name="_Toc376199514"/>
            <w:r w:rsidRPr="006645DC">
              <w:rPr>
                <w:rFonts w:cs="Calibri"/>
                <w:color w:val="000000"/>
                <w:lang w:val="en-GB"/>
              </w:rPr>
              <w:t>35.9</w:t>
            </w:r>
            <w:bookmarkEnd w:id="1326"/>
          </w:p>
        </w:tc>
        <w:tc>
          <w:tcPr>
            <w:tcW w:w="1814" w:type="dxa"/>
            <w:vAlign w:val="center"/>
          </w:tcPr>
          <w:p w14:paraId="61025882" w14:textId="77777777" w:rsidR="0064018D" w:rsidRPr="006645DC" w:rsidRDefault="0064018D" w:rsidP="006F47B6">
            <w:pPr>
              <w:keepNext/>
              <w:keepLines/>
              <w:spacing w:before="0" w:after="0"/>
              <w:jc w:val="right"/>
              <w:outlineLvl w:val="1"/>
              <w:rPr>
                <w:rFonts w:cs="Calibri"/>
                <w:color w:val="000000"/>
                <w:lang w:val="en-GB"/>
              </w:rPr>
            </w:pPr>
            <w:bookmarkStart w:id="1327" w:name="_Toc376199515"/>
            <w:r w:rsidRPr="006645DC">
              <w:rPr>
                <w:rFonts w:cs="Calibri"/>
                <w:color w:val="000000"/>
                <w:lang w:val="en-GB"/>
              </w:rPr>
              <w:t>34.4</w:t>
            </w:r>
            <w:bookmarkEnd w:id="1327"/>
          </w:p>
        </w:tc>
        <w:tc>
          <w:tcPr>
            <w:tcW w:w="1814" w:type="dxa"/>
            <w:vAlign w:val="center"/>
          </w:tcPr>
          <w:p w14:paraId="320A5F6D" w14:textId="77777777" w:rsidR="0064018D" w:rsidRPr="006645DC" w:rsidRDefault="0064018D" w:rsidP="006F47B6">
            <w:pPr>
              <w:keepNext/>
              <w:keepLines/>
              <w:spacing w:before="0" w:after="0"/>
              <w:jc w:val="right"/>
              <w:outlineLvl w:val="1"/>
              <w:rPr>
                <w:rFonts w:cs="Calibri"/>
                <w:color w:val="000000"/>
                <w:lang w:val="en-GB"/>
              </w:rPr>
            </w:pPr>
            <w:bookmarkStart w:id="1328" w:name="_Toc376199516"/>
            <w:r w:rsidRPr="006645DC">
              <w:rPr>
                <w:rFonts w:cs="Calibri"/>
                <w:color w:val="000000"/>
                <w:lang w:val="en-GB"/>
              </w:rPr>
              <w:t>50.1</w:t>
            </w:r>
            <w:bookmarkEnd w:id="1328"/>
          </w:p>
        </w:tc>
        <w:tc>
          <w:tcPr>
            <w:tcW w:w="2409" w:type="dxa"/>
            <w:vAlign w:val="center"/>
          </w:tcPr>
          <w:p w14:paraId="52FB9729" w14:textId="77777777" w:rsidR="0064018D" w:rsidRPr="006645DC" w:rsidRDefault="0064018D" w:rsidP="006F47B6">
            <w:pPr>
              <w:keepNext/>
              <w:keepLines/>
              <w:spacing w:before="0" w:after="0"/>
              <w:jc w:val="right"/>
              <w:outlineLvl w:val="1"/>
              <w:rPr>
                <w:rFonts w:cs="Calibri"/>
                <w:color w:val="000000"/>
                <w:lang w:val="en-GB"/>
              </w:rPr>
            </w:pPr>
            <w:bookmarkStart w:id="1329" w:name="_Toc376199517"/>
            <w:r w:rsidRPr="006645DC">
              <w:rPr>
                <w:rFonts w:cs="Calibri"/>
                <w:color w:val="000000"/>
                <w:lang w:val="en-GB"/>
              </w:rPr>
              <w:t>1.1</w:t>
            </w:r>
            <w:bookmarkEnd w:id="1329"/>
          </w:p>
        </w:tc>
      </w:tr>
      <w:tr w:rsidR="0064018D" w:rsidRPr="006645DC" w14:paraId="425C8095" w14:textId="77777777" w:rsidTr="006F47B6">
        <w:trPr>
          <w:trHeight w:val="294"/>
          <w:jc w:val="center"/>
        </w:trPr>
        <w:tc>
          <w:tcPr>
            <w:tcW w:w="1587" w:type="dxa"/>
            <w:vAlign w:val="center"/>
          </w:tcPr>
          <w:p w14:paraId="55A1C69C" w14:textId="77777777" w:rsidR="0064018D" w:rsidRPr="006645DC" w:rsidRDefault="0064018D" w:rsidP="006F47B6">
            <w:pPr>
              <w:keepNext/>
              <w:keepLines/>
              <w:spacing w:before="0" w:after="0"/>
              <w:jc w:val="left"/>
              <w:outlineLvl w:val="1"/>
              <w:rPr>
                <w:rFonts w:cs="Calibri"/>
                <w:b/>
                <w:color w:val="000000"/>
                <w:lang w:val="en-GB"/>
              </w:rPr>
            </w:pPr>
            <w:bookmarkStart w:id="1330" w:name="_Toc376199518"/>
            <w:r w:rsidRPr="006645DC">
              <w:rPr>
                <w:rFonts w:cs="Calibri"/>
                <w:b/>
                <w:color w:val="000000"/>
                <w:lang w:val="en-GB"/>
              </w:rPr>
              <w:t>Olt</w:t>
            </w:r>
            <w:bookmarkEnd w:id="1330"/>
          </w:p>
        </w:tc>
        <w:tc>
          <w:tcPr>
            <w:tcW w:w="1701" w:type="dxa"/>
            <w:vAlign w:val="center"/>
          </w:tcPr>
          <w:p w14:paraId="3A4D2DFB" w14:textId="77777777" w:rsidR="0064018D" w:rsidRPr="006645DC" w:rsidRDefault="0064018D" w:rsidP="006F47B6">
            <w:pPr>
              <w:keepNext/>
              <w:keepLines/>
              <w:spacing w:before="0" w:after="0"/>
              <w:jc w:val="right"/>
              <w:outlineLvl w:val="1"/>
              <w:rPr>
                <w:rFonts w:cs="Calibri"/>
                <w:color w:val="000000"/>
                <w:lang w:val="en-GB"/>
              </w:rPr>
            </w:pPr>
            <w:bookmarkStart w:id="1331" w:name="_Toc376199519"/>
            <w:r w:rsidRPr="006645DC">
              <w:rPr>
                <w:rFonts w:cs="Calibri"/>
                <w:color w:val="000000"/>
                <w:lang w:val="en-GB"/>
              </w:rPr>
              <w:t>26.5</w:t>
            </w:r>
            <w:bookmarkEnd w:id="1331"/>
          </w:p>
        </w:tc>
        <w:tc>
          <w:tcPr>
            <w:tcW w:w="1814" w:type="dxa"/>
            <w:vAlign w:val="center"/>
          </w:tcPr>
          <w:p w14:paraId="3DE9D1D2" w14:textId="77777777" w:rsidR="0064018D" w:rsidRPr="006645DC" w:rsidRDefault="0064018D" w:rsidP="006F47B6">
            <w:pPr>
              <w:keepNext/>
              <w:keepLines/>
              <w:spacing w:before="0" w:after="0"/>
              <w:jc w:val="right"/>
              <w:outlineLvl w:val="1"/>
              <w:rPr>
                <w:rFonts w:cs="Calibri"/>
                <w:color w:val="000000"/>
                <w:lang w:val="en-GB"/>
              </w:rPr>
            </w:pPr>
            <w:bookmarkStart w:id="1332" w:name="_Toc376199520"/>
            <w:r w:rsidRPr="006645DC">
              <w:rPr>
                <w:rFonts w:cs="Calibri"/>
                <w:color w:val="000000"/>
                <w:lang w:val="en-GB"/>
              </w:rPr>
              <w:t>25.9</w:t>
            </w:r>
            <w:bookmarkEnd w:id="1332"/>
          </w:p>
        </w:tc>
        <w:tc>
          <w:tcPr>
            <w:tcW w:w="1814" w:type="dxa"/>
            <w:vAlign w:val="center"/>
          </w:tcPr>
          <w:p w14:paraId="4E2344BF" w14:textId="77777777" w:rsidR="0064018D" w:rsidRPr="006645DC" w:rsidRDefault="0064018D" w:rsidP="006F47B6">
            <w:pPr>
              <w:keepNext/>
              <w:keepLines/>
              <w:spacing w:before="0" w:after="0"/>
              <w:jc w:val="right"/>
              <w:outlineLvl w:val="1"/>
              <w:rPr>
                <w:rFonts w:cs="Calibri"/>
                <w:color w:val="000000"/>
                <w:lang w:val="en-GB"/>
              </w:rPr>
            </w:pPr>
            <w:bookmarkStart w:id="1333" w:name="_Toc376199521"/>
            <w:r w:rsidRPr="006645DC">
              <w:rPr>
                <w:rFonts w:cs="Calibri"/>
                <w:color w:val="000000"/>
                <w:lang w:val="en-GB"/>
              </w:rPr>
              <w:t>33.4</w:t>
            </w:r>
            <w:bookmarkEnd w:id="1333"/>
          </w:p>
        </w:tc>
        <w:tc>
          <w:tcPr>
            <w:tcW w:w="2409" w:type="dxa"/>
            <w:vAlign w:val="center"/>
          </w:tcPr>
          <w:p w14:paraId="3A113CF6" w14:textId="77777777" w:rsidR="0064018D" w:rsidRPr="006645DC" w:rsidRDefault="0064018D" w:rsidP="006F47B6">
            <w:pPr>
              <w:keepNext/>
              <w:keepLines/>
              <w:spacing w:before="0" w:after="0"/>
              <w:jc w:val="right"/>
              <w:outlineLvl w:val="1"/>
              <w:rPr>
                <w:rFonts w:cs="Calibri"/>
                <w:color w:val="000000"/>
                <w:lang w:val="en-GB"/>
              </w:rPr>
            </w:pPr>
            <w:bookmarkStart w:id="1334" w:name="_Toc376199522"/>
            <w:r w:rsidRPr="006645DC">
              <w:rPr>
                <w:rFonts w:cs="Calibri"/>
                <w:color w:val="000000"/>
                <w:lang w:val="en-GB"/>
              </w:rPr>
              <w:t>0.6</w:t>
            </w:r>
            <w:bookmarkEnd w:id="1334"/>
          </w:p>
        </w:tc>
      </w:tr>
    </w:tbl>
    <w:p w14:paraId="71BDBE73" w14:textId="77777777" w:rsidR="0064018D" w:rsidRPr="006645DC" w:rsidRDefault="00420C97" w:rsidP="00420C97">
      <w:pPr>
        <w:pStyle w:val="Caption"/>
        <w:rPr>
          <w:lang w:val="en-GB"/>
        </w:rPr>
      </w:pPr>
      <w:bookmarkStart w:id="1335" w:name="_Toc391150132"/>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35</w:t>
      </w:r>
      <w:r w:rsidR="005979EB" w:rsidRPr="006645DC">
        <w:rPr>
          <w:lang w:val="en-GB"/>
        </w:rPr>
        <w:fldChar w:fldCharType="end"/>
      </w:r>
      <w:r w:rsidRPr="006645DC">
        <w:rPr>
          <w:lang w:val="en-GB"/>
        </w:rPr>
        <w:t xml:space="preserve"> - </w:t>
      </w:r>
      <w:r w:rsidR="0064018D" w:rsidRPr="006645DC">
        <w:rPr>
          <w:lang w:val="en-GB"/>
        </w:rPr>
        <w:t>Population having houses connected to public facilities/networks for sewage,wastewater treatment  and drinking water</w:t>
      </w:r>
      <w:bookmarkEnd w:id="1335"/>
    </w:p>
    <w:p w14:paraId="17403851" w14:textId="77777777" w:rsidR="0064018D" w:rsidRPr="006645DC" w:rsidRDefault="0064018D" w:rsidP="0064018D">
      <w:pPr>
        <w:pStyle w:val="Heading4"/>
        <w:rPr>
          <w:lang w:val="en-GB"/>
        </w:rPr>
      </w:pPr>
      <w:r w:rsidRPr="006645DC">
        <w:rPr>
          <w:lang w:val="en-GB"/>
        </w:rPr>
        <w:t>Source: The National Institute of Statistics</w:t>
      </w:r>
      <w:r w:rsidR="00FD0316" w:rsidRPr="006645DC">
        <w:rPr>
          <w:lang w:val="en-GB"/>
        </w:rPr>
        <w:t xml:space="preserve"> Romania</w:t>
      </w:r>
    </w:p>
    <w:p w14:paraId="15BD3CB1" w14:textId="77777777" w:rsidR="0064018D" w:rsidRPr="006645DC" w:rsidRDefault="0064018D" w:rsidP="0064018D">
      <w:pPr>
        <w:rPr>
          <w:lang w:val="en-GB"/>
        </w:rPr>
      </w:pPr>
    </w:p>
    <w:p w14:paraId="17CE0DCC" w14:textId="77777777" w:rsidR="0064018D" w:rsidRPr="006645DC" w:rsidRDefault="0064018D" w:rsidP="0064018D">
      <w:pPr>
        <w:rPr>
          <w:lang w:val="en-GB"/>
        </w:rPr>
      </w:pPr>
      <w:r w:rsidRPr="006645DC">
        <w:rPr>
          <w:lang w:val="en-GB"/>
        </w:rPr>
        <w:t xml:space="preserve">The table before indicates the differences that affect the different Romanian counties in the cross-border area in terms of access of the population to the main urban utilities networks. All the counties, with the notable exception of Constanta and Dolj, are for all the 3 types of utilities under the national average. Some of them are even worryingly low: only one fifth of the population of Giurgiu is connected to sewage and to </w:t>
      </w:r>
      <w:r w:rsidR="00982279" w:rsidRPr="006645DC">
        <w:rPr>
          <w:lang w:val="en-GB"/>
        </w:rPr>
        <w:t>waste water</w:t>
      </w:r>
      <w:r w:rsidRPr="006645DC">
        <w:rPr>
          <w:lang w:val="en-GB"/>
        </w:rPr>
        <w:t xml:space="preserve"> treatment. </w:t>
      </w:r>
    </w:p>
    <w:p w14:paraId="56F40720" w14:textId="77777777" w:rsidR="0064018D" w:rsidRPr="006645DC" w:rsidRDefault="0064018D" w:rsidP="0064018D">
      <w:pPr>
        <w:rPr>
          <w:lang w:val="en-GB"/>
        </w:rPr>
      </w:pPr>
      <w:r w:rsidRPr="006645DC">
        <w:rPr>
          <w:lang w:val="en-GB"/>
        </w:rPr>
        <w:t xml:space="preserve">The access to public drinking water and other basic facilities are essential to both the attractiveness of a territory and for a sustainable socio-economic development taking care of environmental issues. In an area with such important environmental assets the access to basic public utilities of the resident population is without doubt one of the first steps for ensuring quality of life (with its demographic stability corollary) and the protection of the environment. </w:t>
      </w:r>
    </w:p>
    <w:p w14:paraId="6AC2436B" w14:textId="77777777" w:rsidR="0064018D" w:rsidRPr="006645DC" w:rsidRDefault="00AA4C82" w:rsidP="0064018D">
      <w:pPr>
        <w:pStyle w:val="BodyText2"/>
        <w:spacing w:after="0"/>
        <w:jc w:val="center"/>
        <w:rPr>
          <w:rFonts w:ascii="Calibri" w:hAnsi="Calibri" w:cs="Times New Roman"/>
          <w:b w:val="0"/>
          <w:bCs w:val="0"/>
          <w:lang w:val="en-GB"/>
        </w:rPr>
      </w:pPr>
      <w:r w:rsidRPr="006645DC">
        <w:rPr>
          <w:rFonts w:ascii="Calibri" w:hAnsi="Calibri" w:cs="Times New Roman"/>
          <w:b w:val="0"/>
          <w:noProof/>
          <w:snapToGrid/>
          <w:lang w:val="bg-BG" w:eastAsia="bg-BG"/>
        </w:rPr>
        <w:lastRenderedPageBreak/>
        <w:drawing>
          <wp:inline distT="0" distB="0" distL="0" distR="0" wp14:anchorId="1E5BD3F0" wp14:editId="43DE684B">
            <wp:extent cx="4762500" cy="5619750"/>
            <wp:effectExtent l="19050" t="0" r="0" b="0"/>
            <wp:docPr id="75"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05"/>
                    <a:srcRect/>
                    <a:stretch>
                      <a:fillRect/>
                    </a:stretch>
                  </pic:blipFill>
                  <pic:spPr bwMode="auto">
                    <a:xfrm>
                      <a:off x="0" y="0"/>
                      <a:ext cx="4762500" cy="5619750"/>
                    </a:xfrm>
                    <a:prstGeom prst="rect">
                      <a:avLst/>
                    </a:prstGeom>
                    <a:solidFill>
                      <a:srgbClr val="FFFFFF"/>
                    </a:solidFill>
                    <a:ln w="9525">
                      <a:noFill/>
                      <a:miter lim="800000"/>
                      <a:headEnd/>
                      <a:tailEnd/>
                    </a:ln>
                  </pic:spPr>
                </pic:pic>
              </a:graphicData>
            </a:graphic>
          </wp:inline>
        </w:drawing>
      </w:r>
    </w:p>
    <w:p w14:paraId="39A1562F" w14:textId="77777777" w:rsidR="0064018D" w:rsidRPr="006645DC" w:rsidRDefault="00420C97" w:rsidP="00420C97">
      <w:pPr>
        <w:pStyle w:val="Caption"/>
        <w:rPr>
          <w:lang w:val="en-GB"/>
        </w:rPr>
      </w:pPr>
      <w:bookmarkStart w:id="1336" w:name="_Toc391150029"/>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25</w:t>
      </w:r>
      <w:r w:rsidR="005979EB" w:rsidRPr="006645DC">
        <w:rPr>
          <w:lang w:val="en-GB"/>
        </w:rPr>
        <w:fldChar w:fldCharType="end"/>
      </w:r>
      <w:r w:rsidRPr="006645DC">
        <w:rPr>
          <w:lang w:val="en-GB"/>
        </w:rPr>
        <w:t xml:space="preserve"> - </w:t>
      </w:r>
      <w:r w:rsidR="0064018D" w:rsidRPr="006645DC">
        <w:rPr>
          <w:lang w:val="en-GB"/>
        </w:rPr>
        <w:t>Wastewater treatment capacity, NUTS2 level</w:t>
      </w:r>
      <w:bookmarkEnd w:id="1336"/>
    </w:p>
    <w:p w14:paraId="7D741BA4" w14:textId="77777777" w:rsidR="0064018D" w:rsidRPr="006645DC" w:rsidRDefault="0064018D" w:rsidP="0064018D">
      <w:pPr>
        <w:pStyle w:val="Heading4"/>
        <w:rPr>
          <w:lang w:val="en-GB"/>
        </w:rPr>
      </w:pPr>
      <w:r w:rsidRPr="006645DC">
        <w:rPr>
          <w:lang w:val="en-GB"/>
        </w:rPr>
        <w:t xml:space="preserve"> Source: DG Regio</w:t>
      </w:r>
    </w:p>
    <w:p w14:paraId="6A556939" w14:textId="77777777" w:rsidR="0064018D" w:rsidRPr="006645DC" w:rsidRDefault="0064018D" w:rsidP="0064018D">
      <w:pPr>
        <w:rPr>
          <w:lang w:val="en-GB"/>
        </w:rPr>
      </w:pPr>
    </w:p>
    <w:p w14:paraId="69B29947" w14:textId="77777777" w:rsidR="0064018D" w:rsidRPr="006645DC" w:rsidRDefault="0064018D" w:rsidP="0064018D">
      <w:pPr>
        <w:rPr>
          <w:lang w:val="en-GB"/>
        </w:rPr>
      </w:pPr>
      <w:r w:rsidRPr="006645DC">
        <w:rPr>
          <w:lang w:val="en-GB"/>
        </w:rPr>
        <w:t xml:space="preserve">According to the EVOLUTION project survey results, which add a qualitative input to the statistical-quantitative picture, over 70% of the households in both cross-border areas have declared that at least a type of social services needed to be developed in their localities. In the Romanian area, the most mentioned are green spaces (36.3% of households), cultural units (22.9%), parking places (21.5%) and </w:t>
      </w:r>
      <w:r w:rsidRPr="006645DC">
        <w:rPr>
          <w:lang w:val="en-GB"/>
        </w:rPr>
        <w:lastRenderedPageBreak/>
        <w:t xml:space="preserve">health units (20.8%). In the Bulgarian area, the most mentioned are cultural units (29.5%), green spaces (28.2%) and sports centres (27.3%). </w:t>
      </w:r>
    </w:p>
    <w:p w14:paraId="03AF3660" w14:textId="77777777" w:rsidR="0064018D" w:rsidRPr="006645DC" w:rsidRDefault="00AA4C82" w:rsidP="0064018D">
      <w:pPr>
        <w:autoSpaceDE w:val="0"/>
        <w:autoSpaceDN w:val="0"/>
        <w:adjustRightInd w:val="0"/>
        <w:jc w:val="center"/>
        <w:rPr>
          <w:sz w:val="24"/>
          <w:szCs w:val="24"/>
          <w:lang w:val="en-GB"/>
        </w:rPr>
      </w:pPr>
      <w:r w:rsidRPr="006645DC">
        <w:rPr>
          <w:noProof/>
          <w:sz w:val="24"/>
          <w:szCs w:val="24"/>
          <w:lang w:val="bg-BG" w:eastAsia="bg-BG"/>
        </w:rPr>
        <w:drawing>
          <wp:inline distT="0" distB="0" distL="0" distR="0" wp14:anchorId="4653D160" wp14:editId="18941855">
            <wp:extent cx="4667250" cy="2543175"/>
            <wp:effectExtent l="19050" t="0" r="0" b="0"/>
            <wp:docPr id="76"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06"/>
                    <a:srcRect/>
                    <a:stretch>
                      <a:fillRect/>
                    </a:stretch>
                  </pic:blipFill>
                  <pic:spPr bwMode="auto">
                    <a:xfrm>
                      <a:off x="0" y="0"/>
                      <a:ext cx="4667250" cy="2543175"/>
                    </a:xfrm>
                    <a:prstGeom prst="rect">
                      <a:avLst/>
                    </a:prstGeom>
                    <a:noFill/>
                    <a:ln w="9525">
                      <a:noFill/>
                      <a:miter lim="800000"/>
                      <a:headEnd/>
                      <a:tailEnd/>
                    </a:ln>
                  </pic:spPr>
                </pic:pic>
              </a:graphicData>
            </a:graphic>
          </wp:inline>
        </w:drawing>
      </w:r>
    </w:p>
    <w:p w14:paraId="73C5C4D5" w14:textId="77777777" w:rsidR="0064018D" w:rsidRPr="006645DC" w:rsidRDefault="0064018D" w:rsidP="0064018D">
      <w:pPr>
        <w:pStyle w:val="BodyText"/>
        <w:tabs>
          <w:tab w:val="left" w:pos="1014"/>
        </w:tabs>
        <w:ind w:left="429" w:hanging="329"/>
        <w:rPr>
          <w:rFonts w:ascii="Calibri" w:hAnsi="Calibri" w:cs="Times New Roman"/>
          <w:b/>
          <w:color w:val="31849B"/>
          <w:highlight w:val="cyan"/>
          <w:lang w:val="en-GB"/>
        </w:rPr>
      </w:pPr>
    </w:p>
    <w:p w14:paraId="051D15EB" w14:textId="77777777" w:rsidR="0064018D" w:rsidRPr="006645DC" w:rsidRDefault="0064018D" w:rsidP="0064018D">
      <w:pPr>
        <w:pStyle w:val="BodyText"/>
        <w:tabs>
          <w:tab w:val="left" w:pos="1014"/>
        </w:tabs>
        <w:ind w:left="429" w:hanging="329"/>
        <w:jc w:val="center"/>
        <w:rPr>
          <w:rFonts w:ascii="Calibri" w:hAnsi="Calibri" w:cs="Times New Roman"/>
          <w:b/>
          <w:color w:val="31849B"/>
          <w:highlight w:val="cyan"/>
          <w:lang w:val="en-GB"/>
        </w:rPr>
      </w:pPr>
    </w:p>
    <w:p w14:paraId="47DE99A2" w14:textId="77777777" w:rsidR="0064018D" w:rsidRPr="006645DC" w:rsidRDefault="00420C97" w:rsidP="00420C97">
      <w:pPr>
        <w:pStyle w:val="Caption"/>
        <w:rPr>
          <w:lang w:val="en-GB"/>
        </w:rPr>
      </w:pPr>
      <w:bookmarkStart w:id="1337" w:name="_Toc391150092"/>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43</w:t>
      </w:r>
      <w:r w:rsidR="005979EB" w:rsidRPr="006645DC">
        <w:rPr>
          <w:lang w:val="en-GB"/>
        </w:rPr>
        <w:fldChar w:fldCharType="end"/>
      </w:r>
      <w:r w:rsidRPr="006645DC">
        <w:rPr>
          <w:lang w:val="en-GB"/>
        </w:rPr>
        <w:t xml:space="preserve"> - </w:t>
      </w:r>
      <w:r w:rsidR="0064018D" w:rsidRPr="006645DC">
        <w:rPr>
          <w:lang w:val="en-GB"/>
        </w:rPr>
        <w:t>Household opinions regarding useful services to be implemented in the cross-border area</w:t>
      </w:r>
      <w:bookmarkEnd w:id="1337"/>
    </w:p>
    <w:p w14:paraId="41B8BDB5" w14:textId="77777777" w:rsidR="0064018D" w:rsidRPr="006645DC" w:rsidRDefault="0064018D" w:rsidP="0064018D">
      <w:pPr>
        <w:pStyle w:val="Heading4"/>
        <w:rPr>
          <w:lang w:val="en-GB"/>
        </w:rPr>
      </w:pPr>
      <w:r w:rsidRPr="006645DC">
        <w:rPr>
          <w:lang w:val="en-GB"/>
        </w:rPr>
        <w:t>Data source: EVOLUTION household survey</w:t>
      </w:r>
    </w:p>
    <w:p w14:paraId="6752AB22" w14:textId="77777777" w:rsidR="0064018D" w:rsidRPr="006645DC" w:rsidRDefault="0064018D" w:rsidP="0064018D">
      <w:pPr>
        <w:pStyle w:val="BodyText2"/>
        <w:spacing w:after="0"/>
        <w:jc w:val="center"/>
        <w:rPr>
          <w:rFonts w:ascii="Calibri" w:hAnsi="Calibri" w:cs="Times New Roman"/>
          <w:bCs w:val="0"/>
          <w:lang w:val="en-GB"/>
        </w:rPr>
      </w:pPr>
    </w:p>
    <w:p w14:paraId="697C2425" w14:textId="77777777" w:rsidR="0064018D" w:rsidRPr="006645DC" w:rsidRDefault="0064018D" w:rsidP="0064018D">
      <w:pPr>
        <w:pStyle w:val="Heading3"/>
        <w:rPr>
          <w:lang w:val="en-GB"/>
        </w:rPr>
      </w:pPr>
      <w:bookmarkStart w:id="1338" w:name="_Toc254543802"/>
      <w:r w:rsidRPr="006645DC">
        <w:rPr>
          <w:lang w:val="en-GB"/>
        </w:rPr>
        <w:t>Telecommunications</w:t>
      </w:r>
      <w:bookmarkEnd w:id="1338"/>
    </w:p>
    <w:p w14:paraId="5A8395C0" w14:textId="77777777" w:rsidR="0064018D" w:rsidRPr="006645DC" w:rsidRDefault="0064018D" w:rsidP="0064018D">
      <w:pPr>
        <w:rPr>
          <w:lang w:val="en-GB"/>
        </w:rPr>
      </w:pPr>
      <w:r w:rsidRPr="006645DC">
        <w:rPr>
          <w:lang w:val="en-GB"/>
        </w:rPr>
        <w:t xml:space="preserve">GSM network coverage (for both phone services and data transfer) needs to be extended. There are currently areas and localities without tis type of services. Access to high-speed broadband Internet is also under-developed in many areas. </w:t>
      </w:r>
    </w:p>
    <w:p w14:paraId="0514DFB0" w14:textId="77777777" w:rsidR="0064018D" w:rsidRPr="006645DC" w:rsidRDefault="0064018D" w:rsidP="0064018D">
      <w:pPr>
        <w:pStyle w:val="BodyText2"/>
        <w:spacing w:after="0"/>
        <w:jc w:val="both"/>
        <w:rPr>
          <w:rFonts w:ascii="Calibri" w:hAnsi="Calibri" w:cs="Times New Roman"/>
          <w:b w:val="0"/>
          <w:bCs w:val="0"/>
          <w:lang w:val="en-GB"/>
        </w:rPr>
      </w:pPr>
    </w:p>
    <w:p w14:paraId="0CD61CDC" w14:textId="77777777" w:rsidR="0064018D" w:rsidRPr="006645DC" w:rsidRDefault="00AA4C82" w:rsidP="0064018D">
      <w:pPr>
        <w:pStyle w:val="BodyText2"/>
        <w:spacing w:after="0"/>
        <w:jc w:val="center"/>
        <w:rPr>
          <w:rFonts w:ascii="Calibri" w:hAnsi="Calibri" w:cs="Times New Roman"/>
          <w:bCs w:val="0"/>
          <w:lang w:val="en-GB"/>
        </w:rPr>
      </w:pPr>
      <w:r w:rsidRPr="006645DC">
        <w:rPr>
          <w:rFonts w:ascii="Calibri" w:hAnsi="Calibri" w:cs="Times New Roman"/>
          <w:noProof/>
          <w:snapToGrid/>
          <w:lang w:val="bg-BG" w:eastAsia="bg-BG"/>
        </w:rPr>
        <w:lastRenderedPageBreak/>
        <w:drawing>
          <wp:inline distT="0" distB="0" distL="0" distR="0" wp14:anchorId="04764129" wp14:editId="47AE71EC">
            <wp:extent cx="6191250" cy="5886450"/>
            <wp:effectExtent l="19050" t="0" r="0" b="0"/>
            <wp:docPr id="77" name="Picture 131" descr="Description: Description: Trends_intern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Description: Description: Trends_internet.png"/>
                    <pic:cNvPicPr>
                      <a:picLocks noChangeAspect="1" noChangeArrowheads="1"/>
                    </pic:cNvPicPr>
                  </pic:nvPicPr>
                  <pic:blipFill>
                    <a:blip r:embed="rId107"/>
                    <a:srcRect/>
                    <a:stretch>
                      <a:fillRect/>
                    </a:stretch>
                  </pic:blipFill>
                  <pic:spPr bwMode="auto">
                    <a:xfrm>
                      <a:off x="0" y="0"/>
                      <a:ext cx="6191250" cy="5886450"/>
                    </a:xfrm>
                    <a:prstGeom prst="rect">
                      <a:avLst/>
                    </a:prstGeom>
                    <a:noFill/>
                    <a:ln w="9525">
                      <a:noFill/>
                      <a:miter lim="800000"/>
                      <a:headEnd/>
                      <a:tailEnd/>
                    </a:ln>
                  </pic:spPr>
                </pic:pic>
              </a:graphicData>
            </a:graphic>
          </wp:inline>
        </w:drawing>
      </w:r>
    </w:p>
    <w:p w14:paraId="0D1DE710" w14:textId="77777777" w:rsidR="0064018D" w:rsidRPr="006645DC" w:rsidRDefault="0064018D" w:rsidP="0064018D">
      <w:pPr>
        <w:pStyle w:val="Heading4"/>
        <w:rPr>
          <w:lang w:val="en-GB"/>
        </w:rPr>
      </w:pPr>
    </w:p>
    <w:p w14:paraId="4F35FAB2" w14:textId="77777777" w:rsidR="0064018D" w:rsidRPr="006645DC" w:rsidRDefault="00420C97" w:rsidP="00420C97">
      <w:pPr>
        <w:pStyle w:val="Caption"/>
        <w:rPr>
          <w:lang w:val="en-GB"/>
        </w:rPr>
      </w:pPr>
      <w:bookmarkStart w:id="1339" w:name="_Toc391150030"/>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26</w:t>
      </w:r>
      <w:r w:rsidR="005979EB" w:rsidRPr="006645DC">
        <w:rPr>
          <w:lang w:val="en-GB"/>
        </w:rPr>
        <w:fldChar w:fldCharType="end"/>
      </w:r>
      <w:r w:rsidRPr="006645DC">
        <w:rPr>
          <w:lang w:val="en-GB"/>
        </w:rPr>
        <w:t xml:space="preserve"> - </w:t>
      </w:r>
      <w:r w:rsidR="0064018D" w:rsidRPr="006645DC">
        <w:rPr>
          <w:lang w:val="en-GB"/>
        </w:rPr>
        <w:t>Percentage of households using high-speed Internet connections</w:t>
      </w:r>
      <w:bookmarkEnd w:id="1339"/>
    </w:p>
    <w:p w14:paraId="64DF6D1B" w14:textId="77777777" w:rsidR="0064018D" w:rsidRPr="006645DC" w:rsidRDefault="0064018D" w:rsidP="0064018D">
      <w:pPr>
        <w:pStyle w:val="Heading4"/>
        <w:rPr>
          <w:lang w:val="en-GB"/>
        </w:rPr>
      </w:pPr>
      <w:r w:rsidRPr="006645DC">
        <w:rPr>
          <w:lang w:val="en-GB"/>
        </w:rPr>
        <w:t>Source: ESPON</w:t>
      </w:r>
    </w:p>
    <w:p w14:paraId="6A699AF8" w14:textId="77777777" w:rsidR="0064018D" w:rsidRPr="006645DC" w:rsidRDefault="0064018D" w:rsidP="0064018D">
      <w:pPr>
        <w:rPr>
          <w:lang w:val="en-GB"/>
        </w:rPr>
      </w:pPr>
    </w:p>
    <w:p w14:paraId="706B0717" w14:textId="77777777" w:rsidR="0064018D" w:rsidRPr="006645DC" w:rsidRDefault="0064018D" w:rsidP="0064018D">
      <w:pPr>
        <w:pStyle w:val="Heading2"/>
        <w:rPr>
          <w:lang w:val="en-GB"/>
        </w:rPr>
      </w:pPr>
      <w:bookmarkStart w:id="1340" w:name="_Toc373340843"/>
      <w:bookmarkStart w:id="1341" w:name="_Toc376199523"/>
      <w:bookmarkStart w:id="1342" w:name="_Toc254543803"/>
      <w:bookmarkStart w:id="1343" w:name="_Toc391150185"/>
      <w:r w:rsidRPr="006645DC">
        <w:rPr>
          <w:lang w:val="en-GB"/>
        </w:rPr>
        <w:lastRenderedPageBreak/>
        <w:t>Poverty</w:t>
      </w:r>
      <w:bookmarkEnd w:id="1340"/>
      <w:bookmarkEnd w:id="1341"/>
      <w:bookmarkEnd w:id="1342"/>
      <w:bookmarkEnd w:id="1343"/>
    </w:p>
    <w:p w14:paraId="54FBE5E1" w14:textId="77777777" w:rsidR="0064018D" w:rsidRPr="006645DC" w:rsidRDefault="0064018D" w:rsidP="00C22A61">
      <w:pPr>
        <w:pStyle w:val="Heading3"/>
        <w:numPr>
          <w:ilvl w:val="0"/>
          <w:numId w:val="22"/>
        </w:numPr>
        <w:rPr>
          <w:lang w:val="en-GB"/>
        </w:rPr>
      </w:pPr>
      <w:bookmarkStart w:id="1344" w:name="_Toc254543804"/>
      <w:r w:rsidRPr="006645DC">
        <w:rPr>
          <w:lang w:val="en-GB"/>
        </w:rPr>
        <w:t>Poverty and social exclusion</w:t>
      </w:r>
      <w:bookmarkEnd w:id="1344"/>
    </w:p>
    <w:p w14:paraId="5EAED190" w14:textId="77777777" w:rsidR="0064018D" w:rsidRPr="006645DC" w:rsidRDefault="0064018D" w:rsidP="0064018D">
      <w:pPr>
        <w:rPr>
          <w:lang w:val="en-GB"/>
        </w:rPr>
      </w:pPr>
      <w:r w:rsidRPr="006645DC">
        <w:rPr>
          <w:lang w:val="en-GB"/>
        </w:rPr>
        <w:t>The development regions geographically located in the RO-BG cross-border region are among the poorest in the European Union. According to the data from the ESPON SIESTA project, the cross-border region falls in the category of regions with a high percentage of the population found at risk of poverty and social exclusion.</w:t>
      </w:r>
    </w:p>
    <w:p w14:paraId="73AA5F92" w14:textId="77777777" w:rsidR="0064018D" w:rsidRPr="006645DC" w:rsidRDefault="0064018D" w:rsidP="0064018D">
      <w:pPr>
        <w:rPr>
          <w:lang w:val="en-GB"/>
        </w:rPr>
      </w:pPr>
      <w:r w:rsidRPr="006645DC">
        <w:rPr>
          <w:lang w:val="en-GB"/>
        </w:rPr>
        <w:t xml:space="preserve">In Romania, between 2007-2010, there was a reduction of the discrepancy between the income of the richest and the income of the poorest. The same tendency was also visible in Bulgaria where the disparity between the incomes of the two categories of people is lower than the level in Romania. </w:t>
      </w:r>
    </w:p>
    <w:p w14:paraId="6A215135" w14:textId="77777777" w:rsidR="0064018D" w:rsidRPr="006645DC" w:rsidRDefault="00AA4C82" w:rsidP="0064018D">
      <w:pPr>
        <w:pStyle w:val="BodyText"/>
        <w:tabs>
          <w:tab w:val="left" w:pos="1014"/>
        </w:tabs>
        <w:ind w:left="429" w:hanging="329"/>
        <w:jc w:val="center"/>
        <w:rPr>
          <w:rFonts w:ascii="Calibri" w:hAnsi="Calibri" w:cs="Times New Roman"/>
          <w:b/>
          <w:color w:val="31849B"/>
          <w:highlight w:val="cyan"/>
          <w:lang w:val="en-GB"/>
        </w:rPr>
      </w:pPr>
      <w:r w:rsidRPr="006645DC">
        <w:rPr>
          <w:rFonts w:ascii="Calibri" w:hAnsi="Calibri" w:cs="Times New Roman"/>
          <w:b/>
          <w:noProof/>
          <w:snapToGrid/>
          <w:color w:val="31849B"/>
          <w:lang w:val="bg-BG" w:eastAsia="bg-BG"/>
        </w:rPr>
        <w:drawing>
          <wp:inline distT="0" distB="0" distL="0" distR="0" wp14:anchorId="0A555523" wp14:editId="06AFD07F">
            <wp:extent cx="5410200" cy="4429125"/>
            <wp:effectExtent l="19050" t="0" r="0" b="0"/>
            <wp:docPr id="78" name="Picture 132" descr="Description: Description: Population at risk of Poverty [Conver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Description: Description: Population at risk of Poverty [Converted].jpg"/>
                    <pic:cNvPicPr>
                      <a:picLocks noChangeAspect="1" noChangeArrowheads="1"/>
                    </pic:cNvPicPr>
                  </pic:nvPicPr>
                  <pic:blipFill>
                    <a:blip r:embed="rId108"/>
                    <a:srcRect/>
                    <a:stretch>
                      <a:fillRect/>
                    </a:stretch>
                  </pic:blipFill>
                  <pic:spPr bwMode="auto">
                    <a:xfrm>
                      <a:off x="0" y="0"/>
                      <a:ext cx="5410200" cy="4429125"/>
                    </a:xfrm>
                    <a:prstGeom prst="rect">
                      <a:avLst/>
                    </a:prstGeom>
                    <a:noFill/>
                    <a:ln w="9525">
                      <a:noFill/>
                      <a:miter lim="800000"/>
                      <a:headEnd/>
                      <a:tailEnd/>
                    </a:ln>
                  </pic:spPr>
                </pic:pic>
              </a:graphicData>
            </a:graphic>
          </wp:inline>
        </w:drawing>
      </w:r>
    </w:p>
    <w:p w14:paraId="1B35511F" w14:textId="77777777" w:rsidR="0064018D" w:rsidRPr="006645DC" w:rsidRDefault="0064018D" w:rsidP="0064018D">
      <w:pPr>
        <w:pStyle w:val="Heading4"/>
        <w:rPr>
          <w:lang w:val="en-GB"/>
        </w:rPr>
      </w:pPr>
    </w:p>
    <w:p w14:paraId="6775D732" w14:textId="77777777" w:rsidR="0064018D" w:rsidRPr="006645DC" w:rsidRDefault="00420C97" w:rsidP="00420C97">
      <w:pPr>
        <w:pStyle w:val="Caption"/>
        <w:rPr>
          <w:lang w:val="en-GB"/>
        </w:rPr>
      </w:pPr>
      <w:bookmarkStart w:id="1345" w:name="_Toc391150031"/>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27</w:t>
      </w:r>
      <w:r w:rsidR="005979EB" w:rsidRPr="006645DC">
        <w:rPr>
          <w:lang w:val="en-GB"/>
        </w:rPr>
        <w:fldChar w:fldCharType="end"/>
      </w:r>
      <w:r w:rsidRPr="006645DC">
        <w:rPr>
          <w:lang w:val="en-GB"/>
        </w:rPr>
        <w:t xml:space="preserve"> - </w:t>
      </w:r>
      <w:r w:rsidR="0064018D" w:rsidRPr="006645DC">
        <w:rPr>
          <w:lang w:val="en-GB"/>
        </w:rPr>
        <w:t>Percentage of population risking poverty or social exclusion %</w:t>
      </w:r>
      <w:bookmarkEnd w:id="1345"/>
    </w:p>
    <w:p w14:paraId="2ECD7733" w14:textId="77777777" w:rsidR="0064018D" w:rsidRPr="006645DC" w:rsidRDefault="0064018D" w:rsidP="0064018D">
      <w:pPr>
        <w:pStyle w:val="Heading4"/>
        <w:rPr>
          <w:lang w:val="en-GB"/>
        </w:rPr>
      </w:pPr>
      <w:r w:rsidRPr="006645DC">
        <w:rPr>
          <w:lang w:val="en-GB"/>
        </w:rPr>
        <w:t>Source: ESPON</w:t>
      </w:r>
    </w:p>
    <w:p w14:paraId="1B62B7CC" w14:textId="77777777" w:rsidR="0064018D" w:rsidRPr="006645DC" w:rsidRDefault="0064018D" w:rsidP="0064018D">
      <w:pPr>
        <w:rPr>
          <w:lang w:val="en-GB"/>
        </w:rPr>
      </w:pPr>
    </w:p>
    <w:p w14:paraId="3531BF89" w14:textId="77777777" w:rsidR="0064018D" w:rsidRPr="006645DC" w:rsidRDefault="0064018D" w:rsidP="0064018D">
      <w:pPr>
        <w:rPr>
          <w:lang w:val="en-GB"/>
        </w:rPr>
      </w:pPr>
      <w:r w:rsidRPr="006645DC">
        <w:rPr>
          <w:lang w:val="en-GB"/>
        </w:rPr>
        <w:lastRenderedPageBreak/>
        <w:t>The main sources of income in both areas are salaries and pensions. For the Romanian area, there is a higher percentage of households obtaining income in kind, than the one recorded in the Bulgarian area.</w:t>
      </w:r>
    </w:p>
    <w:p w14:paraId="508DCDF9" w14:textId="77777777" w:rsidR="0064018D" w:rsidRPr="006645DC" w:rsidRDefault="0064018D" w:rsidP="0064018D">
      <w:pPr>
        <w:autoSpaceDE w:val="0"/>
        <w:autoSpaceDN w:val="0"/>
        <w:adjustRightInd w:val="0"/>
        <w:rPr>
          <w:sz w:val="24"/>
          <w:szCs w:val="24"/>
          <w:lang w:val="en-GB"/>
        </w:rPr>
      </w:pPr>
    </w:p>
    <w:p w14:paraId="6B23B62D" w14:textId="77777777" w:rsidR="0064018D" w:rsidRPr="006645DC" w:rsidRDefault="00AA4C82" w:rsidP="0064018D">
      <w:pPr>
        <w:pStyle w:val="BodyText"/>
        <w:tabs>
          <w:tab w:val="left" w:pos="1014"/>
        </w:tabs>
        <w:ind w:left="429" w:hanging="329"/>
        <w:jc w:val="center"/>
        <w:rPr>
          <w:rFonts w:ascii="Calibri" w:hAnsi="Calibri" w:cs="Times New Roman"/>
          <w:b/>
          <w:highlight w:val="cyan"/>
          <w:lang w:val="en-GB"/>
        </w:rPr>
      </w:pPr>
      <w:r w:rsidRPr="006645DC">
        <w:rPr>
          <w:rFonts w:ascii="Calibri" w:hAnsi="Calibri" w:cs="Times New Roman"/>
          <w:b/>
          <w:noProof/>
          <w:snapToGrid/>
          <w:lang w:val="bg-BG" w:eastAsia="bg-BG"/>
        </w:rPr>
        <w:drawing>
          <wp:inline distT="0" distB="0" distL="0" distR="0" wp14:anchorId="21DE5521" wp14:editId="6974A748">
            <wp:extent cx="5438775" cy="3314700"/>
            <wp:effectExtent l="19050" t="19050" r="28575" b="19050"/>
            <wp:docPr id="79"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09"/>
                    <a:srcRect/>
                    <a:stretch>
                      <a:fillRect/>
                    </a:stretch>
                  </pic:blipFill>
                  <pic:spPr bwMode="auto">
                    <a:xfrm>
                      <a:off x="0" y="0"/>
                      <a:ext cx="5438775" cy="3314700"/>
                    </a:xfrm>
                    <a:prstGeom prst="rect">
                      <a:avLst/>
                    </a:prstGeom>
                    <a:noFill/>
                    <a:ln w="3175" cmpd="sng">
                      <a:solidFill>
                        <a:srgbClr val="000000"/>
                      </a:solidFill>
                      <a:miter lim="800000"/>
                      <a:headEnd/>
                      <a:tailEnd/>
                    </a:ln>
                    <a:effectLst/>
                  </pic:spPr>
                </pic:pic>
              </a:graphicData>
            </a:graphic>
          </wp:inline>
        </w:drawing>
      </w:r>
    </w:p>
    <w:p w14:paraId="5410CBB1" w14:textId="77777777" w:rsidR="0064018D" w:rsidRPr="006645DC" w:rsidRDefault="00420C97" w:rsidP="00420C97">
      <w:pPr>
        <w:pStyle w:val="Caption"/>
        <w:rPr>
          <w:lang w:val="en-GB"/>
        </w:rPr>
      </w:pPr>
      <w:bookmarkStart w:id="1346" w:name="_Toc391150093"/>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44</w:t>
      </w:r>
      <w:r w:rsidR="005979EB" w:rsidRPr="006645DC">
        <w:rPr>
          <w:lang w:val="en-GB"/>
        </w:rPr>
        <w:fldChar w:fldCharType="end"/>
      </w:r>
      <w:r w:rsidRPr="006645DC">
        <w:rPr>
          <w:lang w:val="en-GB"/>
        </w:rPr>
        <w:t xml:space="preserve"> - </w:t>
      </w:r>
      <w:r w:rsidR="0064018D" w:rsidRPr="006645DC">
        <w:rPr>
          <w:lang w:val="en-GB"/>
        </w:rPr>
        <w:t>Distribution of households by income (2011)</w:t>
      </w:r>
      <w:bookmarkEnd w:id="1346"/>
    </w:p>
    <w:p w14:paraId="23631C25" w14:textId="77777777" w:rsidR="0064018D" w:rsidRPr="006645DC" w:rsidRDefault="0064018D" w:rsidP="0064018D">
      <w:pPr>
        <w:pStyle w:val="Heading4"/>
        <w:rPr>
          <w:lang w:val="en-GB"/>
        </w:rPr>
      </w:pPr>
      <w:r w:rsidRPr="006645DC">
        <w:rPr>
          <w:lang w:val="en-GB"/>
        </w:rPr>
        <w:t xml:space="preserve"> Data source: EVOLUTION</w:t>
      </w:r>
      <w:r w:rsidRPr="006645DC">
        <w:rPr>
          <w:rStyle w:val="FootnoteReference"/>
          <w:bCs w:val="0"/>
          <w:lang w:val="en-GB"/>
        </w:rPr>
        <w:footnoteReference w:id="24"/>
      </w:r>
      <w:r w:rsidRPr="006645DC">
        <w:rPr>
          <w:lang w:val="en-GB"/>
        </w:rPr>
        <w:t xml:space="preserve"> household survey</w:t>
      </w:r>
    </w:p>
    <w:p w14:paraId="2C3B7EED" w14:textId="77777777" w:rsidR="0064018D" w:rsidRPr="006645DC" w:rsidRDefault="0064018D" w:rsidP="0064018D">
      <w:pPr>
        <w:pStyle w:val="BodyText"/>
        <w:tabs>
          <w:tab w:val="left" w:pos="1014"/>
        </w:tabs>
        <w:rPr>
          <w:rFonts w:ascii="Calibri" w:hAnsi="Calibri" w:cs="Times New Roman"/>
          <w:b/>
          <w:color w:val="31849B"/>
          <w:highlight w:val="cyan"/>
          <w:lang w:val="en-GB"/>
        </w:rPr>
      </w:pPr>
    </w:p>
    <w:p w14:paraId="01810884" w14:textId="77777777" w:rsidR="0064018D" w:rsidRPr="006645DC" w:rsidRDefault="0064018D" w:rsidP="0064018D">
      <w:pPr>
        <w:pStyle w:val="Heading2"/>
        <w:numPr>
          <w:ilvl w:val="0"/>
          <w:numId w:val="0"/>
        </w:numPr>
        <w:ind w:left="757"/>
        <w:rPr>
          <w:lang w:val="en-GB"/>
        </w:rPr>
      </w:pPr>
      <w:bookmarkStart w:id="1347" w:name="_Toc373340844"/>
    </w:p>
    <w:p w14:paraId="4E306F31" w14:textId="77777777" w:rsidR="0064018D" w:rsidRPr="006645DC" w:rsidRDefault="0064018D" w:rsidP="0064018D">
      <w:pPr>
        <w:pStyle w:val="Heading2"/>
        <w:numPr>
          <w:ilvl w:val="0"/>
          <w:numId w:val="0"/>
        </w:numPr>
        <w:ind w:left="757"/>
        <w:rPr>
          <w:lang w:val="en-GB"/>
        </w:rPr>
      </w:pPr>
    </w:p>
    <w:p w14:paraId="33269055" w14:textId="77777777" w:rsidR="0064018D" w:rsidRPr="006645DC" w:rsidRDefault="0064018D" w:rsidP="0064018D">
      <w:pPr>
        <w:pStyle w:val="Heading2"/>
        <w:numPr>
          <w:ilvl w:val="0"/>
          <w:numId w:val="0"/>
        </w:numPr>
        <w:rPr>
          <w:lang w:val="en-GB"/>
        </w:rPr>
      </w:pPr>
    </w:p>
    <w:p w14:paraId="697BD089" w14:textId="77777777" w:rsidR="0064018D" w:rsidRPr="006645DC" w:rsidRDefault="0064018D" w:rsidP="0064018D">
      <w:pPr>
        <w:rPr>
          <w:lang w:val="en-GB"/>
        </w:rPr>
      </w:pPr>
    </w:p>
    <w:p w14:paraId="4DFC18CC" w14:textId="77777777" w:rsidR="0064018D" w:rsidRPr="006645DC" w:rsidRDefault="0064018D" w:rsidP="0064018D">
      <w:pPr>
        <w:rPr>
          <w:lang w:val="en-GB"/>
        </w:rPr>
      </w:pPr>
    </w:p>
    <w:p w14:paraId="5B501BB4" w14:textId="77777777" w:rsidR="0064018D" w:rsidRPr="006645DC" w:rsidRDefault="00546086" w:rsidP="0064018D">
      <w:pPr>
        <w:pStyle w:val="Heading2"/>
        <w:rPr>
          <w:lang w:val="en-GB"/>
        </w:rPr>
      </w:pPr>
      <w:bookmarkStart w:id="1348" w:name="_Toc376199524"/>
      <w:bookmarkStart w:id="1349" w:name="_Toc254543805"/>
      <w:bookmarkStart w:id="1350" w:name="_Toc391150186"/>
      <w:r w:rsidRPr="006645DC">
        <w:rPr>
          <w:lang w:val="en-GB"/>
        </w:rPr>
        <w:lastRenderedPageBreak/>
        <w:t xml:space="preserve">SWOT and problem </w:t>
      </w:r>
      <w:r w:rsidR="0064018D" w:rsidRPr="006645DC">
        <w:rPr>
          <w:lang w:val="en-GB"/>
        </w:rPr>
        <w:t>tree</w:t>
      </w:r>
      <w:bookmarkEnd w:id="1348"/>
      <w:bookmarkEnd w:id="1349"/>
      <w:bookmarkEnd w:id="1350"/>
    </w:p>
    <w:tbl>
      <w:tblPr>
        <w:tblW w:w="10772" w:type="dxa"/>
        <w:jc w:val="center"/>
        <w:tblCellMar>
          <w:left w:w="0" w:type="dxa"/>
          <w:right w:w="0" w:type="dxa"/>
        </w:tblCellMar>
        <w:tblLook w:val="0600" w:firstRow="0" w:lastRow="0" w:firstColumn="0" w:lastColumn="0" w:noHBand="1" w:noVBand="1"/>
      </w:tblPr>
      <w:tblGrid>
        <w:gridCol w:w="5386"/>
        <w:gridCol w:w="5386"/>
      </w:tblGrid>
      <w:tr w:rsidR="00546086" w:rsidRPr="006645DC" w14:paraId="5552510A" w14:textId="77777777" w:rsidTr="00EE4BEB">
        <w:trPr>
          <w:trHeight w:val="398"/>
          <w:jc w:val="center"/>
        </w:trPr>
        <w:tc>
          <w:tcPr>
            <w:tcW w:w="5386" w:type="dxa"/>
            <w:tcBorders>
              <w:top w:val="single" w:sz="8" w:space="0" w:color="000000"/>
              <w:left w:val="single" w:sz="8" w:space="0" w:color="000000"/>
              <w:bottom w:val="single" w:sz="8" w:space="0" w:color="000000"/>
              <w:right w:val="single" w:sz="8" w:space="0" w:color="000000"/>
            </w:tcBorders>
            <w:shd w:val="clear" w:color="auto" w:fill="9BBB59"/>
            <w:tcMar>
              <w:top w:w="15" w:type="dxa"/>
              <w:left w:w="108" w:type="dxa"/>
              <w:bottom w:w="0" w:type="dxa"/>
              <w:right w:w="108" w:type="dxa"/>
            </w:tcMar>
            <w:vAlign w:val="center"/>
            <w:hideMark/>
          </w:tcPr>
          <w:p w14:paraId="2B43C12D" w14:textId="77777777" w:rsidR="0064018D" w:rsidRPr="006645DC" w:rsidRDefault="0064018D" w:rsidP="006A6B3E">
            <w:pPr>
              <w:spacing w:before="0" w:after="0"/>
              <w:jc w:val="center"/>
              <w:rPr>
                <w:rFonts w:eastAsia="Times New Roman" w:cs="Calibri"/>
                <w:b/>
                <w:lang w:val="en-GB"/>
              </w:rPr>
            </w:pPr>
            <w:r w:rsidRPr="006645DC">
              <w:rPr>
                <w:rFonts w:cs="Calibri"/>
                <w:b/>
                <w:bCs/>
                <w:color w:val="FFFFFF"/>
                <w:kern w:val="24"/>
                <w:lang w:val="en-GB"/>
              </w:rPr>
              <w:t>Strengths</w:t>
            </w:r>
          </w:p>
        </w:tc>
        <w:tc>
          <w:tcPr>
            <w:tcW w:w="5386" w:type="dxa"/>
            <w:tcBorders>
              <w:top w:val="single" w:sz="8" w:space="0" w:color="000000"/>
              <w:left w:val="single" w:sz="8" w:space="0" w:color="000000"/>
              <w:bottom w:val="single" w:sz="8" w:space="0" w:color="000000"/>
              <w:right w:val="single" w:sz="8" w:space="0" w:color="000000"/>
            </w:tcBorders>
            <w:shd w:val="clear" w:color="auto" w:fill="F79646"/>
            <w:tcMar>
              <w:top w:w="15" w:type="dxa"/>
              <w:left w:w="108" w:type="dxa"/>
              <w:bottom w:w="0" w:type="dxa"/>
              <w:right w:w="108" w:type="dxa"/>
            </w:tcMar>
            <w:vAlign w:val="center"/>
            <w:hideMark/>
          </w:tcPr>
          <w:p w14:paraId="6156ADB1" w14:textId="77777777" w:rsidR="0064018D" w:rsidRPr="006645DC" w:rsidRDefault="0064018D" w:rsidP="006A6B3E">
            <w:pPr>
              <w:spacing w:before="0" w:after="0"/>
              <w:jc w:val="center"/>
              <w:rPr>
                <w:rFonts w:eastAsia="Times New Roman" w:cs="Calibri"/>
                <w:b/>
                <w:lang w:val="en-GB"/>
              </w:rPr>
            </w:pPr>
            <w:r w:rsidRPr="006645DC">
              <w:rPr>
                <w:rFonts w:cs="Calibri"/>
                <w:b/>
                <w:bCs/>
                <w:color w:val="FFFFFF"/>
                <w:kern w:val="24"/>
                <w:lang w:val="en-GB"/>
              </w:rPr>
              <w:t>Weaknesses</w:t>
            </w:r>
          </w:p>
        </w:tc>
      </w:tr>
      <w:tr w:rsidR="00546086" w:rsidRPr="006645DC" w14:paraId="0136B074" w14:textId="77777777" w:rsidTr="00EE4BEB">
        <w:trPr>
          <w:trHeight w:val="3119"/>
          <w:jc w:val="center"/>
        </w:trPr>
        <w:tc>
          <w:tcPr>
            <w:tcW w:w="53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FBE27F" w14:textId="77777777" w:rsidR="0064018D" w:rsidRPr="006645DC" w:rsidRDefault="0064018D" w:rsidP="00C951D5">
            <w:pPr>
              <w:numPr>
                <w:ilvl w:val="0"/>
                <w:numId w:val="49"/>
              </w:numPr>
              <w:spacing w:before="0" w:after="0"/>
              <w:ind w:left="283" w:hanging="170"/>
              <w:jc w:val="left"/>
              <w:rPr>
                <w:rFonts w:eastAsia="Times New Roman" w:cs="Calibri"/>
                <w:lang w:val="en-GB"/>
              </w:rPr>
            </w:pPr>
            <w:r w:rsidRPr="006645DC">
              <w:rPr>
                <w:rFonts w:cs="Calibri"/>
                <w:color w:val="002060"/>
                <w:kern w:val="24"/>
                <w:lang w:val="en-GB"/>
              </w:rPr>
              <w:t>University centres with diverse (agriculture to IT) and complete curriculum (BA to PhD): Ruse, Veliko Tarnovo, Pleven, Dobrich, Constanta, Craiova, Drobeta Turnu-Severin</w:t>
            </w:r>
          </w:p>
          <w:p w14:paraId="472CF143" w14:textId="77777777" w:rsidR="0064018D" w:rsidRPr="006645DC" w:rsidRDefault="0064018D" w:rsidP="00C951D5">
            <w:pPr>
              <w:numPr>
                <w:ilvl w:val="0"/>
                <w:numId w:val="49"/>
              </w:numPr>
              <w:spacing w:before="0" w:after="0"/>
              <w:ind w:left="283" w:hanging="170"/>
              <w:jc w:val="left"/>
              <w:rPr>
                <w:rFonts w:eastAsia="Times New Roman" w:cs="Calibri"/>
                <w:lang w:val="en-GB"/>
              </w:rPr>
            </w:pPr>
            <w:r w:rsidRPr="006645DC">
              <w:rPr>
                <w:rFonts w:cs="Calibri"/>
                <w:color w:val="002060"/>
                <w:kern w:val="24"/>
                <w:lang w:val="en-GB"/>
              </w:rPr>
              <w:t>Experience in international project development, implementation and financing in higher-education</w:t>
            </w:r>
          </w:p>
          <w:p w14:paraId="223069FD" w14:textId="77777777" w:rsidR="0064018D" w:rsidRPr="006645DC" w:rsidRDefault="0064018D" w:rsidP="00C951D5">
            <w:pPr>
              <w:numPr>
                <w:ilvl w:val="0"/>
                <w:numId w:val="49"/>
              </w:numPr>
              <w:spacing w:before="0" w:after="0"/>
              <w:ind w:left="283" w:hanging="170"/>
              <w:jc w:val="left"/>
              <w:rPr>
                <w:rFonts w:eastAsia="Times New Roman" w:cs="Calibri"/>
                <w:lang w:val="en-GB"/>
              </w:rPr>
            </w:pPr>
            <w:r w:rsidRPr="006645DC">
              <w:rPr>
                <w:rFonts w:cs="Calibri"/>
                <w:color w:val="002060"/>
                <w:kern w:val="24"/>
                <w:lang w:val="en-GB"/>
              </w:rPr>
              <w:t>Existing tradition for vocation training (VET) at different levels both public and private: schools, university, special centres</w:t>
            </w:r>
          </w:p>
        </w:tc>
        <w:tc>
          <w:tcPr>
            <w:tcW w:w="53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5ECFCD" w14:textId="77777777" w:rsidR="0064018D" w:rsidRPr="006645DC" w:rsidRDefault="0064018D" w:rsidP="000375AC">
            <w:pPr>
              <w:keepNext/>
              <w:keepLines/>
              <w:numPr>
                <w:ilvl w:val="0"/>
                <w:numId w:val="49"/>
              </w:numPr>
              <w:shd w:val="clear" w:color="auto" w:fill="FFFFFF" w:themeFill="background1"/>
              <w:spacing w:before="0" w:after="0"/>
              <w:ind w:left="283" w:hanging="170"/>
              <w:jc w:val="left"/>
              <w:outlineLvl w:val="1"/>
              <w:rPr>
                <w:rFonts w:eastAsia="Times New Roman" w:cs="Calibri"/>
                <w:lang w:val="en-GB"/>
              </w:rPr>
            </w:pPr>
            <w:bookmarkStart w:id="1351" w:name="_Toc376199525"/>
            <w:r w:rsidRPr="006645DC">
              <w:rPr>
                <w:rFonts w:cs="Calibri"/>
                <w:color w:val="002060"/>
                <w:kern w:val="24"/>
                <w:lang w:val="en-GB"/>
              </w:rPr>
              <w:t>High levels of inactivity and unemployment compared to the national average</w:t>
            </w:r>
            <w:bookmarkEnd w:id="1351"/>
          </w:p>
          <w:p w14:paraId="6E56AA7C" w14:textId="77777777" w:rsidR="00980A63" w:rsidRPr="006645DC" w:rsidRDefault="00980A63" w:rsidP="00980A63">
            <w:pPr>
              <w:keepNext/>
              <w:keepLines/>
              <w:numPr>
                <w:ilvl w:val="0"/>
                <w:numId w:val="49"/>
              </w:numPr>
              <w:spacing w:before="0" w:after="0"/>
              <w:ind w:left="283" w:hanging="170"/>
              <w:jc w:val="left"/>
              <w:outlineLvl w:val="1"/>
              <w:rPr>
                <w:rFonts w:eastAsia="Times New Roman" w:cs="Calibri"/>
                <w:lang w:val="en-GB"/>
              </w:rPr>
            </w:pPr>
            <w:r w:rsidRPr="006645DC">
              <w:rPr>
                <w:rFonts w:cs="Calibri"/>
                <w:color w:val="002060"/>
                <w:kern w:val="24"/>
                <w:lang w:val="en-GB"/>
              </w:rPr>
              <w:t>High levels of undeclared work</w:t>
            </w:r>
          </w:p>
          <w:p w14:paraId="0DD74E09" w14:textId="77777777" w:rsidR="0064018D" w:rsidRPr="006645DC" w:rsidRDefault="0064018D" w:rsidP="00C951D5">
            <w:pPr>
              <w:numPr>
                <w:ilvl w:val="0"/>
                <w:numId w:val="49"/>
              </w:numPr>
              <w:spacing w:before="0" w:after="0"/>
              <w:ind w:left="283" w:hanging="170"/>
              <w:jc w:val="left"/>
              <w:rPr>
                <w:rFonts w:eastAsia="Times New Roman" w:cs="Calibri"/>
                <w:lang w:val="en-GB"/>
              </w:rPr>
            </w:pPr>
            <w:r w:rsidRPr="006645DC">
              <w:rPr>
                <w:rFonts w:cs="Calibri"/>
                <w:color w:val="002060"/>
                <w:kern w:val="24"/>
                <w:lang w:val="en-GB"/>
              </w:rPr>
              <w:t xml:space="preserve">Brain drain </w:t>
            </w:r>
          </w:p>
          <w:p w14:paraId="17D973D5" w14:textId="77777777" w:rsidR="0064018D" w:rsidRPr="006645DC" w:rsidRDefault="0064018D" w:rsidP="00C951D5">
            <w:pPr>
              <w:numPr>
                <w:ilvl w:val="0"/>
                <w:numId w:val="49"/>
              </w:numPr>
              <w:spacing w:before="0" w:after="0"/>
              <w:ind w:left="283" w:hanging="170"/>
              <w:jc w:val="left"/>
              <w:rPr>
                <w:rFonts w:eastAsia="Times New Roman" w:cs="Calibri"/>
                <w:lang w:val="en-GB"/>
              </w:rPr>
            </w:pPr>
            <w:r w:rsidRPr="006645DC">
              <w:rPr>
                <w:rFonts w:cs="Calibri"/>
                <w:color w:val="002060"/>
                <w:kern w:val="24"/>
                <w:lang w:val="en-GB"/>
              </w:rPr>
              <w:t>Lower level of average monthly salary in the cross-border region as compared to the national average</w:t>
            </w:r>
          </w:p>
          <w:p w14:paraId="0C3D6D93" w14:textId="599A5502" w:rsidR="0064018D" w:rsidRPr="006645DC" w:rsidRDefault="000375AC" w:rsidP="00C951D5">
            <w:pPr>
              <w:numPr>
                <w:ilvl w:val="0"/>
                <w:numId w:val="49"/>
              </w:numPr>
              <w:spacing w:before="0" w:after="0"/>
              <w:ind w:left="283" w:hanging="170"/>
              <w:jc w:val="left"/>
              <w:rPr>
                <w:rFonts w:eastAsia="Times New Roman" w:cs="Calibri"/>
                <w:lang w:val="en-GB"/>
              </w:rPr>
            </w:pPr>
            <w:r>
              <w:rPr>
                <w:rFonts w:cs="Calibri"/>
                <w:color w:val="002060"/>
                <w:kern w:val="24"/>
                <w:lang w:val="en-GB"/>
              </w:rPr>
              <w:t>Low</w:t>
            </w:r>
            <w:r w:rsidR="004C6066" w:rsidRPr="006645DC">
              <w:rPr>
                <w:rFonts w:cs="Calibri"/>
                <w:color w:val="002060"/>
                <w:kern w:val="24"/>
                <w:lang w:val="en-GB"/>
              </w:rPr>
              <w:t xml:space="preserve"> health care availability</w:t>
            </w:r>
            <w:r w:rsidR="0064018D" w:rsidRPr="006645DC">
              <w:rPr>
                <w:rFonts w:cs="Calibri"/>
                <w:color w:val="002060"/>
                <w:kern w:val="24"/>
                <w:lang w:val="en-GB"/>
              </w:rPr>
              <w:t xml:space="preserve">: funding and medical personnel problems </w:t>
            </w:r>
          </w:p>
          <w:p w14:paraId="2BA166E9" w14:textId="5D087B4F" w:rsidR="0064018D" w:rsidRPr="006645DC" w:rsidRDefault="000375AC" w:rsidP="00C951D5">
            <w:pPr>
              <w:numPr>
                <w:ilvl w:val="0"/>
                <w:numId w:val="49"/>
              </w:numPr>
              <w:spacing w:before="0" w:after="0"/>
              <w:ind w:left="283" w:hanging="170"/>
              <w:jc w:val="left"/>
              <w:rPr>
                <w:rFonts w:eastAsia="Times New Roman" w:cs="Calibri"/>
                <w:lang w:val="en-GB"/>
              </w:rPr>
            </w:pPr>
            <w:r>
              <w:rPr>
                <w:rFonts w:cs="Calibri"/>
                <w:color w:val="002060"/>
                <w:kern w:val="24"/>
                <w:lang w:val="en-GB"/>
              </w:rPr>
              <w:t>Low</w:t>
            </w:r>
            <w:r w:rsidR="0064018D" w:rsidRPr="006645DC">
              <w:rPr>
                <w:rFonts w:cs="Calibri"/>
                <w:color w:val="002060"/>
                <w:kern w:val="24"/>
                <w:lang w:val="en-GB"/>
              </w:rPr>
              <w:t xml:space="preserve"> access to pu</w:t>
            </w:r>
            <w:r w:rsidR="00EE4BEB">
              <w:rPr>
                <w:rFonts w:cs="Calibri"/>
                <w:color w:val="002060"/>
                <w:kern w:val="24"/>
                <w:lang w:val="en-GB"/>
              </w:rPr>
              <w:t>blic utilities infrastructures</w:t>
            </w:r>
          </w:p>
          <w:p w14:paraId="69F5CF8F" w14:textId="77777777" w:rsidR="0064018D" w:rsidRPr="006645DC" w:rsidRDefault="0064018D" w:rsidP="00C951D5">
            <w:pPr>
              <w:numPr>
                <w:ilvl w:val="0"/>
                <w:numId w:val="49"/>
              </w:numPr>
              <w:spacing w:before="0" w:after="0"/>
              <w:ind w:left="283" w:hanging="170"/>
              <w:jc w:val="left"/>
              <w:rPr>
                <w:rFonts w:eastAsia="Times New Roman" w:cs="Calibri"/>
                <w:lang w:val="en-GB"/>
              </w:rPr>
            </w:pPr>
            <w:r w:rsidRPr="006645DC">
              <w:rPr>
                <w:rFonts w:cs="Calibri"/>
                <w:color w:val="002060"/>
                <w:kern w:val="24"/>
                <w:lang w:val="en-GB"/>
              </w:rPr>
              <w:t>High risk of poverty and social exclusion, especially for ethnic minorities</w:t>
            </w:r>
          </w:p>
          <w:p w14:paraId="162895C4" w14:textId="77777777" w:rsidR="0064018D" w:rsidRPr="006645DC" w:rsidRDefault="0064018D" w:rsidP="00C951D5">
            <w:pPr>
              <w:numPr>
                <w:ilvl w:val="0"/>
                <w:numId w:val="49"/>
              </w:numPr>
              <w:spacing w:before="0" w:after="0"/>
              <w:ind w:left="283" w:hanging="170"/>
              <w:jc w:val="left"/>
              <w:rPr>
                <w:rFonts w:eastAsia="Times New Roman" w:cs="Calibri"/>
                <w:lang w:val="en-GB"/>
              </w:rPr>
            </w:pPr>
            <w:r w:rsidRPr="006645DC">
              <w:rPr>
                <w:rFonts w:cs="Calibri"/>
                <w:color w:val="002060"/>
                <w:kern w:val="24"/>
                <w:lang w:val="en-GB"/>
              </w:rPr>
              <w:t>High dependency rate of seniors</w:t>
            </w:r>
          </w:p>
          <w:p w14:paraId="2E063A80" w14:textId="77777777" w:rsidR="0064018D" w:rsidRPr="006645DC" w:rsidRDefault="0064018D" w:rsidP="00C951D5">
            <w:pPr>
              <w:numPr>
                <w:ilvl w:val="0"/>
                <w:numId w:val="49"/>
              </w:numPr>
              <w:spacing w:before="0" w:after="0"/>
              <w:ind w:left="283" w:hanging="170"/>
              <w:jc w:val="left"/>
              <w:rPr>
                <w:rFonts w:eastAsia="Times New Roman" w:cs="Calibri"/>
                <w:lang w:val="en-GB"/>
              </w:rPr>
            </w:pPr>
            <w:r w:rsidRPr="006645DC">
              <w:rPr>
                <w:rFonts w:cs="Calibri"/>
                <w:color w:val="002060"/>
                <w:kern w:val="24"/>
                <w:lang w:val="en-GB"/>
              </w:rPr>
              <w:t>Big disparities in terms of access to housing inside the area</w:t>
            </w:r>
          </w:p>
          <w:p w14:paraId="3FFF001D" w14:textId="77777777" w:rsidR="0064018D" w:rsidRPr="006645DC" w:rsidRDefault="0064018D" w:rsidP="00C951D5">
            <w:pPr>
              <w:numPr>
                <w:ilvl w:val="0"/>
                <w:numId w:val="49"/>
              </w:numPr>
              <w:spacing w:before="0" w:after="0"/>
              <w:ind w:left="283" w:hanging="170"/>
              <w:jc w:val="left"/>
              <w:rPr>
                <w:rFonts w:eastAsia="Times New Roman" w:cs="Calibri"/>
                <w:lang w:val="en-GB"/>
              </w:rPr>
            </w:pPr>
            <w:r w:rsidRPr="006645DC">
              <w:rPr>
                <w:rFonts w:cs="Calibri"/>
                <w:color w:val="002060"/>
                <w:kern w:val="24"/>
                <w:lang w:val="en-GB"/>
              </w:rPr>
              <w:t>Decrease of the school population due to demographics and abandon that put strong pressure on the viability of the education structure</w:t>
            </w:r>
          </w:p>
          <w:p w14:paraId="34B43A8B" w14:textId="77777777" w:rsidR="0064018D" w:rsidRPr="006645DC" w:rsidRDefault="0064018D" w:rsidP="00C951D5">
            <w:pPr>
              <w:numPr>
                <w:ilvl w:val="0"/>
                <w:numId w:val="49"/>
              </w:numPr>
              <w:spacing w:before="0" w:after="0"/>
              <w:ind w:left="283" w:hanging="170"/>
              <w:jc w:val="left"/>
              <w:rPr>
                <w:rFonts w:eastAsia="Times New Roman" w:cs="Calibri"/>
                <w:lang w:val="en-GB"/>
              </w:rPr>
            </w:pPr>
            <w:r w:rsidRPr="006645DC">
              <w:rPr>
                <w:rFonts w:cs="Calibri"/>
                <w:color w:val="002060"/>
                <w:kern w:val="24"/>
                <w:lang w:val="en-GB"/>
              </w:rPr>
              <w:t xml:space="preserve">Decrease and ageing of teaching personnel </w:t>
            </w:r>
          </w:p>
        </w:tc>
      </w:tr>
      <w:tr w:rsidR="00546086" w:rsidRPr="006645DC" w14:paraId="7631CDCB" w14:textId="77777777" w:rsidTr="00EE4BEB">
        <w:trPr>
          <w:trHeight w:val="398"/>
          <w:jc w:val="center"/>
        </w:trPr>
        <w:tc>
          <w:tcPr>
            <w:tcW w:w="5386" w:type="dxa"/>
            <w:tcBorders>
              <w:top w:val="single" w:sz="8" w:space="0" w:color="000000"/>
              <w:left w:val="single" w:sz="8" w:space="0" w:color="000000"/>
              <w:bottom w:val="single" w:sz="8" w:space="0" w:color="000000"/>
              <w:right w:val="single" w:sz="8" w:space="0" w:color="000000"/>
            </w:tcBorders>
            <w:shd w:val="clear" w:color="auto" w:fill="4BACC6"/>
            <w:tcMar>
              <w:top w:w="15" w:type="dxa"/>
              <w:left w:w="108" w:type="dxa"/>
              <w:bottom w:w="0" w:type="dxa"/>
              <w:right w:w="108" w:type="dxa"/>
            </w:tcMar>
            <w:vAlign w:val="center"/>
            <w:hideMark/>
          </w:tcPr>
          <w:p w14:paraId="2A1C1055" w14:textId="77777777" w:rsidR="0064018D" w:rsidRPr="006645DC" w:rsidRDefault="0064018D" w:rsidP="006A6B3E">
            <w:pPr>
              <w:keepNext/>
              <w:keepLines/>
              <w:spacing w:before="0" w:after="0"/>
              <w:ind w:left="757" w:hanging="360"/>
              <w:jc w:val="center"/>
              <w:outlineLvl w:val="1"/>
              <w:rPr>
                <w:rFonts w:eastAsia="Times New Roman" w:cs="Calibri"/>
                <w:b/>
                <w:color w:val="FFFFFF"/>
                <w:lang w:val="en-GB"/>
              </w:rPr>
            </w:pPr>
            <w:bookmarkStart w:id="1352" w:name="_Toc376199526"/>
            <w:r w:rsidRPr="006645DC">
              <w:rPr>
                <w:rFonts w:eastAsia="Times New Roman" w:cs="Calibri"/>
                <w:b/>
                <w:bCs/>
                <w:color w:val="FFFFFF"/>
                <w:kern w:val="24"/>
                <w:lang w:val="en-GB"/>
              </w:rPr>
              <w:t>Opportunities</w:t>
            </w:r>
            <w:bookmarkEnd w:id="1352"/>
          </w:p>
        </w:tc>
        <w:tc>
          <w:tcPr>
            <w:tcW w:w="5386" w:type="dxa"/>
            <w:tcBorders>
              <w:top w:val="single" w:sz="8" w:space="0" w:color="000000"/>
              <w:left w:val="single" w:sz="8" w:space="0" w:color="000000"/>
              <w:bottom w:val="single" w:sz="8" w:space="0" w:color="000000"/>
              <w:right w:val="single" w:sz="8" w:space="0" w:color="000000"/>
            </w:tcBorders>
            <w:shd w:val="clear" w:color="auto" w:fill="B2A1C7"/>
            <w:tcMar>
              <w:top w:w="15" w:type="dxa"/>
              <w:left w:w="108" w:type="dxa"/>
              <w:bottom w:w="0" w:type="dxa"/>
              <w:right w:w="108" w:type="dxa"/>
            </w:tcMar>
            <w:vAlign w:val="center"/>
            <w:hideMark/>
          </w:tcPr>
          <w:p w14:paraId="11AB5D95" w14:textId="77777777" w:rsidR="0064018D" w:rsidRPr="006645DC" w:rsidRDefault="0064018D" w:rsidP="006A6B3E">
            <w:pPr>
              <w:keepNext/>
              <w:keepLines/>
              <w:spacing w:before="0" w:after="0"/>
              <w:ind w:left="757" w:hanging="360"/>
              <w:jc w:val="center"/>
              <w:outlineLvl w:val="1"/>
              <w:rPr>
                <w:rFonts w:eastAsia="Times New Roman" w:cs="Calibri"/>
                <w:b/>
                <w:color w:val="FFFFFF"/>
                <w:lang w:val="en-GB"/>
              </w:rPr>
            </w:pPr>
            <w:bookmarkStart w:id="1353" w:name="_Toc376199527"/>
            <w:r w:rsidRPr="006645DC">
              <w:rPr>
                <w:rFonts w:cs="Calibri"/>
                <w:b/>
                <w:bCs/>
                <w:color w:val="FFFFFF"/>
                <w:kern w:val="24"/>
                <w:lang w:val="en-GB"/>
              </w:rPr>
              <w:t>Threats</w:t>
            </w:r>
            <w:bookmarkEnd w:id="1353"/>
          </w:p>
        </w:tc>
      </w:tr>
      <w:tr w:rsidR="00546086" w:rsidRPr="006645DC" w14:paraId="73BC34EF" w14:textId="77777777" w:rsidTr="00EE4BEB">
        <w:trPr>
          <w:trHeight w:val="2613"/>
          <w:jc w:val="center"/>
        </w:trPr>
        <w:tc>
          <w:tcPr>
            <w:tcW w:w="53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B0D0D4" w14:textId="77777777" w:rsidR="00DA3C7A" w:rsidRPr="006645DC" w:rsidRDefault="00DA3C7A" w:rsidP="00C951D5">
            <w:pPr>
              <w:keepNext/>
              <w:keepLines/>
              <w:numPr>
                <w:ilvl w:val="0"/>
                <w:numId w:val="50"/>
              </w:numPr>
              <w:spacing w:before="0" w:after="0"/>
              <w:ind w:left="283" w:hanging="170"/>
              <w:jc w:val="left"/>
              <w:outlineLvl w:val="1"/>
              <w:rPr>
                <w:rFonts w:cs="Calibri"/>
                <w:color w:val="002060"/>
                <w:kern w:val="24"/>
                <w:lang w:val="en-GB"/>
              </w:rPr>
            </w:pPr>
            <w:bookmarkStart w:id="1354" w:name="_Toc376199528"/>
            <w:r w:rsidRPr="006645DC">
              <w:rPr>
                <w:rFonts w:cs="Calibri"/>
                <w:color w:val="002060"/>
                <w:kern w:val="24"/>
                <w:lang w:val="en-GB"/>
              </w:rPr>
              <w:t>Strengthening the links between Urban and rural areas.</w:t>
            </w:r>
            <w:bookmarkEnd w:id="1354"/>
            <w:r w:rsidRPr="006645DC">
              <w:rPr>
                <w:rFonts w:cs="Calibri"/>
                <w:color w:val="002060"/>
                <w:kern w:val="24"/>
                <w:lang w:val="en-GB"/>
              </w:rPr>
              <w:t xml:space="preserve"> </w:t>
            </w:r>
          </w:p>
          <w:p w14:paraId="6D4842C8" w14:textId="77777777" w:rsidR="0064018D" w:rsidRPr="006645DC" w:rsidRDefault="00DA3C7A" w:rsidP="00C951D5">
            <w:pPr>
              <w:numPr>
                <w:ilvl w:val="0"/>
                <w:numId w:val="50"/>
              </w:numPr>
              <w:spacing w:before="0" w:after="0"/>
              <w:ind w:left="283" w:hanging="170"/>
              <w:jc w:val="left"/>
              <w:rPr>
                <w:rFonts w:cs="Calibri"/>
                <w:color w:val="002060"/>
                <w:kern w:val="24"/>
                <w:lang w:val="en-GB"/>
              </w:rPr>
            </w:pPr>
            <w:r w:rsidRPr="006645DC">
              <w:rPr>
                <w:rFonts w:cs="Calibri"/>
                <w:color w:val="002060"/>
                <w:kern w:val="24"/>
                <w:lang w:val="en-GB"/>
              </w:rPr>
              <w:t xml:space="preserve">Development of online innovative solutions for public services and lifelong learning </w:t>
            </w:r>
          </w:p>
          <w:p w14:paraId="0836F6E9" w14:textId="77777777" w:rsidR="00CB3FB2" w:rsidRPr="006645DC" w:rsidRDefault="0064018D" w:rsidP="00C951D5">
            <w:pPr>
              <w:numPr>
                <w:ilvl w:val="0"/>
                <w:numId w:val="50"/>
              </w:numPr>
              <w:spacing w:before="0" w:after="0"/>
              <w:ind w:left="283" w:hanging="170"/>
              <w:jc w:val="left"/>
              <w:rPr>
                <w:rFonts w:cs="Calibri"/>
                <w:color w:val="002060"/>
                <w:kern w:val="24"/>
                <w:lang w:val="en-GB"/>
              </w:rPr>
            </w:pPr>
            <w:r w:rsidRPr="006645DC">
              <w:rPr>
                <w:rFonts w:cs="Calibri"/>
                <w:color w:val="002060"/>
                <w:kern w:val="24"/>
                <w:lang w:val="en-GB"/>
              </w:rPr>
              <w:t xml:space="preserve">Fostering social-economy </w:t>
            </w:r>
            <w:r w:rsidR="00DA3C7A" w:rsidRPr="006645DC">
              <w:rPr>
                <w:rFonts w:cs="Calibri"/>
                <w:color w:val="002060"/>
                <w:kern w:val="24"/>
                <w:lang w:val="en-GB"/>
              </w:rPr>
              <w:t>business models</w:t>
            </w:r>
          </w:p>
          <w:p w14:paraId="1B46DD94" w14:textId="77777777" w:rsidR="00980A63" w:rsidRPr="006645DC" w:rsidRDefault="00980A63" w:rsidP="00980A63">
            <w:pPr>
              <w:numPr>
                <w:ilvl w:val="0"/>
                <w:numId w:val="50"/>
              </w:numPr>
              <w:spacing w:before="0" w:after="0"/>
              <w:ind w:left="283" w:hanging="170"/>
              <w:jc w:val="left"/>
              <w:rPr>
                <w:rFonts w:cs="Calibri"/>
                <w:color w:val="002060"/>
                <w:kern w:val="24"/>
                <w:lang w:val="en-GB"/>
              </w:rPr>
            </w:pPr>
            <w:r w:rsidRPr="006645DC">
              <w:rPr>
                <w:rFonts w:cs="Calibri"/>
                <w:color w:val="002060"/>
                <w:kern w:val="24"/>
                <w:lang w:val="en-GB"/>
              </w:rPr>
              <w:t>Establishing business incubators for the facilitation of employment in the cross-border area</w:t>
            </w:r>
          </w:p>
          <w:p w14:paraId="08AF2EBE" w14:textId="77777777" w:rsidR="0064018D" w:rsidRPr="006645DC" w:rsidRDefault="0064018D" w:rsidP="00C951D5">
            <w:pPr>
              <w:numPr>
                <w:ilvl w:val="0"/>
                <w:numId w:val="50"/>
              </w:numPr>
              <w:spacing w:before="0" w:after="0"/>
              <w:ind w:left="283" w:hanging="170"/>
              <w:jc w:val="left"/>
              <w:rPr>
                <w:rFonts w:eastAsia="Times New Roman" w:cs="Calibri"/>
                <w:lang w:val="en-GB"/>
              </w:rPr>
            </w:pPr>
            <w:r w:rsidRPr="006645DC">
              <w:rPr>
                <w:rFonts w:cs="Calibri"/>
                <w:color w:val="002060"/>
                <w:kern w:val="24"/>
                <w:lang w:val="en-GB"/>
              </w:rPr>
              <w:t xml:space="preserve">Encouraging economic diversification towards the tertiary sector (tourism, ITC, etc.) </w:t>
            </w:r>
          </w:p>
          <w:p w14:paraId="43A0D670" w14:textId="5827BE16" w:rsidR="0064018D" w:rsidRPr="006645DC" w:rsidRDefault="000375AC" w:rsidP="00C951D5">
            <w:pPr>
              <w:numPr>
                <w:ilvl w:val="0"/>
                <w:numId w:val="50"/>
              </w:numPr>
              <w:spacing w:before="0" w:after="0"/>
              <w:ind w:left="283" w:hanging="170"/>
              <w:jc w:val="left"/>
              <w:rPr>
                <w:rFonts w:eastAsia="Times New Roman" w:cs="Calibri"/>
                <w:lang w:val="en-GB"/>
              </w:rPr>
            </w:pPr>
            <w:r>
              <w:rPr>
                <w:rFonts w:cs="Calibri"/>
                <w:color w:val="002060"/>
                <w:kern w:val="24"/>
                <w:lang w:val="en-GB"/>
              </w:rPr>
              <w:t xml:space="preserve">Cross border healthcare </w:t>
            </w:r>
            <w:r w:rsidR="0064018D" w:rsidRPr="006645DC">
              <w:rPr>
                <w:rFonts w:cs="Calibri"/>
                <w:color w:val="002060"/>
                <w:kern w:val="24"/>
                <w:lang w:val="en-GB"/>
              </w:rPr>
              <w:t>cooperation for a better provision of healthcare</w:t>
            </w:r>
          </w:p>
          <w:p w14:paraId="0C4F4EFF" w14:textId="07B44709" w:rsidR="0064018D" w:rsidRPr="006645DC" w:rsidRDefault="0064018D" w:rsidP="00C951D5">
            <w:pPr>
              <w:numPr>
                <w:ilvl w:val="0"/>
                <w:numId w:val="50"/>
              </w:numPr>
              <w:spacing w:before="0" w:after="0"/>
              <w:ind w:left="283" w:hanging="170"/>
              <w:jc w:val="left"/>
              <w:rPr>
                <w:rFonts w:eastAsia="Times New Roman" w:cs="Calibri"/>
                <w:lang w:val="en-GB"/>
              </w:rPr>
            </w:pPr>
            <w:r w:rsidRPr="006645DC">
              <w:rPr>
                <w:rFonts w:cs="Calibri"/>
                <w:color w:val="002060"/>
                <w:kern w:val="24"/>
                <w:lang w:val="en-GB"/>
              </w:rPr>
              <w:t xml:space="preserve">Urban utilities </w:t>
            </w:r>
            <w:r w:rsidR="00DA3C7A" w:rsidRPr="006645DC">
              <w:rPr>
                <w:rFonts w:cs="Calibri"/>
                <w:color w:val="002060"/>
                <w:kern w:val="24"/>
                <w:lang w:val="en-GB"/>
              </w:rPr>
              <w:t>project financed by EU funds</w:t>
            </w:r>
            <w:r w:rsidRPr="006645DC">
              <w:rPr>
                <w:rFonts w:cs="Calibri"/>
                <w:color w:val="002060"/>
                <w:kern w:val="24"/>
                <w:lang w:val="en-GB"/>
              </w:rPr>
              <w:t xml:space="preserve"> </w:t>
            </w:r>
          </w:p>
          <w:p w14:paraId="59964AFA" w14:textId="77777777" w:rsidR="0064018D" w:rsidRPr="006645DC" w:rsidRDefault="00DA3C7A" w:rsidP="00C951D5">
            <w:pPr>
              <w:numPr>
                <w:ilvl w:val="0"/>
                <w:numId w:val="50"/>
              </w:numPr>
              <w:spacing w:before="0" w:after="0"/>
              <w:ind w:left="283" w:hanging="170"/>
              <w:jc w:val="left"/>
              <w:rPr>
                <w:rFonts w:eastAsia="Times New Roman" w:cs="Calibri"/>
                <w:lang w:val="en-GB"/>
              </w:rPr>
            </w:pPr>
            <w:r w:rsidRPr="006645DC">
              <w:rPr>
                <w:rFonts w:cs="Calibri"/>
                <w:color w:val="002060"/>
                <w:kern w:val="24"/>
                <w:lang w:val="en-GB"/>
              </w:rPr>
              <w:t>I</w:t>
            </w:r>
            <w:r w:rsidR="0064018D" w:rsidRPr="006645DC">
              <w:rPr>
                <w:rFonts w:cs="Calibri"/>
                <w:color w:val="002060"/>
                <w:kern w:val="24"/>
                <w:lang w:val="en-GB"/>
              </w:rPr>
              <w:t>ntroduction of IT infrastructure in isolated areas</w:t>
            </w:r>
          </w:p>
          <w:p w14:paraId="75C73774" w14:textId="77777777" w:rsidR="00DA3C7A" w:rsidRPr="006645DC" w:rsidRDefault="00DA3C7A" w:rsidP="00C951D5">
            <w:pPr>
              <w:numPr>
                <w:ilvl w:val="0"/>
                <w:numId w:val="50"/>
              </w:numPr>
              <w:spacing w:before="0" w:after="0"/>
              <w:ind w:left="283" w:hanging="170"/>
              <w:jc w:val="left"/>
              <w:rPr>
                <w:rFonts w:eastAsia="Times New Roman" w:cs="Calibri"/>
                <w:lang w:val="en-GB"/>
              </w:rPr>
            </w:pPr>
            <w:r w:rsidRPr="006645DC">
              <w:rPr>
                <w:rFonts w:cs="Calibri"/>
                <w:color w:val="002060"/>
                <w:kern w:val="24"/>
                <w:lang w:val="en-GB"/>
              </w:rPr>
              <w:t>Development of high value-added sectors and creative industries (ICT, design, architecture, media, cultural heritage) in the main urban centres of the area</w:t>
            </w:r>
          </w:p>
        </w:tc>
        <w:tc>
          <w:tcPr>
            <w:tcW w:w="53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6A746C9" w14:textId="77777777" w:rsidR="0064018D" w:rsidRPr="000375AC" w:rsidRDefault="0064018D" w:rsidP="00C951D5">
            <w:pPr>
              <w:keepNext/>
              <w:keepLines/>
              <w:numPr>
                <w:ilvl w:val="0"/>
                <w:numId w:val="50"/>
              </w:numPr>
              <w:spacing w:before="0" w:after="0"/>
              <w:ind w:left="283" w:hanging="170"/>
              <w:jc w:val="left"/>
              <w:outlineLvl w:val="1"/>
              <w:rPr>
                <w:rFonts w:eastAsia="Times New Roman" w:cs="Calibri"/>
                <w:lang w:val="en-GB"/>
              </w:rPr>
            </w:pPr>
            <w:bookmarkStart w:id="1355" w:name="_Toc376199529"/>
            <w:r w:rsidRPr="006645DC">
              <w:rPr>
                <w:rFonts w:cs="Calibri"/>
                <w:color w:val="002060"/>
                <w:kern w:val="24"/>
                <w:lang w:val="en-GB"/>
              </w:rPr>
              <w:t xml:space="preserve">The proximity of big urban </w:t>
            </w:r>
            <w:r w:rsidR="00DA3C7A" w:rsidRPr="006645DC">
              <w:rPr>
                <w:rFonts w:cs="Calibri"/>
                <w:color w:val="002060"/>
                <w:kern w:val="24"/>
                <w:lang w:val="en-GB"/>
              </w:rPr>
              <w:t>centres</w:t>
            </w:r>
            <w:r w:rsidRPr="006645DC">
              <w:rPr>
                <w:rFonts w:cs="Calibri"/>
                <w:color w:val="002060"/>
                <w:kern w:val="24"/>
                <w:lang w:val="en-GB"/>
              </w:rPr>
              <w:t xml:space="preserve"> like Bucharest, Varna and Sofia triggering </w:t>
            </w:r>
            <w:r w:rsidR="00DA3C7A" w:rsidRPr="006645DC">
              <w:rPr>
                <w:rFonts w:cs="Calibri"/>
                <w:color w:val="002060"/>
                <w:kern w:val="24"/>
                <w:lang w:val="en-GB"/>
              </w:rPr>
              <w:t>increased</w:t>
            </w:r>
            <w:r w:rsidRPr="006645DC">
              <w:rPr>
                <w:rFonts w:cs="Calibri"/>
                <w:color w:val="002060"/>
                <w:kern w:val="24"/>
                <w:lang w:val="en-GB"/>
              </w:rPr>
              <w:t xml:space="preserve"> brain-drain and </w:t>
            </w:r>
            <w:r w:rsidR="00DA3C7A" w:rsidRPr="006645DC">
              <w:rPr>
                <w:rFonts w:cs="Calibri"/>
                <w:color w:val="002060"/>
                <w:kern w:val="24"/>
                <w:lang w:val="en-GB"/>
              </w:rPr>
              <w:t xml:space="preserve">skilled </w:t>
            </w:r>
            <w:r w:rsidRPr="006645DC">
              <w:rPr>
                <w:rFonts w:cs="Calibri"/>
                <w:color w:val="002060"/>
                <w:kern w:val="24"/>
                <w:lang w:val="en-GB"/>
              </w:rPr>
              <w:t>workforce migration</w:t>
            </w:r>
            <w:bookmarkEnd w:id="1355"/>
          </w:p>
          <w:p w14:paraId="0CDBDF9E" w14:textId="6A1E5ABB" w:rsidR="000375AC" w:rsidRPr="006645DC" w:rsidRDefault="000375AC" w:rsidP="00C951D5">
            <w:pPr>
              <w:keepNext/>
              <w:keepLines/>
              <w:numPr>
                <w:ilvl w:val="0"/>
                <w:numId w:val="50"/>
              </w:numPr>
              <w:spacing w:before="0" w:after="0"/>
              <w:ind w:left="283" w:hanging="170"/>
              <w:jc w:val="left"/>
              <w:outlineLvl w:val="1"/>
              <w:rPr>
                <w:rFonts w:eastAsia="Times New Roman" w:cs="Calibri"/>
                <w:lang w:val="en-GB"/>
              </w:rPr>
            </w:pPr>
            <w:r>
              <w:rPr>
                <w:rFonts w:cs="Calibri"/>
                <w:color w:val="002060"/>
                <w:kern w:val="24"/>
                <w:lang w:val="en-GB"/>
              </w:rPr>
              <w:t>A low economic development of the cross border area</w:t>
            </w:r>
          </w:p>
          <w:p w14:paraId="0A5391B9" w14:textId="77777777" w:rsidR="0064018D" w:rsidRPr="006645DC" w:rsidRDefault="00DA3C7A" w:rsidP="00C951D5">
            <w:pPr>
              <w:numPr>
                <w:ilvl w:val="0"/>
                <w:numId w:val="50"/>
              </w:numPr>
              <w:spacing w:before="0" w:after="0"/>
              <w:ind w:left="283" w:hanging="170"/>
              <w:jc w:val="left"/>
              <w:rPr>
                <w:rFonts w:eastAsia="Times New Roman" w:cs="Calibri"/>
                <w:lang w:val="en-GB"/>
              </w:rPr>
            </w:pPr>
            <w:r w:rsidRPr="006645DC">
              <w:rPr>
                <w:rFonts w:cs="Calibri"/>
                <w:color w:val="002060"/>
                <w:kern w:val="24"/>
                <w:lang w:val="en-GB"/>
              </w:rPr>
              <w:t xml:space="preserve">Continued economic crisis </w:t>
            </w:r>
            <w:r w:rsidR="0064018D" w:rsidRPr="006645DC">
              <w:rPr>
                <w:rFonts w:cs="Calibri"/>
                <w:color w:val="002060"/>
                <w:kern w:val="24"/>
                <w:lang w:val="en-GB"/>
              </w:rPr>
              <w:t xml:space="preserve">and </w:t>
            </w:r>
            <w:r w:rsidR="00CB3FB2" w:rsidRPr="006645DC">
              <w:rPr>
                <w:rFonts w:cs="Calibri"/>
                <w:color w:val="002060"/>
                <w:kern w:val="24"/>
                <w:lang w:val="en-GB"/>
              </w:rPr>
              <w:t>consequent negative</w:t>
            </w:r>
            <w:r w:rsidR="0064018D" w:rsidRPr="006645DC">
              <w:rPr>
                <w:rFonts w:cs="Calibri"/>
                <w:color w:val="002060"/>
                <w:kern w:val="24"/>
                <w:lang w:val="en-GB"/>
              </w:rPr>
              <w:t xml:space="preserve"> employment perspectives </w:t>
            </w:r>
          </w:p>
          <w:p w14:paraId="430A0DB2" w14:textId="77777777" w:rsidR="00CB3FB2" w:rsidRPr="006645DC" w:rsidRDefault="00CB3FB2" w:rsidP="00C951D5">
            <w:pPr>
              <w:numPr>
                <w:ilvl w:val="0"/>
                <w:numId w:val="50"/>
              </w:numPr>
              <w:spacing w:before="0" w:after="0"/>
              <w:ind w:left="283" w:hanging="170"/>
              <w:jc w:val="left"/>
              <w:rPr>
                <w:rFonts w:eastAsia="Times New Roman" w:cs="Calibri"/>
                <w:lang w:val="en-GB"/>
              </w:rPr>
            </w:pPr>
            <w:r w:rsidRPr="006645DC">
              <w:rPr>
                <w:rFonts w:cs="Calibri"/>
                <w:color w:val="002060"/>
                <w:kern w:val="24"/>
                <w:lang w:val="en-GB"/>
              </w:rPr>
              <w:t>Demographic decline of the region</w:t>
            </w:r>
          </w:p>
        </w:tc>
      </w:tr>
    </w:tbl>
    <w:p w14:paraId="1647BBC6" w14:textId="77777777" w:rsidR="0064018D" w:rsidRPr="006645DC" w:rsidRDefault="0064018D" w:rsidP="0064018D">
      <w:pPr>
        <w:rPr>
          <w:rFonts w:eastAsia="Times New Roman"/>
          <w:b/>
          <w:bCs/>
          <w:color w:val="365F91"/>
          <w:sz w:val="28"/>
          <w:szCs w:val="26"/>
          <w:lang w:val="en-GB"/>
        </w:rPr>
      </w:pPr>
    </w:p>
    <w:p w14:paraId="58FB53A6" w14:textId="77777777" w:rsidR="0064018D" w:rsidRPr="006645DC" w:rsidRDefault="00AA4C82" w:rsidP="0064018D">
      <w:pPr>
        <w:jc w:val="center"/>
        <w:rPr>
          <w:rFonts w:eastAsia="Times New Roman"/>
          <w:b/>
          <w:bCs/>
          <w:color w:val="365F91"/>
          <w:sz w:val="28"/>
          <w:szCs w:val="26"/>
          <w:lang w:val="en-GB"/>
        </w:rPr>
      </w:pPr>
      <w:r w:rsidRPr="006645DC">
        <w:rPr>
          <w:noProof/>
          <w:lang w:val="bg-BG" w:eastAsia="bg-BG"/>
        </w:rPr>
        <w:lastRenderedPageBreak/>
        <w:drawing>
          <wp:anchor distT="0" distB="0" distL="114300" distR="114300" simplePos="0" relativeHeight="251666432" behindDoc="0" locked="0" layoutInCell="1" allowOverlap="1" wp14:anchorId="3B425C42" wp14:editId="7BDA276A">
            <wp:simplePos x="0" y="0"/>
            <wp:positionH relativeFrom="margin">
              <wp:align>center</wp:align>
            </wp:positionH>
            <wp:positionV relativeFrom="margin">
              <wp:align>top</wp:align>
            </wp:positionV>
            <wp:extent cx="6804025" cy="5318760"/>
            <wp:effectExtent l="19050" t="0" r="0" b="0"/>
            <wp:wrapSquare wrapText="bothSides"/>
            <wp:docPr id="3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10"/>
                    <a:srcRect/>
                    <a:stretch>
                      <a:fillRect/>
                    </a:stretch>
                  </pic:blipFill>
                  <pic:spPr bwMode="auto">
                    <a:xfrm>
                      <a:off x="0" y="0"/>
                      <a:ext cx="6804025" cy="5318760"/>
                    </a:xfrm>
                    <a:prstGeom prst="rect">
                      <a:avLst/>
                    </a:prstGeom>
                    <a:noFill/>
                    <a:ln w="9525">
                      <a:noFill/>
                      <a:miter lim="800000"/>
                      <a:headEnd/>
                      <a:tailEnd/>
                    </a:ln>
                  </pic:spPr>
                </pic:pic>
              </a:graphicData>
            </a:graphic>
          </wp:anchor>
        </w:drawing>
      </w:r>
    </w:p>
    <w:p w14:paraId="3CC4F467" w14:textId="77777777" w:rsidR="0064018D" w:rsidRPr="006645DC" w:rsidRDefault="0064018D" w:rsidP="0064018D">
      <w:pPr>
        <w:rPr>
          <w:lang w:val="en-GB"/>
        </w:rPr>
      </w:pPr>
    </w:p>
    <w:p w14:paraId="6AE0D8E0" w14:textId="77777777" w:rsidR="0064018D" w:rsidRPr="006645DC" w:rsidRDefault="0064018D" w:rsidP="0064018D">
      <w:pPr>
        <w:ind w:left="-1170"/>
        <w:rPr>
          <w:lang w:val="en-GB"/>
        </w:rPr>
      </w:pPr>
    </w:p>
    <w:p w14:paraId="4EECF1D3" w14:textId="77777777" w:rsidR="0064018D" w:rsidRPr="006645DC" w:rsidRDefault="0064018D" w:rsidP="0064018D">
      <w:pPr>
        <w:ind w:left="-1170"/>
        <w:rPr>
          <w:lang w:val="en-GB"/>
        </w:rPr>
      </w:pPr>
    </w:p>
    <w:p w14:paraId="73060D95" w14:textId="77777777" w:rsidR="0064018D" w:rsidRPr="006645DC" w:rsidRDefault="0064018D" w:rsidP="0064018D">
      <w:pPr>
        <w:ind w:left="-1170"/>
        <w:rPr>
          <w:lang w:val="en-GB"/>
        </w:rPr>
      </w:pPr>
    </w:p>
    <w:p w14:paraId="4A43F67A" w14:textId="77777777" w:rsidR="0064018D" w:rsidRPr="006645DC" w:rsidRDefault="0064018D" w:rsidP="0064018D">
      <w:pPr>
        <w:ind w:left="-1170"/>
        <w:rPr>
          <w:lang w:val="en-GB"/>
        </w:rPr>
      </w:pPr>
    </w:p>
    <w:p w14:paraId="2C538F26" w14:textId="77777777" w:rsidR="0064018D" w:rsidRPr="006645DC" w:rsidRDefault="0064018D" w:rsidP="0064018D">
      <w:pPr>
        <w:ind w:left="-1170"/>
        <w:rPr>
          <w:lang w:val="en-GB"/>
        </w:rPr>
      </w:pPr>
    </w:p>
    <w:p w14:paraId="1CA75CB4" w14:textId="77777777" w:rsidR="0064018D" w:rsidRPr="006645DC" w:rsidRDefault="0064018D" w:rsidP="0064018D">
      <w:pPr>
        <w:pStyle w:val="Heading2"/>
        <w:rPr>
          <w:lang w:val="en-GB"/>
        </w:rPr>
      </w:pPr>
      <w:bookmarkStart w:id="1356" w:name="_Toc376199530"/>
      <w:bookmarkStart w:id="1357" w:name="_Toc254543806"/>
      <w:bookmarkStart w:id="1358" w:name="_Toc391150187"/>
      <w:r w:rsidRPr="006645DC">
        <w:rPr>
          <w:lang w:val="en-GB"/>
        </w:rPr>
        <w:lastRenderedPageBreak/>
        <w:t>Challenges and needs</w:t>
      </w:r>
      <w:bookmarkEnd w:id="1347"/>
      <w:bookmarkEnd w:id="1356"/>
      <w:bookmarkEnd w:id="1357"/>
      <w:bookmarkEnd w:id="1358"/>
    </w:p>
    <w:p w14:paraId="5B9C2C32" w14:textId="77777777" w:rsidR="0064018D" w:rsidRPr="006645DC" w:rsidRDefault="0064018D" w:rsidP="00C22A61">
      <w:pPr>
        <w:pStyle w:val="Heading3"/>
        <w:numPr>
          <w:ilvl w:val="0"/>
          <w:numId w:val="23"/>
        </w:numPr>
        <w:rPr>
          <w:color w:val="31849B"/>
          <w:lang w:val="en-GB"/>
        </w:rPr>
      </w:pPr>
      <w:bookmarkStart w:id="1359" w:name="_Toc254543807"/>
      <w:r w:rsidRPr="006645DC">
        <w:rPr>
          <w:lang w:val="en-GB"/>
        </w:rPr>
        <w:t>Territorial challenges:</w:t>
      </w:r>
      <w:bookmarkEnd w:id="1359"/>
    </w:p>
    <w:p w14:paraId="11586CF5" w14:textId="77777777" w:rsidR="0064018D" w:rsidRPr="006645DC" w:rsidRDefault="0064018D" w:rsidP="0064018D">
      <w:pPr>
        <w:rPr>
          <w:lang w:val="en-GB"/>
        </w:rPr>
      </w:pPr>
      <w:r w:rsidRPr="006645DC">
        <w:rPr>
          <w:lang w:val="en-GB"/>
        </w:rPr>
        <w:t>The main sources of risks for the social cohesion in the Romanian and Bulgarian cross-border areas are:</w:t>
      </w:r>
    </w:p>
    <w:p w14:paraId="0858B0F9" w14:textId="77777777" w:rsidR="0064018D" w:rsidRPr="006645DC" w:rsidRDefault="0064018D" w:rsidP="00EE4BEB">
      <w:pPr>
        <w:pStyle w:val="ListParagraph"/>
      </w:pPr>
      <w:r w:rsidRPr="006645DC">
        <w:t>The ageing of population and the depopulation trend coupled to the lack of immigration to the area</w:t>
      </w:r>
    </w:p>
    <w:p w14:paraId="4D89FC40" w14:textId="77777777" w:rsidR="0064018D" w:rsidRPr="006645DC" w:rsidRDefault="0064018D" w:rsidP="00EE4BEB">
      <w:pPr>
        <w:pStyle w:val="ListParagraph"/>
      </w:pPr>
      <w:r w:rsidRPr="006645DC">
        <w:t xml:space="preserve">The low level of economic development and its negative trend given the non-competitive regional sectorial economic structure due to </w:t>
      </w:r>
      <w:r w:rsidR="003A340A" w:rsidRPr="006645DC">
        <w:t>post-communist</w:t>
      </w:r>
      <w:r w:rsidRPr="006645DC">
        <w:t xml:space="preserve"> </w:t>
      </w:r>
      <w:r w:rsidR="00166C44" w:rsidRPr="006645DC">
        <w:t>economic</w:t>
      </w:r>
      <w:r w:rsidRPr="006645DC">
        <w:t xml:space="preserve"> transition failure and the current economic crisis. The population, especially the most qualified and the young, are attracted by the close dynamic economic centres (Bucharest, Sofia, Varna, etc.) or by emigration in other EU countries</w:t>
      </w:r>
    </w:p>
    <w:p w14:paraId="0B157065" w14:textId="012DFE8E" w:rsidR="0064018D" w:rsidRPr="006645DC" w:rsidRDefault="007B621E" w:rsidP="00EE4BEB">
      <w:pPr>
        <w:pStyle w:val="ListParagraph"/>
      </w:pPr>
      <w:r w:rsidRPr="006645DC">
        <w:t>The low-level of diversification of employment in the rural area</w:t>
      </w:r>
      <w:r w:rsidR="00EB08A8" w:rsidRPr="006645DC">
        <w:t xml:space="preserve"> and</w:t>
      </w:r>
      <w:r w:rsidRPr="006645DC">
        <w:t xml:space="preserve"> the disconnection between urban and rural economies</w:t>
      </w:r>
      <w:r w:rsidR="00EB08A8" w:rsidRPr="006645DC">
        <w:t xml:space="preserve"> are obstacles of the labour mobility in the cross-border area</w:t>
      </w:r>
      <w:r w:rsidR="0064018D" w:rsidRPr="006645DC">
        <w:t xml:space="preserve">The low activity rate and the important rate of self-employment in agriculture. </w:t>
      </w:r>
    </w:p>
    <w:p w14:paraId="50857DC6" w14:textId="77777777" w:rsidR="007B621E" w:rsidRPr="006645DC" w:rsidRDefault="007B621E" w:rsidP="00EE4BEB">
      <w:pPr>
        <w:pStyle w:val="ListParagraph"/>
      </w:pPr>
      <w:r w:rsidRPr="006645DC">
        <w:t>The low activity rate of women (especially in the Bulgarian part)</w:t>
      </w:r>
    </w:p>
    <w:p w14:paraId="2C36FFC7" w14:textId="77777777" w:rsidR="0064018D" w:rsidRPr="006645DC" w:rsidRDefault="0064018D" w:rsidP="00EE4BEB">
      <w:pPr>
        <w:pStyle w:val="ListParagraph"/>
      </w:pPr>
      <w:r w:rsidRPr="006645DC">
        <w:t xml:space="preserve">The migration of the trained human resource especially the decreasing number of medical and education specialists and personnel.  </w:t>
      </w:r>
    </w:p>
    <w:p w14:paraId="54FF4FE1" w14:textId="77777777" w:rsidR="00EB08A8" w:rsidRPr="006645DC" w:rsidRDefault="00EB08A8" w:rsidP="00EE4BEB">
      <w:pPr>
        <w:pStyle w:val="ListParagraph"/>
      </w:pPr>
      <w:r w:rsidRPr="006645DC">
        <w:t>The lack of local working opportunities for people with lower level of education (developing vocational training, people with special needs)</w:t>
      </w:r>
    </w:p>
    <w:p w14:paraId="61A85BBA" w14:textId="77777777" w:rsidR="00EB08A8" w:rsidRPr="006645DC" w:rsidRDefault="00EB08A8" w:rsidP="00EE4BEB">
      <w:pPr>
        <w:pStyle w:val="ListParagraph"/>
      </w:pPr>
      <w:r w:rsidRPr="006645DC">
        <w:t>High levels of undeclared work</w:t>
      </w:r>
    </w:p>
    <w:p w14:paraId="12D3EB7B" w14:textId="77777777" w:rsidR="0064018D" w:rsidRPr="006645DC" w:rsidRDefault="0064018D" w:rsidP="00EE4BEB">
      <w:pPr>
        <w:pStyle w:val="ListParagraph"/>
      </w:pPr>
      <w:r w:rsidRPr="006645DC">
        <w:t xml:space="preserve">The problems in the provision of the </w:t>
      </w:r>
      <w:r w:rsidRPr="006645DC">
        <w:rPr>
          <w:iCs/>
        </w:rPr>
        <w:t>services of general economic interest</w:t>
      </w:r>
      <w:r w:rsidRPr="006645DC">
        <w:t xml:space="preserve"> having a negative impact on the quality of life and on the attractiveness of the territory</w:t>
      </w:r>
      <w:r w:rsidR="00EB08A8" w:rsidRPr="006645DC">
        <w:t>. Public employment services have to be developed in order to increase the employment of the cross-border area. Cooperation with education institutes to improve the services offered to employers.</w:t>
      </w:r>
      <w:r w:rsidRPr="006645DC">
        <w:t xml:space="preserve"> </w:t>
      </w:r>
    </w:p>
    <w:p w14:paraId="66FD794A" w14:textId="77777777" w:rsidR="0064018D" w:rsidRPr="006645DC" w:rsidRDefault="0064018D" w:rsidP="00EE4BEB">
      <w:pPr>
        <w:pStyle w:val="ListParagraph"/>
      </w:pPr>
      <w:r w:rsidRPr="006645DC">
        <w:t>High social vulnerabil</w:t>
      </w:r>
      <w:r w:rsidR="00DA3C7A" w:rsidRPr="006645DC">
        <w:t>ities risks due to the importance</w:t>
      </w:r>
      <w:r w:rsidRPr="006645DC">
        <w:t xml:space="preserve"> of subsistence farming, the high old-age dependency rate and the high unemployment rate of less-educated persons. The social exclusion risk is important for rural populations that have little access to public services and economic opportunities (especially in the very heterogeneous Romanian area with 2 main urban centres and peripherical rural population).  </w:t>
      </w:r>
    </w:p>
    <w:p w14:paraId="25230126" w14:textId="5691CA6B" w:rsidR="0064018D" w:rsidRPr="006645DC" w:rsidRDefault="00EE4BEB" w:rsidP="00EE4BEB">
      <w:pPr>
        <w:pStyle w:val="ListParagraph"/>
      </w:pPr>
      <w:r>
        <w:t>H</w:t>
      </w:r>
      <w:r w:rsidR="0064018D" w:rsidRPr="006645DC">
        <w:t xml:space="preserve">igh social exclusion risk for ethnic minorities in the region (Roma, Turkish, Tatar, etc.) </w:t>
      </w:r>
    </w:p>
    <w:p w14:paraId="4AEFCC8C" w14:textId="77777777" w:rsidR="0064018D" w:rsidRPr="006645DC" w:rsidRDefault="0064018D" w:rsidP="007B621E">
      <w:pPr>
        <w:pStyle w:val="ListParagraph"/>
        <w:rPr>
          <w:lang w:val="en-GB"/>
        </w:rPr>
      </w:pPr>
      <w:r w:rsidRPr="006645DC">
        <w:rPr>
          <w:lang w:val="en-GB"/>
        </w:rPr>
        <w:t>The public utilities and infrastructures networks still need to be developed, especially in the rural area and in the wate</w:t>
      </w:r>
      <w:r w:rsidR="007B621E" w:rsidRPr="006645DC">
        <w:rPr>
          <w:lang w:val="en-GB"/>
        </w:rPr>
        <w:t xml:space="preserve">r, waste treatment, gas, electricity and heating. </w:t>
      </w:r>
      <w:r w:rsidRPr="006645DC">
        <w:rPr>
          <w:lang w:val="en-GB"/>
        </w:rPr>
        <w:t>They are an important indicator of sustainable economic development and quality of life.</w:t>
      </w:r>
    </w:p>
    <w:p w14:paraId="3FD4EF89" w14:textId="77777777" w:rsidR="0064018D" w:rsidRPr="006645DC" w:rsidRDefault="0064018D" w:rsidP="00A733C0">
      <w:pPr>
        <w:rPr>
          <w:lang w:val="en-GB" w:eastAsia="en-GB"/>
        </w:rPr>
        <w:sectPr w:rsidR="0064018D" w:rsidRPr="006645DC" w:rsidSect="00187E88">
          <w:headerReference w:type="default" r:id="rId111"/>
          <w:footerReference w:type="default" r:id="rId112"/>
          <w:pgSz w:w="12240" w:h="15840"/>
          <w:pgMar w:top="1440" w:right="1440" w:bottom="1440" w:left="1440" w:header="720" w:footer="720" w:gutter="0"/>
          <w:cols w:space="720"/>
          <w:docGrid w:linePitch="360"/>
        </w:sectPr>
      </w:pPr>
    </w:p>
    <w:p w14:paraId="0DE9EA6E" w14:textId="77777777" w:rsidR="0064018D" w:rsidRPr="006645DC" w:rsidRDefault="0064018D" w:rsidP="0064018D">
      <w:pPr>
        <w:pStyle w:val="Heading3"/>
        <w:rPr>
          <w:lang w:val="en-GB"/>
        </w:rPr>
      </w:pPr>
      <w:bookmarkStart w:id="1360" w:name="_Toc254543808"/>
      <w:r w:rsidRPr="006645DC">
        <w:rPr>
          <w:lang w:val="en-GB"/>
        </w:rPr>
        <w:lastRenderedPageBreak/>
        <w:t>Needs</w:t>
      </w:r>
      <w:bookmarkEnd w:id="1360"/>
    </w:p>
    <w:tbl>
      <w:tblPr>
        <w:tblW w:w="9786" w:type="dxa"/>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627"/>
        <w:gridCol w:w="4875"/>
        <w:gridCol w:w="904"/>
        <w:gridCol w:w="979"/>
        <w:gridCol w:w="801"/>
        <w:gridCol w:w="712"/>
        <w:gridCol w:w="888"/>
      </w:tblGrid>
      <w:tr w:rsidR="00AA1FB8" w:rsidRPr="006645DC" w14:paraId="4DF5D0FD" w14:textId="77777777" w:rsidTr="00AA1FB8">
        <w:trPr>
          <w:trHeight w:val="724"/>
          <w:jc w:val="center"/>
        </w:trPr>
        <w:tc>
          <w:tcPr>
            <w:tcW w:w="627" w:type="dxa"/>
            <w:vMerge w:val="restart"/>
            <w:shd w:val="clear" w:color="auto" w:fill="auto"/>
            <w:vAlign w:val="center"/>
          </w:tcPr>
          <w:p w14:paraId="350CA246" w14:textId="77777777" w:rsidR="00AA1FB8" w:rsidRPr="006645DC" w:rsidRDefault="00AA1FB8" w:rsidP="004E19CB">
            <w:pPr>
              <w:spacing w:before="0" w:after="0"/>
              <w:jc w:val="center"/>
              <w:rPr>
                <w:rFonts w:asciiTheme="minorHAnsi" w:eastAsia="Times New Roman" w:hAnsiTheme="minorHAnsi" w:cstheme="minorHAnsi"/>
                <w:b/>
                <w:bCs/>
                <w:sz w:val="20"/>
                <w:szCs w:val="20"/>
                <w:lang w:val="en-GB"/>
              </w:rPr>
            </w:pPr>
            <w:r w:rsidRPr="006645DC">
              <w:rPr>
                <w:rFonts w:asciiTheme="minorHAnsi" w:eastAsia="Times New Roman" w:hAnsiTheme="minorHAnsi" w:cstheme="minorHAnsi"/>
                <w:b/>
                <w:bCs/>
                <w:sz w:val="20"/>
                <w:szCs w:val="20"/>
                <w:lang w:val="en-GB"/>
              </w:rPr>
              <w:t>No.</w:t>
            </w:r>
          </w:p>
        </w:tc>
        <w:tc>
          <w:tcPr>
            <w:tcW w:w="4875" w:type="dxa"/>
            <w:vMerge w:val="restart"/>
            <w:shd w:val="clear" w:color="auto" w:fill="auto"/>
            <w:vAlign w:val="center"/>
          </w:tcPr>
          <w:p w14:paraId="40BA2222" w14:textId="77777777" w:rsidR="00AA1FB8" w:rsidRPr="006645DC" w:rsidRDefault="00AA1FB8" w:rsidP="004E19CB">
            <w:pPr>
              <w:spacing w:before="0" w:after="0"/>
              <w:jc w:val="left"/>
              <w:rPr>
                <w:rFonts w:asciiTheme="minorHAnsi" w:eastAsia="Times New Roman" w:hAnsiTheme="minorHAnsi" w:cstheme="minorHAnsi"/>
                <w:b/>
                <w:bCs/>
                <w:sz w:val="20"/>
                <w:szCs w:val="20"/>
                <w:lang w:val="en-GB"/>
              </w:rPr>
            </w:pPr>
            <w:r w:rsidRPr="006645DC">
              <w:rPr>
                <w:rFonts w:asciiTheme="minorHAnsi" w:eastAsia="Times New Roman" w:hAnsiTheme="minorHAnsi" w:cstheme="minorHAnsi"/>
                <w:b/>
                <w:bCs/>
                <w:sz w:val="20"/>
                <w:szCs w:val="20"/>
                <w:lang w:val="en-GB"/>
              </w:rPr>
              <w:t>Identified need</w:t>
            </w:r>
          </w:p>
        </w:tc>
        <w:tc>
          <w:tcPr>
            <w:tcW w:w="1882" w:type="dxa"/>
            <w:gridSpan w:val="2"/>
            <w:shd w:val="clear" w:color="auto" w:fill="auto"/>
            <w:vAlign w:val="center"/>
          </w:tcPr>
          <w:p w14:paraId="3FBC4FDD" w14:textId="77777777" w:rsidR="00AA1FB8" w:rsidRPr="006645DC" w:rsidRDefault="00AA1FB8" w:rsidP="004E19CB">
            <w:pPr>
              <w:spacing w:before="0" w:after="0"/>
              <w:jc w:val="center"/>
              <w:rPr>
                <w:rFonts w:asciiTheme="minorHAnsi" w:hAnsiTheme="minorHAnsi" w:cstheme="minorHAnsi"/>
                <w:sz w:val="20"/>
                <w:szCs w:val="20"/>
                <w:lang w:val="en-GB"/>
              </w:rPr>
            </w:pPr>
            <w:r w:rsidRPr="006645DC">
              <w:rPr>
                <w:rFonts w:asciiTheme="minorHAnsi" w:eastAsia="Times New Roman" w:hAnsiTheme="minorHAnsi" w:cstheme="minorHAnsi"/>
                <w:b/>
                <w:bCs/>
                <w:sz w:val="20"/>
                <w:szCs w:val="20"/>
                <w:lang w:val="en-GB"/>
              </w:rPr>
              <w:t>Relevance for each national cross-border area</w:t>
            </w:r>
          </w:p>
        </w:tc>
        <w:tc>
          <w:tcPr>
            <w:tcW w:w="2401" w:type="dxa"/>
            <w:gridSpan w:val="3"/>
            <w:shd w:val="clear" w:color="auto" w:fill="auto"/>
            <w:vAlign w:val="center"/>
          </w:tcPr>
          <w:p w14:paraId="36509F23" w14:textId="77777777" w:rsidR="00AA1FB8" w:rsidRPr="006645DC" w:rsidRDefault="00AA1FB8" w:rsidP="004E19CB">
            <w:pPr>
              <w:spacing w:before="0" w:after="0"/>
              <w:jc w:val="center"/>
              <w:rPr>
                <w:rFonts w:asciiTheme="minorHAnsi" w:hAnsiTheme="minorHAnsi" w:cstheme="minorHAnsi"/>
                <w:sz w:val="20"/>
                <w:szCs w:val="20"/>
                <w:lang w:val="en-GB"/>
              </w:rPr>
            </w:pPr>
            <w:r w:rsidRPr="006645DC">
              <w:rPr>
                <w:rFonts w:asciiTheme="minorHAnsi" w:eastAsia="Times New Roman" w:hAnsiTheme="minorHAnsi" w:cstheme="minorHAnsi"/>
                <w:b/>
                <w:bCs/>
                <w:sz w:val="20"/>
                <w:szCs w:val="20"/>
                <w:lang w:val="en-GB"/>
              </w:rPr>
              <w:t>Relevance for the ERDF Thematic Objectives</w:t>
            </w:r>
          </w:p>
        </w:tc>
      </w:tr>
      <w:tr w:rsidR="00AA1FB8" w:rsidRPr="006645DC" w14:paraId="021D1750" w14:textId="77777777" w:rsidTr="00AA1FB8">
        <w:trPr>
          <w:trHeight w:val="143"/>
          <w:jc w:val="center"/>
        </w:trPr>
        <w:tc>
          <w:tcPr>
            <w:tcW w:w="627" w:type="dxa"/>
            <w:vMerge/>
            <w:shd w:val="clear" w:color="auto" w:fill="auto"/>
            <w:vAlign w:val="center"/>
          </w:tcPr>
          <w:p w14:paraId="6A5F5A7E" w14:textId="77777777" w:rsidR="00AA1FB8" w:rsidRPr="006645DC" w:rsidRDefault="00AA1FB8" w:rsidP="004E19CB">
            <w:pPr>
              <w:spacing w:before="0" w:after="0"/>
              <w:jc w:val="center"/>
              <w:rPr>
                <w:rFonts w:asciiTheme="minorHAnsi" w:eastAsia="Times New Roman" w:hAnsiTheme="minorHAnsi" w:cstheme="minorHAnsi"/>
                <w:b/>
                <w:bCs/>
                <w:sz w:val="20"/>
                <w:szCs w:val="20"/>
                <w:lang w:val="en-GB"/>
              </w:rPr>
            </w:pPr>
          </w:p>
        </w:tc>
        <w:tc>
          <w:tcPr>
            <w:tcW w:w="4875" w:type="dxa"/>
            <w:vMerge/>
            <w:shd w:val="clear" w:color="auto" w:fill="auto"/>
            <w:vAlign w:val="center"/>
          </w:tcPr>
          <w:p w14:paraId="671F72C8" w14:textId="77777777" w:rsidR="00AA1FB8" w:rsidRPr="006645DC" w:rsidRDefault="00AA1FB8" w:rsidP="004E19CB">
            <w:pPr>
              <w:spacing w:before="0" w:after="0"/>
              <w:jc w:val="left"/>
              <w:rPr>
                <w:rFonts w:asciiTheme="minorHAnsi" w:hAnsiTheme="minorHAnsi" w:cstheme="minorHAnsi"/>
                <w:sz w:val="20"/>
                <w:szCs w:val="20"/>
                <w:lang w:val="en-GB"/>
              </w:rPr>
            </w:pPr>
          </w:p>
        </w:tc>
        <w:tc>
          <w:tcPr>
            <w:tcW w:w="904" w:type="dxa"/>
            <w:shd w:val="clear" w:color="auto" w:fill="auto"/>
            <w:vAlign w:val="center"/>
          </w:tcPr>
          <w:p w14:paraId="3C8348C9"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61" w:name="_Toc376199531"/>
            <w:r w:rsidRPr="006645DC">
              <w:rPr>
                <w:rFonts w:asciiTheme="minorHAnsi" w:hAnsiTheme="minorHAnsi" w:cstheme="minorHAnsi"/>
                <w:b/>
                <w:sz w:val="20"/>
                <w:szCs w:val="20"/>
                <w:lang w:val="en-GB"/>
              </w:rPr>
              <w:t>RO</w:t>
            </w:r>
            <w:bookmarkEnd w:id="1361"/>
          </w:p>
        </w:tc>
        <w:tc>
          <w:tcPr>
            <w:tcW w:w="979" w:type="dxa"/>
            <w:shd w:val="clear" w:color="auto" w:fill="auto"/>
            <w:vAlign w:val="center"/>
          </w:tcPr>
          <w:p w14:paraId="138C109A"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62" w:name="_Toc376199532"/>
            <w:r w:rsidRPr="006645DC">
              <w:rPr>
                <w:rFonts w:asciiTheme="minorHAnsi" w:hAnsiTheme="minorHAnsi" w:cstheme="minorHAnsi"/>
                <w:b/>
                <w:sz w:val="20"/>
                <w:szCs w:val="20"/>
                <w:lang w:val="en-GB"/>
              </w:rPr>
              <w:t>BG</w:t>
            </w:r>
            <w:bookmarkEnd w:id="1362"/>
          </w:p>
        </w:tc>
        <w:tc>
          <w:tcPr>
            <w:tcW w:w="801" w:type="dxa"/>
            <w:shd w:val="clear" w:color="auto" w:fill="auto"/>
            <w:vAlign w:val="center"/>
          </w:tcPr>
          <w:p w14:paraId="7F65A5A7"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63" w:name="_Toc376199533"/>
            <w:r w:rsidRPr="006645DC">
              <w:rPr>
                <w:rFonts w:asciiTheme="minorHAnsi" w:hAnsiTheme="minorHAnsi" w:cstheme="minorHAnsi"/>
                <w:b/>
                <w:sz w:val="20"/>
                <w:szCs w:val="20"/>
                <w:lang w:val="en-GB"/>
              </w:rPr>
              <w:t>TO8</w:t>
            </w:r>
            <w:bookmarkEnd w:id="1363"/>
          </w:p>
        </w:tc>
        <w:tc>
          <w:tcPr>
            <w:tcW w:w="712" w:type="dxa"/>
            <w:shd w:val="clear" w:color="auto" w:fill="auto"/>
            <w:vAlign w:val="center"/>
          </w:tcPr>
          <w:p w14:paraId="79910355" w14:textId="77777777" w:rsidR="00AA1FB8" w:rsidRPr="006645DC" w:rsidRDefault="00AA1FB8" w:rsidP="004E19CB">
            <w:pPr>
              <w:spacing w:before="0" w:after="0"/>
              <w:jc w:val="center"/>
              <w:rPr>
                <w:rFonts w:asciiTheme="minorHAnsi" w:hAnsiTheme="minorHAnsi" w:cstheme="minorHAnsi"/>
                <w:b/>
                <w:sz w:val="20"/>
                <w:szCs w:val="20"/>
                <w:lang w:val="en-GB"/>
              </w:rPr>
            </w:pPr>
            <w:r w:rsidRPr="006645DC">
              <w:rPr>
                <w:rFonts w:asciiTheme="minorHAnsi" w:hAnsiTheme="minorHAnsi" w:cstheme="minorHAnsi"/>
                <w:b/>
                <w:sz w:val="20"/>
                <w:szCs w:val="20"/>
                <w:lang w:val="en-GB"/>
              </w:rPr>
              <w:t>TO9</w:t>
            </w:r>
          </w:p>
        </w:tc>
        <w:tc>
          <w:tcPr>
            <w:tcW w:w="888" w:type="dxa"/>
            <w:shd w:val="clear" w:color="auto" w:fill="auto"/>
            <w:vAlign w:val="center"/>
          </w:tcPr>
          <w:p w14:paraId="4B39C3E5" w14:textId="77777777" w:rsidR="00AA1FB8" w:rsidRPr="006645DC" w:rsidRDefault="00AA1FB8" w:rsidP="004E19CB">
            <w:pPr>
              <w:spacing w:before="0" w:after="0"/>
              <w:jc w:val="center"/>
              <w:rPr>
                <w:rFonts w:asciiTheme="minorHAnsi" w:hAnsiTheme="minorHAnsi" w:cstheme="minorHAnsi"/>
                <w:b/>
                <w:sz w:val="20"/>
                <w:szCs w:val="20"/>
                <w:lang w:val="en-GB"/>
              </w:rPr>
            </w:pPr>
            <w:r w:rsidRPr="006645DC">
              <w:rPr>
                <w:rFonts w:asciiTheme="minorHAnsi" w:hAnsiTheme="minorHAnsi" w:cstheme="minorHAnsi"/>
                <w:b/>
                <w:sz w:val="20"/>
                <w:szCs w:val="20"/>
                <w:lang w:val="en-GB"/>
              </w:rPr>
              <w:t>TO10</w:t>
            </w:r>
          </w:p>
        </w:tc>
      </w:tr>
      <w:tr w:rsidR="00AA1FB8" w:rsidRPr="006645DC" w14:paraId="4919CDAF" w14:textId="77777777" w:rsidTr="00AA1FB8">
        <w:trPr>
          <w:trHeight w:val="724"/>
          <w:jc w:val="center"/>
        </w:trPr>
        <w:tc>
          <w:tcPr>
            <w:tcW w:w="627" w:type="dxa"/>
            <w:shd w:val="clear" w:color="auto" w:fill="auto"/>
            <w:vAlign w:val="center"/>
          </w:tcPr>
          <w:p w14:paraId="311419DA" w14:textId="77777777" w:rsidR="00AA1FB8" w:rsidRPr="006645DC" w:rsidRDefault="00AA1FB8" w:rsidP="004E19CB">
            <w:pPr>
              <w:spacing w:before="0" w:after="0"/>
              <w:jc w:val="center"/>
              <w:rPr>
                <w:rFonts w:asciiTheme="minorHAnsi" w:hAnsiTheme="minorHAnsi" w:cstheme="minorHAnsi"/>
                <w:sz w:val="20"/>
                <w:szCs w:val="20"/>
                <w:lang w:val="en-GB"/>
              </w:rPr>
            </w:pPr>
            <w:r w:rsidRPr="006645DC">
              <w:rPr>
                <w:rFonts w:asciiTheme="minorHAnsi" w:eastAsia="Times New Roman" w:hAnsiTheme="minorHAnsi" w:cstheme="minorHAnsi"/>
                <w:b/>
                <w:bCs/>
                <w:sz w:val="20"/>
                <w:szCs w:val="20"/>
                <w:lang w:val="en-GB"/>
              </w:rPr>
              <w:t>1</w:t>
            </w:r>
          </w:p>
        </w:tc>
        <w:tc>
          <w:tcPr>
            <w:tcW w:w="4875" w:type="dxa"/>
            <w:shd w:val="clear" w:color="auto" w:fill="auto"/>
            <w:vAlign w:val="center"/>
          </w:tcPr>
          <w:p w14:paraId="6B30861A"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bookmarkStart w:id="1364" w:name="_Toc376199534"/>
            <w:r w:rsidRPr="006645DC">
              <w:rPr>
                <w:rFonts w:asciiTheme="minorHAnsi" w:hAnsiTheme="minorHAnsi" w:cstheme="minorHAnsi"/>
                <w:sz w:val="20"/>
                <w:szCs w:val="20"/>
                <w:lang w:val="en-GB"/>
              </w:rPr>
              <w:t>Provide market-oriented professional training for adults (working age population) in order to ensure their reinsertion in the labour market</w:t>
            </w:r>
            <w:bookmarkEnd w:id="1364"/>
          </w:p>
        </w:tc>
        <w:tc>
          <w:tcPr>
            <w:tcW w:w="904" w:type="dxa"/>
            <w:shd w:val="clear" w:color="auto" w:fill="auto"/>
            <w:vAlign w:val="center"/>
          </w:tcPr>
          <w:p w14:paraId="3F959658"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65" w:name="_Toc376199535"/>
            <w:r w:rsidRPr="006645DC">
              <w:rPr>
                <w:rFonts w:asciiTheme="minorHAnsi" w:hAnsiTheme="minorHAnsi" w:cstheme="minorHAnsi"/>
                <w:sz w:val="20"/>
                <w:szCs w:val="20"/>
                <w:lang w:val="en-GB"/>
              </w:rPr>
              <w:t>++</w:t>
            </w:r>
            <w:bookmarkEnd w:id="1365"/>
            <w:r w:rsidRPr="006645DC">
              <w:rPr>
                <w:rFonts w:asciiTheme="minorHAnsi" w:hAnsiTheme="minorHAnsi" w:cstheme="minorHAnsi"/>
                <w:sz w:val="20"/>
                <w:szCs w:val="20"/>
                <w:lang w:val="en-GB"/>
              </w:rPr>
              <w:t>+</w:t>
            </w:r>
          </w:p>
        </w:tc>
        <w:tc>
          <w:tcPr>
            <w:tcW w:w="979" w:type="dxa"/>
            <w:shd w:val="clear" w:color="auto" w:fill="auto"/>
            <w:vAlign w:val="center"/>
          </w:tcPr>
          <w:p w14:paraId="68B59465"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66" w:name="_Toc376199536"/>
            <w:r w:rsidRPr="006645DC">
              <w:rPr>
                <w:rFonts w:asciiTheme="minorHAnsi" w:hAnsiTheme="minorHAnsi" w:cstheme="minorHAnsi"/>
                <w:sz w:val="20"/>
                <w:szCs w:val="20"/>
                <w:lang w:val="en-GB"/>
              </w:rPr>
              <w:t>++</w:t>
            </w:r>
            <w:bookmarkEnd w:id="1366"/>
            <w:r w:rsidRPr="006645DC">
              <w:rPr>
                <w:rFonts w:asciiTheme="minorHAnsi" w:hAnsiTheme="minorHAnsi" w:cstheme="minorHAnsi"/>
                <w:sz w:val="20"/>
                <w:szCs w:val="20"/>
                <w:lang w:val="en-GB"/>
              </w:rPr>
              <w:t>+</w:t>
            </w:r>
          </w:p>
        </w:tc>
        <w:tc>
          <w:tcPr>
            <w:tcW w:w="801" w:type="dxa"/>
            <w:shd w:val="clear" w:color="auto" w:fill="auto"/>
            <w:vAlign w:val="center"/>
          </w:tcPr>
          <w:p w14:paraId="190ACC26"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67" w:name="_Toc376199537"/>
            <w:r w:rsidRPr="006645DC">
              <w:rPr>
                <w:rFonts w:asciiTheme="minorHAnsi" w:hAnsiTheme="minorHAnsi" w:cstheme="minorHAnsi"/>
                <w:b/>
                <w:sz w:val="20"/>
                <w:szCs w:val="20"/>
                <w:lang w:val="en-GB"/>
              </w:rPr>
              <w:t>√</w:t>
            </w:r>
            <w:bookmarkEnd w:id="1367"/>
          </w:p>
        </w:tc>
        <w:tc>
          <w:tcPr>
            <w:tcW w:w="712" w:type="dxa"/>
            <w:shd w:val="clear" w:color="auto" w:fill="auto"/>
            <w:vAlign w:val="center"/>
          </w:tcPr>
          <w:p w14:paraId="4E467F08" w14:textId="5B6AE791"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p>
        </w:tc>
        <w:tc>
          <w:tcPr>
            <w:tcW w:w="888" w:type="dxa"/>
            <w:shd w:val="clear" w:color="auto" w:fill="auto"/>
            <w:vAlign w:val="center"/>
          </w:tcPr>
          <w:p w14:paraId="01843CB6"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68" w:name="_Toc376199539"/>
            <w:r w:rsidRPr="006645DC">
              <w:rPr>
                <w:rFonts w:asciiTheme="minorHAnsi" w:hAnsiTheme="minorHAnsi" w:cstheme="minorHAnsi"/>
                <w:b/>
                <w:sz w:val="20"/>
                <w:szCs w:val="20"/>
                <w:lang w:val="en-GB"/>
              </w:rPr>
              <w:t>√</w:t>
            </w:r>
            <w:bookmarkEnd w:id="1368"/>
          </w:p>
        </w:tc>
      </w:tr>
      <w:tr w:rsidR="00AA1FB8" w:rsidRPr="006645DC" w14:paraId="166812D1" w14:textId="77777777" w:rsidTr="00AA1FB8">
        <w:trPr>
          <w:trHeight w:val="482"/>
          <w:jc w:val="center"/>
        </w:trPr>
        <w:tc>
          <w:tcPr>
            <w:tcW w:w="627" w:type="dxa"/>
            <w:shd w:val="clear" w:color="auto" w:fill="auto"/>
            <w:vAlign w:val="center"/>
          </w:tcPr>
          <w:p w14:paraId="7DF49BEC" w14:textId="77777777" w:rsidR="00AA1FB8" w:rsidRPr="006645DC" w:rsidRDefault="00AA1FB8" w:rsidP="004E19CB">
            <w:pPr>
              <w:keepNext/>
              <w:keepLines/>
              <w:spacing w:before="0" w:after="0"/>
              <w:jc w:val="center"/>
              <w:outlineLvl w:val="1"/>
              <w:rPr>
                <w:rFonts w:asciiTheme="minorHAnsi" w:eastAsia="Times New Roman" w:hAnsiTheme="minorHAnsi" w:cstheme="minorHAnsi"/>
                <w:b/>
                <w:bCs/>
                <w:sz w:val="20"/>
                <w:szCs w:val="20"/>
                <w:lang w:val="en-GB"/>
              </w:rPr>
            </w:pPr>
            <w:bookmarkStart w:id="1369" w:name="_Toc376199540"/>
            <w:r w:rsidRPr="006645DC">
              <w:rPr>
                <w:rFonts w:asciiTheme="minorHAnsi" w:eastAsia="Times New Roman" w:hAnsiTheme="minorHAnsi" w:cstheme="minorHAnsi"/>
                <w:b/>
                <w:bCs/>
                <w:sz w:val="20"/>
                <w:szCs w:val="20"/>
                <w:lang w:val="en-GB"/>
              </w:rPr>
              <w:t>2</w:t>
            </w:r>
            <w:bookmarkEnd w:id="1369"/>
          </w:p>
        </w:tc>
        <w:tc>
          <w:tcPr>
            <w:tcW w:w="4875" w:type="dxa"/>
            <w:shd w:val="clear" w:color="auto" w:fill="auto"/>
            <w:vAlign w:val="center"/>
          </w:tcPr>
          <w:p w14:paraId="2C0EA0E0"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bookmarkStart w:id="1370" w:name="_Toc376199541"/>
            <w:r w:rsidRPr="006645DC">
              <w:rPr>
                <w:rFonts w:asciiTheme="minorHAnsi" w:hAnsiTheme="minorHAnsi" w:cstheme="minorHAnsi"/>
                <w:sz w:val="20"/>
                <w:szCs w:val="20"/>
                <w:lang w:val="en-GB"/>
              </w:rPr>
              <w:t>Provide training programmes for seniors in order to promote active ageing</w:t>
            </w:r>
            <w:bookmarkEnd w:id="1370"/>
            <w:r w:rsidRPr="006645DC">
              <w:rPr>
                <w:rFonts w:asciiTheme="minorHAnsi" w:hAnsiTheme="minorHAnsi" w:cstheme="minorHAnsi"/>
                <w:sz w:val="20"/>
                <w:szCs w:val="20"/>
                <w:lang w:val="en-GB"/>
              </w:rPr>
              <w:t xml:space="preserve"> </w:t>
            </w:r>
          </w:p>
        </w:tc>
        <w:tc>
          <w:tcPr>
            <w:tcW w:w="904" w:type="dxa"/>
            <w:shd w:val="clear" w:color="auto" w:fill="auto"/>
            <w:vAlign w:val="center"/>
          </w:tcPr>
          <w:p w14:paraId="483E79AE"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71" w:name="_Toc376199542"/>
            <w:r w:rsidRPr="006645DC">
              <w:rPr>
                <w:rFonts w:asciiTheme="minorHAnsi" w:hAnsiTheme="minorHAnsi" w:cstheme="minorHAnsi"/>
                <w:sz w:val="20"/>
                <w:szCs w:val="20"/>
                <w:lang w:val="en-GB"/>
              </w:rPr>
              <w:t>+++</w:t>
            </w:r>
            <w:bookmarkEnd w:id="1371"/>
          </w:p>
        </w:tc>
        <w:tc>
          <w:tcPr>
            <w:tcW w:w="979" w:type="dxa"/>
            <w:shd w:val="clear" w:color="auto" w:fill="auto"/>
            <w:vAlign w:val="center"/>
          </w:tcPr>
          <w:p w14:paraId="1FCEECEB"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72" w:name="_Toc376199543"/>
            <w:r w:rsidRPr="006645DC">
              <w:rPr>
                <w:rFonts w:asciiTheme="minorHAnsi" w:hAnsiTheme="minorHAnsi" w:cstheme="minorHAnsi"/>
                <w:sz w:val="20"/>
                <w:szCs w:val="20"/>
                <w:lang w:val="en-GB"/>
              </w:rPr>
              <w:t>+++</w:t>
            </w:r>
            <w:bookmarkEnd w:id="1372"/>
          </w:p>
        </w:tc>
        <w:tc>
          <w:tcPr>
            <w:tcW w:w="801" w:type="dxa"/>
            <w:shd w:val="clear" w:color="auto" w:fill="auto"/>
            <w:vAlign w:val="center"/>
          </w:tcPr>
          <w:p w14:paraId="6063ABA4"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73" w:name="_Toc376199544"/>
            <w:r w:rsidRPr="006645DC">
              <w:rPr>
                <w:rFonts w:asciiTheme="minorHAnsi" w:hAnsiTheme="minorHAnsi" w:cstheme="minorHAnsi"/>
                <w:b/>
                <w:sz w:val="20"/>
                <w:szCs w:val="20"/>
                <w:lang w:val="en-GB"/>
              </w:rPr>
              <w:t>√</w:t>
            </w:r>
            <w:bookmarkEnd w:id="1373"/>
          </w:p>
        </w:tc>
        <w:tc>
          <w:tcPr>
            <w:tcW w:w="712" w:type="dxa"/>
            <w:shd w:val="clear" w:color="auto" w:fill="auto"/>
            <w:vAlign w:val="center"/>
          </w:tcPr>
          <w:p w14:paraId="6ABC9C3A" w14:textId="2F428A9B"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p>
        </w:tc>
        <w:tc>
          <w:tcPr>
            <w:tcW w:w="888" w:type="dxa"/>
            <w:shd w:val="clear" w:color="auto" w:fill="auto"/>
            <w:vAlign w:val="center"/>
          </w:tcPr>
          <w:p w14:paraId="60C23B41"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74" w:name="_Toc376199546"/>
            <w:r w:rsidRPr="006645DC">
              <w:rPr>
                <w:rFonts w:asciiTheme="minorHAnsi" w:hAnsiTheme="minorHAnsi" w:cstheme="minorHAnsi"/>
                <w:b/>
                <w:sz w:val="20"/>
                <w:szCs w:val="20"/>
                <w:lang w:val="en-GB"/>
              </w:rPr>
              <w:t>√</w:t>
            </w:r>
            <w:bookmarkEnd w:id="1374"/>
          </w:p>
        </w:tc>
      </w:tr>
      <w:tr w:rsidR="00AA1FB8" w:rsidRPr="006645DC" w14:paraId="37634573" w14:textId="77777777" w:rsidTr="00AA1FB8">
        <w:trPr>
          <w:trHeight w:val="964"/>
          <w:jc w:val="center"/>
        </w:trPr>
        <w:tc>
          <w:tcPr>
            <w:tcW w:w="627" w:type="dxa"/>
            <w:shd w:val="clear" w:color="auto" w:fill="auto"/>
            <w:vAlign w:val="center"/>
          </w:tcPr>
          <w:p w14:paraId="31A6AC7A" w14:textId="77777777" w:rsidR="00AA1FB8" w:rsidRPr="006645DC" w:rsidRDefault="00AA1FB8" w:rsidP="004E19CB">
            <w:pPr>
              <w:keepNext/>
              <w:keepLines/>
              <w:spacing w:before="0" w:after="0"/>
              <w:jc w:val="center"/>
              <w:outlineLvl w:val="1"/>
              <w:rPr>
                <w:rFonts w:asciiTheme="minorHAnsi" w:eastAsia="Times New Roman" w:hAnsiTheme="minorHAnsi" w:cstheme="minorHAnsi"/>
                <w:b/>
                <w:bCs/>
                <w:sz w:val="20"/>
                <w:szCs w:val="20"/>
                <w:lang w:val="en-GB"/>
              </w:rPr>
            </w:pPr>
            <w:r>
              <w:rPr>
                <w:rFonts w:asciiTheme="minorHAnsi" w:eastAsia="Times New Roman" w:hAnsiTheme="minorHAnsi" w:cstheme="minorHAnsi"/>
                <w:b/>
                <w:bCs/>
                <w:sz w:val="20"/>
                <w:szCs w:val="20"/>
                <w:lang w:val="en-GB"/>
              </w:rPr>
              <w:t>3</w:t>
            </w:r>
          </w:p>
        </w:tc>
        <w:tc>
          <w:tcPr>
            <w:tcW w:w="4875" w:type="dxa"/>
            <w:shd w:val="clear" w:color="auto" w:fill="auto"/>
            <w:vAlign w:val="center"/>
          </w:tcPr>
          <w:p w14:paraId="623381E9"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 xml:space="preserve">Provide trainings for diverse group of people to decrease unemployment and to provide lifelong learning opportunities (e.g.joint special programs in vocational training, special language courses, </w:t>
            </w:r>
          </w:p>
        </w:tc>
        <w:tc>
          <w:tcPr>
            <w:tcW w:w="904" w:type="dxa"/>
            <w:shd w:val="clear" w:color="auto" w:fill="auto"/>
            <w:vAlign w:val="center"/>
          </w:tcPr>
          <w:p w14:paraId="6D0BAD52"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w:t>
            </w:r>
          </w:p>
        </w:tc>
        <w:tc>
          <w:tcPr>
            <w:tcW w:w="979" w:type="dxa"/>
            <w:shd w:val="clear" w:color="auto" w:fill="auto"/>
            <w:vAlign w:val="center"/>
          </w:tcPr>
          <w:p w14:paraId="74050F48"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w:t>
            </w:r>
          </w:p>
        </w:tc>
        <w:tc>
          <w:tcPr>
            <w:tcW w:w="801" w:type="dxa"/>
            <w:shd w:val="clear" w:color="auto" w:fill="auto"/>
            <w:vAlign w:val="center"/>
          </w:tcPr>
          <w:p w14:paraId="01283DF6"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r w:rsidRPr="006645DC">
              <w:rPr>
                <w:rFonts w:asciiTheme="minorHAnsi" w:hAnsiTheme="minorHAnsi" w:cstheme="minorHAnsi"/>
                <w:b/>
                <w:sz w:val="20"/>
                <w:szCs w:val="20"/>
                <w:lang w:val="en-GB"/>
              </w:rPr>
              <w:t>√</w:t>
            </w:r>
          </w:p>
        </w:tc>
        <w:tc>
          <w:tcPr>
            <w:tcW w:w="712" w:type="dxa"/>
            <w:shd w:val="clear" w:color="auto" w:fill="auto"/>
            <w:vAlign w:val="center"/>
          </w:tcPr>
          <w:p w14:paraId="7FDDC321"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p>
        </w:tc>
        <w:tc>
          <w:tcPr>
            <w:tcW w:w="888" w:type="dxa"/>
            <w:shd w:val="clear" w:color="auto" w:fill="auto"/>
            <w:vAlign w:val="center"/>
          </w:tcPr>
          <w:p w14:paraId="7993D51A"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r w:rsidRPr="006645DC">
              <w:rPr>
                <w:rFonts w:asciiTheme="minorHAnsi" w:hAnsiTheme="minorHAnsi" w:cstheme="minorHAnsi"/>
                <w:b/>
                <w:sz w:val="20"/>
                <w:szCs w:val="20"/>
                <w:lang w:val="en-GB"/>
              </w:rPr>
              <w:t>√</w:t>
            </w:r>
          </w:p>
        </w:tc>
      </w:tr>
      <w:tr w:rsidR="00AA1FB8" w:rsidRPr="006645DC" w14:paraId="760D92FA" w14:textId="77777777" w:rsidTr="00AA1FB8">
        <w:trPr>
          <w:trHeight w:val="482"/>
          <w:jc w:val="center"/>
        </w:trPr>
        <w:tc>
          <w:tcPr>
            <w:tcW w:w="627" w:type="dxa"/>
            <w:shd w:val="clear" w:color="auto" w:fill="auto"/>
            <w:vAlign w:val="center"/>
          </w:tcPr>
          <w:p w14:paraId="766C221E" w14:textId="77777777" w:rsidR="00AA1FB8" w:rsidRPr="006645DC" w:rsidRDefault="00AA1FB8" w:rsidP="004E19CB">
            <w:pPr>
              <w:keepNext/>
              <w:keepLines/>
              <w:spacing w:before="0" w:after="0"/>
              <w:jc w:val="center"/>
              <w:outlineLvl w:val="1"/>
              <w:rPr>
                <w:rFonts w:asciiTheme="minorHAnsi" w:eastAsia="Times New Roman" w:hAnsiTheme="minorHAnsi" w:cstheme="minorHAnsi"/>
                <w:b/>
                <w:bCs/>
                <w:sz w:val="20"/>
                <w:szCs w:val="20"/>
                <w:lang w:val="en-GB"/>
              </w:rPr>
            </w:pPr>
            <w:r>
              <w:rPr>
                <w:rFonts w:asciiTheme="minorHAnsi" w:eastAsia="Times New Roman" w:hAnsiTheme="minorHAnsi" w:cstheme="minorHAnsi"/>
                <w:b/>
                <w:bCs/>
                <w:sz w:val="20"/>
                <w:szCs w:val="20"/>
                <w:lang w:val="en-GB"/>
              </w:rPr>
              <w:t>4</w:t>
            </w:r>
          </w:p>
        </w:tc>
        <w:tc>
          <w:tcPr>
            <w:tcW w:w="4875" w:type="dxa"/>
            <w:shd w:val="clear" w:color="auto" w:fill="auto"/>
            <w:vAlign w:val="center"/>
          </w:tcPr>
          <w:p w14:paraId="2D65D4D5"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Provide comprehensive and official information on social security, employment legislation and tax issues</w:t>
            </w:r>
          </w:p>
        </w:tc>
        <w:tc>
          <w:tcPr>
            <w:tcW w:w="904" w:type="dxa"/>
            <w:shd w:val="clear" w:color="auto" w:fill="auto"/>
            <w:vAlign w:val="center"/>
          </w:tcPr>
          <w:p w14:paraId="36A2B37D"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w:t>
            </w:r>
          </w:p>
        </w:tc>
        <w:tc>
          <w:tcPr>
            <w:tcW w:w="979" w:type="dxa"/>
            <w:shd w:val="clear" w:color="auto" w:fill="auto"/>
            <w:vAlign w:val="center"/>
          </w:tcPr>
          <w:p w14:paraId="1ACCA086"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w:t>
            </w:r>
          </w:p>
        </w:tc>
        <w:tc>
          <w:tcPr>
            <w:tcW w:w="801" w:type="dxa"/>
            <w:shd w:val="clear" w:color="auto" w:fill="auto"/>
            <w:vAlign w:val="center"/>
          </w:tcPr>
          <w:p w14:paraId="3736ED8D"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r w:rsidRPr="006645DC">
              <w:rPr>
                <w:rFonts w:asciiTheme="minorHAnsi" w:hAnsiTheme="minorHAnsi" w:cstheme="minorHAnsi"/>
                <w:b/>
                <w:sz w:val="20"/>
                <w:szCs w:val="20"/>
                <w:lang w:val="en-GB"/>
              </w:rPr>
              <w:t>√</w:t>
            </w:r>
          </w:p>
        </w:tc>
        <w:tc>
          <w:tcPr>
            <w:tcW w:w="712" w:type="dxa"/>
            <w:shd w:val="clear" w:color="auto" w:fill="auto"/>
            <w:vAlign w:val="center"/>
          </w:tcPr>
          <w:p w14:paraId="51440EE4"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p>
        </w:tc>
        <w:tc>
          <w:tcPr>
            <w:tcW w:w="888" w:type="dxa"/>
            <w:shd w:val="clear" w:color="auto" w:fill="auto"/>
            <w:vAlign w:val="center"/>
          </w:tcPr>
          <w:p w14:paraId="3AFC2469"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p>
        </w:tc>
      </w:tr>
      <w:tr w:rsidR="00AA1FB8" w:rsidRPr="006645DC" w14:paraId="073ABE6A" w14:textId="77777777" w:rsidTr="00AA1FB8">
        <w:trPr>
          <w:trHeight w:val="743"/>
          <w:jc w:val="center"/>
        </w:trPr>
        <w:tc>
          <w:tcPr>
            <w:tcW w:w="627" w:type="dxa"/>
            <w:shd w:val="clear" w:color="auto" w:fill="auto"/>
            <w:vAlign w:val="center"/>
          </w:tcPr>
          <w:p w14:paraId="01CC81ED" w14:textId="77777777" w:rsidR="00AA1FB8" w:rsidRPr="006645DC" w:rsidRDefault="00AA1FB8" w:rsidP="004E19CB">
            <w:pPr>
              <w:keepNext/>
              <w:keepLines/>
              <w:spacing w:before="0" w:after="0"/>
              <w:jc w:val="center"/>
              <w:outlineLvl w:val="1"/>
              <w:rPr>
                <w:rFonts w:asciiTheme="minorHAnsi" w:eastAsia="Times New Roman" w:hAnsiTheme="minorHAnsi" w:cstheme="minorHAnsi"/>
                <w:b/>
                <w:bCs/>
                <w:sz w:val="20"/>
                <w:szCs w:val="20"/>
                <w:lang w:val="en-GB"/>
              </w:rPr>
            </w:pPr>
            <w:r>
              <w:rPr>
                <w:rFonts w:asciiTheme="minorHAnsi" w:eastAsia="Times New Roman" w:hAnsiTheme="minorHAnsi" w:cstheme="minorHAnsi"/>
                <w:b/>
                <w:bCs/>
                <w:sz w:val="20"/>
                <w:szCs w:val="20"/>
                <w:lang w:val="en-GB"/>
              </w:rPr>
              <w:t>5</w:t>
            </w:r>
          </w:p>
        </w:tc>
        <w:tc>
          <w:tcPr>
            <w:tcW w:w="4875" w:type="dxa"/>
            <w:shd w:val="clear" w:color="auto" w:fill="auto"/>
            <w:vAlign w:val="center"/>
          </w:tcPr>
          <w:p w14:paraId="1DA11361"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bookmarkStart w:id="1375" w:name="_Toc376199548"/>
            <w:r w:rsidRPr="006645DC">
              <w:rPr>
                <w:rFonts w:asciiTheme="minorHAnsi" w:hAnsiTheme="minorHAnsi" w:cstheme="minorHAnsi"/>
                <w:sz w:val="20"/>
                <w:szCs w:val="20"/>
                <w:lang w:val="en-GB"/>
              </w:rPr>
              <w:t>Better infrastructures and incentives for education at all levels (transport modes, training of teachers/professors,lifelong guidance,  lifelong learning)</w:t>
            </w:r>
            <w:bookmarkEnd w:id="1375"/>
          </w:p>
        </w:tc>
        <w:tc>
          <w:tcPr>
            <w:tcW w:w="904" w:type="dxa"/>
            <w:shd w:val="clear" w:color="auto" w:fill="auto"/>
            <w:vAlign w:val="center"/>
          </w:tcPr>
          <w:p w14:paraId="47711F25"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76" w:name="_Toc376199549"/>
            <w:r w:rsidRPr="006645DC">
              <w:rPr>
                <w:rFonts w:asciiTheme="minorHAnsi" w:hAnsiTheme="minorHAnsi" w:cstheme="minorHAnsi"/>
                <w:sz w:val="20"/>
                <w:szCs w:val="20"/>
                <w:lang w:val="en-GB"/>
              </w:rPr>
              <w:t>++</w:t>
            </w:r>
            <w:bookmarkEnd w:id="1376"/>
          </w:p>
        </w:tc>
        <w:tc>
          <w:tcPr>
            <w:tcW w:w="979" w:type="dxa"/>
            <w:shd w:val="clear" w:color="auto" w:fill="auto"/>
            <w:vAlign w:val="center"/>
          </w:tcPr>
          <w:p w14:paraId="59C4B40B"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77" w:name="_Toc376199550"/>
            <w:r w:rsidRPr="006645DC">
              <w:rPr>
                <w:rFonts w:asciiTheme="minorHAnsi" w:hAnsiTheme="minorHAnsi" w:cstheme="minorHAnsi"/>
                <w:sz w:val="20"/>
                <w:szCs w:val="20"/>
                <w:lang w:val="en-GB"/>
              </w:rPr>
              <w:t>+++</w:t>
            </w:r>
            <w:bookmarkEnd w:id="1377"/>
          </w:p>
        </w:tc>
        <w:tc>
          <w:tcPr>
            <w:tcW w:w="801" w:type="dxa"/>
            <w:shd w:val="clear" w:color="auto" w:fill="auto"/>
            <w:vAlign w:val="center"/>
          </w:tcPr>
          <w:p w14:paraId="6A3BEF86" w14:textId="6A379F35" w:rsidR="00AA1FB8" w:rsidRPr="006645DC" w:rsidRDefault="00AA1FB8" w:rsidP="004E19CB">
            <w:pPr>
              <w:spacing w:before="0" w:after="0"/>
              <w:jc w:val="center"/>
              <w:rPr>
                <w:rFonts w:asciiTheme="minorHAnsi" w:hAnsiTheme="minorHAnsi" w:cstheme="minorHAnsi"/>
                <w:b/>
                <w:sz w:val="20"/>
                <w:szCs w:val="20"/>
                <w:lang w:val="en-GB"/>
              </w:rPr>
            </w:pPr>
            <w:r>
              <w:rPr>
                <w:rFonts w:cs="Calibri"/>
                <w:b/>
                <w:lang w:val="en-GB"/>
              </w:rPr>
              <w:t>√</w:t>
            </w:r>
          </w:p>
        </w:tc>
        <w:tc>
          <w:tcPr>
            <w:tcW w:w="712" w:type="dxa"/>
            <w:shd w:val="clear" w:color="auto" w:fill="auto"/>
            <w:vAlign w:val="center"/>
          </w:tcPr>
          <w:p w14:paraId="1860C63E"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78" w:name="_Toc376199551"/>
            <w:r w:rsidRPr="006645DC">
              <w:rPr>
                <w:rFonts w:asciiTheme="minorHAnsi" w:hAnsiTheme="minorHAnsi" w:cstheme="minorHAnsi"/>
                <w:b/>
                <w:sz w:val="20"/>
                <w:szCs w:val="20"/>
                <w:lang w:val="en-GB"/>
              </w:rPr>
              <w:t>√</w:t>
            </w:r>
            <w:bookmarkEnd w:id="1378"/>
          </w:p>
        </w:tc>
        <w:tc>
          <w:tcPr>
            <w:tcW w:w="888" w:type="dxa"/>
            <w:shd w:val="clear" w:color="auto" w:fill="auto"/>
            <w:vAlign w:val="center"/>
          </w:tcPr>
          <w:p w14:paraId="53A1F4D7"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79" w:name="_Toc376199552"/>
            <w:r w:rsidRPr="006645DC">
              <w:rPr>
                <w:rFonts w:asciiTheme="minorHAnsi" w:hAnsiTheme="minorHAnsi" w:cstheme="minorHAnsi"/>
                <w:b/>
                <w:sz w:val="20"/>
                <w:szCs w:val="20"/>
                <w:lang w:val="en-GB"/>
              </w:rPr>
              <w:t>√</w:t>
            </w:r>
            <w:bookmarkEnd w:id="1379"/>
          </w:p>
        </w:tc>
      </w:tr>
      <w:tr w:rsidR="00AA1FB8" w:rsidRPr="006645DC" w14:paraId="4822FF06" w14:textId="77777777" w:rsidTr="00AA1FB8">
        <w:trPr>
          <w:trHeight w:val="724"/>
          <w:jc w:val="center"/>
        </w:trPr>
        <w:tc>
          <w:tcPr>
            <w:tcW w:w="627" w:type="dxa"/>
            <w:shd w:val="clear" w:color="auto" w:fill="auto"/>
            <w:vAlign w:val="center"/>
          </w:tcPr>
          <w:p w14:paraId="73A7A7F8" w14:textId="77777777" w:rsidR="00AA1FB8" w:rsidRPr="006645DC" w:rsidRDefault="00AA1FB8" w:rsidP="004E19CB">
            <w:pPr>
              <w:keepNext/>
              <w:keepLines/>
              <w:spacing w:before="0" w:after="0"/>
              <w:jc w:val="center"/>
              <w:outlineLvl w:val="1"/>
              <w:rPr>
                <w:rFonts w:asciiTheme="minorHAnsi" w:eastAsia="Times New Roman" w:hAnsiTheme="minorHAnsi" w:cstheme="minorHAnsi"/>
                <w:b/>
                <w:bCs/>
                <w:sz w:val="20"/>
                <w:szCs w:val="20"/>
                <w:lang w:val="en-GB"/>
              </w:rPr>
            </w:pPr>
            <w:r>
              <w:rPr>
                <w:rFonts w:asciiTheme="minorHAnsi" w:eastAsia="Times New Roman" w:hAnsiTheme="minorHAnsi" w:cstheme="minorHAnsi"/>
                <w:b/>
                <w:bCs/>
                <w:sz w:val="20"/>
                <w:szCs w:val="20"/>
                <w:lang w:val="en-GB"/>
              </w:rPr>
              <w:t>6</w:t>
            </w:r>
          </w:p>
        </w:tc>
        <w:tc>
          <w:tcPr>
            <w:tcW w:w="4875" w:type="dxa"/>
            <w:shd w:val="clear" w:color="auto" w:fill="auto"/>
            <w:vAlign w:val="center"/>
          </w:tcPr>
          <w:p w14:paraId="01E3CF88"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bookmarkStart w:id="1380" w:name="_Toc376199554"/>
            <w:r w:rsidRPr="006645DC">
              <w:rPr>
                <w:rFonts w:asciiTheme="minorHAnsi" w:hAnsiTheme="minorHAnsi" w:cstheme="minorHAnsi"/>
                <w:sz w:val="20"/>
                <w:szCs w:val="20"/>
                <w:lang w:val="en-GB"/>
              </w:rPr>
              <w:t>Encouraging the participation in education of minorities and groups at risk of social exclusion</w:t>
            </w:r>
            <w:bookmarkEnd w:id="1380"/>
            <w:r w:rsidRPr="006645DC">
              <w:rPr>
                <w:rFonts w:asciiTheme="minorHAnsi" w:hAnsiTheme="minorHAnsi" w:cstheme="minorHAnsi"/>
                <w:sz w:val="20"/>
                <w:szCs w:val="20"/>
                <w:lang w:val="en-GB"/>
              </w:rPr>
              <w:t>, trainings to people with special needs</w:t>
            </w:r>
          </w:p>
        </w:tc>
        <w:tc>
          <w:tcPr>
            <w:tcW w:w="904" w:type="dxa"/>
            <w:shd w:val="clear" w:color="auto" w:fill="auto"/>
            <w:vAlign w:val="center"/>
          </w:tcPr>
          <w:p w14:paraId="1B9D403E"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81" w:name="_Toc376199555"/>
            <w:r w:rsidRPr="006645DC">
              <w:rPr>
                <w:rFonts w:asciiTheme="minorHAnsi" w:hAnsiTheme="minorHAnsi" w:cstheme="minorHAnsi"/>
                <w:sz w:val="20"/>
                <w:szCs w:val="20"/>
                <w:lang w:val="en-GB"/>
              </w:rPr>
              <w:t>+++</w:t>
            </w:r>
            <w:bookmarkEnd w:id="1381"/>
          </w:p>
        </w:tc>
        <w:tc>
          <w:tcPr>
            <w:tcW w:w="979" w:type="dxa"/>
            <w:shd w:val="clear" w:color="auto" w:fill="auto"/>
            <w:vAlign w:val="center"/>
          </w:tcPr>
          <w:p w14:paraId="7AB647F7"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82" w:name="_Toc376199556"/>
            <w:r w:rsidRPr="006645DC">
              <w:rPr>
                <w:rFonts w:asciiTheme="minorHAnsi" w:hAnsiTheme="minorHAnsi" w:cstheme="minorHAnsi"/>
                <w:sz w:val="20"/>
                <w:szCs w:val="20"/>
                <w:lang w:val="en-GB"/>
              </w:rPr>
              <w:t>+++</w:t>
            </w:r>
            <w:bookmarkEnd w:id="1382"/>
          </w:p>
        </w:tc>
        <w:tc>
          <w:tcPr>
            <w:tcW w:w="801" w:type="dxa"/>
            <w:shd w:val="clear" w:color="auto" w:fill="auto"/>
            <w:vAlign w:val="center"/>
          </w:tcPr>
          <w:p w14:paraId="3DF3BD7A" w14:textId="588E0FD2" w:rsidR="00AA1FB8" w:rsidRPr="006645DC" w:rsidRDefault="00AA1FB8" w:rsidP="004E19CB">
            <w:pPr>
              <w:spacing w:before="0" w:after="0"/>
              <w:jc w:val="center"/>
              <w:rPr>
                <w:rFonts w:asciiTheme="minorHAnsi" w:hAnsiTheme="minorHAnsi" w:cstheme="minorHAnsi"/>
                <w:b/>
                <w:sz w:val="20"/>
                <w:szCs w:val="20"/>
                <w:lang w:val="en-GB"/>
              </w:rPr>
            </w:pPr>
            <w:r>
              <w:rPr>
                <w:rFonts w:cs="Calibri"/>
                <w:b/>
                <w:lang w:val="en-GB"/>
              </w:rPr>
              <w:t>√</w:t>
            </w:r>
          </w:p>
        </w:tc>
        <w:tc>
          <w:tcPr>
            <w:tcW w:w="712" w:type="dxa"/>
            <w:shd w:val="clear" w:color="auto" w:fill="auto"/>
            <w:vAlign w:val="center"/>
          </w:tcPr>
          <w:p w14:paraId="4AB8B6A1"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83" w:name="_Toc376199557"/>
            <w:r w:rsidRPr="006645DC">
              <w:rPr>
                <w:rFonts w:asciiTheme="minorHAnsi" w:hAnsiTheme="minorHAnsi" w:cstheme="minorHAnsi"/>
                <w:b/>
                <w:sz w:val="20"/>
                <w:szCs w:val="20"/>
                <w:lang w:val="en-GB"/>
              </w:rPr>
              <w:t>√</w:t>
            </w:r>
            <w:bookmarkEnd w:id="1383"/>
          </w:p>
        </w:tc>
        <w:tc>
          <w:tcPr>
            <w:tcW w:w="888" w:type="dxa"/>
            <w:shd w:val="clear" w:color="auto" w:fill="auto"/>
            <w:vAlign w:val="center"/>
          </w:tcPr>
          <w:p w14:paraId="2B431901"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84" w:name="_Toc376199558"/>
            <w:r w:rsidRPr="006645DC">
              <w:rPr>
                <w:rFonts w:asciiTheme="minorHAnsi" w:hAnsiTheme="minorHAnsi" w:cstheme="minorHAnsi"/>
                <w:b/>
                <w:sz w:val="20"/>
                <w:szCs w:val="20"/>
                <w:lang w:val="en-GB"/>
              </w:rPr>
              <w:t>√</w:t>
            </w:r>
            <w:bookmarkEnd w:id="1384"/>
          </w:p>
        </w:tc>
      </w:tr>
      <w:tr w:rsidR="00AA1FB8" w:rsidRPr="006645DC" w14:paraId="20C09137" w14:textId="77777777" w:rsidTr="00AA1FB8">
        <w:trPr>
          <w:trHeight w:val="724"/>
          <w:jc w:val="center"/>
        </w:trPr>
        <w:tc>
          <w:tcPr>
            <w:tcW w:w="627" w:type="dxa"/>
            <w:shd w:val="clear" w:color="auto" w:fill="auto"/>
            <w:vAlign w:val="center"/>
          </w:tcPr>
          <w:p w14:paraId="019E63D9" w14:textId="77777777" w:rsidR="00AA1FB8" w:rsidRPr="006645DC" w:rsidRDefault="00AA1FB8" w:rsidP="004E19CB">
            <w:pPr>
              <w:keepNext/>
              <w:keepLines/>
              <w:spacing w:before="0" w:after="0"/>
              <w:jc w:val="center"/>
              <w:outlineLvl w:val="1"/>
              <w:rPr>
                <w:rFonts w:asciiTheme="minorHAnsi" w:eastAsia="Times New Roman" w:hAnsiTheme="minorHAnsi" w:cstheme="minorHAnsi"/>
                <w:b/>
                <w:bCs/>
                <w:sz w:val="20"/>
                <w:szCs w:val="20"/>
                <w:lang w:val="en-GB"/>
              </w:rPr>
            </w:pPr>
            <w:r>
              <w:rPr>
                <w:rFonts w:asciiTheme="minorHAnsi" w:eastAsia="Times New Roman" w:hAnsiTheme="minorHAnsi" w:cstheme="minorHAnsi"/>
                <w:b/>
                <w:bCs/>
                <w:sz w:val="20"/>
                <w:szCs w:val="20"/>
                <w:lang w:val="en-GB"/>
              </w:rPr>
              <w:t>7</w:t>
            </w:r>
          </w:p>
        </w:tc>
        <w:tc>
          <w:tcPr>
            <w:tcW w:w="4875" w:type="dxa"/>
            <w:shd w:val="clear" w:color="auto" w:fill="auto"/>
            <w:vAlign w:val="center"/>
          </w:tcPr>
          <w:p w14:paraId="34692711"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bookmarkStart w:id="1385" w:name="_Toc376199560"/>
            <w:r w:rsidRPr="006645DC">
              <w:rPr>
                <w:rFonts w:asciiTheme="minorHAnsi" w:hAnsiTheme="minorHAnsi" w:cstheme="minorHAnsi"/>
                <w:sz w:val="20"/>
                <w:szCs w:val="20"/>
                <w:lang w:val="en-GB"/>
              </w:rPr>
              <w:t>Promote medical cooperation mechanisms and support best-practices transfer in order to ensure a better provision of emergency services in the rural or isolated areas</w:t>
            </w:r>
            <w:bookmarkEnd w:id="1385"/>
          </w:p>
        </w:tc>
        <w:tc>
          <w:tcPr>
            <w:tcW w:w="904" w:type="dxa"/>
            <w:shd w:val="clear" w:color="auto" w:fill="auto"/>
            <w:vAlign w:val="center"/>
          </w:tcPr>
          <w:p w14:paraId="410C8999"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86" w:name="_Toc376199561"/>
            <w:r w:rsidRPr="006645DC">
              <w:rPr>
                <w:rFonts w:asciiTheme="minorHAnsi" w:hAnsiTheme="minorHAnsi" w:cstheme="minorHAnsi"/>
                <w:sz w:val="20"/>
                <w:szCs w:val="20"/>
                <w:lang w:val="en-GB"/>
              </w:rPr>
              <w:t>++</w:t>
            </w:r>
            <w:bookmarkEnd w:id="1386"/>
          </w:p>
        </w:tc>
        <w:tc>
          <w:tcPr>
            <w:tcW w:w="979" w:type="dxa"/>
            <w:shd w:val="clear" w:color="auto" w:fill="auto"/>
            <w:vAlign w:val="center"/>
          </w:tcPr>
          <w:p w14:paraId="1907906F"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87" w:name="_Toc376199562"/>
            <w:r w:rsidRPr="006645DC">
              <w:rPr>
                <w:rFonts w:asciiTheme="minorHAnsi" w:hAnsiTheme="minorHAnsi" w:cstheme="minorHAnsi"/>
                <w:sz w:val="20"/>
                <w:szCs w:val="20"/>
                <w:lang w:val="en-GB"/>
              </w:rPr>
              <w:t>++</w:t>
            </w:r>
            <w:bookmarkEnd w:id="1387"/>
          </w:p>
        </w:tc>
        <w:tc>
          <w:tcPr>
            <w:tcW w:w="801" w:type="dxa"/>
            <w:shd w:val="clear" w:color="auto" w:fill="auto"/>
            <w:vAlign w:val="center"/>
          </w:tcPr>
          <w:p w14:paraId="523CA606" w14:textId="77777777" w:rsidR="00AA1FB8" w:rsidRPr="006645DC" w:rsidRDefault="00AA1FB8" w:rsidP="004E19CB">
            <w:pPr>
              <w:spacing w:before="0" w:after="0"/>
              <w:jc w:val="center"/>
              <w:rPr>
                <w:rFonts w:asciiTheme="minorHAnsi" w:hAnsiTheme="minorHAnsi" w:cstheme="minorHAnsi"/>
                <w:b/>
                <w:sz w:val="20"/>
                <w:szCs w:val="20"/>
                <w:lang w:val="en-GB"/>
              </w:rPr>
            </w:pPr>
          </w:p>
        </w:tc>
        <w:tc>
          <w:tcPr>
            <w:tcW w:w="712" w:type="dxa"/>
            <w:shd w:val="clear" w:color="auto" w:fill="auto"/>
            <w:vAlign w:val="center"/>
          </w:tcPr>
          <w:p w14:paraId="7BBA1AC1"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88" w:name="_Toc376199563"/>
            <w:r w:rsidRPr="006645DC">
              <w:rPr>
                <w:rFonts w:asciiTheme="minorHAnsi" w:hAnsiTheme="minorHAnsi" w:cstheme="minorHAnsi"/>
                <w:b/>
                <w:sz w:val="20"/>
                <w:szCs w:val="20"/>
                <w:lang w:val="en-GB"/>
              </w:rPr>
              <w:t>√</w:t>
            </w:r>
            <w:bookmarkEnd w:id="1388"/>
          </w:p>
        </w:tc>
        <w:tc>
          <w:tcPr>
            <w:tcW w:w="888" w:type="dxa"/>
            <w:shd w:val="clear" w:color="auto" w:fill="auto"/>
            <w:vAlign w:val="center"/>
          </w:tcPr>
          <w:p w14:paraId="2DA15181" w14:textId="77777777" w:rsidR="00AA1FB8" w:rsidRPr="006645DC" w:rsidRDefault="00AA1FB8" w:rsidP="004E19CB">
            <w:pPr>
              <w:spacing w:before="0" w:after="0"/>
              <w:jc w:val="center"/>
              <w:rPr>
                <w:rFonts w:asciiTheme="minorHAnsi" w:hAnsiTheme="minorHAnsi" w:cstheme="minorHAnsi"/>
                <w:b/>
                <w:sz w:val="20"/>
                <w:szCs w:val="20"/>
                <w:lang w:val="en-GB"/>
              </w:rPr>
            </w:pPr>
          </w:p>
        </w:tc>
      </w:tr>
      <w:tr w:rsidR="00AA1FB8" w:rsidRPr="006645DC" w14:paraId="16E59F07" w14:textId="77777777" w:rsidTr="00AA1FB8">
        <w:trPr>
          <w:trHeight w:val="724"/>
          <w:jc w:val="center"/>
        </w:trPr>
        <w:tc>
          <w:tcPr>
            <w:tcW w:w="627" w:type="dxa"/>
            <w:shd w:val="clear" w:color="auto" w:fill="auto"/>
            <w:vAlign w:val="center"/>
          </w:tcPr>
          <w:p w14:paraId="168FAC2C" w14:textId="77777777" w:rsidR="00AA1FB8" w:rsidRPr="006645DC" w:rsidRDefault="00AA1FB8" w:rsidP="004E19CB">
            <w:pPr>
              <w:keepNext/>
              <w:keepLines/>
              <w:spacing w:before="0" w:after="0"/>
              <w:jc w:val="center"/>
              <w:outlineLvl w:val="1"/>
              <w:rPr>
                <w:rFonts w:asciiTheme="minorHAnsi" w:eastAsia="Times New Roman" w:hAnsiTheme="minorHAnsi" w:cstheme="minorHAnsi"/>
                <w:b/>
                <w:bCs/>
                <w:sz w:val="20"/>
                <w:szCs w:val="20"/>
                <w:lang w:val="en-GB"/>
              </w:rPr>
            </w:pPr>
            <w:bookmarkStart w:id="1389" w:name="_Toc376199576"/>
            <w:r w:rsidRPr="006645DC">
              <w:rPr>
                <w:rFonts w:asciiTheme="minorHAnsi" w:eastAsia="Times New Roman" w:hAnsiTheme="minorHAnsi" w:cstheme="minorHAnsi"/>
                <w:b/>
                <w:bCs/>
                <w:sz w:val="20"/>
                <w:szCs w:val="20"/>
                <w:lang w:val="en-GB"/>
              </w:rPr>
              <w:t>8</w:t>
            </w:r>
            <w:bookmarkEnd w:id="1389"/>
          </w:p>
        </w:tc>
        <w:tc>
          <w:tcPr>
            <w:tcW w:w="4875" w:type="dxa"/>
            <w:shd w:val="clear" w:color="auto" w:fill="auto"/>
            <w:vAlign w:val="center"/>
          </w:tcPr>
          <w:p w14:paraId="20CCC883"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bookmarkStart w:id="1390" w:name="_Toc376199577"/>
            <w:r w:rsidRPr="006645DC">
              <w:rPr>
                <w:rFonts w:asciiTheme="minorHAnsi" w:hAnsiTheme="minorHAnsi" w:cstheme="minorHAnsi"/>
                <w:sz w:val="20"/>
                <w:szCs w:val="20"/>
                <w:lang w:val="en-GB"/>
              </w:rPr>
              <w:t>Foster the development of new methods and ways to provide effective and efficient healthcare services (apart from emergency ones), especially in the isolated rural areas</w:t>
            </w:r>
            <w:bookmarkEnd w:id="1390"/>
          </w:p>
        </w:tc>
        <w:tc>
          <w:tcPr>
            <w:tcW w:w="904" w:type="dxa"/>
            <w:shd w:val="clear" w:color="auto" w:fill="auto"/>
            <w:vAlign w:val="center"/>
          </w:tcPr>
          <w:p w14:paraId="6B3509BA"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91" w:name="_Toc376199578"/>
            <w:r w:rsidRPr="006645DC">
              <w:rPr>
                <w:rFonts w:asciiTheme="minorHAnsi" w:hAnsiTheme="minorHAnsi" w:cstheme="minorHAnsi"/>
                <w:sz w:val="20"/>
                <w:szCs w:val="20"/>
                <w:lang w:val="en-GB"/>
              </w:rPr>
              <w:t>+++</w:t>
            </w:r>
            <w:bookmarkEnd w:id="1391"/>
          </w:p>
        </w:tc>
        <w:tc>
          <w:tcPr>
            <w:tcW w:w="979" w:type="dxa"/>
            <w:shd w:val="clear" w:color="auto" w:fill="auto"/>
            <w:vAlign w:val="center"/>
          </w:tcPr>
          <w:p w14:paraId="6CC310FD"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92" w:name="_Toc376199579"/>
            <w:r w:rsidRPr="006645DC">
              <w:rPr>
                <w:rFonts w:asciiTheme="minorHAnsi" w:hAnsiTheme="minorHAnsi" w:cstheme="minorHAnsi"/>
                <w:sz w:val="20"/>
                <w:szCs w:val="20"/>
                <w:lang w:val="en-GB"/>
              </w:rPr>
              <w:t>+++</w:t>
            </w:r>
            <w:bookmarkEnd w:id="1392"/>
          </w:p>
        </w:tc>
        <w:tc>
          <w:tcPr>
            <w:tcW w:w="801" w:type="dxa"/>
            <w:shd w:val="clear" w:color="auto" w:fill="auto"/>
            <w:vAlign w:val="center"/>
          </w:tcPr>
          <w:p w14:paraId="126FB3D2" w14:textId="5D01CFD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p>
        </w:tc>
        <w:tc>
          <w:tcPr>
            <w:tcW w:w="712" w:type="dxa"/>
            <w:shd w:val="clear" w:color="auto" w:fill="auto"/>
            <w:vAlign w:val="center"/>
          </w:tcPr>
          <w:p w14:paraId="62524725"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93" w:name="_Toc376199581"/>
            <w:r w:rsidRPr="006645DC">
              <w:rPr>
                <w:rFonts w:asciiTheme="minorHAnsi" w:hAnsiTheme="minorHAnsi" w:cstheme="minorHAnsi"/>
                <w:b/>
                <w:sz w:val="20"/>
                <w:szCs w:val="20"/>
                <w:lang w:val="en-GB"/>
              </w:rPr>
              <w:t>√</w:t>
            </w:r>
            <w:bookmarkEnd w:id="1393"/>
          </w:p>
        </w:tc>
        <w:tc>
          <w:tcPr>
            <w:tcW w:w="888" w:type="dxa"/>
            <w:shd w:val="clear" w:color="auto" w:fill="auto"/>
            <w:vAlign w:val="center"/>
          </w:tcPr>
          <w:p w14:paraId="098037B4"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p>
        </w:tc>
      </w:tr>
      <w:tr w:rsidR="00AA1FB8" w:rsidRPr="006645DC" w14:paraId="105B012F" w14:textId="77777777" w:rsidTr="00AA1FB8">
        <w:trPr>
          <w:trHeight w:val="743"/>
          <w:jc w:val="center"/>
        </w:trPr>
        <w:tc>
          <w:tcPr>
            <w:tcW w:w="627" w:type="dxa"/>
            <w:shd w:val="clear" w:color="auto" w:fill="auto"/>
            <w:vAlign w:val="center"/>
          </w:tcPr>
          <w:p w14:paraId="02129096" w14:textId="77777777" w:rsidR="00AA1FB8" w:rsidRPr="006645DC" w:rsidRDefault="00AA1FB8" w:rsidP="004E19CB">
            <w:pPr>
              <w:keepNext/>
              <w:keepLines/>
              <w:spacing w:before="0" w:after="0"/>
              <w:jc w:val="center"/>
              <w:outlineLvl w:val="1"/>
              <w:rPr>
                <w:rFonts w:asciiTheme="minorHAnsi" w:eastAsia="Times New Roman" w:hAnsiTheme="minorHAnsi" w:cstheme="minorHAnsi"/>
                <w:b/>
                <w:bCs/>
                <w:sz w:val="20"/>
                <w:szCs w:val="20"/>
                <w:lang w:val="en-GB"/>
              </w:rPr>
            </w:pPr>
            <w:bookmarkStart w:id="1394" w:name="_Toc376199582"/>
            <w:r w:rsidRPr="006645DC">
              <w:rPr>
                <w:rFonts w:asciiTheme="minorHAnsi" w:eastAsia="Times New Roman" w:hAnsiTheme="minorHAnsi" w:cstheme="minorHAnsi"/>
                <w:b/>
                <w:bCs/>
                <w:sz w:val="20"/>
                <w:szCs w:val="20"/>
                <w:lang w:val="en-GB"/>
              </w:rPr>
              <w:t>9</w:t>
            </w:r>
            <w:bookmarkEnd w:id="1394"/>
          </w:p>
        </w:tc>
        <w:tc>
          <w:tcPr>
            <w:tcW w:w="4875" w:type="dxa"/>
            <w:shd w:val="clear" w:color="auto" w:fill="auto"/>
            <w:vAlign w:val="center"/>
          </w:tcPr>
          <w:p w14:paraId="1D417115"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bookmarkStart w:id="1395" w:name="_Toc376199583"/>
            <w:r w:rsidRPr="006645DC">
              <w:rPr>
                <w:rFonts w:asciiTheme="minorHAnsi" w:hAnsiTheme="minorHAnsi" w:cstheme="minorHAnsi"/>
                <w:sz w:val="20"/>
                <w:szCs w:val="20"/>
                <w:lang w:val="en-GB"/>
              </w:rPr>
              <w:t>Foster the development of social economy through trainings and pilot projects in order to develop social enterprise models that are relevant to the local conditions in the cross-border area</w:t>
            </w:r>
            <w:bookmarkEnd w:id="1395"/>
            <w:r w:rsidRPr="006645DC">
              <w:rPr>
                <w:rFonts w:asciiTheme="minorHAnsi" w:hAnsiTheme="minorHAnsi" w:cstheme="minorHAnsi"/>
                <w:sz w:val="20"/>
                <w:szCs w:val="20"/>
                <w:lang w:val="en-GB"/>
              </w:rPr>
              <w:t xml:space="preserve"> </w:t>
            </w:r>
          </w:p>
        </w:tc>
        <w:tc>
          <w:tcPr>
            <w:tcW w:w="904" w:type="dxa"/>
            <w:shd w:val="clear" w:color="auto" w:fill="auto"/>
            <w:vAlign w:val="center"/>
          </w:tcPr>
          <w:p w14:paraId="729BFB02"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96" w:name="_Toc376199584"/>
            <w:r w:rsidRPr="006645DC">
              <w:rPr>
                <w:rFonts w:asciiTheme="minorHAnsi" w:hAnsiTheme="minorHAnsi" w:cstheme="minorHAnsi"/>
                <w:sz w:val="20"/>
                <w:szCs w:val="20"/>
                <w:lang w:val="en-GB"/>
              </w:rPr>
              <w:t>++</w:t>
            </w:r>
            <w:bookmarkEnd w:id="1396"/>
          </w:p>
        </w:tc>
        <w:tc>
          <w:tcPr>
            <w:tcW w:w="979" w:type="dxa"/>
            <w:shd w:val="clear" w:color="auto" w:fill="auto"/>
            <w:vAlign w:val="center"/>
          </w:tcPr>
          <w:p w14:paraId="64F97E66"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397" w:name="_Toc376199585"/>
            <w:r w:rsidRPr="006645DC">
              <w:rPr>
                <w:rFonts w:asciiTheme="minorHAnsi" w:hAnsiTheme="minorHAnsi" w:cstheme="minorHAnsi"/>
                <w:sz w:val="20"/>
                <w:szCs w:val="20"/>
                <w:lang w:val="en-GB"/>
              </w:rPr>
              <w:t>++</w:t>
            </w:r>
            <w:bookmarkEnd w:id="1397"/>
          </w:p>
        </w:tc>
        <w:tc>
          <w:tcPr>
            <w:tcW w:w="801" w:type="dxa"/>
            <w:shd w:val="clear" w:color="auto" w:fill="auto"/>
            <w:vAlign w:val="center"/>
          </w:tcPr>
          <w:p w14:paraId="527306DD"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98" w:name="_Toc376199586"/>
            <w:r w:rsidRPr="006645DC">
              <w:rPr>
                <w:rFonts w:asciiTheme="minorHAnsi" w:hAnsiTheme="minorHAnsi" w:cstheme="minorHAnsi"/>
                <w:b/>
                <w:sz w:val="20"/>
                <w:szCs w:val="20"/>
                <w:lang w:val="en-GB"/>
              </w:rPr>
              <w:t>√</w:t>
            </w:r>
            <w:bookmarkEnd w:id="1398"/>
          </w:p>
        </w:tc>
        <w:tc>
          <w:tcPr>
            <w:tcW w:w="712" w:type="dxa"/>
            <w:shd w:val="clear" w:color="auto" w:fill="auto"/>
            <w:vAlign w:val="center"/>
          </w:tcPr>
          <w:p w14:paraId="21DB3723"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399" w:name="_Toc376199587"/>
            <w:r w:rsidRPr="006645DC">
              <w:rPr>
                <w:rFonts w:asciiTheme="minorHAnsi" w:hAnsiTheme="minorHAnsi" w:cstheme="minorHAnsi"/>
                <w:b/>
                <w:sz w:val="20"/>
                <w:szCs w:val="20"/>
                <w:lang w:val="en-GB"/>
              </w:rPr>
              <w:t>√</w:t>
            </w:r>
            <w:bookmarkEnd w:id="1399"/>
          </w:p>
        </w:tc>
        <w:tc>
          <w:tcPr>
            <w:tcW w:w="888" w:type="dxa"/>
            <w:shd w:val="clear" w:color="auto" w:fill="auto"/>
            <w:vAlign w:val="center"/>
          </w:tcPr>
          <w:p w14:paraId="71DEEDF0"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400" w:name="_Toc376199588"/>
            <w:r w:rsidRPr="006645DC">
              <w:rPr>
                <w:rFonts w:asciiTheme="minorHAnsi" w:hAnsiTheme="minorHAnsi" w:cstheme="minorHAnsi"/>
                <w:b/>
                <w:sz w:val="20"/>
                <w:szCs w:val="20"/>
                <w:lang w:val="en-GB"/>
              </w:rPr>
              <w:t>√</w:t>
            </w:r>
            <w:bookmarkEnd w:id="1400"/>
          </w:p>
        </w:tc>
      </w:tr>
      <w:tr w:rsidR="00AA1FB8" w:rsidRPr="006645DC" w14:paraId="7884AFB5" w14:textId="77777777" w:rsidTr="00AA1FB8">
        <w:trPr>
          <w:trHeight w:val="482"/>
          <w:jc w:val="center"/>
        </w:trPr>
        <w:tc>
          <w:tcPr>
            <w:tcW w:w="627" w:type="dxa"/>
            <w:shd w:val="clear" w:color="auto" w:fill="auto"/>
            <w:vAlign w:val="center"/>
          </w:tcPr>
          <w:p w14:paraId="0E491842" w14:textId="77777777" w:rsidR="00AA1FB8" w:rsidRPr="006645DC" w:rsidRDefault="00AA1FB8" w:rsidP="004E19CB">
            <w:pPr>
              <w:keepNext/>
              <w:keepLines/>
              <w:spacing w:before="0" w:after="0"/>
              <w:jc w:val="center"/>
              <w:outlineLvl w:val="1"/>
              <w:rPr>
                <w:rFonts w:asciiTheme="minorHAnsi" w:eastAsia="Times New Roman" w:hAnsiTheme="minorHAnsi" w:cstheme="minorHAnsi"/>
                <w:b/>
                <w:bCs/>
                <w:sz w:val="20"/>
                <w:szCs w:val="20"/>
                <w:lang w:val="en-GB"/>
              </w:rPr>
            </w:pPr>
            <w:bookmarkStart w:id="1401" w:name="_Toc376199589"/>
            <w:r w:rsidRPr="006645DC">
              <w:rPr>
                <w:rFonts w:asciiTheme="minorHAnsi" w:eastAsia="Times New Roman" w:hAnsiTheme="minorHAnsi" w:cstheme="minorHAnsi"/>
                <w:b/>
                <w:bCs/>
                <w:sz w:val="20"/>
                <w:szCs w:val="20"/>
                <w:lang w:val="en-GB"/>
              </w:rPr>
              <w:t>10</w:t>
            </w:r>
            <w:bookmarkEnd w:id="1401"/>
          </w:p>
        </w:tc>
        <w:tc>
          <w:tcPr>
            <w:tcW w:w="4875" w:type="dxa"/>
            <w:shd w:val="clear" w:color="auto" w:fill="auto"/>
            <w:vAlign w:val="center"/>
          </w:tcPr>
          <w:p w14:paraId="25344796"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bookmarkStart w:id="1402" w:name="_Toc376199590"/>
            <w:r w:rsidRPr="006645DC">
              <w:rPr>
                <w:rFonts w:asciiTheme="minorHAnsi" w:hAnsiTheme="minorHAnsi" w:cstheme="minorHAnsi"/>
                <w:sz w:val="20"/>
                <w:szCs w:val="20"/>
                <w:lang w:val="en-GB"/>
              </w:rPr>
              <w:t>Promote better employment opportunities and training for women</w:t>
            </w:r>
            <w:bookmarkEnd w:id="1402"/>
          </w:p>
        </w:tc>
        <w:tc>
          <w:tcPr>
            <w:tcW w:w="904" w:type="dxa"/>
            <w:shd w:val="clear" w:color="auto" w:fill="auto"/>
            <w:vAlign w:val="center"/>
          </w:tcPr>
          <w:p w14:paraId="61AB1464"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403" w:name="_Toc376199591"/>
            <w:r w:rsidRPr="006645DC">
              <w:rPr>
                <w:rFonts w:asciiTheme="minorHAnsi" w:hAnsiTheme="minorHAnsi" w:cstheme="minorHAnsi"/>
                <w:sz w:val="20"/>
                <w:szCs w:val="20"/>
                <w:lang w:val="en-GB"/>
              </w:rPr>
              <w:t>++</w:t>
            </w:r>
            <w:bookmarkEnd w:id="1403"/>
          </w:p>
        </w:tc>
        <w:tc>
          <w:tcPr>
            <w:tcW w:w="979" w:type="dxa"/>
            <w:shd w:val="clear" w:color="auto" w:fill="auto"/>
            <w:vAlign w:val="center"/>
          </w:tcPr>
          <w:p w14:paraId="7B3A246E"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bookmarkStart w:id="1404" w:name="_Toc376199592"/>
            <w:r w:rsidRPr="006645DC">
              <w:rPr>
                <w:rFonts w:asciiTheme="minorHAnsi" w:hAnsiTheme="minorHAnsi" w:cstheme="minorHAnsi"/>
                <w:sz w:val="20"/>
                <w:szCs w:val="20"/>
                <w:lang w:val="en-GB"/>
              </w:rPr>
              <w:t>+++</w:t>
            </w:r>
            <w:bookmarkEnd w:id="1404"/>
          </w:p>
        </w:tc>
        <w:tc>
          <w:tcPr>
            <w:tcW w:w="801" w:type="dxa"/>
            <w:shd w:val="clear" w:color="auto" w:fill="auto"/>
            <w:vAlign w:val="center"/>
          </w:tcPr>
          <w:p w14:paraId="00948394"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405" w:name="_Toc376199593"/>
            <w:r w:rsidRPr="006645DC">
              <w:rPr>
                <w:rFonts w:asciiTheme="minorHAnsi" w:hAnsiTheme="minorHAnsi" w:cstheme="minorHAnsi"/>
                <w:b/>
                <w:sz w:val="20"/>
                <w:szCs w:val="20"/>
                <w:lang w:val="en-GB"/>
              </w:rPr>
              <w:t>√</w:t>
            </w:r>
            <w:bookmarkEnd w:id="1405"/>
          </w:p>
        </w:tc>
        <w:tc>
          <w:tcPr>
            <w:tcW w:w="712" w:type="dxa"/>
            <w:shd w:val="clear" w:color="auto" w:fill="auto"/>
            <w:vAlign w:val="center"/>
          </w:tcPr>
          <w:p w14:paraId="5C8882BB"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406" w:name="_Toc376199594"/>
            <w:r w:rsidRPr="006645DC">
              <w:rPr>
                <w:rFonts w:asciiTheme="minorHAnsi" w:hAnsiTheme="minorHAnsi" w:cstheme="minorHAnsi"/>
                <w:b/>
                <w:sz w:val="20"/>
                <w:szCs w:val="20"/>
                <w:lang w:val="en-GB"/>
              </w:rPr>
              <w:t>√</w:t>
            </w:r>
            <w:bookmarkEnd w:id="1406"/>
          </w:p>
        </w:tc>
        <w:tc>
          <w:tcPr>
            <w:tcW w:w="888" w:type="dxa"/>
            <w:shd w:val="clear" w:color="auto" w:fill="auto"/>
            <w:vAlign w:val="center"/>
          </w:tcPr>
          <w:p w14:paraId="7C0C2216"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bookmarkStart w:id="1407" w:name="_Toc376199595"/>
            <w:r w:rsidRPr="006645DC">
              <w:rPr>
                <w:rFonts w:asciiTheme="minorHAnsi" w:hAnsiTheme="minorHAnsi" w:cstheme="minorHAnsi"/>
                <w:b/>
                <w:sz w:val="20"/>
                <w:szCs w:val="20"/>
                <w:lang w:val="en-GB"/>
              </w:rPr>
              <w:t>√</w:t>
            </w:r>
            <w:bookmarkEnd w:id="1407"/>
          </w:p>
        </w:tc>
      </w:tr>
      <w:tr w:rsidR="00AA1FB8" w:rsidRPr="006645DC" w14:paraId="0C411A4C" w14:textId="77777777" w:rsidTr="00AA1FB8">
        <w:trPr>
          <w:trHeight w:val="724"/>
          <w:jc w:val="center"/>
        </w:trPr>
        <w:tc>
          <w:tcPr>
            <w:tcW w:w="627" w:type="dxa"/>
            <w:shd w:val="clear" w:color="auto" w:fill="auto"/>
            <w:vAlign w:val="center"/>
          </w:tcPr>
          <w:p w14:paraId="1555AD6A" w14:textId="77777777" w:rsidR="00AA1FB8" w:rsidRPr="006645DC" w:rsidRDefault="00AA1FB8" w:rsidP="004E19CB">
            <w:pPr>
              <w:keepNext/>
              <w:keepLines/>
              <w:spacing w:before="0" w:after="0"/>
              <w:jc w:val="center"/>
              <w:outlineLvl w:val="1"/>
              <w:rPr>
                <w:rFonts w:asciiTheme="minorHAnsi" w:eastAsia="Times New Roman" w:hAnsiTheme="minorHAnsi" w:cstheme="minorHAnsi"/>
                <w:b/>
                <w:bCs/>
                <w:sz w:val="20"/>
                <w:szCs w:val="20"/>
                <w:lang w:val="en-GB"/>
              </w:rPr>
            </w:pPr>
            <w:r w:rsidRPr="006645DC">
              <w:rPr>
                <w:rFonts w:asciiTheme="minorHAnsi" w:eastAsia="Times New Roman" w:hAnsiTheme="minorHAnsi" w:cstheme="minorHAnsi"/>
                <w:b/>
                <w:bCs/>
                <w:sz w:val="20"/>
                <w:szCs w:val="20"/>
                <w:lang w:val="en-GB"/>
              </w:rPr>
              <w:t>12</w:t>
            </w:r>
          </w:p>
        </w:tc>
        <w:tc>
          <w:tcPr>
            <w:tcW w:w="4875" w:type="dxa"/>
            <w:shd w:val="clear" w:color="auto" w:fill="auto"/>
            <w:vAlign w:val="center"/>
          </w:tcPr>
          <w:p w14:paraId="12EA7C53"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Enhance labour mobility in the cross-border area (develop infrastructure, strategies, plans, provide language courses, provide information and advice for commuters)</w:t>
            </w:r>
          </w:p>
        </w:tc>
        <w:tc>
          <w:tcPr>
            <w:tcW w:w="904" w:type="dxa"/>
            <w:shd w:val="clear" w:color="auto" w:fill="auto"/>
            <w:vAlign w:val="center"/>
          </w:tcPr>
          <w:p w14:paraId="48B03433"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w:t>
            </w:r>
          </w:p>
        </w:tc>
        <w:tc>
          <w:tcPr>
            <w:tcW w:w="979" w:type="dxa"/>
            <w:shd w:val="clear" w:color="auto" w:fill="auto"/>
            <w:vAlign w:val="center"/>
          </w:tcPr>
          <w:p w14:paraId="2ACF5D46"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w:t>
            </w:r>
          </w:p>
        </w:tc>
        <w:tc>
          <w:tcPr>
            <w:tcW w:w="801" w:type="dxa"/>
            <w:shd w:val="clear" w:color="auto" w:fill="auto"/>
            <w:vAlign w:val="center"/>
          </w:tcPr>
          <w:p w14:paraId="703A0A9D"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r w:rsidRPr="006645DC">
              <w:rPr>
                <w:rFonts w:asciiTheme="minorHAnsi" w:hAnsiTheme="minorHAnsi" w:cstheme="minorHAnsi"/>
                <w:b/>
                <w:sz w:val="20"/>
                <w:szCs w:val="20"/>
                <w:lang w:val="en-GB"/>
              </w:rPr>
              <w:t>√</w:t>
            </w:r>
          </w:p>
        </w:tc>
        <w:tc>
          <w:tcPr>
            <w:tcW w:w="712" w:type="dxa"/>
            <w:shd w:val="clear" w:color="auto" w:fill="auto"/>
            <w:vAlign w:val="center"/>
          </w:tcPr>
          <w:p w14:paraId="7DB60E1C"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p>
        </w:tc>
        <w:tc>
          <w:tcPr>
            <w:tcW w:w="888" w:type="dxa"/>
            <w:shd w:val="clear" w:color="auto" w:fill="auto"/>
            <w:vAlign w:val="center"/>
          </w:tcPr>
          <w:p w14:paraId="4C4849B9"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p>
        </w:tc>
      </w:tr>
      <w:tr w:rsidR="00AA1FB8" w:rsidRPr="006645DC" w14:paraId="3A53F1E8" w14:textId="77777777" w:rsidTr="00AA1FB8">
        <w:trPr>
          <w:trHeight w:val="242"/>
          <w:jc w:val="center"/>
        </w:trPr>
        <w:tc>
          <w:tcPr>
            <w:tcW w:w="627" w:type="dxa"/>
            <w:shd w:val="clear" w:color="auto" w:fill="auto"/>
            <w:vAlign w:val="center"/>
          </w:tcPr>
          <w:p w14:paraId="389A9227" w14:textId="77777777" w:rsidR="00AA1FB8" w:rsidRPr="006645DC" w:rsidRDefault="00AA1FB8" w:rsidP="004E19CB">
            <w:pPr>
              <w:keepNext/>
              <w:keepLines/>
              <w:spacing w:before="0" w:after="0"/>
              <w:jc w:val="center"/>
              <w:outlineLvl w:val="1"/>
              <w:rPr>
                <w:rFonts w:asciiTheme="minorHAnsi" w:eastAsia="Times New Roman" w:hAnsiTheme="minorHAnsi" w:cstheme="minorHAnsi"/>
                <w:b/>
                <w:bCs/>
                <w:sz w:val="20"/>
                <w:szCs w:val="20"/>
                <w:lang w:val="en-GB"/>
              </w:rPr>
            </w:pPr>
            <w:r w:rsidRPr="006645DC">
              <w:rPr>
                <w:rFonts w:asciiTheme="minorHAnsi" w:eastAsia="Times New Roman" w:hAnsiTheme="minorHAnsi" w:cstheme="minorHAnsi"/>
                <w:b/>
                <w:bCs/>
                <w:sz w:val="20"/>
                <w:szCs w:val="20"/>
                <w:lang w:val="en-GB"/>
              </w:rPr>
              <w:t>13</w:t>
            </w:r>
          </w:p>
        </w:tc>
        <w:tc>
          <w:tcPr>
            <w:tcW w:w="4875" w:type="dxa"/>
            <w:shd w:val="clear" w:color="auto" w:fill="auto"/>
            <w:vAlign w:val="center"/>
          </w:tcPr>
          <w:p w14:paraId="1CE5B305" w14:textId="77777777" w:rsidR="00AA1FB8" w:rsidRPr="006645DC" w:rsidRDefault="00AA1FB8" w:rsidP="004E19CB">
            <w:pPr>
              <w:keepNext/>
              <w:keepLines/>
              <w:spacing w:before="0" w:after="0"/>
              <w:jc w:val="left"/>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Improve public employment services (e.g. support to jobseekers)</w:t>
            </w:r>
          </w:p>
        </w:tc>
        <w:tc>
          <w:tcPr>
            <w:tcW w:w="904" w:type="dxa"/>
            <w:shd w:val="clear" w:color="auto" w:fill="auto"/>
            <w:vAlign w:val="center"/>
          </w:tcPr>
          <w:p w14:paraId="331179EB"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w:t>
            </w:r>
          </w:p>
        </w:tc>
        <w:tc>
          <w:tcPr>
            <w:tcW w:w="979" w:type="dxa"/>
            <w:shd w:val="clear" w:color="auto" w:fill="auto"/>
            <w:vAlign w:val="center"/>
          </w:tcPr>
          <w:p w14:paraId="407F0191" w14:textId="77777777" w:rsidR="00AA1FB8" w:rsidRPr="006645DC" w:rsidRDefault="00AA1FB8" w:rsidP="004E19CB">
            <w:pPr>
              <w:keepNext/>
              <w:keepLines/>
              <w:spacing w:before="0" w:after="0"/>
              <w:jc w:val="center"/>
              <w:outlineLvl w:val="1"/>
              <w:rPr>
                <w:rFonts w:asciiTheme="minorHAnsi" w:hAnsiTheme="minorHAnsi" w:cstheme="minorHAnsi"/>
                <w:sz w:val="20"/>
                <w:szCs w:val="20"/>
                <w:lang w:val="en-GB"/>
              </w:rPr>
            </w:pPr>
            <w:r w:rsidRPr="006645DC">
              <w:rPr>
                <w:rFonts w:asciiTheme="minorHAnsi" w:hAnsiTheme="minorHAnsi" w:cstheme="minorHAnsi"/>
                <w:sz w:val="20"/>
                <w:szCs w:val="20"/>
                <w:lang w:val="en-GB"/>
              </w:rPr>
              <w:t>+++</w:t>
            </w:r>
          </w:p>
        </w:tc>
        <w:tc>
          <w:tcPr>
            <w:tcW w:w="801" w:type="dxa"/>
            <w:shd w:val="clear" w:color="auto" w:fill="auto"/>
            <w:vAlign w:val="center"/>
          </w:tcPr>
          <w:p w14:paraId="636BDF4E"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r w:rsidRPr="006645DC">
              <w:rPr>
                <w:rFonts w:asciiTheme="minorHAnsi" w:hAnsiTheme="minorHAnsi" w:cstheme="minorHAnsi"/>
                <w:b/>
                <w:sz w:val="20"/>
                <w:szCs w:val="20"/>
                <w:lang w:val="en-GB"/>
              </w:rPr>
              <w:t>√</w:t>
            </w:r>
          </w:p>
        </w:tc>
        <w:tc>
          <w:tcPr>
            <w:tcW w:w="712" w:type="dxa"/>
            <w:shd w:val="clear" w:color="auto" w:fill="auto"/>
            <w:vAlign w:val="center"/>
          </w:tcPr>
          <w:p w14:paraId="3C62A60D"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p>
        </w:tc>
        <w:tc>
          <w:tcPr>
            <w:tcW w:w="888" w:type="dxa"/>
            <w:shd w:val="clear" w:color="auto" w:fill="auto"/>
            <w:vAlign w:val="center"/>
          </w:tcPr>
          <w:p w14:paraId="2F891E16" w14:textId="77777777" w:rsidR="00AA1FB8" w:rsidRPr="006645DC" w:rsidRDefault="00AA1FB8" w:rsidP="004E19CB">
            <w:pPr>
              <w:keepNext/>
              <w:keepLines/>
              <w:spacing w:before="0" w:after="0"/>
              <w:jc w:val="center"/>
              <w:outlineLvl w:val="1"/>
              <w:rPr>
                <w:rFonts w:asciiTheme="minorHAnsi" w:hAnsiTheme="minorHAnsi" w:cstheme="minorHAnsi"/>
                <w:b/>
                <w:sz w:val="20"/>
                <w:szCs w:val="20"/>
                <w:lang w:val="en-GB"/>
              </w:rPr>
            </w:pPr>
          </w:p>
        </w:tc>
      </w:tr>
    </w:tbl>
    <w:p w14:paraId="26124DA9" w14:textId="77777777" w:rsidR="00AA1FB8" w:rsidRDefault="00AA1FB8" w:rsidP="0064018D">
      <w:pPr>
        <w:rPr>
          <w:b/>
          <w:lang w:val="en-GB"/>
        </w:rPr>
      </w:pPr>
    </w:p>
    <w:p w14:paraId="1E2DC7EF" w14:textId="77777777" w:rsidR="0064018D" w:rsidRPr="006645DC" w:rsidRDefault="0064018D" w:rsidP="0064018D">
      <w:pPr>
        <w:rPr>
          <w:b/>
          <w:lang w:val="en-GB"/>
        </w:rPr>
      </w:pPr>
      <w:r w:rsidRPr="006645DC">
        <w:rPr>
          <w:b/>
          <w:lang w:val="en-GB"/>
        </w:rPr>
        <w:lastRenderedPageBreak/>
        <w:t>Table key:</w:t>
      </w:r>
    </w:p>
    <w:tbl>
      <w:tblPr>
        <w:tblW w:w="0" w:type="auto"/>
        <w:jc w:val="center"/>
        <w:tblLook w:val="04A0" w:firstRow="1" w:lastRow="0" w:firstColumn="1" w:lastColumn="0" w:noHBand="0" w:noVBand="1"/>
      </w:tblPr>
      <w:tblGrid>
        <w:gridCol w:w="3192"/>
        <w:gridCol w:w="3192"/>
        <w:gridCol w:w="3192"/>
      </w:tblGrid>
      <w:tr w:rsidR="0064018D" w:rsidRPr="006645DC" w14:paraId="17361300" w14:textId="77777777" w:rsidTr="00393EB7">
        <w:trPr>
          <w:trHeight w:val="283"/>
          <w:jc w:val="center"/>
        </w:trPr>
        <w:tc>
          <w:tcPr>
            <w:tcW w:w="3192" w:type="dxa"/>
            <w:shd w:val="clear" w:color="auto" w:fill="auto"/>
            <w:vAlign w:val="center"/>
          </w:tcPr>
          <w:p w14:paraId="5D5BE21B" w14:textId="77777777" w:rsidR="0064018D" w:rsidRPr="006645DC" w:rsidRDefault="0064018D" w:rsidP="00393EB7">
            <w:pPr>
              <w:spacing w:before="0" w:after="0"/>
              <w:jc w:val="center"/>
              <w:rPr>
                <w:b/>
                <w:lang w:val="en-GB"/>
              </w:rPr>
            </w:pPr>
            <w:r w:rsidRPr="006645DC">
              <w:rPr>
                <w:b/>
                <w:lang w:val="en-GB"/>
              </w:rPr>
              <w:t>+</w:t>
            </w:r>
          </w:p>
        </w:tc>
        <w:tc>
          <w:tcPr>
            <w:tcW w:w="3192" w:type="dxa"/>
            <w:shd w:val="clear" w:color="auto" w:fill="auto"/>
            <w:vAlign w:val="center"/>
          </w:tcPr>
          <w:p w14:paraId="28FE0E2F" w14:textId="77777777" w:rsidR="0064018D" w:rsidRPr="006645DC" w:rsidRDefault="0064018D" w:rsidP="00393EB7">
            <w:pPr>
              <w:spacing w:before="0" w:after="0"/>
              <w:jc w:val="center"/>
              <w:rPr>
                <w:b/>
                <w:lang w:val="en-GB"/>
              </w:rPr>
            </w:pPr>
            <w:r w:rsidRPr="006645DC">
              <w:rPr>
                <w:b/>
                <w:lang w:val="en-GB"/>
              </w:rPr>
              <w:t>++</w:t>
            </w:r>
          </w:p>
        </w:tc>
        <w:tc>
          <w:tcPr>
            <w:tcW w:w="3192" w:type="dxa"/>
            <w:shd w:val="clear" w:color="auto" w:fill="auto"/>
            <w:vAlign w:val="center"/>
          </w:tcPr>
          <w:p w14:paraId="3572FBE3" w14:textId="77777777" w:rsidR="0064018D" w:rsidRPr="006645DC" w:rsidRDefault="0064018D" w:rsidP="00393EB7">
            <w:pPr>
              <w:spacing w:before="0" w:after="0"/>
              <w:jc w:val="center"/>
              <w:rPr>
                <w:b/>
                <w:lang w:val="en-GB"/>
              </w:rPr>
            </w:pPr>
            <w:r w:rsidRPr="006645DC">
              <w:rPr>
                <w:b/>
                <w:lang w:val="en-GB"/>
              </w:rPr>
              <w:t>+++</w:t>
            </w:r>
          </w:p>
        </w:tc>
      </w:tr>
    </w:tbl>
    <w:p w14:paraId="1083B12F" w14:textId="52380039" w:rsidR="0064018D" w:rsidRPr="006645DC" w:rsidRDefault="00982AD8" w:rsidP="0064018D">
      <w:pPr>
        <w:rPr>
          <w:b/>
          <w:lang w:val="en-GB"/>
        </w:rPr>
      </w:pPr>
      <w:r w:rsidRPr="006645DC">
        <w:rPr>
          <w:b/>
          <w:noProof/>
          <w:lang w:val="bg-BG" w:eastAsia="bg-BG"/>
        </w:rPr>
        <mc:AlternateContent>
          <mc:Choice Requires="wps">
            <w:drawing>
              <wp:anchor distT="0" distB="0" distL="114300" distR="114300" simplePos="0" relativeHeight="251652096" behindDoc="0" locked="0" layoutInCell="1" allowOverlap="1" wp14:anchorId="7B270CBC" wp14:editId="370EEA1C">
                <wp:simplePos x="0" y="0"/>
                <wp:positionH relativeFrom="column">
                  <wp:posOffset>74295</wp:posOffset>
                </wp:positionH>
                <wp:positionV relativeFrom="paragraph">
                  <wp:posOffset>-2540</wp:posOffset>
                </wp:positionV>
                <wp:extent cx="5848350" cy="232410"/>
                <wp:effectExtent l="0" t="0" r="0" b="53340"/>
                <wp:wrapNone/>
                <wp:docPr id="492" name="Right Arrow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8350" cy="232410"/>
                        </a:xfrm>
                        <a:prstGeom prst="rightArrow">
                          <a:avLst>
                            <a:gd name="adj1" fmla="val 50000"/>
                            <a:gd name="adj2" fmla="val 49978"/>
                          </a:avLst>
                        </a:prstGeom>
                        <a:gradFill rotWithShape="1">
                          <a:gsLst>
                            <a:gs pos="0">
                              <a:srgbClr val="FF0000"/>
                            </a:gs>
                            <a:gs pos="74001">
                              <a:srgbClr val="C2D1ED"/>
                            </a:gs>
                            <a:gs pos="100000">
                              <a:srgbClr val="E1E8F5"/>
                            </a:gs>
                          </a:gsLst>
                          <a:lin ang="10800000" scaled="1"/>
                        </a:gradFill>
                        <a:ln>
                          <a:noFill/>
                        </a:ln>
                        <a:effectLst>
                          <a:outerShdw dist="50800" dir="5400000" algn="ctr" rotWithShape="0">
                            <a:srgbClr val="808080"/>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14:paraId="1C23A270" w14:textId="77777777" w:rsidR="00F14D1E" w:rsidRDefault="00F14D1E" w:rsidP="0064018D">
                            <w:pPr>
                              <w:jc w:val="center"/>
                            </w:pPr>
                            <w:r w:rsidRPr="00393EB7">
                              <w:rPr>
                                <w:color w:val="000000"/>
                              </w:rPr>
                              <w:t>ImportaceImportance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Right Arrow 101" o:spid="_x0000_s1029" type="#_x0000_t13" style="position:absolute;left:0;text-align:left;margin-left:5.85pt;margin-top:-.2pt;width:460.5pt;height:18.3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" adj="21171" fillcolor="red" stroked="f" strokeweight="2pt">
                <v:fill color2="#e1e8f5" rotate="t" angle="270" colors="0 red;48497f #c2d1ed;1 #e1e8f5" focus="100%" type="gradient"/>
                <v:shadow on="t" offset="0,4pt"/>
                <v:textbox>
                  <w:txbxContent>
                    <w:p w14:paraId="1C23A270" w14:textId="77777777" w:rsidR="00F14D1E" w:rsidRDefault="00F14D1E" w:rsidP="0064018D">
                      <w:pPr>
                        <w:jc w:val="center"/>
                      </w:pPr>
                      <w:r w:rsidRPr="00393EB7">
                        <w:rPr>
                          <w:color w:val="000000"/>
                        </w:rPr>
                        <w:t>ImportaceImportance</w:t>
                      </w:r>
                    </w:p>
                  </w:txbxContent>
                </v:textbox>
              </v:shape>
            </w:pict>
          </mc:Fallback>
        </mc:AlternateContent>
      </w:r>
    </w:p>
    <w:p w14:paraId="273104CF" w14:textId="77777777" w:rsidR="0064018D" w:rsidRPr="006645DC" w:rsidRDefault="0064018D" w:rsidP="0064018D">
      <w:pPr>
        <w:jc w:val="center"/>
        <w:rPr>
          <w:i/>
          <w:lang w:val="en-GB"/>
        </w:rPr>
      </w:pPr>
      <w:r w:rsidRPr="006645DC">
        <w:rPr>
          <w:i/>
          <w:lang w:val="en-GB"/>
        </w:rPr>
        <w:t>Degree of need territorial relevance</w:t>
      </w:r>
    </w:p>
    <w:p w14:paraId="1E923D89" w14:textId="77777777" w:rsidR="0064018D" w:rsidRPr="006645DC" w:rsidRDefault="00A83500" w:rsidP="0064018D">
      <w:pPr>
        <w:spacing w:before="0" w:after="0"/>
        <w:rPr>
          <w:b/>
          <w:i/>
          <w:lang w:val="en-GB"/>
        </w:rPr>
      </w:pPr>
      <w:r w:rsidRPr="006645DC">
        <w:rPr>
          <w:b/>
          <w:i/>
          <w:lang w:val="en-GB"/>
        </w:rPr>
        <w:t>TO8 – P</w:t>
      </w:r>
      <w:r w:rsidR="0064018D" w:rsidRPr="006645DC">
        <w:rPr>
          <w:b/>
          <w:i/>
          <w:lang w:val="en-GB"/>
        </w:rPr>
        <w:t>romoting employment and supporting labour mobility</w:t>
      </w:r>
    </w:p>
    <w:p w14:paraId="6B4F7D6B" w14:textId="77777777" w:rsidR="0064018D" w:rsidRPr="006645DC" w:rsidRDefault="0064018D" w:rsidP="0064018D">
      <w:pPr>
        <w:spacing w:before="0" w:after="0"/>
        <w:rPr>
          <w:b/>
          <w:i/>
          <w:lang w:val="en-GB"/>
        </w:rPr>
      </w:pPr>
      <w:r w:rsidRPr="006645DC">
        <w:rPr>
          <w:b/>
          <w:i/>
          <w:lang w:val="en-GB"/>
        </w:rPr>
        <w:t>TO9 – Promoting social inclusion and combating poverty</w:t>
      </w:r>
    </w:p>
    <w:p w14:paraId="638B6B1A" w14:textId="77777777" w:rsidR="0064018D" w:rsidRPr="006645DC" w:rsidRDefault="0064018D" w:rsidP="0064018D">
      <w:pPr>
        <w:spacing w:before="0" w:after="0"/>
        <w:rPr>
          <w:b/>
          <w:i/>
          <w:lang w:val="en-GB"/>
        </w:rPr>
      </w:pPr>
      <w:r w:rsidRPr="006645DC">
        <w:rPr>
          <w:b/>
          <w:i/>
          <w:lang w:val="en-GB"/>
        </w:rPr>
        <w:t>TO10 – Investing in education, skills and lifelong learning by developing education and training infrastructure</w:t>
      </w:r>
    </w:p>
    <w:p w14:paraId="7698C0C0" w14:textId="77777777" w:rsidR="0064018D" w:rsidRPr="006645DC" w:rsidRDefault="0064018D" w:rsidP="0064018D">
      <w:pPr>
        <w:rPr>
          <w:lang w:val="en-GB"/>
        </w:rPr>
        <w:sectPr w:rsidR="0064018D" w:rsidRPr="006645DC" w:rsidSect="00187E88">
          <w:pgSz w:w="12240" w:h="15840"/>
          <w:pgMar w:top="1440" w:right="1440" w:bottom="1440" w:left="1440" w:header="720" w:footer="720" w:gutter="0"/>
          <w:cols w:space="720"/>
          <w:docGrid w:linePitch="360"/>
        </w:sectPr>
      </w:pPr>
    </w:p>
    <w:p w14:paraId="5D276CB3" w14:textId="77777777" w:rsidR="003531E5" w:rsidRPr="006645DC" w:rsidRDefault="003531E5" w:rsidP="003531E5">
      <w:pPr>
        <w:pStyle w:val="Heading1"/>
        <w:rPr>
          <w:lang w:val="en-GB"/>
        </w:rPr>
      </w:pPr>
      <w:bookmarkStart w:id="1408" w:name="_Toc376199596"/>
      <w:bookmarkStart w:id="1409" w:name="_Toc254543809"/>
      <w:bookmarkStart w:id="1410" w:name="_Toc391150188"/>
      <w:r w:rsidRPr="006645DC">
        <w:rPr>
          <w:lang w:val="en-GB"/>
        </w:rPr>
        <w:lastRenderedPageBreak/>
        <w:t>Climate Change</w:t>
      </w:r>
      <w:bookmarkEnd w:id="1408"/>
      <w:bookmarkEnd w:id="1409"/>
      <w:bookmarkEnd w:id="1410"/>
    </w:p>
    <w:p w14:paraId="4C81FF0B" w14:textId="77777777" w:rsidR="00E12EE5" w:rsidRPr="006645DC" w:rsidRDefault="00E12EE5" w:rsidP="00A4740C">
      <w:pPr>
        <w:rPr>
          <w:rFonts w:ascii="Gill Sans MT" w:eastAsiaTheme="minorHAnsi" w:hAnsi="Gill Sans MT" w:cs="Gill Sans MT"/>
          <w:lang w:val="en-GB"/>
        </w:rPr>
      </w:pPr>
      <w:r w:rsidRPr="006645DC">
        <w:rPr>
          <w:lang w:val="en-GB"/>
        </w:rPr>
        <w:t>Until 2020, EU regions are expected to overcome the severe effects of the financial and economic crisis, to move on with the implementation of the cohesion policy and to bridge economic, social, and territorial gaps in compliance with the objectives of the Europe 2020 Strategy. European regions are faced four major challenges which occasionally become real threats. These are globalisation, demographic change, the energy challenge, and climate change. There is a high projected probability that Bulgarian and Romanian regions will be greatly affected by climate change. Thus, both countries prepared strategies and plans in order to mitigate the harmful and/or irreversible effects of climate change. For example, Bulgaria elaborated the Third National Action Plan on Climate Change</w:t>
      </w:r>
      <w:r w:rsidRPr="006645DC">
        <w:rPr>
          <w:rStyle w:val="FootnoteReference"/>
          <w:lang w:val="en-GB"/>
        </w:rPr>
        <w:footnoteReference w:id="25"/>
      </w:r>
      <w:r w:rsidRPr="006645DC">
        <w:rPr>
          <w:lang w:val="en-GB"/>
        </w:rPr>
        <w:t xml:space="preserve"> in 2012 for the next eight years covering the programming period 2014-2020 of the European Union. Romania also published her national strategy on climate change</w:t>
      </w:r>
      <w:r w:rsidRPr="006645DC">
        <w:rPr>
          <w:rStyle w:val="FootnoteReference"/>
          <w:lang w:val="en-GB"/>
        </w:rPr>
        <w:footnoteReference w:id="26"/>
      </w:r>
      <w:r w:rsidRPr="006645DC">
        <w:rPr>
          <w:lang w:val="en-GB"/>
        </w:rPr>
        <w:t xml:space="preserve"> for the same period. The National Regional Development Strategy of the Republic of Bulgaria for the period 2012-2020 also deals with the risks of climate change in details. At the beginning of 2013, a country report, was published on Bulgaria evaluating her climate change policy</w:t>
      </w:r>
      <w:r w:rsidRPr="006645DC">
        <w:rPr>
          <w:rStyle w:val="FootnoteReference"/>
          <w:lang w:val="en-GB"/>
        </w:rPr>
        <w:footnoteReference w:id="27"/>
      </w:r>
      <w:r w:rsidRPr="006645DC">
        <w:rPr>
          <w:lang w:val="en-GB"/>
        </w:rPr>
        <w:t>, which reinforces the relevance of climate change.</w:t>
      </w:r>
    </w:p>
    <w:p w14:paraId="3222380A" w14:textId="77777777" w:rsidR="00E12EE5" w:rsidRPr="006645DC" w:rsidRDefault="00E12EE5" w:rsidP="00C951D5">
      <w:pPr>
        <w:pStyle w:val="Heading2"/>
        <w:numPr>
          <w:ilvl w:val="0"/>
          <w:numId w:val="93"/>
        </w:numPr>
        <w:rPr>
          <w:lang w:val="en-GB"/>
        </w:rPr>
      </w:pPr>
      <w:bookmarkStart w:id="1411" w:name="_Toc376199597"/>
      <w:bookmarkStart w:id="1412" w:name="_Toc254543810"/>
      <w:bookmarkStart w:id="1413" w:name="_Toc391150189"/>
      <w:r w:rsidRPr="006645DC">
        <w:rPr>
          <w:lang w:val="en-GB"/>
        </w:rPr>
        <w:t>Climate and climate change</w:t>
      </w:r>
      <w:bookmarkEnd w:id="1411"/>
      <w:bookmarkEnd w:id="1412"/>
      <w:bookmarkEnd w:id="1413"/>
    </w:p>
    <w:p w14:paraId="65CCB8D0" w14:textId="77777777" w:rsidR="00E12EE5" w:rsidRPr="006645DC" w:rsidRDefault="00E12EE5" w:rsidP="00A4740C">
      <w:pPr>
        <w:rPr>
          <w:lang w:val="en-GB"/>
        </w:rPr>
      </w:pPr>
      <w:r w:rsidRPr="006645DC">
        <w:rPr>
          <w:lang w:val="en-GB"/>
        </w:rPr>
        <w:t xml:space="preserve">According to existing data and studies for the period 1901-2007, the average annual temperature in Romania has increased by 0,5 °C on average.. </w:t>
      </w:r>
      <w:r w:rsidRPr="006645DC">
        <w:rPr>
          <w:rStyle w:val="FootnoteReference"/>
          <w:lang w:val="en-GB"/>
        </w:rPr>
        <w:footnoteReference w:id="28"/>
      </w:r>
      <w:r w:rsidRPr="006645DC">
        <w:rPr>
          <w:lang w:val="en-GB"/>
        </w:rPr>
        <w:t xml:space="preserve">Also for the same period (1901-2007), and mainly following 1960, a general trend of decreasing annual amounts of precipitation across the country and especially a sharp increase in the deficit of precipitation in the southern and south–eastern areas of the country was experienced. </w:t>
      </w:r>
    </w:p>
    <w:p w14:paraId="79DAF3F4" w14:textId="77777777" w:rsidR="00E12EE5" w:rsidRPr="006645DC" w:rsidRDefault="00E12EE5" w:rsidP="00A4740C">
      <w:pPr>
        <w:rPr>
          <w:lang w:val="en-GB"/>
        </w:rPr>
      </w:pPr>
      <w:r w:rsidRPr="006645DC">
        <w:rPr>
          <w:lang w:val="en-GB"/>
        </w:rPr>
        <w:t>The same trends are true for Bulgaria where the tendencies of warming up are clear. In 2011, the average annual temperature was by 0,4 ° C higher than the one for the period 1961-1990. Furthermore, there are more and longer periods of drought followed by severe storms and heavy floods incurring damage and casualties</w:t>
      </w:r>
      <w:r w:rsidRPr="006645DC">
        <w:rPr>
          <w:rStyle w:val="FootnoteReference"/>
          <w:lang w:val="en-GB"/>
        </w:rPr>
        <w:footnoteReference w:id="29"/>
      </w:r>
      <w:r w:rsidRPr="006645DC">
        <w:rPr>
          <w:lang w:val="en-GB"/>
        </w:rPr>
        <w:t xml:space="preserve">. </w:t>
      </w:r>
    </w:p>
    <w:p w14:paraId="5FCDC329" w14:textId="77777777" w:rsidR="00E12EE5" w:rsidRPr="006645DC" w:rsidRDefault="00E12EE5" w:rsidP="00A4740C">
      <w:pPr>
        <w:rPr>
          <w:lang w:val="en-GB"/>
        </w:rPr>
      </w:pPr>
      <w:r w:rsidRPr="006645DC">
        <w:rPr>
          <w:lang w:val="en-GB"/>
        </w:rPr>
        <w:lastRenderedPageBreak/>
        <w:t xml:space="preserve">For the cross-border region the average annual temperature, as a relevant indicator for climate changes, indicates a significant increasing tendency, both in river-side Romanian counties and Bulgarian districts (over 3.6°C), with two exceptions: Constanţa and Dobrich (3.1-3.5°C). This phenomenon, together with the decrease of the average annual amount of precipitations during summer months, has a major influence on the accentuation of drought and drought risk, especially in the counties of Olt, Teleorman, Dolj (Romania), and in Montana, Vratsa, Pleven, Ruse (Bulgaria). </w:t>
      </w:r>
    </w:p>
    <w:p w14:paraId="73C4EEE8" w14:textId="77777777" w:rsidR="00E12EE5" w:rsidRPr="006645DC" w:rsidRDefault="00AA4C82" w:rsidP="00E12EE5">
      <w:pPr>
        <w:jc w:val="center"/>
        <w:rPr>
          <w:lang w:val="en-GB"/>
        </w:rPr>
      </w:pPr>
      <w:r w:rsidRPr="006645DC">
        <w:rPr>
          <w:noProof/>
          <w:lang w:val="bg-BG" w:eastAsia="bg-BG"/>
        </w:rPr>
        <w:drawing>
          <wp:inline distT="0" distB="0" distL="0" distR="0" wp14:anchorId="2420729F" wp14:editId="0BDA0E03">
            <wp:extent cx="5743575" cy="2857500"/>
            <wp:effectExtent l="19050" t="0" r="9525" b="0"/>
            <wp:docPr id="448"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
                    <pic:cNvPicPr>
                      <a:picLocks noChangeAspect="1" noChangeArrowheads="1"/>
                    </pic:cNvPicPr>
                  </pic:nvPicPr>
                  <pic:blipFill>
                    <a:blip r:embed="rId113"/>
                    <a:srcRect/>
                    <a:stretch>
                      <a:fillRect/>
                    </a:stretch>
                  </pic:blipFill>
                  <pic:spPr bwMode="auto">
                    <a:xfrm>
                      <a:off x="0" y="0"/>
                      <a:ext cx="5743575" cy="2857500"/>
                    </a:xfrm>
                    <a:prstGeom prst="rect">
                      <a:avLst/>
                    </a:prstGeom>
                    <a:noFill/>
                    <a:ln w="9525">
                      <a:noFill/>
                      <a:miter lim="800000"/>
                      <a:headEnd/>
                      <a:tailEnd/>
                    </a:ln>
                  </pic:spPr>
                </pic:pic>
              </a:graphicData>
            </a:graphic>
          </wp:inline>
        </w:drawing>
      </w:r>
    </w:p>
    <w:p w14:paraId="650E3383" w14:textId="77777777" w:rsidR="00E12EE5" w:rsidRPr="006645DC" w:rsidRDefault="00E12EE5" w:rsidP="00E12EE5">
      <w:pPr>
        <w:pStyle w:val="Caption"/>
        <w:rPr>
          <w:lang w:val="en-GB"/>
        </w:rPr>
      </w:pPr>
      <w:bookmarkStart w:id="1414" w:name="_Toc391150032"/>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28</w:t>
      </w:r>
      <w:r w:rsidR="005979EB" w:rsidRPr="006645DC">
        <w:rPr>
          <w:lang w:val="en-GB"/>
        </w:rPr>
        <w:fldChar w:fldCharType="end"/>
      </w:r>
      <w:r w:rsidRPr="006645DC">
        <w:rPr>
          <w:lang w:val="en-GB"/>
        </w:rPr>
        <w:t xml:space="preserve"> - The map shows areas affected by drought in May 2007 in the Romania-Bulgaria cross-border area</w:t>
      </w:r>
      <w:bookmarkEnd w:id="1414"/>
    </w:p>
    <w:p w14:paraId="6CDB24E5" w14:textId="77777777" w:rsidR="00E12EE5" w:rsidRPr="006645DC" w:rsidRDefault="00E12EE5" w:rsidP="00E12EE5">
      <w:pPr>
        <w:pStyle w:val="Heading4"/>
        <w:rPr>
          <w:lang w:val="en-GB"/>
        </w:rPr>
      </w:pPr>
      <w:r w:rsidRPr="006645DC">
        <w:rPr>
          <w:lang w:val="en-GB"/>
        </w:rPr>
        <w:t>Source:  (www.nasa.gov)</w:t>
      </w:r>
    </w:p>
    <w:p w14:paraId="2E234C25" w14:textId="77777777" w:rsidR="00E12EE5" w:rsidRPr="006645DC" w:rsidRDefault="00E12EE5" w:rsidP="00A4740C">
      <w:pPr>
        <w:rPr>
          <w:lang w:val="en-GB"/>
        </w:rPr>
      </w:pPr>
      <w:r w:rsidRPr="006645DC">
        <w:rPr>
          <w:lang w:val="en-GB"/>
        </w:rPr>
        <w:t>The effects of climate change are clearly shown in the map above. In 2006 severe flooding hit the cross-border region of Romania and Bulgaria. However, in 2007 drought severely affected the agriculture sector. The map shows its effects on the vegetation measure by the Normalised Difference Vegetation Index</w:t>
      </w:r>
      <w:r w:rsidRPr="006645DC">
        <w:rPr>
          <w:rStyle w:val="FootnoteReference"/>
          <w:lang w:val="en-GB"/>
        </w:rPr>
        <w:footnoteReference w:id="30"/>
      </w:r>
      <w:r w:rsidRPr="006645DC">
        <w:rPr>
          <w:lang w:val="en-GB"/>
        </w:rPr>
        <w:t>.</w:t>
      </w:r>
    </w:p>
    <w:p w14:paraId="1B2CF119" w14:textId="77777777" w:rsidR="00E12EE5" w:rsidRPr="006645DC" w:rsidRDefault="00AA4C82" w:rsidP="00E12EE5">
      <w:pPr>
        <w:jc w:val="center"/>
        <w:rPr>
          <w:lang w:val="en-GB"/>
        </w:rPr>
      </w:pPr>
      <w:r w:rsidRPr="006645DC">
        <w:rPr>
          <w:noProof/>
          <w:lang w:val="bg-BG" w:eastAsia="bg-BG"/>
        </w:rPr>
        <w:lastRenderedPageBreak/>
        <w:drawing>
          <wp:inline distT="0" distB="0" distL="0" distR="0" wp14:anchorId="4758512C" wp14:editId="222ED4C9">
            <wp:extent cx="5943600" cy="3352800"/>
            <wp:effectExtent l="19050" t="0" r="0" b="0"/>
            <wp:docPr id="449" name="Picture 64" descr="harti 29 11 20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arti 29 11 20137"/>
                    <pic:cNvPicPr>
                      <a:picLocks noChangeAspect="1" noChangeArrowheads="1"/>
                    </pic:cNvPicPr>
                  </pic:nvPicPr>
                  <pic:blipFill>
                    <a:blip r:embed="rId114"/>
                    <a:srcRect/>
                    <a:stretch>
                      <a:fillRect/>
                    </a:stretch>
                  </pic:blipFill>
                  <pic:spPr bwMode="auto">
                    <a:xfrm>
                      <a:off x="0" y="0"/>
                      <a:ext cx="5943600" cy="3352800"/>
                    </a:xfrm>
                    <a:prstGeom prst="rect">
                      <a:avLst/>
                    </a:prstGeom>
                    <a:noFill/>
                    <a:ln w="9525">
                      <a:noFill/>
                      <a:miter lim="800000"/>
                      <a:headEnd/>
                      <a:tailEnd/>
                    </a:ln>
                  </pic:spPr>
                </pic:pic>
              </a:graphicData>
            </a:graphic>
          </wp:inline>
        </w:drawing>
      </w:r>
    </w:p>
    <w:p w14:paraId="262A14C4" w14:textId="77777777" w:rsidR="00E12EE5" w:rsidRPr="006645DC" w:rsidRDefault="00E12EE5" w:rsidP="00E12EE5">
      <w:pPr>
        <w:pStyle w:val="Caption"/>
        <w:rPr>
          <w:lang w:val="en-GB"/>
        </w:rPr>
      </w:pPr>
      <w:bookmarkStart w:id="1415" w:name="_Toc391150033"/>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29</w:t>
      </w:r>
      <w:r w:rsidR="005979EB" w:rsidRPr="006645DC">
        <w:rPr>
          <w:lang w:val="en-GB"/>
        </w:rPr>
        <w:fldChar w:fldCharType="end"/>
      </w:r>
      <w:r w:rsidRPr="006645DC">
        <w:rPr>
          <w:lang w:val="en-GB"/>
        </w:rPr>
        <w:t xml:space="preserve"> - Increase of annual mean temperature (°C), 2013</w:t>
      </w:r>
      <w:bookmarkEnd w:id="1415"/>
    </w:p>
    <w:p w14:paraId="376B5E06" w14:textId="77777777" w:rsidR="00E12EE5" w:rsidRPr="006645DC" w:rsidRDefault="00E12EE5" w:rsidP="00E12EE5">
      <w:pPr>
        <w:pStyle w:val="Heading4"/>
        <w:rPr>
          <w:lang w:val="en-GB"/>
        </w:rPr>
      </w:pPr>
      <w:r w:rsidRPr="006645DC">
        <w:rPr>
          <w:lang w:val="en-GB"/>
        </w:rPr>
        <w:t xml:space="preserve">Source: Territorial Observation No. 7 ESPON </w:t>
      </w:r>
    </w:p>
    <w:p w14:paraId="2D02D636" w14:textId="77777777" w:rsidR="00E12EE5" w:rsidRPr="006645DC" w:rsidRDefault="00E12EE5" w:rsidP="00E12EE5">
      <w:pPr>
        <w:rPr>
          <w:lang w:val="en-GB"/>
        </w:rPr>
      </w:pPr>
    </w:p>
    <w:p w14:paraId="60E09AC6" w14:textId="77777777" w:rsidR="00E12EE5" w:rsidRPr="006645DC" w:rsidRDefault="00E12EE5" w:rsidP="00A4740C">
      <w:pPr>
        <w:rPr>
          <w:lang w:val="en-GB"/>
        </w:rPr>
      </w:pPr>
      <w:r w:rsidRPr="006645DC">
        <w:rPr>
          <w:lang w:val="en-GB"/>
        </w:rPr>
        <w:t xml:space="preserve">According to the definitions of ESPON and of the Intergovernmental Panel on Climate Change, “vulnerability to climate change is a function of exposure, sensitivity and response capacity” (…), it is “the degree to which a system is susceptible to and unable to cope with, adverse effects of climate change, including climate variability and extremes”. </w:t>
      </w:r>
    </w:p>
    <w:p w14:paraId="239E90DF" w14:textId="77777777" w:rsidR="00E12EE5" w:rsidRPr="006645DC" w:rsidRDefault="00E12EE5" w:rsidP="00A4740C">
      <w:pPr>
        <w:rPr>
          <w:lang w:val="en-GB"/>
        </w:rPr>
      </w:pPr>
      <w:r w:rsidRPr="006645DC">
        <w:rPr>
          <w:lang w:val="en-GB"/>
        </w:rPr>
        <w:t>Nevertheless, climate change can cause serious damage in the existing infrastructure, in property and lands. Consequently, the necessity to provide protection should be supported by the adaptation and mitigation policies in order to be able to reduce the possible damage costs. In line with the Intergovernmental Panel on Climate Change’s (2007) definition, adaptive capacity describes a “society's ability to adjust to climate change, moderate potential damages, to take advantage of opportunities or to cope with the consequences.”</w:t>
      </w:r>
      <w:r w:rsidRPr="006645DC">
        <w:rPr>
          <w:rStyle w:val="FootnoteReference"/>
          <w:sz w:val="24"/>
          <w:szCs w:val="24"/>
          <w:lang w:val="en-GB"/>
        </w:rPr>
        <w:footnoteReference w:id="31"/>
      </w:r>
      <w:r w:rsidRPr="006645DC">
        <w:rPr>
          <w:lang w:val="en-GB"/>
        </w:rPr>
        <w:t xml:space="preserve"> In the Romanian-Bulgarian cross-border area, all the regions have a very low capacity to adapt to climate changes (they are among the lowest in the eastern and southern part of Europe). This indicator is influenced by five dimensions such as technology, infrastructure, </w:t>
      </w:r>
      <w:r w:rsidRPr="006645DC">
        <w:rPr>
          <w:lang w:val="en-GB"/>
        </w:rPr>
        <w:lastRenderedPageBreak/>
        <w:t>institutions, economic resources, knowledge and awareness, and the geographical location (ESPON 2013).</w:t>
      </w:r>
    </w:p>
    <w:p w14:paraId="152886EB" w14:textId="77777777" w:rsidR="00E12EE5" w:rsidRPr="006645DC" w:rsidRDefault="00E12EE5" w:rsidP="00A4740C">
      <w:pPr>
        <w:rPr>
          <w:lang w:val="en-GB"/>
        </w:rPr>
      </w:pPr>
      <w:r w:rsidRPr="006645DC">
        <w:rPr>
          <w:lang w:val="en-GB"/>
        </w:rPr>
        <w:t>Mitigation capacity is related to the ability to reduce human contribution to climate change. The value of this indicator is also the lowest in the eastern EU regions such us the regions of the cross-border area. Furthermore, the mitigation capacity correlates with the vulnerability to fluctuations in energy cost and security according to the ESPON’s territorial observations.</w:t>
      </w:r>
    </w:p>
    <w:p w14:paraId="4ECC98EC" w14:textId="77777777" w:rsidR="00E12EE5" w:rsidRPr="006645DC" w:rsidRDefault="00E12EE5" w:rsidP="00A4740C">
      <w:pPr>
        <w:rPr>
          <w:lang w:val="en-GB"/>
        </w:rPr>
      </w:pPr>
      <w:r w:rsidRPr="006645DC">
        <w:rPr>
          <w:lang w:val="en-GB"/>
        </w:rPr>
        <w:t>The Romanian coast has been subject to serious beach erosion problems since decades. The northern unit, the deltaic coast of the Danube, is most affected. According to a study prepared by the European Commission</w:t>
      </w:r>
      <w:r w:rsidRPr="006645DC">
        <w:rPr>
          <w:rStyle w:val="FootnoteReference"/>
          <w:lang w:val="en-GB"/>
        </w:rPr>
        <w:footnoteReference w:id="32"/>
      </w:r>
      <w:r w:rsidRPr="006645DC">
        <w:rPr>
          <w:lang w:val="en-GB"/>
        </w:rPr>
        <w:t xml:space="preserve">, in the last 35 years the shoreline has retreated inland between 180 to 300 meters and 80 ha/year of the beach has been lost. Coastal erosion is not only expected to threaten the tourism industry in the summer season due to loss of beaches but might also endanger the safety of housing and public welfare. </w:t>
      </w:r>
    </w:p>
    <w:p w14:paraId="1A136E61" w14:textId="77777777" w:rsidR="00E12EE5" w:rsidRPr="006645DC" w:rsidRDefault="00E12EE5" w:rsidP="00E12EE5">
      <w:pPr>
        <w:rPr>
          <w:lang w:val="en-GB"/>
        </w:rPr>
      </w:pPr>
      <w:r w:rsidRPr="006645DC">
        <w:rPr>
          <w:lang w:val="en-GB"/>
        </w:rPr>
        <w:t>The European Commission underlines the importance of erosion that is expected to become more and more important mainly due to the impacts of climate change and Sea Level Rise (SLR), but also due to the lack of effective coastal planning regulations. “A number of constructions have been built in close proximity to the shoreline or even on the beach. Erosion, together with storm events and rivers draining in low-lying coastal areas, is furthermore the main factor triggering coastal flood-risk. SLR, although expected to be modest for the Black Sea, could threaten coastal zones with permanent flooding in the long-term particularly as tides are non-existent and currents are very weak along the Romanian and Bulgarian coastline.”</w:t>
      </w:r>
      <w:r w:rsidRPr="006645DC">
        <w:rPr>
          <w:rStyle w:val="FootnoteReference"/>
          <w:lang w:val="en-GB"/>
        </w:rPr>
        <w:footnoteReference w:id="33"/>
      </w:r>
      <w:r w:rsidRPr="006645DC">
        <w:rPr>
          <w:lang w:val="en-GB"/>
        </w:rPr>
        <w:t xml:space="preserve">   </w:t>
      </w:r>
    </w:p>
    <w:p w14:paraId="767E2E24" w14:textId="77777777" w:rsidR="00E12EE5" w:rsidRPr="006645DC" w:rsidRDefault="00E12EE5" w:rsidP="00E12EE5">
      <w:pPr>
        <w:rPr>
          <w:sz w:val="24"/>
          <w:szCs w:val="24"/>
          <w:lang w:val="en-GB"/>
        </w:rPr>
      </w:pPr>
    </w:p>
    <w:p w14:paraId="61BD100A" w14:textId="77777777" w:rsidR="00E12EE5" w:rsidRPr="006645DC" w:rsidRDefault="00E12EE5" w:rsidP="00E12EE5">
      <w:pPr>
        <w:pStyle w:val="Caption"/>
        <w:rPr>
          <w:lang w:val="en-GB"/>
        </w:rPr>
      </w:pPr>
    </w:p>
    <w:p w14:paraId="2D1D3E4E" w14:textId="77777777" w:rsidR="00E12EE5" w:rsidRPr="006645DC" w:rsidRDefault="00AA4C82" w:rsidP="00E12EE5">
      <w:pPr>
        <w:pStyle w:val="Caption"/>
        <w:rPr>
          <w:lang w:val="en-GB"/>
        </w:rPr>
      </w:pPr>
      <w:r w:rsidRPr="006645DC">
        <w:rPr>
          <w:noProof/>
          <w:snapToGrid/>
          <w:lang w:val="bg-BG" w:eastAsia="bg-BG"/>
        </w:rPr>
        <w:lastRenderedPageBreak/>
        <w:drawing>
          <wp:inline distT="0" distB="0" distL="0" distR="0" wp14:anchorId="79A5E7A7" wp14:editId="6CB4DA31">
            <wp:extent cx="5943600" cy="3571875"/>
            <wp:effectExtent l="19050" t="0" r="0" b="0"/>
            <wp:docPr id="450" name="Picture 65" descr="harti 29 11 20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arti 29 11 20138"/>
                    <pic:cNvPicPr>
                      <a:picLocks noChangeAspect="1" noChangeArrowheads="1"/>
                    </pic:cNvPicPr>
                  </pic:nvPicPr>
                  <pic:blipFill>
                    <a:blip r:embed="rId115"/>
                    <a:srcRect/>
                    <a:stretch>
                      <a:fillRect/>
                    </a:stretch>
                  </pic:blipFill>
                  <pic:spPr bwMode="auto">
                    <a:xfrm>
                      <a:off x="0" y="0"/>
                      <a:ext cx="5943600" cy="3571875"/>
                    </a:xfrm>
                    <a:prstGeom prst="rect">
                      <a:avLst/>
                    </a:prstGeom>
                    <a:noFill/>
                    <a:ln w="9525">
                      <a:noFill/>
                      <a:miter lim="800000"/>
                      <a:headEnd/>
                      <a:tailEnd/>
                    </a:ln>
                  </pic:spPr>
                </pic:pic>
              </a:graphicData>
            </a:graphic>
          </wp:inline>
        </w:drawing>
      </w:r>
    </w:p>
    <w:p w14:paraId="55EBF4AD" w14:textId="77777777" w:rsidR="00E12EE5" w:rsidRPr="006645DC" w:rsidRDefault="00E12EE5" w:rsidP="00E12EE5">
      <w:pPr>
        <w:pStyle w:val="Caption"/>
        <w:rPr>
          <w:rFonts w:eastAsiaTheme="majorEastAsia"/>
          <w:lang w:val="en-GB"/>
        </w:rPr>
      </w:pPr>
      <w:bookmarkStart w:id="1416" w:name="_Toc391150034"/>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30</w:t>
      </w:r>
      <w:r w:rsidR="005979EB" w:rsidRPr="006645DC">
        <w:rPr>
          <w:lang w:val="en-GB"/>
        </w:rPr>
        <w:fldChar w:fldCharType="end"/>
      </w:r>
      <w:r w:rsidRPr="006645DC">
        <w:rPr>
          <w:lang w:val="en-GB"/>
        </w:rPr>
        <w:t xml:space="preserve"> - </w:t>
      </w:r>
      <w:r w:rsidRPr="006645DC">
        <w:rPr>
          <w:rFonts w:eastAsiaTheme="majorEastAsia"/>
          <w:lang w:val="en-GB"/>
        </w:rPr>
        <w:t>Aggregate potential impact of climate change</w:t>
      </w:r>
      <w:bookmarkEnd w:id="1416"/>
    </w:p>
    <w:p w14:paraId="58166F7B" w14:textId="77777777" w:rsidR="00E12EE5" w:rsidRPr="006645DC" w:rsidRDefault="00E12EE5" w:rsidP="004C2574">
      <w:pPr>
        <w:pStyle w:val="Heading4"/>
        <w:rPr>
          <w:rFonts w:eastAsiaTheme="majorEastAsia"/>
          <w:lang w:val="en-GB"/>
        </w:rPr>
      </w:pPr>
      <w:r w:rsidRPr="006645DC">
        <w:rPr>
          <w:lang w:val="en-GB"/>
        </w:rPr>
        <w:t>Source: ESPON</w:t>
      </w:r>
    </w:p>
    <w:p w14:paraId="6FBFAB54" w14:textId="77777777" w:rsidR="00E12EE5" w:rsidRPr="006645DC" w:rsidRDefault="00E12EE5" w:rsidP="00E12EE5">
      <w:pPr>
        <w:rPr>
          <w:b/>
          <w:lang w:val="en-GB"/>
        </w:rPr>
      </w:pPr>
    </w:p>
    <w:p w14:paraId="271CBA11" w14:textId="77777777" w:rsidR="00E12EE5" w:rsidRPr="006645DC" w:rsidRDefault="00E12EE5" w:rsidP="00A4740C">
      <w:pPr>
        <w:rPr>
          <w:lang w:val="en-GB"/>
        </w:rPr>
      </w:pPr>
      <w:r w:rsidRPr="006645DC">
        <w:rPr>
          <w:lang w:val="en-GB"/>
        </w:rPr>
        <w:t xml:space="preserve">In spite of the existing plans and strategies on shelterbelts and forestation, there is a trend in Bulgaria for deforesting the protection belts along the Danube bank which leads to an increase of landslides and also causes problems in navigation. </w:t>
      </w:r>
    </w:p>
    <w:p w14:paraId="141ADE18" w14:textId="77777777" w:rsidR="00E12EE5" w:rsidRPr="006645DC" w:rsidRDefault="00AA4C82" w:rsidP="00E12EE5">
      <w:pPr>
        <w:jc w:val="center"/>
        <w:rPr>
          <w:b/>
          <w:lang w:val="en-GB"/>
        </w:rPr>
      </w:pPr>
      <w:r w:rsidRPr="006645DC">
        <w:rPr>
          <w:b/>
          <w:noProof/>
          <w:lang w:val="bg-BG" w:eastAsia="bg-BG"/>
        </w:rPr>
        <w:lastRenderedPageBreak/>
        <w:drawing>
          <wp:inline distT="0" distB="0" distL="0" distR="0" wp14:anchorId="7123729F" wp14:editId="77F14275">
            <wp:extent cx="5762625" cy="6096000"/>
            <wp:effectExtent l="19050" t="0" r="9525" b="0"/>
            <wp:docPr id="451"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4"/>
                    <pic:cNvPicPr>
                      <a:picLocks noChangeAspect="1" noChangeArrowheads="1"/>
                    </pic:cNvPicPr>
                  </pic:nvPicPr>
                  <pic:blipFill>
                    <a:blip r:embed="rId116"/>
                    <a:srcRect/>
                    <a:stretch>
                      <a:fillRect/>
                    </a:stretch>
                  </pic:blipFill>
                  <pic:spPr bwMode="auto">
                    <a:xfrm>
                      <a:off x="0" y="0"/>
                      <a:ext cx="5762625" cy="6096000"/>
                    </a:xfrm>
                    <a:prstGeom prst="rect">
                      <a:avLst/>
                    </a:prstGeom>
                    <a:noFill/>
                    <a:ln w="9525">
                      <a:noFill/>
                      <a:miter lim="800000"/>
                      <a:headEnd/>
                      <a:tailEnd/>
                    </a:ln>
                  </pic:spPr>
                </pic:pic>
              </a:graphicData>
            </a:graphic>
          </wp:inline>
        </w:drawing>
      </w:r>
    </w:p>
    <w:p w14:paraId="65C6EFDF" w14:textId="77777777" w:rsidR="00E12EE5" w:rsidRPr="006645DC" w:rsidRDefault="00E12EE5" w:rsidP="00E12EE5">
      <w:pPr>
        <w:pStyle w:val="Caption"/>
        <w:rPr>
          <w:lang w:val="en-GB"/>
        </w:rPr>
      </w:pPr>
      <w:bookmarkStart w:id="1417" w:name="_Toc391150035"/>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31</w:t>
      </w:r>
      <w:r w:rsidR="005979EB" w:rsidRPr="006645DC">
        <w:rPr>
          <w:lang w:val="en-GB"/>
        </w:rPr>
        <w:fldChar w:fldCharType="end"/>
      </w:r>
      <w:r w:rsidRPr="006645DC">
        <w:rPr>
          <w:lang w:val="en-GB"/>
        </w:rPr>
        <w:t xml:space="preserve"> - Potential vulnerability to climate change</w:t>
      </w:r>
      <w:bookmarkEnd w:id="1417"/>
      <w:r w:rsidRPr="006645DC">
        <w:rPr>
          <w:lang w:val="en-GB"/>
        </w:rPr>
        <w:t xml:space="preserve"> </w:t>
      </w:r>
    </w:p>
    <w:p w14:paraId="1BED1DD9" w14:textId="77777777" w:rsidR="00E12EE5" w:rsidRPr="006645DC" w:rsidRDefault="00E12EE5" w:rsidP="00E12EE5">
      <w:pPr>
        <w:pStyle w:val="Heading4"/>
        <w:rPr>
          <w:lang w:val="en-GB"/>
        </w:rPr>
      </w:pPr>
      <w:r w:rsidRPr="006645DC">
        <w:rPr>
          <w:lang w:val="en-GB"/>
        </w:rPr>
        <w:t>Source: ESPON</w:t>
      </w:r>
    </w:p>
    <w:p w14:paraId="729ECD85" w14:textId="77777777" w:rsidR="00E12EE5" w:rsidRPr="006645DC" w:rsidRDefault="00E12EE5" w:rsidP="00E12EE5">
      <w:pPr>
        <w:spacing w:after="200"/>
        <w:rPr>
          <w:b/>
          <w:lang w:val="en-GB"/>
        </w:rPr>
      </w:pPr>
      <w:r w:rsidRPr="006645DC">
        <w:rPr>
          <w:b/>
          <w:lang w:val="en-GB"/>
        </w:rPr>
        <w:br w:type="page"/>
      </w:r>
    </w:p>
    <w:p w14:paraId="04F81328" w14:textId="1479CAA4" w:rsidR="00E12EE5" w:rsidRPr="00AA1FB8" w:rsidRDefault="00E12EE5" w:rsidP="00E12EE5">
      <w:pPr>
        <w:pStyle w:val="Heading2"/>
        <w:rPr>
          <w:lang w:val="en-GB"/>
        </w:rPr>
      </w:pPr>
      <w:bookmarkStart w:id="1418" w:name="_Toc376199598"/>
      <w:bookmarkStart w:id="1419" w:name="_Toc254543811"/>
      <w:bookmarkStart w:id="1420" w:name="_Toc391150190"/>
      <w:r w:rsidRPr="006645DC">
        <w:rPr>
          <w:lang w:val="en-GB"/>
        </w:rPr>
        <w:lastRenderedPageBreak/>
        <w:t>Greenhouse gas emissions</w:t>
      </w:r>
      <w:bookmarkEnd w:id="1418"/>
      <w:bookmarkEnd w:id="1419"/>
      <w:bookmarkEnd w:id="14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2"/>
        <w:gridCol w:w="1084"/>
        <w:gridCol w:w="999"/>
        <w:gridCol w:w="993"/>
        <w:gridCol w:w="960"/>
        <w:gridCol w:w="1077"/>
      </w:tblGrid>
      <w:tr w:rsidR="00E12EE5" w:rsidRPr="006645DC" w14:paraId="6FAA1F11" w14:textId="77777777" w:rsidTr="00E12EE5">
        <w:trPr>
          <w:jc w:val="center"/>
        </w:trPr>
        <w:tc>
          <w:tcPr>
            <w:tcW w:w="0" w:type="auto"/>
            <w:tcBorders>
              <w:top w:val="single" w:sz="4" w:space="0" w:color="auto"/>
              <w:left w:val="single" w:sz="4" w:space="0" w:color="auto"/>
              <w:bottom w:val="single" w:sz="4" w:space="0" w:color="auto"/>
              <w:right w:val="single" w:sz="4" w:space="0" w:color="auto"/>
            </w:tcBorders>
          </w:tcPr>
          <w:p w14:paraId="3C03AB11" w14:textId="77777777" w:rsidR="00E12EE5" w:rsidRPr="006645DC" w:rsidRDefault="00E12EE5" w:rsidP="00E12EE5">
            <w:pPr>
              <w:pStyle w:val="Default"/>
              <w:jc w:val="center"/>
              <w:rPr>
                <w:rFonts w:asciiTheme="minorHAnsi" w:hAnsiTheme="minorHAnsi" w:cstheme="minorHAnsi"/>
                <w:color w:val="auto"/>
                <w:sz w:val="22"/>
                <w:szCs w:val="22"/>
                <w:lang w:val="en-GB"/>
              </w:rPr>
            </w:pPr>
          </w:p>
        </w:tc>
        <w:tc>
          <w:tcPr>
            <w:tcW w:w="1084" w:type="dxa"/>
            <w:tcBorders>
              <w:top w:val="single" w:sz="4" w:space="0" w:color="auto"/>
              <w:left w:val="single" w:sz="4" w:space="0" w:color="auto"/>
              <w:bottom w:val="single" w:sz="4" w:space="0" w:color="auto"/>
              <w:right w:val="single" w:sz="4" w:space="0" w:color="auto"/>
            </w:tcBorders>
            <w:hideMark/>
          </w:tcPr>
          <w:p w14:paraId="73C6743A" w14:textId="77777777" w:rsidR="00E12EE5" w:rsidRPr="006645DC" w:rsidRDefault="00E12EE5" w:rsidP="00E12EE5">
            <w:pPr>
              <w:pStyle w:val="Default"/>
              <w:jc w:val="center"/>
              <w:rPr>
                <w:rFonts w:asciiTheme="minorHAnsi" w:hAnsiTheme="minorHAnsi" w:cstheme="minorHAnsi"/>
                <w:b/>
                <w:color w:val="auto"/>
                <w:sz w:val="22"/>
                <w:szCs w:val="22"/>
                <w:lang w:val="en-GB"/>
              </w:rPr>
            </w:pPr>
            <w:r w:rsidRPr="006645DC">
              <w:rPr>
                <w:rFonts w:asciiTheme="minorHAnsi" w:hAnsiTheme="minorHAnsi" w:cstheme="minorHAnsi"/>
                <w:b/>
                <w:color w:val="auto"/>
                <w:sz w:val="22"/>
                <w:szCs w:val="22"/>
                <w:lang w:val="en-GB"/>
              </w:rPr>
              <w:t>2007</w:t>
            </w:r>
          </w:p>
        </w:tc>
        <w:tc>
          <w:tcPr>
            <w:tcW w:w="999" w:type="dxa"/>
            <w:tcBorders>
              <w:top w:val="single" w:sz="4" w:space="0" w:color="auto"/>
              <w:left w:val="single" w:sz="4" w:space="0" w:color="auto"/>
              <w:bottom w:val="single" w:sz="4" w:space="0" w:color="auto"/>
              <w:right w:val="single" w:sz="4" w:space="0" w:color="auto"/>
            </w:tcBorders>
            <w:hideMark/>
          </w:tcPr>
          <w:p w14:paraId="1F65D919" w14:textId="77777777" w:rsidR="00E12EE5" w:rsidRPr="006645DC" w:rsidRDefault="00E12EE5" w:rsidP="00E12EE5">
            <w:pPr>
              <w:pStyle w:val="Default"/>
              <w:jc w:val="center"/>
              <w:rPr>
                <w:rFonts w:asciiTheme="minorHAnsi" w:hAnsiTheme="minorHAnsi" w:cstheme="minorHAnsi"/>
                <w:b/>
                <w:color w:val="auto"/>
                <w:sz w:val="22"/>
                <w:szCs w:val="22"/>
                <w:lang w:val="en-GB"/>
              </w:rPr>
            </w:pPr>
            <w:r w:rsidRPr="006645DC">
              <w:rPr>
                <w:rFonts w:asciiTheme="minorHAnsi" w:hAnsiTheme="minorHAnsi" w:cstheme="minorHAnsi"/>
                <w:b/>
                <w:color w:val="auto"/>
                <w:sz w:val="22"/>
                <w:szCs w:val="22"/>
                <w:lang w:val="en-GB"/>
              </w:rPr>
              <w:t>2008</w:t>
            </w:r>
          </w:p>
        </w:tc>
        <w:tc>
          <w:tcPr>
            <w:tcW w:w="993" w:type="dxa"/>
            <w:tcBorders>
              <w:top w:val="single" w:sz="4" w:space="0" w:color="auto"/>
              <w:left w:val="single" w:sz="4" w:space="0" w:color="auto"/>
              <w:bottom w:val="single" w:sz="4" w:space="0" w:color="auto"/>
              <w:right w:val="single" w:sz="4" w:space="0" w:color="auto"/>
            </w:tcBorders>
            <w:hideMark/>
          </w:tcPr>
          <w:p w14:paraId="214649A8" w14:textId="77777777" w:rsidR="00E12EE5" w:rsidRPr="006645DC" w:rsidRDefault="00E12EE5" w:rsidP="00E12EE5">
            <w:pPr>
              <w:pStyle w:val="Default"/>
              <w:jc w:val="center"/>
              <w:rPr>
                <w:rFonts w:asciiTheme="minorHAnsi" w:hAnsiTheme="minorHAnsi" w:cstheme="minorHAnsi"/>
                <w:b/>
                <w:color w:val="auto"/>
                <w:sz w:val="22"/>
                <w:szCs w:val="22"/>
                <w:lang w:val="en-GB"/>
              </w:rPr>
            </w:pPr>
            <w:r w:rsidRPr="006645DC">
              <w:rPr>
                <w:rFonts w:asciiTheme="minorHAnsi" w:hAnsiTheme="minorHAnsi" w:cstheme="minorHAnsi"/>
                <w:b/>
                <w:color w:val="auto"/>
                <w:sz w:val="22"/>
                <w:szCs w:val="22"/>
                <w:lang w:val="en-GB"/>
              </w:rPr>
              <w:t>2009</w:t>
            </w:r>
          </w:p>
        </w:tc>
        <w:tc>
          <w:tcPr>
            <w:tcW w:w="960" w:type="dxa"/>
            <w:tcBorders>
              <w:top w:val="single" w:sz="4" w:space="0" w:color="auto"/>
              <w:left w:val="single" w:sz="4" w:space="0" w:color="auto"/>
              <w:bottom w:val="single" w:sz="4" w:space="0" w:color="auto"/>
              <w:right w:val="single" w:sz="4" w:space="0" w:color="auto"/>
            </w:tcBorders>
            <w:hideMark/>
          </w:tcPr>
          <w:p w14:paraId="20848701" w14:textId="77777777" w:rsidR="00E12EE5" w:rsidRPr="006645DC" w:rsidRDefault="00E12EE5" w:rsidP="00E12EE5">
            <w:pPr>
              <w:pStyle w:val="Default"/>
              <w:jc w:val="center"/>
              <w:rPr>
                <w:rFonts w:asciiTheme="minorHAnsi" w:hAnsiTheme="minorHAnsi" w:cstheme="minorHAnsi"/>
                <w:b/>
                <w:color w:val="auto"/>
                <w:sz w:val="22"/>
                <w:szCs w:val="22"/>
                <w:lang w:val="en-GB"/>
              </w:rPr>
            </w:pPr>
            <w:r w:rsidRPr="006645DC">
              <w:rPr>
                <w:rFonts w:asciiTheme="minorHAnsi" w:hAnsiTheme="minorHAnsi" w:cstheme="minorHAnsi"/>
                <w:b/>
                <w:color w:val="auto"/>
                <w:sz w:val="22"/>
                <w:szCs w:val="22"/>
                <w:lang w:val="en-GB"/>
              </w:rPr>
              <w:t>2010</w:t>
            </w:r>
          </w:p>
        </w:tc>
        <w:tc>
          <w:tcPr>
            <w:tcW w:w="1077" w:type="dxa"/>
            <w:tcBorders>
              <w:top w:val="single" w:sz="4" w:space="0" w:color="auto"/>
              <w:left w:val="single" w:sz="4" w:space="0" w:color="auto"/>
              <w:bottom w:val="single" w:sz="4" w:space="0" w:color="auto"/>
              <w:right w:val="single" w:sz="4" w:space="0" w:color="auto"/>
            </w:tcBorders>
            <w:hideMark/>
          </w:tcPr>
          <w:p w14:paraId="173BE418" w14:textId="77777777" w:rsidR="00E12EE5" w:rsidRPr="006645DC" w:rsidRDefault="00E12EE5" w:rsidP="00E12EE5">
            <w:pPr>
              <w:pStyle w:val="Default"/>
              <w:jc w:val="center"/>
              <w:rPr>
                <w:rFonts w:asciiTheme="minorHAnsi" w:hAnsiTheme="minorHAnsi" w:cstheme="minorHAnsi"/>
                <w:b/>
                <w:color w:val="auto"/>
                <w:sz w:val="22"/>
                <w:szCs w:val="22"/>
                <w:lang w:val="en-GB"/>
              </w:rPr>
            </w:pPr>
            <w:r w:rsidRPr="006645DC">
              <w:rPr>
                <w:rFonts w:asciiTheme="minorHAnsi" w:hAnsiTheme="minorHAnsi" w:cstheme="minorHAnsi"/>
                <w:b/>
                <w:color w:val="auto"/>
                <w:sz w:val="22"/>
                <w:szCs w:val="22"/>
                <w:lang w:val="en-GB"/>
              </w:rPr>
              <w:t>2011</w:t>
            </w:r>
          </w:p>
        </w:tc>
      </w:tr>
      <w:tr w:rsidR="00E12EE5" w:rsidRPr="006645DC" w14:paraId="255A89D9" w14:textId="77777777" w:rsidTr="00E12EE5">
        <w:trPr>
          <w:jc w:val="center"/>
        </w:trPr>
        <w:tc>
          <w:tcPr>
            <w:tcW w:w="9175" w:type="dxa"/>
            <w:gridSpan w:val="6"/>
            <w:tcBorders>
              <w:top w:val="single" w:sz="4" w:space="0" w:color="auto"/>
              <w:left w:val="single" w:sz="4" w:space="0" w:color="auto"/>
              <w:bottom w:val="single" w:sz="4" w:space="0" w:color="auto"/>
              <w:right w:val="single" w:sz="4" w:space="0" w:color="auto"/>
            </w:tcBorders>
            <w:hideMark/>
          </w:tcPr>
          <w:p w14:paraId="6C76D1C6" w14:textId="77777777" w:rsidR="00E12EE5" w:rsidRPr="006645DC" w:rsidRDefault="00E12EE5" w:rsidP="00E12EE5">
            <w:pPr>
              <w:pStyle w:val="Default"/>
              <w:rPr>
                <w:rFonts w:asciiTheme="minorHAnsi" w:hAnsiTheme="minorHAnsi" w:cstheme="minorHAnsi"/>
                <w:b/>
                <w:color w:val="auto"/>
                <w:sz w:val="22"/>
                <w:szCs w:val="22"/>
                <w:lang w:val="en-GB"/>
              </w:rPr>
            </w:pPr>
            <w:r w:rsidRPr="006645DC">
              <w:rPr>
                <w:rFonts w:asciiTheme="minorHAnsi" w:hAnsiTheme="minorHAnsi" w:cstheme="minorHAnsi"/>
                <w:b/>
                <w:color w:val="auto"/>
                <w:sz w:val="22"/>
                <w:szCs w:val="22"/>
                <w:lang w:val="en-GB"/>
              </w:rPr>
              <w:t>Romania</w:t>
            </w:r>
            <w:r w:rsidRPr="006645DC">
              <w:rPr>
                <w:rFonts w:asciiTheme="minorHAnsi" w:hAnsiTheme="minorHAnsi" w:cstheme="minorHAnsi"/>
                <w:color w:val="auto"/>
                <w:sz w:val="22"/>
                <w:szCs w:val="22"/>
                <w:lang w:val="en-GB"/>
              </w:rPr>
              <w:t> </w:t>
            </w:r>
          </w:p>
        </w:tc>
      </w:tr>
      <w:tr w:rsidR="00E12EE5" w:rsidRPr="006645DC" w14:paraId="0D372F0A" w14:textId="77777777" w:rsidTr="00E12EE5">
        <w:trPr>
          <w:jc w:val="center"/>
        </w:trPr>
        <w:tc>
          <w:tcPr>
            <w:tcW w:w="0" w:type="auto"/>
            <w:tcBorders>
              <w:top w:val="single" w:sz="4" w:space="0" w:color="auto"/>
              <w:left w:val="single" w:sz="4" w:space="0" w:color="auto"/>
              <w:bottom w:val="single" w:sz="12" w:space="0" w:color="auto"/>
              <w:right w:val="single" w:sz="4" w:space="0" w:color="auto"/>
            </w:tcBorders>
            <w:hideMark/>
          </w:tcPr>
          <w:p w14:paraId="1D67197C"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Total GHG Emissions</w:t>
            </w:r>
          </w:p>
        </w:tc>
        <w:tc>
          <w:tcPr>
            <w:tcW w:w="1084" w:type="dxa"/>
            <w:tcBorders>
              <w:top w:val="single" w:sz="4" w:space="0" w:color="auto"/>
              <w:left w:val="single" w:sz="4" w:space="0" w:color="auto"/>
              <w:bottom w:val="single" w:sz="12" w:space="0" w:color="auto"/>
              <w:right w:val="single" w:sz="4" w:space="0" w:color="auto"/>
            </w:tcBorders>
            <w:vAlign w:val="center"/>
            <w:hideMark/>
          </w:tcPr>
          <w:p w14:paraId="174960BF"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142 704</w:t>
            </w:r>
          </w:p>
        </w:tc>
        <w:tc>
          <w:tcPr>
            <w:tcW w:w="999" w:type="dxa"/>
            <w:tcBorders>
              <w:top w:val="single" w:sz="4" w:space="0" w:color="auto"/>
              <w:left w:val="single" w:sz="4" w:space="0" w:color="auto"/>
              <w:bottom w:val="single" w:sz="12" w:space="0" w:color="auto"/>
              <w:right w:val="single" w:sz="4" w:space="0" w:color="auto"/>
            </w:tcBorders>
            <w:vAlign w:val="center"/>
            <w:hideMark/>
          </w:tcPr>
          <w:p w14:paraId="751149CA"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140 464</w:t>
            </w:r>
          </w:p>
        </w:tc>
        <w:tc>
          <w:tcPr>
            <w:tcW w:w="993" w:type="dxa"/>
            <w:tcBorders>
              <w:top w:val="single" w:sz="4" w:space="0" w:color="auto"/>
              <w:left w:val="single" w:sz="4" w:space="0" w:color="auto"/>
              <w:bottom w:val="single" w:sz="12" w:space="0" w:color="auto"/>
              <w:right w:val="single" w:sz="4" w:space="0" w:color="auto"/>
            </w:tcBorders>
            <w:vAlign w:val="center"/>
            <w:hideMark/>
          </w:tcPr>
          <w:p w14:paraId="3348B262"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120 294</w:t>
            </w:r>
          </w:p>
        </w:tc>
        <w:tc>
          <w:tcPr>
            <w:tcW w:w="960" w:type="dxa"/>
            <w:tcBorders>
              <w:top w:val="single" w:sz="4" w:space="0" w:color="auto"/>
              <w:left w:val="single" w:sz="4" w:space="0" w:color="auto"/>
              <w:bottom w:val="single" w:sz="12" w:space="0" w:color="auto"/>
              <w:right w:val="single" w:sz="4" w:space="0" w:color="auto"/>
            </w:tcBorders>
            <w:vAlign w:val="center"/>
            <w:hideMark/>
          </w:tcPr>
          <w:p w14:paraId="06F037F1"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116 621</w:t>
            </w:r>
          </w:p>
        </w:tc>
        <w:tc>
          <w:tcPr>
            <w:tcW w:w="1077" w:type="dxa"/>
            <w:tcBorders>
              <w:top w:val="single" w:sz="4" w:space="0" w:color="auto"/>
              <w:left w:val="single" w:sz="4" w:space="0" w:color="auto"/>
              <w:bottom w:val="single" w:sz="12" w:space="0" w:color="auto"/>
              <w:right w:val="single" w:sz="4" w:space="0" w:color="auto"/>
            </w:tcBorders>
            <w:vAlign w:val="center"/>
            <w:hideMark/>
          </w:tcPr>
          <w:p w14:paraId="489EBFF6"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123 346</w:t>
            </w:r>
          </w:p>
        </w:tc>
      </w:tr>
      <w:tr w:rsidR="00E12EE5" w:rsidRPr="006645DC" w14:paraId="0B117774" w14:textId="77777777" w:rsidTr="00E12EE5">
        <w:trPr>
          <w:jc w:val="center"/>
        </w:trPr>
        <w:tc>
          <w:tcPr>
            <w:tcW w:w="0" w:type="auto"/>
            <w:tcBorders>
              <w:top w:val="single" w:sz="12" w:space="0" w:color="auto"/>
              <w:left w:val="single" w:sz="4" w:space="0" w:color="auto"/>
              <w:bottom w:val="single" w:sz="4" w:space="0" w:color="auto"/>
              <w:right w:val="single" w:sz="4" w:space="0" w:color="auto"/>
            </w:tcBorders>
            <w:hideMark/>
          </w:tcPr>
          <w:p w14:paraId="191450FA"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Energy Industries</w:t>
            </w:r>
          </w:p>
        </w:tc>
        <w:tc>
          <w:tcPr>
            <w:tcW w:w="1084" w:type="dxa"/>
            <w:tcBorders>
              <w:top w:val="single" w:sz="12" w:space="0" w:color="auto"/>
              <w:left w:val="single" w:sz="4" w:space="0" w:color="auto"/>
              <w:bottom w:val="single" w:sz="4" w:space="0" w:color="auto"/>
              <w:right w:val="single" w:sz="4" w:space="0" w:color="auto"/>
            </w:tcBorders>
            <w:vAlign w:val="center"/>
            <w:hideMark/>
          </w:tcPr>
          <w:p w14:paraId="3B733F18"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43 465</w:t>
            </w:r>
          </w:p>
        </w:tc>
        <w:tc>
          <w:tcPr>
            <w:tcW w:w="999" w:type="dxa"/>
            <w:tcBorders>
              <w:top w:val="single" w:sz="12" w:space="0" w:color="auto"/>
              <w:left w:val="single" w:sz="4" w:space="0" w:color="auto"/>
              <w:bottom w:val="single" w:sz="4" w:space="0" w:color="auto"/>
              <w:right w:val="single" w:sz="4" w:space="0" w:color="auto"/>
            </w:tcBorders>
            <w:vAlign w:val="center"/>
            <w:hideMark/>
          </w:tcPr>
          <w:p w14:paraId="4F483F01"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42 309</w:t>
            </w:r>
          </w:p>
        </w:tc>
        <w:tc>
          <w:tcPr>
            <w:tcW w:w="993" w:type="dxa"/>
            <w:tcBorders>
              <w:top w:val="single" w:sz="12" w:space="0" w:color="auto"/>
              <w:left w:val="single" w:sz="4" w:space="0" w:color="auto"/>
              <w:bottom w:val="single" w:sz="4" w:space="0" w:color="auto"/>
              <w:right w:val="single" w:sz="4" w:space="0" w:color="auto"/>
            </w:tcBorders>
            <w:vAlign w:val="center"/>
            <w:hideMark/>
          </w:tcPr>
          <w:p w14:paraId="21A5E78D"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35 661</w:t>
            </w:r>
          </w:p>
        </w:tc>
        <w:tc>
          <w:tcPr>
            <w:tcW w:w="960" w:type="dxa"/>
            <w:tcBorders>
              <w:top w:val="single" w:sz="12" w:space="0" w:color="auto"/>
              <w:left w:val="single" w:sz="4" w:space="0" w:color="auto"/>
              <w:bottom w:val="single" w:sz="4" w:space="0" w:color="auto"/>
              <w:right w:val="single" w:sz="4" w:space="0" w:color="auto"/>
            </w:tcBorders>
            <w:vAlign w:val="center"/>
            <w:hideMark/>
          </w:tcPr>
          <w:p w14:paraId="74B0CC0F"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33 163</w:t>
            </w:r>
          </w:p>
        </w:tc>
        <w:tc>
          <w:tcPr>
            <w:tcW w:w="1077" w:type="dxa"/>
            <w:tcBorders>
              <w:top w:val="single" w:sz="12" w:space="0" w:color="auto"/>
              <w:left w:val="single" w:sz="4" w:space="0" w:color="auto"/>
              <w:bottom w:val="single" w:sz="4" w:space="0" w:color="auto"/>
              <w:right w:val="single" w:sz="4" w:space="0" w:color="auto"/>
            </w:tcBorders>
            <w:vAlign w:val="center"/>
            <w:hideMark/>
          </w:tcPr>
          <w:p w14:paraId="3D91525C"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36 622</w:t>
            </w:r>
          </w:p>
        </w:tc>
      </w:tr>
      <w:tr w:rsidR="00E12EE5" w:rsidRPr="006645DC" w14:paraId="5FE9AE71" w14:textId="77777777" w:rsidTr="00E12EE5">
        <w:trPr>
          <w:jc w:val="center"/>
        </w:trPr>
        <w:tc>
          <w:tcPr>
            <w:tcW w:w="0" w:type="auto"/>
            <w:tcBorders>
              <w:top w:val="single" w:sz="4" w:space="0" w:color="auto"/>
              <w:left w:val="single" w:sz="4" w:space="0" w:color="auto"/>
              <w:bottom w:val="single" w:sz="4" w:space="0" w:color="auto"/>
              <w:right w:val="single" w:sz="4" w:space="0" w:color="auto"/>
            </w:tcBorders>
            <w:hideMark/>
          </w:tcPr>
          <w:p w14:paraId="3820636D"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Manufacturing Industries and Construction</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D930E9C"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17 457</w:t>
            </w:r>
          </w:p>
        </w:tc>
        <w:tc>
          <w:tcPr>
            <w:tcW w:w="999" w:type="dxa"/>
            <w:tcBorders>
              <w:top w:val="single" w:sz="4" w:space="0" w:color="auto"/>
              <w:left w:val="single" w:sz="4" w:space="0" w:color="auto"/>
              <w:bottom w:val="single" w:sz="4" w:space="0" w:color="auto"/>
              <w:right w:val="single" w:sz="4" w:space="0" w:color="auto"/>
            </w:tcBorders>
            <w:vAlign w:val="center"/>
            <w:hideMark/>
          </w:tcPr>
          <w:p w14:paraId="1DA4517D"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17 943</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D6E195"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12 842</w:t>
            </w:r>
          </w:p>
        </w:tc>
        <w:tc>
          <w:tcPr>
            <w:tcW w:w="960" w:type="dxa"/>
            <w:tcBorders>
              <w:top w:val="single" w:sz="4" w:space="0" w:color="auto"/>
              <w:left w:val="single" w:sz="4" w:space="0" w:color="auto"/>
              <w:bottom w:val="single" w:sz="4" w:space="0" w:color="auto"/>
              <w:right w:val="single" w:sz="4" w:space="0" w:color="auto"/>
            </w:tcBorders>
            <w:vAlign w:val="center"/>
            <w:hideMark/>
          </w:tcPr>
          <w:p w14:paraId="2598DB4F"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13 208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42238CB"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15 761</w:t>
            </w:r>
          </w:p>
        </w:tc>
      </w:tr>
      <w:tr w:rsidR="00E12EE5" w:rsidRPr="006645DC" w14:paraId="19826069" w14:textId="77777777" w:rsidTr="00E12EE5">
        <w:trPr>
          <w:jc w:val="center"/>
        </w:trPr>
        <w:tc>
          <w:tcPr>
            <w:tcW w:w="0" w:type="auto"/>
            <w:tcBorders>
              <w:top w:val="single" w:sz="4" w:space="0" w:color="auto"/>
              <w:left w:val="single" w:sz="4" w:space="0" w:color="auto"/>
              <w:bottom w:val="single" w:sz="4" w:space="0" w:color="auto"/>
              <w:right w:val="single" w:sz="4" w:space="0" w:color="auto"/>
            </w:tcBorders>
            <w:hideMark/>
          </w:tcPr>
          <w:p w14:paraId="22D61811"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Transport</w:t>
            </w:r>
          </w:p>
        </w:tc>
        <w:tc>
          <w:tcPr>
            <w:tcW w:w="1084" w:type="dxa"/>
            <w:tcBorders>
              <w:top w:val="single" w:sz="4" w:space="0" w:color="auto"/>
              <w:left w:val="single" w:sz="4" w:space="0" w:color="auto"/>
              <w:bottom w:val="single" w:sz="4" w:space="0" w:color="auto"/>
              <w:right w:val="single" w:sz="4" w:space="0" w:color="auto"/>
            </w:tcBorders>
            <w:vAlign w:val="center"/>
            <w:hideMark/>
          </w:tcPr>
          <w:p w14:paraId="0A66170D"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13 616</w:t>
            </w:r>
          </w:p>
        </w:tc>
        <w:tc>
          <w:tcPr>
            <w:tcW w:w="999" w:type="dxa"/>
            <w:tcBorders>
              <w:top w:val="single" w:sz="4" w:space="0" w:color="auto"/>
              <w:left w:val="single" w:sz="4" w:space="0" w:color="auto"/>
              <w:bottom w:val="single" w:sz="4" w:space="0" w:color="auto"/>
              <w:right w:val="single" w:sz="4" w:space="0" w:color="auto"/>
            </w:tcBorders>
            <w:vAlign w:val="center"/>
            <w:hideMark/>
          </w:tcPr>
          <w:p w14:paraId="098EFD28"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15 253</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929A2F"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15 079</w:t>
            </w:r>
          </w:p>
        </w:tc>
        <w:tc>
          <w:tcPr>
            <w:tcW w:w="960" w:type="dxa"/>
            <w:tcBorders>
              <w:top w:val="single" w:sz="4" w:space="0" w:color="auto"/>
              <w:left w:val="single" w:sz="4" w:space="0" w:color="auto"/>
              <w:bottom w:val="single" w:sz="4" w:space="0" w:color="auto"/>
              <w:right w:val="single" w:sz="4" w:space="0" w:color="auto"/>
            </w:tcBorders>
            <w:vAlign w:val="center"/>
            <w:hideMark/>
          </w:tcPr>
          <w:p w14:paraId="0C31CED3"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14 300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DD82EA5"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14 578</w:t>
            </w:r>
          </w:p>
        </w:tc>
      </w:tr>
      <w:tr w:rsidR="00E12EE5" w:rsidRPr="006645DC" w14:paraId="19F7B1BF" w14:textId="77777777" w:rsidTr="00E12EE5">
        <w:trPr>
          <w:jc w:val="center"/>
        </w:trPr>
        <w:tc>
          <w:tcPr>
            <w:tcW w:w="0" w:type="auto"/>
            <w:tcBorders>
              <w:top w:val="single" w:sz="4" w:space="0" w:color="auto"/>
              <w:left w:val="single" w:sz="4" w:space="0" w:color="auto"/>
              <w:bottom w:val="single" w:sz="4" w:space="0" w:color="auto"/>
              <w:right w:val="single" w:sz="4" w:space="0" w:color="auto"/>
            </w:tcBorders>
            <w:hideMark/>
          </w:tcPr>
          <w:p w14:paraId="39B96859"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Industrial Processes</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E4EDC2"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20 603</w:t>
            </w:r>
          </w:p>
        </w:tc>
        <w:tc>
          <w:tcPr>
            <w:tcW w:w="999" w:type="dxa"/>
            <w:tcBorders>
              <w:top w:val="single" w:sz="4" w:space="0" w:color="auto"/>
              <w:left w:val="single" w:sz="4" w:space="0" w:color="auto"/>
              <w:bottom w:val="single" w:sz="4" w:space="0" w:color="auto"/>
              <w:right w:val="single" w:sz="4" w:space="0" w:color="auto"/>
            </w:tcBorders>
            <w:vAlign w:val="center"/>
            <w:hideMark/>
          </w:tcPr>
          <w:p w14:paraId="2181F3A2"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17 932</w:t>
            </w:r>
          </w:p>
        </w:tc>
        <w:tc>
          <w:tcPr>
            <w:tcW w:w="993" w:type="dxa"/>
            <w:tcBorders>
              <w:top w:val="single" w:sz="4" w:space="0" w:color="auto"/>
              <w:left w:val="single" w:sz="4" w:space="0" w:color="auto"/>
              <w:bottom w:val="single" w:sz="4" w:space="0" w:color="auto"/>
              <w:right w:val="single" w:sz="4" w:space="0" w:color="auto"/>
            </w:tcBorders>
            <w:vAlign w:val="center"/>
            <w:hideMark/>
          </w:tcPr>
          <w:p w14:paraId="116C649F"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11 237</w:t>
            </w:r>
          </w:p>
        </w:tc>
        <w:tc>
          <w:tcPr>
            <w:tcW w:w="960" w:type="dxa"/>
            <w:tcBorders>
              <w:top w:val="single" w:sz="4" w:space="0" w:color="auto"/>
              <w:left w:val="single" w:sz="4" w:space="0" w:color="auto"/>
              <w:bottom w:val="single" w:sz="4" w:space="0" w:color="auto"/>
              <w:right w:val="single" w:sz="4" w:space="0" w:color="auto"/>
            </w:tcBorders>
            <w:vAlign w:val="center"/>
            <w:hideMark/>
          </w:tcPr>
          <w:p w14:paraId="065CE847"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12 396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7AE55"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12 592</w:t>
            </w:r>
          </w:p>
        </w:tc>
      </w:tr>
      <w:tr w:rsidR="00E12EE5" w:rsidRPr="006645DC" w14:paraId="39659442" w14:textId="77777777" w:rsidTr="00E12EE5">
        <w:trPr>
          <w:jc w:val="center"/>
        </w:trPr>
        <w:tc>
          <w:tcPr>
            <w:tcW w:w="0" w:type="auto"/>
            <w:tcBorders>
              <w:top w:val="single" w:sz="4" w:space="0" w:color="auto"/>
              <w:left w:val="single" w:sz="4" w:space="0" w:color="auto"/>
              <w:bottom w:val="single" w:sz="4" w:space="0" w:color="auto"/>
              <w:right w:val="single" w:sz="4" w:space="0" w:color="auto"/>
            </w:tcBorders>
            <w:hideMark/>
          </w:tcPr>
          <w:p w14:paraId="4E6AAF13"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Agriculture</w:t>
            </w:r>
          </w:p>
        </w:tc>
        <w:tc>
          <w:tcPr>
            <w:tcW w:w="1084" w:type="dxa"/>
            <w:tcBorders>
              <w:top w:val="single" w:sz="4" w:space="0" w:color="auto"/>
              <w:left w:val="single" w:sz="4" w:space="0" w:color="auto"/>
              <w:bottom w:val="single" w:sz="4" w:space="0" w:color="auto"/>
              <w:right w:val="single" w:sz="4" w:space="0" w:color="auto"/>
            </w:tcBorders>
            <w:vAlign w:val="center"/>
            <w:hideMark/>
          </w:tcPr>
          <w:p w14:paraId="6DCB38B4"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20 237</w:t>
            </w:r>
          </w:p>
        </w:tc>
        <w:tc>
          <w:tcPr>
            <w:tcW w:w="999" w:type="dxa"/>
            <w:tcBorders>
              <w:top w:val="single" w:sz="4" w:space="0" w:color="auto"/>
              <w:left w:val="single" w:sz="4" w:space="0" w:color="auto"/>
              <w:bottom w:val="single" w:sz="4" w:space="0" w:color="auto"/>
              <w:right w:val="single" w:sz="4" w:space="0" w:color="auto"/>
            </w:tcBorders>
            <w:vAlign w:val="center"/>
            <w:hideMark/>
          </w:tcPr>
          <w:p w14:paraId="284B3233"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20 754</w:t>
            </w:r>
          </w:p>
        </w:tc>
        <w:tc>
          <w:tcPr>
            <w:tcW w:w="993" w:type="dxa"/>
            <w:tcBorders>
              <w:top w:val="single" w:sz="4" w:space="0" w:color="auto"/>
              <w:left w:val="single" w:sz="4" w:space="0" w:color="auto"/>
              <w:bottom w:val="single" w:sz="4" w:space="0" w:color="auto"/>
              <w:right w:val="single" w:sz="4" w:space="0" w:color="auto"/>
            </w:tcBorders>
            <w:vAlign w:val="center"/>
            <w:hideMark/>
          </w:tcPr>
          <w:p w14:paraId="67D19C13"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20 354</w:t>
            </w:r>
          </w:p>
        </w:tc>
        <w:tc>
          <w:tcPr>
            <w:tcW w:w="960" w:type="dxa"/>
            <w:tcBorders>
              <w:top w:val="single" w:sz="4" w:space="0" w:color="auto"/>
              <w:left w:val="single" w:sz="4" w:space="0" w:color="auto"/>
              <w:bottom w:val="single" w:sz="4" w:space="0" w:color="auto"/>
              <w:right w:val="single" w:sz="4" w:space="0" w:color="auto"/>
            </w:tcBorders>
            <w:vAlign w:val="center"/>
            <w:hideMark/>
          </w:tcPr>
          <w:p w14:paraId="6F5D8507"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18 761</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C54E9B"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18 941</w:t>
            </w:r>
          </w:p>
        </w:tc>
      </w:tr>
      <w:tr w:rsidR="00E12EE5" w:rsidRPr="006645DC" w14:paraId="4781FB76" w14:textId="77777777" w:rsidTr="00E12EE5">
        <w:trPr>
          <w:jc w:val="center"/>
        </w:trPr>
        <w:tc>
          <w:tcPr>
            <w:tcW w:w="0" w:type="auto"/>
            <w:tcBorders>
              <w:top w:val="single" w:sz="4" w:space="0" w:color="auto"/>
              <w:left w:val="single" w:sz="4" w:space="0" w:color="auto"/>
              <w:bottom w:val="single" w:sz="4" w:space="0" w:color="auto"/>
              <w:right w:val="single" w:sz="4" w:space="0" w:color="auto"/>
            </w:tcBorders>
            <w:hideMark/>
          </w:tcPr>
          <w:p w14:paraId="08F57CE0"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Waste</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CC44922"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5 602</w:t>
            </w:r>
          </w:p>
        </w:tc>
        <w:tc>
          <w:tcPr>
            <w:tcW w:w="999" w:type="dxa"/>
            <w:tcBorders>
              <w:top w:val="single" w:sz="4" w:space="0" w:color="auto"/>
              <w:left w:val="single" w:sz="4" w:space="0" w:color="auto"/>
              <w:bottom w:val="single" w:sz="4" w:space="0" w:color="auto"/>
              <w:right w:val="single" w:sz="4" w:space="0" w:color="auto"/>
            </w:tcBorders>
            <w:vAlign w:val="center"/>
            <w:hideMark/>
          </w:tcPr>
          <w:p w14:paraId="21367A31"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5 678</w:t>
            </w:r>
          </w:p>
        </w:tc>
        <w:tc>
          <w:tcPr>
            <w:tcW w:w="993" w:type="dxa"/>
            <w:tcBorders>
              <w:top w:val="single" w:sz="4" w:space="0" w:color="auto"/>
              <w:left w:val="single" w:sz="4" w:space="0" w:color="auto"/>
              <w:bottom w:val="single" w:sz="4" w:space="0" w:color="auto"/>
              <w:right w:val="single" w:sz="4" w:space="0" w:color="auto"/>
            </w:tcBorders>
            <w:vAlign w:val="center"/>
            <w:hideMark/>
          </w:tcPr>
          <w:p w14:paraId="41FA5F4D"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5 703</w:t>
            </w:r>
          </w:p>
        </w:tc>
        <w:tc>
          <w:tcPr>
            <w:tcW w:w="960" w:type="dxa"/>
            <w:tcBorders>
              <w:top w:val="single" w:sz="4" w:space="0" w:color="auto"/>
              <w:left w:val="single" w:sz="4" w:space="0" w:color="auto"/>
              <w:bottom w:val="single" w:sz="4" w:space="0" w:color="auto"/>
              <w:right w:val="single" w:sz="4" w:space="0" w:color="auto"/>
            </w:tcBorders>
            <w:vAlign w:val="center"/>
            <w:hideMark/>
          </w:tcPr>
          <w:p w14:paraId="3D26DAF9"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5 716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AB5FAC"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5 366</w:t>
            </w:r>
          </w:p>
        </w:tc>
      </w:tr>
      <w:tr w:rsidR="00E12EE5" w:rsidRPr="006645DC" w14:paraId="5EAF8235" w14:textId="77777777" w:rsidTr="00E12EE5">
        <w:trPr>
          <w:jc w:val="center"/>
        </w:trPr>
        <w:tc>
          <w:tcPr>
            <w:tcW w:w="9175" w:type="dxa"/>
            <w:gridSpan w:val="6"/>
            <w:tcBorders>
              <w:top w:val="single" w:sz="4" w:space="0" w:color="auto"/>
              <w:left w:val="single" w:sz="4" w:space="0" w:color="auto"/>
              <w:bottom w:val="single" w:sz="4" w:space="0" w:color="auto"/>
              <w:right w:val="single" w:sz="4" w:space="0" w:color="auto"/>
            </w:tcBorders>
            <w:hideMark/>
          </w:tcPr>
          <w:p w14:paraId="6098BDA0"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b/>
                <w:color w:val="auto"/>
                <w:sz w:val="22"/>
                <w:szCs w:val="22"/>
                <w:lang w:val="en-GB"/>
              </w:rPr>
              <w:t>Bulgaria</w:t>
            </w:r>
          </w:p>
        </w:tc>
      </w:tr>
      <w:tr w:rsidR="00E12EE5" w:rsidRPr="006645DC" w14:paraId="5D478FB0" w14:textId="77777777" w:rsidTr="00E12EE5">
        <w:trPr>
          <w:jc w:val="center"/>
        </w:trPr>
        <w:tc>
          <w:tcPr>
            <w:tcW w:w="0" w:type="auto"/>
            <w:tcBorders>
              <w:top w:val="single" w:sz="4" w:space="0" w:color="auto"/>
              <w:left w:val="single" w:sz="4" w:space="0" w:color="auto"/>
              <w:bottom w:val="single" w:sz="12" w:space="0" w:color="auto"/>
              <w:right w:val="single" w:sz="4" w:space="0" w:color="auto"/>
            </w:tcBorders>
            <w:hideMark/>
          </w:tcPr>
          <w:p w14:paraId="0E23185A"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Total GHG Emissions</w:t>
            </w:r>
          </w:p>
        </w:tc>
        <w:tc>
          <w:tcPr>
            <w:tcW w:w="1084" w:type="dxa"/>
            <w:tcBorders>
              <w:top w:val="single" w:sz="4" w:space="0" w:color="auto"/>
              <w:left w:val="single" w:sz="4" w:space="0" w:color="auto"/>
              <w:bottom w:val="single" w:sz="12" w:space="0" w:color="auto"/>
              <w:right w:val="single" w:sz="4" w:space="0" w:color="auto"/>
            </w:tcBorders>
            <w:vAlign w:val="center"/>
            <w:hideMark/>
          </w:tcPr>
          <w:p w14:paraId="7369FA27"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68 488</w:t>
            </w:r>
          </w:p>
        </w:tc>
        <w:tc>
          <w:tcPr>
            <w:tcW w:w="999" w:type="dxa"/>
            <w:tcBorders>
              <w:top w:val="single" w:sz="4" w:space="0" w:color="auto"/>
              <w:left w:val="single" w:sz="4" w:space="0" w:color="auto"/>
              <w:bottom w:val="single" w:sz="12" w:space="0" w:color="auto"/>
              <w:right w:val="single" w:sz="4" w:space="0" w:color="auto"/>
            </w:tcBorders>
            <w:vAlign w:val="center"/>
            <w:hideMark/>
          </w:tcPr>
          <w:p w14:paraId="43AE929E"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66 943</w:t>
            </w:r>
          </w:p>
        </w:tc>
        <w:tc>
          <w:tcPr>
            <w:tcW w:w="993" w:type="dxa"/>
            <w:tcBorders>
              <w:top w:val="single" w:sz="4" w:space="0" w:color="auto"/>
              <w:left w:val="single" w:sz="4" w:space="0" w:color="auto"/>
              <w:bottom w:val="single" w:sz="12" w:space="0" w:color="auto"/>
              <w:right w:val="single" w:sz="4" w:space="0" w:color="auto"/>
            </w:tcBorders>
            <w:vAlign w:val="center"/>
            <w:hideMark/>
          </w:tcPr>
          <w:p w14:paraId="1B3B9955"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57 805</w:t>
            </w:r>
          </w:p>
        </w:tc>
        <w:tc>
          <w:tcPr>
            <w:tcW w:w="960" w:type="dxa"/>
            <w:tcBorders>
              <w:top w:val="single" w:sz="4" w:space="0" w:color="auto"/>
              <w:left w:val="single" w:sz="4" w:space="0" w:color="auto"/>
              <w:bottom w:val="single" w:sz="12" w:space="0" w:color="auto"/>
              <w:right w:val="single" w:sz="4" w:space="0" w:color="auto"/>
            </w:tcBorders>
            <w:vAlign w:val="center"/>
            <w:hideMark/>
          </w:tcPr>
          <w:p w14:paraId="587614DD"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60 352</w:t>
            </w:r>
          </w:p>
        </w:tc>
        <w:tc>
          <w:tcPr>
            <w:tcW w:w="1077" w:type="dxa"/>
            <w:tcBorders>
              <w:top w:val="single" w:sz="4" w:space="0" w:color="auto"/>
              <w:left w:val="single" w:sz="4" w:space="0" w:color="auto"/>
              <w:bottom w:val="single" w:sz="12" w:space="0" w:color="auto"/>
              <w:right w:val="single" w:sz="4" w:space="0" w:color="auto"/>
            </w:tcBorders>
            <w:vAlign w:val="center"/>
            <w:hideMark/>
          </w:tcPr>
          <w:p w14:paraId="450B4AF6"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66 133</w:t>
            </w:r>
          </w:p>
        </w:tc>
      </w:tr>
      <w:tr w:rsidR="00E12EE5" w:rsidRPr="006645DC" w14:paraId="73D050AB" w14:textId="77777777" w:rsidTr="00E12EE5">
        <w:trPr>
          <w:jc w:val="center"/>
        </w:trPr>
        <w:tc>
          <w:tcPr>
            <w:tcW w:w="0" w:type="auto"/>
            <w:tcBorders>
              <w:top w:val="single" w:sz="12" w:space="0" w:color="auto"/>
              <w:left w:val="single" w:sz="4" w:space="0" w:color="auto"/>
              <w:bottom w:val="single" w:sz="4" w:space="0" w:color="auto"/>
              <w:right w:val="single" w:sz="4" w:space="0" w:color="auto"/>
            </w:tcBorders>
            <w:hideMark/>
          </w:tcPr>
          <w:p w14:paraId="1D60485A"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Energy Industries</w:t>
            </w:r>
          </w:p>
        </w:tc>
        <w:tc>
          <w:tcPr>
            <w:tcW w:w="1084" w:type="dxa"/>
            <w:tcBorders>
              <w:top w:val="single" w:sz="12" w:space="0" w:color="auto"/>
              <w:left w:val="single" w:sz="4" w:space="0" w:color="auto"/>
              <w:bottom w:val="single" w:sz="4" w:space="0" w:color="auto"/>
              <w:right w:val="single" w:sz="4" w:space="0" w:color="auto"/>
            </w:tcBorders>
            <w:vAlign w:val="center"/>
            <w:hideMark/>
          </w:tcPr>
          <w:p w14:paraId="11C47060"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30 679</w:t>
            </w:r>
          </w:p>
        </w:tc>
        <w:tc>
          <w:tcPr>
            <w:tcW w:w="999" w:type="dxa"/>
            <w:tcBorders>
              <w:top w:val="single" w:sz="12" w:space="0" w:color="auto"/>
              <w:left w:val="single" w:sz="4" w:space="0" w:color="auto"/>
              <w:bottom w:val="single" w:sz="4" w:space="0" w:color="auto"/>
              <w:right w:val="single" w:sz="4" w:space="0" w:color="auto"/>
            </w:tcBorders>
            <w:vAlign w:val="center"/>
            <w:hideMark/>
          </w:tcPr>
          <w:p w14:paraId="3817D7E3"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32 203</w:t>
            </w:r>
          </w:p>
        </w:tc>
        <w:tc>
          <w:tcPr>
            <w:tcW w:w="993" w:type="dxa"/>
            <w:tcBorders>
              <w:top w:val="single" w:sz="12" w:space="0" w:color="auto"/>
              <w:left w:val="single" w:sz="4" w:space="0" w:color="auto"/>
              <w:bottom w:val="single" w:sz="4" w:space="0" w:color="auto"/>
              <w:right w:val="single" w:sz="4" w:space="0" w:color="auto"/>
            </w:tcBorders>
            <w:vAlign w:val="center"/>
            <w:hideMark/>
          </w:tcPr>
          <w:p w14:paraId="05C1DE1C"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29 624</w:t>
            </w:r>
          </w:p>
        </w:tc>
        <w:tc>
          <w:tcPr>
            <w:tcW w:w="960" w:type="dxa"/>
            <w:tcBorders>
              <w:top w:val="single" w:sz="12" w:space="0" w:color="auto"/>
              <w:left w:val="single" w:sz="4" w:space="0" w:color="auto"/>
              <w:bottom w:val="single" w:sz="4" w:space="0" w:color="auto"/>
              <w:right w:val="single" w:sz="4" w:space="0" w:color="auto"/>
            </w:tcBorders>
            <w:vAlign w:val="center"/>
            <w:hideMark/>
          </w:tcPr>
          <w:p w14:paraId="797285F3"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31 547</w:t>
            </w:r>
          </w:p>
        </w:tc>
        <w:tc>
          <w:tcPr>
            <w:tcW w:w="1077" w:type="dxa"/>
            <w:tcBorders>
              <w:top w:val="single" w:sz="12" w:space="0" w:color="auto"/>
              <w:left w:val="single" w:sz="4" w:space="0" w:color="auto"/>
              <w:bottom w:val="single" w:sz="4" w:space="0" w:color="auto"/>
              <w:right w:val="single" w:sz="4" w:space="0" w:color="auto"/>
            </w:tcBorders>
            <w:vAlign w:val="center"/>
            <w:hideMark/>
          </w:tcPr>
          <w:p w14:paraId="3989BACE"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36 360</w:t>
            </w:r>
          </w:p>
        </w:tc>
      </w:tr>
      <w:tr w:rsidR="00E12EE5" w:rsidRPr="006645DC" w14:paraId="32444042" w14:textId="77777777" w:rsidTr="00E12EE5">
        <w:trPr>
          <w:jc w:val="center"/>
        </w:trPr>
        <w:tc>
          <w:tcPr>
            <w:tcW w:w="0" w:type="auto"/>
            <w:tcBorders>
              <w:top w:val="single" w:sz="4" w:space="0" w:color="auto"/>
              <w:left w:val="single" w:sz="4" w:space="0" w:color="auto"/>
              <w:bottom w:val="single" w:sz="4" w:space="0" w:color="auto"/>
              <w:right w:val="single" w:sz="4" w:space="0" w:color="auto"/>
            </w:tcBorders>
            <w:hideMark/>
          </w:tcPr>
          <w:p w14:paraId="19B3962D"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Manufacturing Industries and Construction</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994FF1D"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8 812</w:t>
            </w:r>
          </w:p>
        </w:tc>
        <w:tc>
          <w:tcPr>
            <w:tcW w:w="999" w:type="dxa"/>
            <w:tcBorders>
              <w:top w:val="single" w:sz="4" w:space="0" w:color="auto"/>
              <w:left w:val="single" w:sz="4" w:space="0" w:color="auto"/>
              <w:bottom w:val="single" w:sz="4" w:space="0" w:color="auto"/>
              <w:right w:val="single" w:sz="4" w:space="0" w:color="auto"/>
            </w:tcBorders>
            <w:vAlign w:val="center"/>
            <w:hideMark/>
          </w:tcPr>
          <w:p w14:paraId="040BA8F2"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6 366</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5D023D"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3 658</w:t>
            </w:r>
          </w:p>
        </w:tc>
        <w:tc>
          <w:tcPr>
            <w:tcW w:w="960" w:type="dxa"/>
            <w:tcBorders>
              <w:top w:val="single" w:sz="4" w:space="0" w:color="auto"/>
              <w:left w:val="single" w:sz="4" w:space="0" w:color="auto"/>
              <w:bottom w:val="single" w:sz="4" w:space="0" w:color="auto"/>
              <w:right w:val="single" w:sz="4" w:space="0" w:color="auto"/>
            </w:tcBorders>
            <w:vAlign w:val="center"/>
            <w:hideMark/>
          </w:tcPr>
          <w:p w14:paraId="612BAC15"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3 829</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3759E3C"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3 669</w:t>
            </w:r>
          </w:p>
        </w:tc>
      </w:tr>
      <w:tr w:rsidR="00E12EE5" w:rsidRPr="006645DC" w14:paraId="3B7F7D4A" w14:textId="77777777" w:rsidTr="00E12EE5">
        <w:trPr>
          <w:jc w:val="center"/>
        </w:trPr>
        <w:tc>
          <w:tcPr>
            <w:tcW w:w="0" w:type="auto"/>
            <w:tcBorders>
              <w:top w:val="single" w:sz="4" w:space="0" w:color="auto"/>
              <w:left w:val="single" w:sz="4" w:space="0" w:color="auto"/>
              <w:bottom w:val="single" w:sz="4" w:space="0" w:color="auto"/>
              <w:right w:val="single" w:sz="4" w:space="0" w:color="auto"/>
            </w:tcBorders>
            <w:hideMark/>
          </w:tcPr>
          <w:p w14:paraId="7F62035B"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Transport</w:t>
            </w:r>
          </w:p>
        </w:tc>
        <w:tc>
          <w:tcPr>
            <w:tcW w:w="1084" w:type="dxa"/>
            <w:tcBorders>
              <w:top w:val="single" w:sz="4" w:space="0" w:color="auto"/>
              <w:left w:val="single" w:sz="4" w:space="0" w:color="auto"/>
              <w:bottom w:val="single" w:sz="4" w:space="0" w:color="auto"/>
              <w:right w:val="single" w:sz="4" w:space="0" w:color="auto"/>
            </w:tcBorders>
            <w:vAlign w:val="center"/>
            <w:hideMark/>
          </w:tcPr>
          <w:p w14:paraId="6E27C306"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8 140</w:t>
            </w:r>
          </w:p>
        </w:tc>
        <w:tc>
          <w:tcPr>
            <w:tcW w:w="999" w:type="dxa"/>
            <w:tcBorders>
              <w:top w:val="single" w:sz="4" w:space="0" w:color="auto"/>
              <w:left w:val="single" w:sz="4" w:space="0" w:color="auto"/>
              <w:bottom w:val="single" w:sz="4" w:space="0" w:color="auto"/>
              <w:right w:val="single" w:sz="4" w:space="0" w:color="auto"/>
            </w:tcBorders>
            <w:vAlign w:val="center"/>
            <w:hideMark/>
          </w:tcPr>
          <w:p w14:paraId="0671BEE2"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8 525</w:t>
            </w:r>
          </w:p>
        </w:tc>
        <w:tc>
          <w:tcPr>
            <w:tcW w:w="993" w:type="dxa"/>
            <w:tcBorders>
              <w:top w:val="single" w:sz="4" w:space="0" w:color="auto"/>
              <w:left w:val="single" w:sz="4" w:space="0" w:color="auto"/>
              <w:bottom w:val="single" w:sz="4" w:space="0" w:color="auto"/>
              <w:right w:val="single" w:sz="4" w:space="0" w:color="auto"/>
            </w:tcBorders>
            <w:vAlign w:val="center"/>
            <w:hideMark/>
          </w:tcPr>
          <w:p w14:paraId="54B4A7C3"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8 183</w:t>
            </w:r>
          </w:p>
        </w:tc>
        <w:tc>
          <w:tcPr>
            <w:tcW w:w="960" w:type="dxa"/>
            <w:tcBorders>
              <w:top w:val="single" w:sz="4" w:space="0" w:color="auto"/>
              <w:left w:val="single" w:sz="4" w:space="0" w:color="auto"/>
              <w:bottom w:val="single" w:sz="4" w:space="0" w:color="auto"/>
              <w:right w:val="single" w:sz="4" w:space="0" w:color="auto"/>
            </w:tcBorders>
            <w:vAlign w:val="center"/>
            <w:hideMark/>
          </w:tcPr>
          <w:p w14:paraId="3194BE81"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7 954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25D2C76"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8 129</w:t>
            </w:r>
          </w:p>
        </w:tc>
      </w:tr>
      <w:tr w:rsidR="00E12EE5" w:rsidRPr="006645DC" w14:paraId="65CA0BDD" w14:textId="77777777" w:rsidTr="00E12EE5">
        <w:trPr>
          <w:jc w:val="center"/>
        </w:trPr>
        <w:tc>
          <w:tcPr>
            <w:tcW w:w="0" w:type="auto"/>
            <w:tcBorders>
              <w:top w:val="single" w:sz="4" w:space="0" w:color="auto"/>
              <w:left w:val="single" w:sz="4" w:space="0" w:color="auto"/>
              <w:bottom w:val="single" w:sz="4" w:space="0" w:color="auto"/>
              <w:right w:val="single" w:sz="4" w:space="0" w:color="auto"/>
            </w:tcBorders>
            <w:hideMark/>
          </w:tcPr>
          <w:p w14:paraId="24F6523B"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Industrial Processes</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BD6CD0"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6 850</w:t>
            </w:r>
          </w:p>
        </w:tc>
        <w:tc>
          <w:tcPr>
            <w:tcW w:w="999" w:type="dxa"/>
            <w:tcBorders>
              <w:top w:val="single" w:sz="4" w:space="0" w:color="auto"/>
              <w:left w:val="single" w:sz="4" w:space="0" w:color="auto"/>
              <w:bottom w:val="single" w:sz="4" w:space="0" w:color="auto"/>
              <w:right w:val="single" w:sz="4" w:space="0" w:color="auto"/>
            </w:tcBorders>
            <w:vAlign w:val="center"/>
            <w:hideMark/>
          </w:tcPr>
          <w:p w14:paraId="36043710"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5 972</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C12FEF"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3 210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058DCD5"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3 563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1CBEA2"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3 978</w:t>
            </w:r>
          </w:p>
        </w:tc>
      </w:tr>
      <w:tr w:rsidR="00E12EE5" w:rsidRPr="006645DC" w14:paraId="4F0A2674" w14:textId="77777777" w:rsidTr="00E12EE5">
        <w:trPr>
          <w:jc w:val="center"/>
        </w:trPr>
        <w:tc>
          <w:tcPr>
            <w:tcW w:w="0" w:type="auto"/>
            <w:tcBorders>
              <w:top w:val="single" w:sz="4" w:space="0" w:color="auto"/>
              <w:left w:val="single" w:sz="4" w:space="0" w:color="auto"/>
              <w:bottom w:val="single" w:sz="4" w:space="0" w:color="auto"/>
              <w:right w:val="single" w:sz="4" w:space="0" w:color="auto"/>
            </w:tcBorders>
            <w:hideMark/>
          </w:tcPr>
          <w:p w14:paraId="13361446"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Agriculture</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CB485FE"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6 015</w:t>
            </w:r>
          </w:p>
        </w:tc>
        <w:tc>
          <w:tcPr>
            <w:tcW w:w="999" w:type="dxa"/>
            <w:tcBorders>
              <w:top w:val="single" w:sz="4" w:space="0" w:color="auto"/>
              <w:left w:val="single" w:sz="4" w:space="0" w:color="auto"/>
              <w:bottom w:val="single" w:sz="4" w:space="0" w:color="auto"/>
              <w:right w:val="single" w:sz="4" w:space="0" w:color="auto"/>
            </w:tcBorders>
            <w:vAlign w:val="center"/>
            <w:hideMark/>
          </w:tcPr>
          <w:p w14:paraId="54851C77"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6 187</w:t>
            </w:r>
          </w:p>
        </w:tc>
        <w:tc>
          <w:tcPr>
            <w:tcW w:w="993" w:type="dxa"/>
            <w:tcBorders>
              <w:top w:val="single" w:sz="4" w:space="0" w:color="auto"/>
              <w:left w:val="single" w:sz="4" w:space="0" w:color="auto"/>
              <w:bottom w:val="single" w:sz="4" w:space="0" w:color="auto"/>
              <w:right w:val="single" w:sz="4" w:space="0" w:color="auto"/>
            </w:tcBorders>
            <w:vAlign w:val="center"/>
            <w:hideMark/>
          </w:tcPr>
          <w:p w14:paraId="11A1EE1B"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5 986</w:t>
            </w:r>
          </w:p>
        </w:tc>
        <w:tc>
          <w:tcPr>
            <w:tcW w:w="960" w:type="dxa"/>
            <w:tcBorders>
              <w:top w:val="single" w:sz="4" w:space="0" w:color="auto"/>
              <w:left w:val="single" w:sz="4" w:space="0" w:color="auto"/>
              <w:bottom w:val="single" w:sz="4" w:space="0" w:color="auto"/>
              <w:right w:val="single" w:sz="4" w:space="0" w:color="auto"/>
            </w:tcBorders>
            <w:vAlign w:val="center"/>
            <w:hideMark/>
          </w:tcPr>
          <w:p w14:paraId="0C38325E"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6 186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2F0E83C"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6 149</w:t>
            </w:r>
          </w:p>
        </w:tc>
      </w:tr>
      <w:tr w:rsidR="00E12EE5" w:rsidRPr="006645DC" w14:paraId="109A8AC8" w14:textId="77777777" w:rsidTr="00E12EE5">
        <w:trPr>
          <w:jc w:val="center"/>
        </w:trPr>
        <w:tc>
          <w:tcPr>
            <w:tcW w:w="0" w:type="auto"/>
            <w:tcBorders>
              <w:top w:val="single" w:sz="4" w:space="0" w:color="auto"/>
              <w:left w:val="single" w:sz="4" w:space="0" w:color="auto"/>
              <w:bottom w:val="single" w:sz="4" w:space="0" w:color="auto"/>
              <w:right w:val="single" w:sz="4" w:space="0" w:color="auto"/>
            </w:tcBorders>
            <w:hideMark/>
          </w:tcPr>
          <w:p w14:paraId="5372161E" w14:textId="77777777" w:rsidR="00E12EE5" w:rsidRPr="006645DC" w:rsidRDefault="00E12EE5" w:rsidP="00E12EE5">
            <w:pPr>
              <w:pStyle w:val="Defaul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Waste</w:t>
            </w:r>
          </w:p>
        </w:tc>
        <w:tc>
          <w:tcPr>
            <w:tcW w:w="1084" w:type="dxa"/>
            <w:tcBorders>
              <w:top w:val="single" w:sz="4" w:space="0" w:color="auto"/>
              <w:left w:val="single" w:sz="4" w:space="0" w:color="auto"/>
              <w:bottom w:val="single" w:sz="4" w:space="0" w:color="auto"/>
              <w:right w:val="single" w:sz="4" w:space="0" w:color="auto"/>
            </w:tcBorders>
            <w:vAlign w:val="center"/>
            <w:hideMark/>
          </w:tcPr>
          <w:p w14:paraId="5AC75EE7"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4 117</w:t>
            </w:r>
          </w:p>
        </w:tc>
        <w:tc>
          <w:tcPr>
            <w:tcW w:w="999" w:type="dxa"/>
            <w:tcBorders>
              <w:top w:val="single" w:sz="4" w:space="0" w:color="auto"/>
              <w:left w:val="single" w:sz="4" w:space="0" w:color="auto"/>
              <w:bottom w:val="single" w:sz="4" w:space="0" w:color="auto"/>
              <w:right w:val="single" w:sz="4" w:space="0" w:color="auto"/>
            </w:tcBorders>
            <w:vAlign w:val="center"/>
            <w:hideMark/>
          </w:tcPr>
          <w:p w14:paraId="2D90B43D"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4 055</w:t>
            </w:r>
          </w:p>
        </w:tc>
        <w:tc>
          <w:tcPr>
            <w:tcW w:w="993" w:type="dxa"/>
            <w:tcBorders>
              <w:top w:val="single" w:sz="4" w:space="0" w:color="auto"/>
              <w:left w:val="single" w:sz="4" w:space="0" w:color="auto"/>
              <w:bottom w:val="single" w:sz="4" w:space="0" w:color="auto"/>
              <w:right w:val="single" w:sz="4" w:space="0" w:color="auto"/>
            </w:tcBorders>
            <w:vAlign w:val="center"/>
            <w:hideMark/>
          </w:tcPr>
          <w:p w14:paraId="235F465A"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3 968</w:t>
            </w:r>
          </w:p>
        </w:tc>
        <w:tc>
          <w:tcPr>
            <w:tcW w:w="960" w:type="dxa"/>
            <w:tcBorders>
              <w:top w:val="single" w:sz="4" w:space="0" w:color="auto"/>
              <w:left w:val="single" w:sz="4" w:space="0" w:color="auto"/>
              <w:bottom w:val="single" w:sz="4" w:space="0" w:color="auto"/>
              <w:right w:val="single" w:sz="4" w:space="0" w:color="auto"/>
            </w:tcBorders>
            <w:vAlign w:val="center"/>
            <w:hideMark/>
          </w:tcPr>
          <w:p w14:paraId="191ABB65"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3 816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193DD38" w14:textId="77777777" w:rsidR="00E12EE5" w:rsidRPr="006645DC" w:rsidRDefault="00E12EE5" w:rsidP="00E12EE5">
            <w:pPr>
              <w:pStyle w:val="Default"/>
              <w:jc w:val="right"/>
              <w:rPr>
                <w:rFonts w:asciiTheme="minorHAnsi" w:hAnsiTheme="minorHAnsi" w:cstheme="minorHAnsi"/>
                <w:color w:val="auto"/>
                <w:sz w:val="22"/>
                <w:szCs w:val="22"/>
                <w:lang w:val="en-GB"/>
              </w:rPr>
            </w:pPr>
            <w:r w:rsidRPr="006645DC">
              <w:rPr>
                <w:rFonts w:asciiTheme="minorHAnsi" w:hAnsiTheme="minorHAnsi" w:cstheme="minorHAnsi"/>
                <w:color w:val="auto"/>
                <w:sz w:val="22"/>
                <w:szCs w:val="22"/>
                <w:lang w:val="en-GB"/>
              </w:rPr>
              <w:t>3 762</w:t>
            </w:r>
          </w:p>
        </w:tc>
      </w:tr>
    </w:tbl>
    <w:p w14:paraId="13CAE18B" w14:textId="77777777" w:rsidR="00E12EE5" w:rsidRPr="006645DC" w:rsidRDefault="00E12EE5" w:rsidP="00E12EE5">
      <w:pPr>
        <w:pStyle w:val="Caption"/>
        <w:rPr>
          <w:rFonts w:asciiTheme="minorHAnsi" w:hAnsiTheme="minorHAnsi"/>
          <w:lang w:val="en-GB"/>
        </w:rPr>
      </w:pPr>
      <w:bookmarkStart w:id="1421" w:name="_Toc391150133"/>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36</w:t>
      </w:r>
      <w:r w:rsidR="005979EB" w:rsidRPr="006645DC">
        <w:rPr>
          <w:lang w:val="en-GB"/>
        </w:rPr>
        <w:fldChar w:fldCharType="end"/>
      </w:r>
      <w:r w:rsidRPr="006645DC">
        <w:rPr>
          <w:lang w:val="en-GB"/>
        </w:rPr>
        <w:t xml:space="preserve"> - GHG emissions by sector (1 000 tonnes of CO</w:t>
      </w:r>
      <w:r w:rsidRPr="006645DC">
        <w:rPr>
          <w:vertAlign w:val="subscript"/>
          <w:lang w:val="en-GB"/>
        </w:rPr>
        <w:t>2</w:t>
      </w:r>
      <w:r w:rsidRPr="006645DC">
        <w:rPr>
          <w:lang w:val="en-GB"/>
        </w:rPr>
        <w:t xml:space="preserve"> equivalent)</w:t>
      </w:r>
      <w:bookmarkEnd w:id="1421"/>
    </w:p>
    <w:p w14:paraId="693B3E87" w14:textId="77777777" w:rsidR="00E12EE5" w:rsidRPr="006645DC" w:rsidRDefault="00E12EE5" w:rsidP="00E12EE5">
      <w:pPr>
        <w:spacing w:before="0"/>
        <w:jc w:val="right"/>
        <w:rPr>
          <w:i/>
          <w:snapToGrid w:val="0"/>
          <w:sz w:val="20"/>
          <w:szCs w:val="20"/>
          <w:lang w:val="en-GB"/>
        </w:rPr>
      </w:pPr>
      <w:r w:rsidRPr="006645DC">
        <w:rPr>
          <w:i/>
          <w:snapToGrid w:val="0"/>
          <w:sz w:val="20"/>
          <w:szCs w:val="20"/>
          <w:lang w:val="en-GB"/>
        </w:rPr>
        <w:t>Source: Eurostat</w:t>
      </w:r>
    </w:p>
    <w:p w14:paraId="20DAA141" w14:textId="77777777" w:rsidR="00E12EE5" w:rsidRPr="006645DC" w:rsidRDefault="00E12EE5" w:rsidP="00A4740C">
      <w:pPr>
        <w:rPr>
          <w:i/>
          <w:sz w:val="24"/>
          <w:szCs w:val="24"/>
          <w:lang w:val="en-GB"/>
        </w:rPr>
      </w:pPr>
      <w:r w:rsidRPr="006645DC">
        <w:rPr>
          <w:lang w:val="en-GB"/>
        </w:rPr>
        <w:t>Greenhouse gas emissions (GHG) are the primary cause of global warming and climate change. In 2011, according to Eurostat the level of GHG emissions was twice as high in Romania (123 346 thousand tonnes of CO</w:t>
      </w:r>
      <w:r w:rsidRPr="006645DC">
        <w:rPr>
          <w:vertAlign w:val="subscript"/>
          <w:lang w:val="en-GB"/>
        </w:rPr>
        <w:t>2</w:t>
      </w:r>
      <w:r w:rsidRPr="006645DC">
        <w:rPr>
          <w:lang w:val="en-GB"/>
        </w:rPr>
        <w:t>) as in Bulgaria (66 133 thousand tonnes of CO</w:t>
      </w:r>
      <w:r w:rsidRPr="006645DC">
        <w:rPr>
          <w:vertAlign w:val="subscript"/>
          <w:lang w:val="en-GB"/>
        </w:rPr>
        <w:t>2</w:t>
      </w:r>
      <w:r w:rsidRPr="006645DC">
        <w:rPr>
          <w:lang w:val="en-GB"/>
        </w:rPr>
        <w:t xml:space="preserve">). The energy sector is the main sector responsible for GHG emissions both in Romania and in Bulgaria. In Romania, the GHG emissions trend can be divided into the following periods: 1989–1994, when emissions decreased by 45%, which was mainly due to the economic recession related to the structural change of the economy in the 90s and to the decrease of the carbon intensity of the energy used; 1994–1996, when emissions started to increase due to the economic recovery; and 1996–2011, GHG emissions decreased due to the start of operations of the first reactor at the Cernavoda atomic power plant and the economic downturn since 2007. Between 2007 and 2010 GHG emissions decreased by around 20% in Romania. In 2011 emissions started to increase again and the energy industry, agriculture, manufacturing industry were the three main producers of greenhouse gases in Romania. </w:t>
      </w:r>
    </w:p>
    <w:p w14:paraId="7E68F6C7" w14:textId="77777777" w:rsidR="00E12EE5" w:rsidRPr="006645DC" w:rsidRDefault="00E12EE5" w:rsidP="00E12EE5">
      <w:pPr>
        <w:rPr>
          <w:lang w:val="en-GB"/>
        </w:rPr>
      </w:pPr>
      <w:r w:rsidRPr="006645DC">
        <w:rPr>
          <w:lang w:val="en-GB"/>
        </w:rPr>
        <w:t>Bulgaria as a whole and each region individually will probably meet the EU requirements of reducing greenhouse gas emissions by 20%. The Southeastern region emits the most greenhouse gases compared with the other regions. The rest of the regions emit much less greenhouse gases. The Northwestern region has the lowest level of emissions.</w:t>
      </w:r>
    </w:p>
    <w:p w14:paraId="1BD02B07" w14:textId="77777777" w:rsidR="00E12EE5" w:rsidRPr="006645DC" w:rsidRDefault="00E12EE5" w:rsidP="00E12EE5">
      <w:pPr>
        <w:rPr>
          <w:snapToGrid w:val="0"/>
          <w:lang w:val="en-GB" w:eastAsia="ro-RO"/>
        </w:rPr>
      </w:pPr>
      <w:r w:rsidRPr="006645DC">
        <w:rPr>
          <w:snapToGrid w:val="0"/>
          <w:lang w:val="en-GB" w:eastAsia="ro-RO"/>
        </w:rPr>
        <w:t xml:space="preserve">According to the Third National Action Plan on Climate Change of Bulgaria, GHG emissions increased during the period 2002-2007 due to the decommissioning of nuclear facilities and the increasing level of </w:t>
      </w:r>
      <w:r w:rsidRPr="006645DC">
        <w:rPr>
          <w:snapToGrid w:val="0"/>
          <w:lang w:val="en-GB" w:eastAsia="ro-RO"/>
        </w:rPr>
        <w:lastRenderedPageBreak/>
        <w:t>economic activities. Between 2007 and 2009 GHG emissions in Bulgaria decrease by 13% – mainly due to the drastic reduction in the output of metallurgy and the industry in general, in the transportation activities, and in the production of building materials.</w:t>
      </w:r>
      <w:r w:rsidRPr="006645DC">
        <w:rPr>
          <w:rStyle w:val="FootnoteReference"/>
          <w:rFonts w:eastAsia="Times New Roman"/>
          <w:snapToGrid w:val="0"/>
          <w:lang w:val="en-GB" w:eastAsia="ro-RO"/>
        </w:rPr>
        <w:footnoteReference w:id="34"/>
      </w:r>
      <w:r w:rsidRPr="006645DC">
        <w:rPr>
          <w:snapToGrid w:val="0"/>
          <w:lang w:val="en-GB" w:eastAsia="ro-RO"/>
        </w:rPr>
        <w:t xml:space="preserve"> Between 2008 and 2011, GHG emissions increased to 66 133 </w:t>
      </w:r>
      <w:r w:rsidRPr="006645DC">
        <w:rPr>
          <w:lang w:val="en-GB"/>
        </w:rPr>
        <w:t xml:space="preserve">thousand </w:t>
      </w:r>
      <w:r w:rsidRPr="006645DC">
        <w:rPr>
          <w:snapToGrid w:val="0"/>
          <w:lang w:val="en-GB" w:eastAsia="ro-RO"/>
        </w:rPr>
        <w:t>tonnes of CO</w:t>
      </w:r>
      <w:r w:rsidRPr="006645DC">
        <w:rPr>
          <w:snapToGrid w:val="0"/>
          <w:vertAlign w:val="subscript"/>
          <w:lang w:val="en-GB" w:eastAsia="ro-RO"/>
        </w:rPr>
        <w:t>2</w:t>
      </w:r>
      <w:r w:rsidRPr="006645DC">
        <w:rPr>
          <w:snapToGrid w:val="0"/>
          <w:lang w:val="en-GB" w:eastAsia="ro-RO"/>
        </w:rPr>
        <w:t>, that is almost equal to the level of GHG emissions for the year of 2007.</w:t>
      </w:r>
    </w:p>
    <w:p w14:paraId="1C0F7367" w14:textId="77777777" w:rsidR="00E12EE5" w:rsidRPr="006645DC" w:rsidRDefault="00E12EE5" w:rsidP="00E12EE5">
      <w:pPr>
        <w:rPr>
          <w:lang w:val="en-GB"/>
        </w:rPr>
      </w:pPr>
      <w:r w:rsidRPr="006645DC">
        <w:rPr>
          <w:lang w:val="en-GB"/>
        </w:rPr>
        <w:t xml:space="preserve">As stated in the Third National Action Plan on Climate Change the planned policies and measures for the following years are designed to lead to a significant reduction of GHG emissions. The level of greenhouse gases emissions in Bulgaria are expected to decrease by 7,8% during the period 2013-2020. </w:t>
      </w:r>
    </w:p>
    <w:p w14:paraId="17CAF150" w14:textId="77777777" w:rsidR="00E12EE5" w:rsidRPr="006645DC" w:rsidRDefault="00AA4C82" w:rsidP="00E12EE5">
      <w:pPr>
        <w:autoSpaceDE w:val="0"/>
        <w:autoSpaceDN w:val="0"/>
        <w:adjustRightInd w:val="0"/>
        <w:jc w:val="center"/>
        <w:rPr>
          <w:sz w:val="24"/>
          <w:szCs w:val="24"/>
          <w:highlight w:val="darkMagenta"/>
          <w:lang w:val="en-GB"/>
        </w:rPr>
      </w:pPr>
      <w:r w:rsidRPr="006645DC">
        <w:rPr>
          <w:noProof/>
          <w:lang w:val="bg-BG" w:eastAsia="bg-BG"/>
        </w:rPr>
        <w:drawing>
          <wp:inline distT="0" distB="0" distL="0" distR="0" wp14:anchorId="7D8F76B7" wp14:editId="03CA4032">
            <wp:extent cx="5943600" cy="3028950"/>
            <wp:effectExtent l="19050" t="0" r="0" b="0"/>
            <wp:docPr id="452" name="Picture 66" descr="harti 29 11 20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arti 29 11 20139"/>
                    <pic:cNvPicPr>
                      <a:picLocks noChangeAspect="1" noChangeArrowheads="1"/>
                    </pic:cNvPicPr>
                  </pic:nvPicPr>
                  <pic:blipFill>
                    <a:blip r:embed="rId117"/>
                    <a:srcRect r="-60" b="10924"/>
                    <a:stretch>
                      <a:fillRect/>
                    </a:stretch>
                  </pic:blipFill>
                  <pic:spPr bwMode="auto">
                    <a:xfrm>
                      <a:off x="0" y="0"/>
                      <a:ext cx="5943600" cy="3028950"/>
                    </a:xfrm>
                    <a:prstGeom prst="rect">
                      <a:avLst/>
                    </a:prstGeom>
                    <a:noFill/>
                    <a:ln w="9525">
                      <a:noFill/>
                      <a:miter lim="800000"/>
                      <a:headEnd/>
                      <a:tailEnd/>
                    </a:ln>
                  </pic:spPr>
                </pic:pic>
              </a:graphicData>
            </a:graphic>
          </wp:inline>
        </w:drawing>
      </w:r>
    </w:p>
    <w:p w14:paraId="5F985B0F" w14:textId="77777777" w:rsidR="004C2574" w:rsidRPr="006645DC" w:rsidRDefault="00E12EE5" w:rsidP="004C2574">
      <w:pPr>
        <w:pStyle w:val="Caption"/>
        <w:rPr>
          <w:lang w:val="en-GB"/>
        </w:rPr>
      </w:pPr>
      <w:bookmarkStart w:id="1422" w:name="_Toc391150036"/>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32</w:t>
      </w:r>
      <w:r w:rsidR="005979EB" w:rsidRPr="006645DC">
        <w:rPr>
          <w:lang w:val="en-GB"/>
        </w:rPr>
        <w:fldChar w:fldCharType="end"/>
      </w:r>
      <w:r w:rsidRPr="006645DC">
        <w:rPr>
          <w:lang w:val="en-GB"/>
        </w:rPr>
        <w:t xml:space="preserve"> - Greenhouse gas emissions at regional level (Gg CO₂ equivalent), 2008</w:t>
      </w:r>
      <w:bookmarkEnd w:id="1422"/>
    </w:p>
    <w:p w14:paraId="72EA35D9" w14:textId="77777777" w:rsidR="00E12EE5" w:rsidRPr="006645DC" w:rsidRDefault="00E12EE5" w:rsidP="004C2574">
      <w:pPr>
        <w:pStyle w:val="Heading4"/>
        <w:rPr>
          <w:lang w:val="en-GB"/>
        </w:rPr>
      </w:pPr>
      <w:r w:rsidRPr="006645DC">
        <w:rPr>
          <w:lang w:val="en-GB"/>
        </w:rPr>
        <w:t xml:space="preserve">Source: ESPON SIESTA Project </w:t>
      </w:r>
    </w:p>
    <w:p w14:paraId="1E20B926" w14:textId="77777777" w:rsidR="004C2574" w:rsidRPr="006645DC" w:rsidRDefault="004C2574" w:rsidP="004C2574">
      <w:pPr>
        <w:rPr>
          <w:lang w:val="en-GB"/>
        </w:rPr>
      </w:pPr>
    </w:p>
    <w:p w14:paraId="686BAF42" w14:textId="77777777" w:rsidR="004433FE" w:rsidRPr="006645DC" w:rsidRDefault="004433FE" w:rsidP="004C2574">
      <w:pPr>
        <w:pStyle w:val="Heading2"/>
        <w:rPr>
          <w:lang w:val="en-GB"/>
        </w:rPr>
        <w:sectPr w:rsidR="004433FE" w:rsidRPr="006645DC">
          <w:pgSz w:w="12240" w:h="15840"/>
          <w:pgMar w:top="1440" w:right="1440" w:bottom="1440" w:left="1440" w:header="720" w:footer="720" w:gutter="0"/>
          <w:cols w:space="720"/>
        </w:sectPr>
      </w:pPr>
      <w:bookmarkStart w:id="1423" w:name="_Toc376199599"/>
    </w:p>
    <w:p w14:paraId="062F699F" w14:textId="77777777" w:rsidR="00E12EE5" w:rsidRPr="006645DC" w:rsidRDefault="00E12EE5" w:rsidP="00A4740C">
      <w:pPr>
        <w:pStyle w:val="Heading2"/>
        <w:rPr>
          <w:lang w:val="en-GB"/>
        </w:rPr>
      </w:pPr>
      <w:bookmarkStart w:id="1424" w:name="_Toc254543812"/>
      <w:bookmarkStart w:id="1425" w:name="_Toc391150191"/>
      <w:r w:rsidRPr="006645DC">
        <w:rPr>
          <w:lang w:val="en-GB"/>
        </w:rPr>
        <w:lastRenderedPageBreak/>
        <w:t>SWOT and problem tree</w:t>
      </w:r>
      <w:bookmarkEnd w:id="1423"/>
      <w:bookmarkEnd w:id="1424"/>
      <w:bookmarkEnd w:id="1425"/>
    </w:p>
    <w:tbl>
      <w:tblPr>
        <w:tblW w:w="10740" w:type="dxa"/>
        <w:jc w:val="center"/>
        <w:tblCellMar>
          <w:left w:w="0" w:type="dxa"/>
          <w:right w:w="0" w:type="dxa"/>
        </w:tblCellMar>
        <w:tblLook w:val="04A0" w:firstRow="1" w:lastRow="0" w:firstColumn="1" w:lastColumn="0" w:noHBand="0" w:noVBand="1"/>
      </w:tblPr>
      <w:tblGrid>
        <w:gridCol w:w="5370"/>
        <w:gridCol w:w="5370"/>
      </w:tblGrid>
      <w:tr w:rsidR="00E12EE5" w:rsidRPr="006645DC" w14:paraId="182BCACD" w14:textId="77777777" w:rsidTr="006A6B3E">
        <w:trPr>
          <w:trHeight w:val="503"/>
          <w:jc w:val="center"/>
        </w:trPr>
        <w:tc>
          <w:tcPr>
            <w:tcW w:w="5370" w:type="dxa"/>
            <w:tcBorders>
              <w:top w:val="single" w:sz="8" w:space="0" w:color="000000"/>
              <w:left w:val="single" w:sz="8" w:space="0" w:color="000000"/>
              <w:bottom w:val="single" w:sz="8" w:space="0" w:color="000000"/>
              <w:right w:val="single" w:sz="8" w:space="0" w:color="000000"/>
            </w:tcBorders>
            <w:shd w:val="clear" w:color="auto" w:fill="9BBB59"/>
            <w:tcMar>
              <w:top w:w="15" w:type="dxa"/>
              <w:left w:w="108" w:type="dxa"/>
              <w:bottom w:w="0" w:type="dxa"/>
              <w:right w:w="108" w:type="dxa"/>
            </w:tcMar>
            <w:vAlign w:val="center"/>
            <w:hideMark/>
          </w:tcPr>
          <w:p w14:paraId="63F3A8CA" w14:textId="77777777" w:rsidR="00E12EE5" w:rsidRPr="006645DC" w:rsidRDefault="00E12EE5" w:rsidP="006A6B3E">
            <w:pPr>
              <w:spacing w:before="0" w:after="0"/>
              <w:jc w:val="center"/>
              <w:rPr>
                <w:lang w:val="en-GB"/>
              </w:rPr>
            </w:pPr>
            <w:r w:rsidRPr="006645DC">
              <w:rPr>
                <w:b/>
                <w:bCs/>
                <w:lang w:val="en-GB"/>
              </w:rPr>
              <w:t>Strengths</w:t>
            </w:r>
          </w:p>
        </w:tc>
        <w:tc>
          <w:tcPr>
            <w:tcW w:w="5370" w:type="dxa"/>
            <w:tcBorders>
              <w:top w:val="single" w:sz="8" w:space="0" w:color="000000"/>
              <w:left w:val="single" w:sz="8" w:space="0" w:color="000000"/>
              <w:bottom w:val="single" w:sz="8" w:space="0" w:color="000000"/>
              <w:right w:val="single" w:sz="8" w:space="0" w:color="000000"/>
            </w:tcBorders>
            <w:shd w:val="clear" w:color="auto" w:fill="F79646"/>
            <w:tcMar>
              <w:top w:w="15" w:type="dxa"/>
              <w:left w:w="108" w:type="dxa"/>
              <w:bottom w:w="0" w:type="dxa"/>
              <w:right w:w="108" w:type="dxa"/>
            </w:tcMar>
            <w:vAlign w:val="center"/>
            <w:hideMark/>
          </w:tcPr>
          <w:p w14:paraId="159F37C9" w14:textId="77777777" w:rsidR="00E12EE5" w:rsidRPr="006645DC" w:rsidRDefault="00E12EE5" w:rsidP="006A6B3E">
            <w:pPr>
              <w:spacing w:before="0" w:after="0"/>
              <w:jc w:val="center"/>
              <w:rPr>
                <w:lang w:val="en-GB"/>
              </w:rPr>
            </w:pPr>
            <w:r w:rsidRPr="006645DC">
              <w:rPr>
                <w:b/>
                <w:bCs/>
                <w:lang w:val="en-GB"/>
              </w:rPr>
              <w:t>Weaknesses</w:t>
            </w:r>
          </w:p>
        </w:tc>
      </w:tr>
      <w:tr w:rsidR="00E12EE5" w:rsidRPr="006645DC" w14:paraId="23D99CDB" w14:textId="77777777" w:rsidTr="006A6B3E">
        <w:trPr>
          <w:trHeight w:val="1895"/>
          <w:jc w:val="center"/>
        </w:trPr>
        <w:tc>
          <w:tcPr>
            <w:tcW w:w="53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30FD776" w14:textId="77777777" w:rsidR="00E12EE5" w:rsidRPr="006645DC" w:rsidRDefault="00E12EE5" w:rsidP="00C951D5">
            <w:pPr>
              <w:pStyle w:val="ListParagraph"/>
              <w:numPr>
                <w:ilvl w:val="0"/>
                <w:numId w:val="83"/>
              </w:numPr>
              <w:spacing w:before="0" w:after="0"/>
              <w:ind w:left="142" w:hanging="142"/>
              <w:rPr>
                <w:lang w:val="en-GB"/>
              </w:rPr>
            </w:pPr>
            <w:r w:rsidRPr="006645DC">
              <w:rPr>
                <w:rFonts w:eastAsia="Calibri"/>
                <w:lang w:val="en-GB"/>
              </w:rPr>
              <w:t xml:space="preserve">Decreasing tendency of GHG emissions in recent years </w:t>
            </w:r>
          </w:p>
          <w:p w14:paraId="71C9C486" w14:textId="77777777" w:rsidR="00E12EE5" w:rsidRPr="006645DC" w:rsidRDefault="00E12EE5" w:rsidP="00C951D5">
            <w:pPr>
              <w:pStyle w:val="ListParagraph"/>
              <w:numPr>
                <w:ilvl w:val="0"/>
                <w:numId w:val="83"/>
              </w:numPr>
              <w:spacing w:before="0" w:after="0"/>
              <w:ind w:left="142" w:hanging="142"/>
              <w:rPr>
                <w:lang w:val="en-GB"/>
              </w:rPr>
            </w:pPr>
            <w:r w:rsidRPr="006645DC">
              <w:rPr>
                <w:rFonts w:eastAsia="Calibri"/>
                <w:lang w:val="en-GB"/>
              </w:rPr>
              <w:t>The area meets the EU requirements to reduce GHG emissions</w:t>
            </w:r>
          </w:p>
          <w:p w14:paraId="64852FC7" w14:textId="77777777" w:rsidR="00E12EE5" w:rsidRPr="006645DC" w:rsidRDefault="00E12EE5" w:rsidP="00C951D5">
            <w:pPr>
              <w:pStyle w:val="ListParagraph"/>
              <w:numPr>
                <w:ilvl w:val="0"/>
                <w:numId w:val="83"/>
              </w:numPr>
              <w:spacing w:before="0" w:after="0"/>
              <w:ind w:left="142" w:hanging="142"/>
              <w:rPr>
                <w:lang w:val="en-GB"/>
              </w:rPr>
            </w:pPr>
            <w:r w:rsidRPr="006645DC">
              <w:rPr>
                <w:rFonts w:eastAsia="Calibri"/>
                <w:lang w:val="en-GB"/>
              </w:rPr>
              <w:t>National initiatives support the reduction of GHG emissions</w:t>
            </w:r>
          </w:p>
        </w:tc>
        <w:tc>
          <w:tcPr>
            <w:tcW w:w="53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486E318" w14:textId="77777777" w:rsidR="00E12EE5" w:rsidRPr="006645DC" w:rsidRDefault="00E12EE5" w:rsidP="00C951D5">
            <w:pPr>
              <w:pStyle w:val="ListParagraph"/>
              <w:numPr>
                <w:ilvl w:val="0"/>
                <w:numId w:val="83"/>
              </w:numPr>
              <w:spacing w:before="0" w:after="0"/>
              <w:ind w:left="159" w:hanging="159"/>
              <w:rPr>
                <w:lang w:val="en-GB"/>
              </w:rPr>
            </w:pPr>
            <w:r w:rsidRPr="006645DC">
              <w:rPr>
                <w:rFonts w:eastAsia="Calibri"/>
                <w:lang w:val="en-GB"/>
              </w:rPr>
              <w:t>High degree of vulnerability to climate change</w:t>
            </w:r>
          </w:p>
          <w:p w14:paraId="25C30EF3" w14:textId="77777777" w:rsidR="00E12EE5" w:rsidRPr="006645DC" w:rsidRDefault="00E12EE5" w:rsidP="00C951D5">
            <w:pPr>
              <w:pStyle w:val="ListParagraph"/>
              <w:numPr>
                <w:ilvl w:val="0"/>
                <w:numId w:val="83"/>
              </w:numPr>
              <w:spacing w:before="0" w:after="0"/>
              <w:ind w:left="159" w:hanging="159"/>
              <w:rPr>
                <w:lang w:val="en-GB"/>
              </w:rPr>
            </w:pPr>
            <w:r w:rsidRPr="006645DC">
              <w:rPr>
                <w:rFonts w:eastAsia="Calibri"/>
                <w:lang w:val="en-GB"/>
              </w:rPr>
              <w:t xml:space="preserve">Low adaptive capacity </w:t>
            </w:r>
          </w:p>
          <w:p w14:paraId="47214416" w14:textId="77777777" w:rsidR="00E12EE5" w:rsidRPr="006645DC" w:rsidRDefault="00E12EE5" w:rsidP="00C951D5">
            <w:pPr>
              <w:pStyle w:val="ListParagraph"/>
              <w:numPr>
                <w:ilvl w:val="0"/>
                <w:numId w:val="83"/>
              </w:numPr>
              <w:spacing w:before="0" w:after="0"/>
              <w:ind w:left="159" w:hanging="159"/>
              <w:rPr>
                <w:lang w:val="en-GB"/>
              </w:rPr>
            </w:pPr>
            <w:r w:rsidRPr="006645DC">
              <w:rPr>
                <w:rFonts w:eastAsia="Calibri"/>
                <w:lang w:val="en-GB"/>
              </w:rPr>
              <w:t>Low mitigation capacity</w:t>
            </w:r>
          </w:p>
          <w:p w14:paraId="623DE897" w14:textId="77777777" w:rsidR="00E12EE5" w:rsidRPr="006645DC" w:rsidRDefault="00E12EE5" w:rsidP="00C951D5">
            <w:pPr>
              <w:pStyle w:val="ListParagraph"/>
              <w:numPr>
                <w:ilvl w:val="0"/>
                <w:numId w:val="83"/>
              </w:numPr>
              <w:spacing w:before="0" w:after="0"/>
              <w:ind w:left="159" w:hanging="159"/>
              <w:rPr>
                <w:rFonts w:eastAsia="Calibri"/>
                <w:lang w:val="en-GB"/>
              </w:rPr>
            </w:pPr>
            <w:r w:rsidRPr="006645DC">
              <w:rPr>
                <w:rFonts w:eastAsia="Calibri"/>
                <w:lang w:val="en-GB"/>
              </w:rPr>
              <w:t>The average annual temperature indicates a significantly increasing tendency</w:t>
            </w:r>
          </w:p>
          <w:p w14:paraId="7C10D892" w14:textId="77777777" w:rsidR="00E12EE5" w:rsidRPr="006645DC" w:rsidRDefault="00E12EE5" w:rsidP="00C951D5">
            <w:pPr>
              <w:pStyle w:val="ListParagraph"/>
              <w:numPr>
                <w:ilvl w:val="0"/>
                <w:numId w:val="83"/>
              </w:numPr>
              <w:spacing w:before="0" w:after="0"/>
              <w:ind w:left="159" w:hanging="159"/>
              <w:rPr>
                <w:lang w:val="en-GB"/>
              </w:rPr>
            </w:pPr>
            <w:r w:rsidRPr="006645DC">
              <w:rPr>
                <w:rFonts w:eastAsia="Calibri"/>
                <w:lang w:val="en-GB"/>
              </w:rPr>
              <w:t xml:space="preserve">Erosion of the sea coast and the Danube bank </w:t>
            </w:r>
          </w:p>
          <w:p w14:paraId="2D515293" w14:textId="77777777" w:rsidR="00E12EE5" w:rsidRPr="006645DC" w:rsidRDefault="00E12EE5" w:rsidP="00C951D5">
            <w:pPr>
              <w:pStyle w:val="ListParagraph"/>
              <w:numPr>
                <w:ilvl w:val="0"/>
                <w:numId w:val="83"/>
              </w:numPr>
              <w:spacing w:before="0" w:after="0"/>
              <w:ind w:left="159" w:hanging="159"/>
              <w:rPr>
                <w:lang w:val="en-GB"/>
              </w:rPr>
            </w:pPr>
            <w:r w:rsidRPr="006645DC">
              <w:rPr>
                <w:rFonts w:eastAsia="Calibri"/>
                <w:lang w:val="en-GB"/>
              </w:rPr>
              <w:t xml:space="preserve">The effects of climate change are being increasingly felt in the area </w:t>
            </w:r>
          </w:p>
        </w:tc>
      </w:tr>
      <w:tr w:rsidR="00E12EE5" w:rsidRPr="006645DC" w14:paraId="2A13DCF5" w14:textId="77777777" w:rsidTr="006A6B3E">
        <w:trPr>
          <w:trHeight w:val="503"/>
          <w:jc w:val="center"/>
        </w:trPr>
        <w:tc>
          <w:tcPr>
            <w:tcW w:w="5370" w:type="dxa"/>
            <w:tcBorders>
              <w:top w:val="single" w:sz="8" w:space="0" w:color="000000"/>
              <w:left w:val="single" w:sz="8" w:space="0" w:color="000000"/>
              <w:bottom w:val="single" w:sz="8" w:space="0" w:color="000000"/>
              <w:right w:val="single" w:sz="8" w:space="0" w:color="000000"/>
            </w:tcBorders>
            <w:shd w:val="clear" w:color="auto" w:fill="4BACC6"/>
            <w:tcMar>
              <w:top w:w="15" w:type="dxa"/>
              <w:left w:w="108" w:type="dxa"/>
              <w:bottom w:w="0" w:type="dxa"/>
              <w:right w:w="108" w:type="dxa"/>
            </w:tcMar>
            <w:vAlign w:val="center"/>
            <w:hideMark/>
          </w:tcPr>
          <w:p w14:paraId="6E635406" w14:textId="77777777" w:rsidR="00E12EE5" w:rsidRPr="006645DC" w:rsidRDefault="00E12EE5" w:rsidP="006A6B3E">
            <w:pPr>
              <w:spacing w:before="0" w:after="0"/>
              <w:jc w:val="center"/>
              <w:rPr>
                <w:lang w:val="en-GB"/>
              </w:rPr>
            </w:pPr>
            <w:r w:rsidRPr="006645DC">
              <w:rPr>
                <w:b/>
                <w:bCs/>
                <w:lang w:val="en-GB"/>
              </w:rPr>
              <w:t>Opportunities</w:t>
            </w:r>
          </w:p>
        </w:tc>
        <w:tc>
          <w:tcPr>
            <w:tcW w:w="5370" w:type="dxa"/>
            <w:tcBorders>
              <w:top w:val="single" w:sz="8" w:space="0" w:color="000000"/>
              <w:left w:val="single" w:sz="8" w:space="0" w:color="000000"/>
              <w:bottom w:val="single" w:sz="8" w:space="0" w:color="000000"/>
              <w:right w:val="single" w:sz="8" w:space="0" w:color="000000"/>
            </w:tcBorders>
            <w:shd w:val="clear" w:color="auto" w:fill="B2A1C7"/>
            <w:tcMar>
              <w:top w:w="15" w:type="dxa"/>
              <w:left w:w="108" w:type="dxa"/>
              <w:bottom w:w="0" w:type="dxa"/>
              <w:right w:w="108" w:type="dxa"/>
            </w:tcMar>
            <w:vAlign w:val="center"/>
            <w:hideMark/>
          </w:tcPr>
          <w:p w14:paraId="739B5B8B" w14:textId="77777777" w:rsidR="00E12EE5" w:rsidRPr="006645DC" w:rsidRDefault="00E12EE5" w:rsidP="006A6B3E">
            <w:pPr>
              <w:spacing w:before="0" w:after="0"/>
              <w:jc w:val="center"/>
              <w:rPr>
                <w:lang w:val="en-GB"/>
              </w:rPr>
            </w:pPr>
            <w:r w:rsidRPr="006645DC">
              <w:rPr>
                <w:b/>
                <w:bCs/>
                <w:lang w:val="en-GB"/>
              </w:rPr>
              <w:t>Threats</w:t>
            </w:r>
          </w:p>
        </w:tc>
      </w:tr>
      <w:tr w:rsidR="00E12EE5" w:rsidRPr="006645DC" w14:paraId="75C2AB33" w14:textId="77777777" w:rsidTr="006A6B3E">
        <w:trPr>
          <w:trHeight w:val="2517"/>
          <w:jc w:val="center"/>
        </w:trPr>
        <w:tc>
          <w:tcPr>
            <w:tcW w:w="53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710676A" w14:textId="77777777" w:rsidR="00E12EE5" w:rsidRPr="006645DC" w:rsidRDefault="00E12EE5" w:rsidP="00C951D5">
            <w:pPr>
              <w:pStyle w:val="ListParagraph"/>
              <w:numPr>
                <w:ilvl w:val="0"/>
                <w:numId w:val="84"/>
              </w:numPr>
              <w:spacing w:before="0" w:after="0"/>
              <w:ind w:left="142" w:hanging="142"/>
              <w:rPr>
                <w:lang w:val="en-GB"/>
              </w:rPr>
            </w:pPr>
            <w:r w:rsidRPr="006645DC">
              <w:rPr>
                <w:rFonts w:eastAsia="Calibri"/>
                <w:lang w:val="en-GB"/>
              </w:rPr>
              <w:t xml:space="preserve">Development of an efficient economy with low carbon intensity </w:t>
            </w:r>
          </w:p>
          <w:p w14:paraId="2B5C2121" w14:textId="77777777" w:rsidR="00E12EE5" w:rsidRPr="006645DC" w:rsidRDefault="00E12EE5" w:rsidP="00C951D5">
            <w:pPr>
              <w:pStyle w:val="ListParagraph"/>
              <w:numPr>
                <w:ilvl w:val="0"/>
                <w:numId w:val="84"/>
              </w:numPr>
              <w:spacing w:before="0" w:after="0"/>
              <w:ind w:left="142" w:hanging="142"/>
              <w:rPr>
                <w:lang w:val="en-GB"/>
              </w:rPr>
            </w:pPr>
            <w:r w:rsidRPr="006645DC">
              <w:rPr>
                <w:rFonts w:eastAsia="Calibri"/>
                <w:lang w:val="en-GB"/>
              </w:rPr>
              <w:t xml:space="preserve">Reduction of the impact of climate change in natural environment </w:t>
            </w:r>
          </w:p>
          <w:p w14:paraId="086FBDBE" w14:textId="77777777" w:rsidR="00E12EE5" w:rsidRPr="006645DC" w:rsidRDefault="00E12EE5" w:rsidP="00C951D5">
            <w:pPr>
              <w:pStyle w:val="ListParagraph"/>
              <w:numPr>
                <w:ilvl w:val="0"/>
                <w:numId w:val="84"/>
              </w:numPr>
              <w:spacing w:before="0" w:after="0"/>
              <w:ind w:left="142" w:hanging="142"/>
              <w:rPr>
                <w:lang w:val="en-GB"/>
              </w:rPr>
            </w:pPr>
            <w:r w:rsidRPr="006645DC">
              <w:rPr>
                <w:rFonts w:eastAsia="Calibri"/>
                <w:lang w:val="en-GB"/>
              </w:rPr>
              <w:t xml:space="preserve">Increase of the adaptive capacity </w:t>
            </w:r>
          </w:p>
          <w:p w14:paraId="41CED1D4" w14:textId="77777777" w:rsidR="00E12EE5" w:rsidRPr="006645DC" w:rsidRDefault="00E12EE5" w:rsidP="00C951D5">
            <w:pPr>
              <w:pStyle w:val="ListParagraph"/>
              <w:numPr>
                <w:ilvl w:val="0"/>
                <w:numId w:val="84"/>
              </w:numPr>
              <w:spacing w:before="0" w:after="0"/>
              <w:ind w:left="142" w:hanging="142"/>
              <w:rPr>
                <w:lang w:val="en-GB"/>
              </w:rPr>
            </w:pPr>
            <w:r w:rsidRPr="006645DC">
              <w:rPr>
                <w:rFonts w:eastAsia="Calibri"/>
                <w:lang w:val="en-GB"/>
              </w:rPr>
              <w:t xml:space="preserve">Increase of the spread of Renewable Energy Sources </w:t>
            </w:r>
          </w:p>
          <w:p w14:paraId="36548782" w14:textId="77777777" w:rsidR="00E12EE5" w:rsidRPr="006645DC" w:rsidRDefault="00E12EE5" w:rsidP="00C951D5">
            <w:pPr>
              <w:pStyle w:val="ListParagraph"/>
              <w:numPr>
                <w:ilvl w:val="0"/>
                <w:numId w:val="84"/>
              </w:numPr>
              <w:spacing w:before="0" w:after="0"/>
              <w:ind w:left="142" w:hanging="142"/>
              <w:rPr>
                <w:rFonts w:eastAsia="Calibri"/>
                <w:lang w:val="en-GB"/>
              </w:rPr>
            </w:pPr>
            <w:r w:rsidRPr="006645DC">
              <w:rPr>
                <w:rFonts w:eastAsia="Calibri"/>
                <w:lang w:val="en-GB"/>
              </w:rPr>
              <w:t xml:space="preserve">Support of the preventive actions </w:t>
            </w:r>
          </w:p>
          <w:p w14:paraId="63DF69BB" w14:textId="77777777" w:rsidR="00E12EE5" w:rsidRPr="006645DC" w:rsidRDefault="00E12EE5" w:rsidP="00C951D5">
            <w:pPr>
              <w:pStyle w:val="ListParagraph"/>
              <w:numPr>
                <w:ilvl w:val="0"/>
                <w:numId w:val="84"/>
              </w:numPr>
              <w:spacing w:before="0" w:after="0"/>
              <w:ind w:left="142" w:hanging="142"/>
              <w:rPr>
                <w:lang w:val="en-GB"/>
              </w:rPr>
            </w:pPr>
            <w:r w:rsidRPr="006645DC">
              <w:rPr>
                <w:rFonts w:eastAsia="Calibri"/>
                <w:lang w:val="en-GB"/>
              </w:rPr>
              <w:t>Mitigation of sea coast and Danube bank erosion</w:t>
            </w:r>
          </w:p>
          <w:p w14:paraId="0CE80D2B" w14:textId="77777777" w:rsidR="00E12EE5" w:rsidRPr="006645DC" w:rsidRDefault="00E12EE5" w:rsidP="00C951D5">
            <w:pPr>
              <w:pStyle w:val="ListParagraph"/>
              <w:numPr>
                <w:ilvl w:val="0"/>
                <w:numId w:val="84"/>
              </w:numPr>
              <w:spacing w:before="0" w:after="0"/>
              <w:ind w:left="142" w:hanging="142"/>
              <w:rPr>
                <w:lang w:val="en-GB"/>
              </w:rPr>
            </w:pPr>
            <w:r w:rsidRPr="006645DC">
              <w:rPr>
                <w:rFonts w:eastAsia="Calibri"/>
                <w:lang w:val="en-GB"/>
              </w:rPr>
              <w:t xml:space="preserve">Awareness raising related to climate change </w:t>
            </w:r>
          </w:p>
          <w:p w14:paraId="3D4DE31E" w14:textId="77777777" w:rsidR="00E12EE5" w:rsidRPr="006645DC" w:rsidRDefault="00E12EE5" w:rsidP="00C951D5">
            <w:pPr>
              <w:pStyle w:val="ListParagraph"/>
              <w:numPr>
                <w:ilvl w:val="0"/>
                <w:numId w:val="84"/>
              </w:numPr>
              <w:spacing w:before="0" w:after="0"/>
              <w:ind w:left="142" w:hanging="142"/>
              <w:rPr>
                <w:lang w:val="en-GB"/>
              </w:rPr>
            </w:pPr>
            <w:r w:rsidRPr="006645DC">
              <w:rPr>
                <w:rFonts w:eastAsia="Calibri"/>
                <w:lang w:val="en-GB"/>
              </w:rPr>
              <w:t xml:space="preserve">Afforestation of abandoned agricultural land </w:t>
            </w:r>
          </w:p>
        </w:tc>
        <w:tc>
          <w:tcPr>
            <w:tcW w:w="53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00ECE16" w14:textId="77777777" w:rsidR="00E12EE5" w:rsidRPr="006645DC" w:rsidRDefault="00E12EE5" w:rsidP="00C951D5">
            <w:pPr>
              <w:pStyle w:val="ListParagraph"/>
              <w:numPr>
                <w:ilvl w:val="0"/>
                <w:numId w:val="84"/>
              </w:numPr>
              <w:spacing w:before="0" w:after="0"/>
              <w:ind w:left="159" w:hanging="159"/>
              <w:rPr>
                <w:lang w:val="en-GB"/>
              </w:rPr>
            </w:pPr>
            <w:r w:rsidRPr="006645DC">
              <w:rPr>
                <w:rFonts w:eastAsia="Calibri"/>
                <w:lang w:val="en-GB"/>
              </w:rPr>
              <w:t>The reduction of GHG emissions can increase costs and limit the economic growth</w:t>
            </w:r>
          </w:p>
          <w:p w14:paraId="03051A2E" w14:textId="77777777" w:rsidR="00E12EE5" w:rsidRPr="006645DC" w:rsidRDefault="00E12EE5" w:rsidP="00C951D5">
            <w:pPr>
              <w:pStyle w:val="ListParagraph"/>
              <w:numPr>
                <w:ilvl w:val="0"/>
                <w:numId w:val="84"/>
              </w:numPr>
              <w:spacing w:before="0" w:after="0"/>
              <w:ind w:left="159" w:hanging="159"/>
              <w:rPr>
                <w:lang w:val="en-GB"/>
              </w:rPr>
            </w:pPr>
            <w:r w:rsidRPr="006645DC">
              <w:rPr>
                <w:rFonts w:eastAsia="Calibri"/>
                <w:lang w:val="en-GB"/>
              </w:rPr>
              <w:t>Damage in the existing infrastructures because of floods and storms</w:t>
            </w:r>
          </w:p>
          <w:p w14:paraId="75CA17AC" w14:textId="77777777" w:rsidR="00E12EE5" w:rsidRPr="006645DC" w:rsidRDefault="00E12EE5" w:rsidP="00C951D5">
            <w:pPr>
              <w:pStyle w:val="ListParagraph"/>
              <w:numPr>
                <w:ilvl w:val="0"/>
                <w:numId w:val="84"/>
              </w:numPr>
              <w:spacing w:before="0" w:after="0"/>
              <w:ind w:left="159" w:hanging="159"/>
              <w:rPr>
                <w:lang w:val="en-GB"/>
              </w:rPr>
            </w:pPr>
            <w:r w:rsidRPr="006645DC">
              <w:rPr>
                <w:rFonts w:eastAsia="Calibri"/>
                <w:lang w:val="en-GB"/>
              </w:rPr>
              <w:t>More frequent and longer periods of drought</w:t>
            </w:r>
          </w:p>
          <w:p w14:paraId="64FB0DD5" w14:textId="77777777" w:rsidR="00E12EE5" w:rsidRPr="006645DC" w:rsidRDefault="00E12EE5" w:rsidP="00C951D5">
            <w:pPr>
              <w:pStyle w:val="ListParagraph"/>
              <w:numPr>
                <w:ilvl w:val="0"/>
                <w:numId w:val="84"/>
              </w:numPr>
              <w:spacing w:before="0" w:after="0"/>
              <w:ind w:left="159" w:hanging="159"/>
              <w:rPr>
                <w:lang w:val="en-GB"/>
              </w:rPr>
            </w:pPr>
            <w:r w:rsidRPr="006645DC">
              <w:rPr>
                <w:rFonts w:eastAsia="Calibri"/>
                <w:lang w:val="en-GB"/>
              </w:rPr>
              <w:t>Low mitigation capacity of climate change can increase the degree of vulnerability to fluctuations in energy cost and security</w:t>
            </w:r>
          </w:p>
          <w:p w14:paraId="0E4E87F6" w14:textId="77777777" w:rsidR="00E12EE5" w:rsidRPr="006645DC" w:rsidRDefault="00E12EE5" w:rsidP="00C951D5">
            <w:pPr>
              <w:pStyle w:val="ListParagraph"/>
              <w:numPr>
                <w:ilvl w:val="0"/>
                <w:numId w:val="84"/>
              </w:numPr>
              <w:spacing w:before="0" w:after="0"/>
              <w:ind w:left="159" w:hanging="159"/>
              <w:rPr>
                <w:lang w:val="en-GB"/>
              </w:rPr>
            </w:pPr>
            <w:r w:rsidRPr="006645DC">
              <w:rPr>
                <w:rFonts w:eastAsia="Calibri"/>
                <w:lang w:val="en-GB"/>
              </w:rPr>
              <w:t xml:space="preserve">Human and infrastructural losses </w:t>
            </w:r>
          </w:p>
        </w:tc>
      </w:tr>
    </w:tbl>
    <w:p w14:paraId="482EC4A1" w14:textId="77777777" w:rsidR="00E12EE5" w:rsidRPr="006645DC" w:rsidRDefault="00E12EE5" w:rsidP="00E12EE5">
      <w:pPr>
        <w:spacing w:before="0" w:after="0"/>
        <w:rPr>
          <w:rFonts w:asciiTheme="minorHAnsi" w:hAnsiTheme="minorHAnsi" w:cstheme="minorBidi"/>
          <w:lang w:val="en-GB"/>
        </w:rPr>
      </w:pPr>
    </w:p>
    <w:p w14:paraId="453A2D21" w14:textId="77777777" w:rsidR="00E12EE5" w:rsidRPr="006645DC" w:rsidRDefault="00E12EE5" w:rsidP="00E12EE5">
      <w:pPr>
        <w:jc w:val="center"/>
        <w:rPr>
          <w:lang w:val="en-GB"/>
        </w:rPr>
      </w:pPr>
    </w:p>
    <w:p w14:paraId="63E22041" w14:textId="77777777" w:rsidR="00E12EE5" w:rsidRPr="006645DC" w:rsidRDefault="00E12EE5" w:rsidP="00E12EE5">
      <w:pPr>
        <w:jc w:val="center"/>
        <w:rPr>
          <w:lang w:val="en-GB"/>
        </w:rPr>
      </w:pPr>
    </w:p>
    <w:p w14:paraId="74FC5293" w14:textId="77777777" w:rsidR="00E12EE5" w:rsidRPr="006645DC" w:rsidRDefault="00AA4C82" w:rsidP="00E12EE5">
      <w:pPr>
        <w:jc w:val="center"/>
        <w:rPr>
          <w:lang w:val="en-GB"/>
        </w:rPr>
      </w:pPr>
      <w:r w:rsidRPr="006645DC">
        <w:rPr>
          <w:noProof/>
          <w:lang w:val="bg-BG" w:eastAsia="bg-BG"/>
        </w:rPr>
        <w:lastRenderedPageBreak/>
        <w:drawing>
          <wp:inline distT="0" distB="0" distL="0" distR="0" wp14:anchorId="010D7F6E" wp14:editId="7DDE5A73">
            <wp:extent cx="6191250" cy="5734050"/>
            <wp:effectExtent l="19050" t="0" r="0" b="0"/>
            <wp:docPr id="453"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118"/>
                    <a:srcRect/>
                    <a:stretch>
                      <a:fillRect/>
                    </a:stretch>
                  </pic:blipFill>
                  <pic:spPr bwMode="auto">
                    <a:xfrm>
                      <a:off x="0" y="0"/>
                      <a:ext cx="6191250" cy="5734050"/>
                    </a:xfrm>
                    <a:prstGeom prst="rect">
                      <a:avLst/>
                    </a:prstGeom>
                    <a:noFill/>
                    <a:ln w="9525">
                      <a:noFill/>
                      <a:miter lim="800000"/>
                      <a:headEnd/>
                      <a:tailEnd/>
                    </a:ln>
                  </pic:spPr>
                </pic:pic>
              </a:graphicData>
            </a:graphic>
          </wp:inline>
        </w:drawing>
      </w:r>
    </w:p>
    <w:p w14:paraId="0EF8C000" w14:textId="77777777" w:rsidR="00E12EE5" w:rsidRPr="006645DC" w:rsidRDefault="00E12EE5" w:rsidP="00E12EE5">
      <w:pPr>
        <w:spacing w:before="0" w:after="0"/>
        <w:jc w:val="left"/>
        <w:rPr>
          <w:rFonts w:eastAsiaTheme="majorEastAsia" w:cstheme="majorBidi"/>
          <w:b/>
          <w:bCs/>
          <w:color w:val="365F91" w:themeColor="accent1" w:themeShade="BF"/>
          <w:sz w:val="28"/>
          <w:szCs w:val="26"/>
          <w:lang w:val="en-GB"/>
        </w:rPr>
        <w:sectPr w:rsidR="00E12EE5" w:rsidRPr="006645DC">
          <w:pgSz w:w="12240" w:h="15840"/>
          <w:pgMar w:top="1440" w:right="1440" w:bottom="1440" w:left="1440" w:header="720" w:footer="720" w:gutter="0"/>
          <w:cols w:space="720"/>
        </w:sectPr>
      </w:pPr>
    </w:p>
    <w:p w14:paraId="77EA775E" w14:textId="77777777" w:rsidR="00E12EE5" w:rsidRPr="006645DC" w:rsidRDefault="00E12EE5" w:rsidP="00A4740C">
      <w:pPr>
        <w:pStyle w:val="Heading2"/>
        <w:rPr>
          <w:lang w:val="en-GB"/>
        </w:rPr>
      </w:pPr>
      <w:bookmarkStart w:id="1426" w:name="_Toc376199600"/>
      <w:bookmarkStart w:id="1427" w:name="_Toc254543813"/>
      <w:bookmarkStart w:id="1428" w:name="_Toc391150192"/>
      <w:r w:rsidRPr="006645DC">
        <w:rPr>
          <w:lang w:val="en-GB"/>
        </w:rPr>
        <w:lastRenderedPageBreak/>
        <w:t>Challenges and needs:</w:t>
      </w:r>
      <w:bookmarkEnd w:id="1426"/>
      <w:bookmarkEnd w:id="1427"/>
      <w:bookmarkEnd w:id="1428"/>
    </w:p>
    <w:p w14:paraId="78F25A44" w14:textId="77777777" w:rsidR="00E12EE5" w:rsidRPr="006645DC" w:rsidRDefault="00E12EE5" w:rsidP="00C951D5">
      <w:pPr>
        <w:pStyle w:val="Heading3"/>
        <w:numPr>
          <w:ilvl w:val="0"/>
          <w:numId w:val="85"/>
        </w:numPr>
        <w:rPr>
          <w:color w:val="31849B"/>
          <w:lang w:val="en-GB"/>
        </w:rPr>
      </w:pPr>
      <w:bookmarkStart w:id="1429" w:name="_Toc254543814"/>
      <w:r w:rsidRPr="006645DC">
        <w:rPr>
          <w:lang w:val="en-GB"/>
        </w:rPr>
        <w:t>Territorial challenges</w:t>
      </w:r>
      <w:bookmarkEnd w:id="1429"/>
    </w:p>
    <w:p w14:paraId="047DCC22" w14:textId="77777777" w:rsidR="00E12EE5" w:rsidRPr="006645DC" w:rsidRDefault="00E12EE5" w:rsidP="00C951D5">
      <w:pPr>
        <w:pStyle w:val="ListParagraph"/>
        <w:numPr>
          <w:ilvl w:val="0"/>
          <w:numId w:val="82"/>
        </w:numPr>
        <w:ind w:left="1208" w:hanging="357"/>
        <w:rPr>
          <w:lang w:val="en-GB"/>
        </w:rPr>
      </w:pPr>
      <w:r w:rsidRPr="006645DC">
        <w:rPr>
          <w:lang w:val="en-GB"/>
        </w:rPr>
        <w:t>The effects of climate changes are being felt in the area: dry, hot summers and winters with high volumes of snow; areas with desertification tendencies;</w:t>
      </w:r>
    </w:p>
    <w:p w14:paraId="690CD757" w14:textId="77777777" w:rsidR="00E12EE5" w:rsidRPr="006645DC" w:rsidRDefault="00E12EE5" w:rsidP="00C951D5">
      <w:pPr>
        <w:pStyle w:val="ListParagraph"/>
        <w:numPr>
          <w:ilvl w:val="0"/>
          <w:numId w:val="82"/>
        </w:numPr>
        <w:ind w:left="1208" w:hanging="357"/>
        <w:rPr>
          <w:lang w:val="en-GB"/>
        </w:rPr>
      </w:pPr>
      <w:r w:rsidRPr="006645DC">
        <w:rPr>
          <w:lang w:val="en-GB"/>
        </w:rPr>
        <w:t>Both Romanian counties and Bulgarian districts in the cross border area have a high degree of vulnerability to climate changes (the most vulnerable, according to the ESPON study, are Vidin and Montana) and a low mitigation capacity;</w:t>
      </w:r>
    </w:p>
    <w:p w14:paraId="2CAE1E24" w14:textId="77777777" w:rsidR="00E12EE5" w:rsidRPr="006645DC" w:rsidRDefault="00E12EE5" w:rsidP="00C951D5">
      <w:pPr>
        <w:pStyle w:val="ListParagraph"/>
        <w:numPr>
          <w:ilvl w:val="0"/>
          <w:numId w:val="82"/>
        </w:numPr>
        <w:ind w:left="1208" w:hanging="357"/>
        <w:rPr>
          <w:lang w:val="en-GB"/>
        </w:rPr>
      </w:pPr>
      <w:r w:rsidRPr="006645DC">
        <w:rPr>
          <w:lang w:val="en-GB"/>
        </w:rPr>
        <w:t>To achieve greater reduction of GHG emissions without limiting economic growth (e.g., with the reduction of quantity of waste);</w:t>
      </w:r>
    </w:p>
    <w:p w14:paraId="2EC71662" w14:textId="77777777" w:rsidR="00E12EE5" w:rsidRDefault="00E12EE5" w:rsidP="00C951D5">
      <w:pPr>
        <w:pStyle w:val="ListParagraph"/>
        <w:numPr>
          <w:ilvl w:val="0"/>
          <w:numId w:val="82"/>
        </w:numPr>
        <w:ind w:left="1208" w:hanging="357"/>
        <w:rPr>
          <w:lang w:val="en-GB"/>
        </w:rPr>
      </w:pPr>
      <w:r w:rsidRPr="006645DC">
        <w:rPr>
          <w:lang w:val="en-GB"/>
        </w:rPr>
        <w:t>To decrease the rate of deforestation of protection belts along the Danube bank in the Bulgarian side of the cross-border area.</w:t>
      </w:r>
    </w:p>
    <w:p w14:paraId="444F93B8" w14:textId="77777777" w:rsidR="00C77B3E" w:rsidRDefault="00C77B3E" w:rsidP="00C77B3E">
      <w:pPr>
        <w:rPr>
          <w:lang w:val="en-GB"/>
        </w:rPr>
      </w:pPr>
    </w:p>
    <w:p w14:paraId="74F28957" w14:textId="77777777" w:rsidR="00C77B3E" w:rsidRDefault="00C77B3E" w:rsidP="00C77B3E">
      <w:pPr>
        <w:rPr>
          <w:lang w:val="en-GB"/>
        </w:rPr>
      </w:pPr>
    </w:p>
    <w:p w14:paraId="178BC572" w14:textId="77777777" w:rsidR="00C77B3E" w:rsidRDefault="00C77B3E" w:rsidP="00C77B3E">
      <w:pPr>
        <w:rPr>
          <w:lang w:val="en-GB"/>
        </w:rPr>
      </w:pPr>
    </w:p>
    <w:p w14:paraId="68225D09" w14:textId="77777777" w:rsidR="00C77B3E" w:rsidRDefault="00C77B3E" w:rsidP="00C77B3E">
      <w:pPr>
        <w:rPr>
          <w:lang w:val="en-GB"/>
        </w:rPr>
      </w:pPr>
    </w:p>
    <w:p w14:paraId="09580C12" w14:textId="77777777" w:rsidR="00C77B3E" w:rsidRDefault="00C77B3E" w:rsidP="00C77B3E">
      <w:pPr>
        <w:rPr>
          <w:lang w:val="en-GB"/>
        </w:rPr>
      </w:pPr>
    </w:p>
    <w:p w14:paraId="11D3D44D" w14:textId="77777777" w:rsidR="00C77B3E" w:rsidRDefault="00C77B3E" w:rsidP="00C77B3E">
      <w:pPr>
        <w:rPr>
          <w:lang w:val="en-GB"/>
        </w:rPr>
      </w:pPr>
    </w:p>
    <w:p w14:paraId="06844593" w14:textId="77777777" w:rsidR="00C77B3E" w:rsidRDefault="00C77B3E" w:rsidP="00C77B3E">
      <w:pPr>
        <w:rPr>
          <w:lang w:val="en-GB"/>
        </w:rPr>
      </w:pPr>
    </w:p>
    <w:p w14:paraId="1B6DC357" w14:textId="77777777" w:rsidR="00C77B3E" w:rsidRDefault="00C77B3E" w:rsidP="00C77B3E">
      <w:pPr>
        <w:rPr>
          <w:lang w:val="en-GB"/>
        </w:rPr>
      </w:pPr>
    </w:p>
    <w:p w14:paraId="5CEB9727" w14:textId="77777777" w:rsidR="00C77B3E" w:rsidRDefault="00C77B3E" w:rsidP="00C77B3E">
      <w:pPr>
        <w:rPr>
          <w:lang w:val="en-GB"/>
        </w:rPr>
      </w:pPr>
    </w:p>
    <w:p w14:paraId="551295FF" w14:textId="77777777" w:rsidR="00C77B3E" w:rsidRDefault="00C77B3E" w:rsidP="00C77B3E">
      <w:pPr>
        <w:rPr>
          <w:lang w:val="en-GB"/>
        </w:rPr>
      </w:pPr>
    </w:p>
    <w:p w14:paraId="451147E1" w14:textId="77777777" w:rsidR="00C77B3E" w:rsidRDefault="00C77B3E" w:rsidP="00C77B3E">
      <w:pPr>
        <w:rPr>
          <w:lang w:val="en-GB"/>
        </w:rPr>
      </w:pPr>
    </w:p>
    <w:p w14:paraId="42FF6053" w14:textId="77777777" w:rsidR="00C77B3E" w:rsidRDefault="00C77B3E" w:rsidP="00C77B3E">
      <w:pPr>
        <w:rPr>
          <w:lang w:val="en-GB"/>
        </w:rPr>
      </w:pPr>
    </w:p>
    <w:p w14:paraId="5A1F24F8" w14:textId="77777777" w:rsidR="00C77B3E" w:rsidRDefault="00C77B3E" w:rsidP="00C77B3E">
      <w:pPr>
        <w:rPr>
          <w:lang w:val="en-GB"/>
        </w:rPr>
      </w:pPr>
    </w:p>
    <w:p w14:paraId="77DA2F9B" w14:textId="77777777" w:rsidR="00C77B3E" w:rsidRDefault="00C77B3E" w:rsidP="00C77B3E">
      <w:pPr>
        <w:rPr>
          <w:lang w:val="en-GB"/>
        </w:rPr>
      </w:pPr>
    </w:p>
    <w:p w14:paraId="086154A2" w14:textId="77777777" w:rsidR="00C77B3E" w:rsidRDefault="00C77B3E" w:rsidP="00C77B3E">
      <w:pPr>
        <w:rPr>
          <w:lang w:val="en-GB"/>
        </w:rPr>
      </w:pPr>
    </w:p>
    <w:p w14:paraId="18F87FFA" w14:textId="77777777" w:rsidR="00C77B3E" w:rsidRDefault="00C77B3E" w:rsidP="00C77B3E">
      <w:pPr>
        <w:rPr>
          <w:lang w:val="en-GB"/>
        </w:rPr>
      </w:pPr>
    </w:p>
    <w:p w14:paraId="10526B58" w14:textId="77777777" w:rsidR="00C77B3E" w:rsidRPr="00C77B3E" w:rsidRDefault="00C77B3E" w:rsidP="00C77B3E">
      <w:pPr>
        <w:rPr>
          <w:lang w:val="en-GB"/>
        </w:rPr>
      </w:pPr>
    </w:p>
    <w:p w14:paraId="276AC999" w14:textId="77777777" w:rsidR="00E12EE5" w:rsidRPr="006645DC" w:rsidRDefault="00E12EE5" w:rsidP="004C2574">
      <w:pPr>
        <w:pStyle w:val="Heading3"/>
        <w:rPr>
          <w:lang w:val="en-GB"/>
        </w:rPr>
      </w:pPr>
      <w:bookmarkStart w:id="1430" w:name="_Toc254543815"/>
      <w:r w:rsidRPr="006645DC">
        <w:rPr>
          <w:lang w:val="en-GB"/>
        </w:rPr>
        <w:lastRenderedPageBreak/>
        <w:t>Needs</w:t>
      </w:r>
      <w:bookmarkEnd w:id="1430"/>
    </w:p>
    <w:tbl>
      <w:tblPr>
        <w:tblW w:w="5000" w:type="pct"/>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663"/>
        <w:gridCol w:w="4708"/>
        <w:gridCol w:w="1053"/>
        <w:gridCol w:w="1053"/>
        <w:gridCol w:w="1055"/>
        <w:gridCol w:w="1044"/>
      </w:tblGrid>
      <w:tr w:rsidR="00E12EE5" w:rsidRPr="006645DC" w14:paraId="5B49AE9A" w14:textId="77777777" w:rsidTr="00C77B3E">
        <w:trPr>
          <w:jc w:val="center"/>
        </w:trPr>
        <w:tc>
          <w:tcPr>
            <w:tcW w:w="346" w:type="pct"/>
            <w:vMerge w:val="restart"/>
            <w:tcBorders>
              <w:bottom w:val="single" w:sz="8" w:space="0" w:color="4BACC6" w:themeColor="accent5"/>
            </w:tcBorders>
            <w:vAlign w:val="center"/>
            <w:hideMark/>
          </w:tcPr>
          <w:p w14:paraId="46C4C4DA" w14:textId="77777777" w:rsidR="00E12EE5" w:rsidRPr="006645DC" w:rsidRDefault="00E12EE5" w:rsidP="00E12EE5">
            <w:pPr>
              <w:spacing w:before="0" w:after="0"/>
              <w:jc w:val="center"/>
              <w:rPr>
                <w:rFonts w:asciiTheme="minorHAnsi" w:hAnsiTheme="minorHAnsi" w:cstheme="minorHAnsi"/>
                <w:b/>
                <w:lang w:val="en-GB"/>
              </w:rPr>
            </w:pPr>
            <w:r w:rsidRPr="006645DC">
              <w:rPr>
                <w:rFonts w:asciiTheme="minorHAnsi" w:hAnsiTheme="minorHAnsi" w:cstheme="minorHAnsi"/>
                <w:b/>
                <w:lang w:val="en-GB"/>
              </w:rPr>
              <w:t>No.</w:t>
            </w:r>
          </w:p>
        </w:tc>
        <w:tc>
          <w:tcPr>
            <w:tcW w:w="2458" w:type="pct"/>
            <w:vMerge w:val="restart"/>
            <w:tcBorders>
              <w:bottom w:val="single" w:sz="8" w:space="0" w:color="4BACC6" w:themeColor="accent5"/>
            </w:tcBorders>
            <w:vAlign w:val="center"/>
            <w:hideMark/>
          </w:tcPr>
          <w:p w14:paraId="05C0C9F9" w14:textId="77777777" w:rsidR="00E12EE5" w:rsidRPr="006645DC" w:rsidRDefault="00E12EE5" w:rsidP="00E12EE5">
            <w:pPr>
              <w:spacing w:before="0" w:after="0"/>
              <w:rPr>
                <w:rFonts w:asciiTheme="minorHAnsi" w:hAnsiTheme="minorHAnsi" w:cstheme="minorHAnsi"/>
                <w:b/>
                <w:lang w:val="en-GB"/>
              </w:rPr>
            </w:pPr>
            <w:r w:rsidRPr="006645DC">
              <w:rPr>
                <w:rFonts w:asciiTheme="minorHAnsi" w:hAnsiTheme="minorHAnsi" w:cstheme="minorHAnsi"/>
                <w:b/>
                <w:lang w:val="en-GB"/>
              </w:rPr>
              <w:t>Identified need</w:t>
            </w:r>
          </w:p>
        </w:tc>
        <w:tc>
          <w:tcPr>
            <w:tcW w:w="1100" w:type="pct"/>
            <w:gridSpan w:val="2"/>
            <w:vAlign w:val="center"/>
            <w:hideMark/>
          </w:tcPr>
          <w:p w14:paraId="501102B7" w14:textId="77777777" w:rsidR="00E12EE5" w:rsidRPr="006645DC" w:rsidRDefault="00E12EE5" w:rsidP="00E12EE5">
            <w:pPr>
              <w:spacing w:before="0" w:after="0"/>
              <w:jc w:val="center"/>
              <w:rPr>
                <w:rFonts w:asciiTheme="minorHAnsi" w:hAnsiTheme="minorHAnsi" w:cstheme="minorHAnsi"/>
                <w:b/>
                <w:lang w:val="en-GB"/>
              </w:rPr>
            </w:pPr>
            <w:r w:rsidRPr="006645DC">
              <w:rPr>
                <w:rFonts w:asciiTheme="minorHAnsi" w:hAnsiTheme="minorHAnsi" w:cstheme="minorHAnsi"/>
                <w:b/>
                <w:lang w:val="en-GB"/>
              </w:rPr>
              <w:t>Relevance for each national cross-border area</w:t>
            </w:r>
          </w:p>
        </w:tc>
        <w:tc>
          <w:tcPr>
            <w:tcW w:w="1097" w:type="pct"/>
            <w:gridSpan w:val="2"/>
            <w:vAlign w:val="center"/>
            <w:hideMark/>
          </w:tcPr>
          <w:p w14:paraId="37A1F53B" w14:textId="77777777" w:rsidR="00E12EE5" w:rsidRPr="006645DC" w:rsidRDefault="00E12EE5" w:rsidP="00E12EE5">
            <w:pPr>
              <w:spacing w:before="0" w:after="0"/>
              <w:jc w:val="center"/>
              <w:rPr>
                <w:rFonts w:asciiTheme="minorHAnsi" w:hAnsiTheme="minorHAnsi" w:cstheme="minorHAnsi"/>
                <w:b/>
                <w:lang w:val="en-GB"/>
              </w:rPr>
            </w:pPr>
            <w:r w:rsidRPr="006645DC">
              <w:rPr>
                <w:rFonts w:asciiTheme="minorHAnsi" w:hAnsiTheme="minorHAnsi" w:cstheme="minorHAnsi"/>
                <w:b/>
                <w:lang w:val="en-GB"/>
              </w:rPr>
              <w:t>Relevance for the ERDF Thematic Objectives</w:t>
            </w:r>
          </w:p>
        </w:tc>
      </w:tr>
      <w:tr w:rsidR="00E12EE5" w:rsidRPr="006645DC" w14:paraId="0FFF4DEB" w14:textId="77777777" w:rsidTr="00C77B3E">
        <w:trPr>
          <w:jc w:val="center"/>
        </w:trPr>
        <w:tc>
          <w:tcPr>
            <w:tcW w:w="346" w:type="pct"/>
            <w:vMerge/>
            <w:vAlign w:val="center"/>
            <w:hideMark/>
          </w:tcPr>
          <w:p w14:paraId="34BC1F71" w14:textId="77777777" w:rsidR="00E12EE5" w:rsidRPr="006645DC" w:rsidRDefault="00E12EE5" w:rsidP="00E12EE5">
            <w:pPr>
              <w:spacing w:before="0" w:after="0"/>
              <w:jc w:val="left"/>
              <w:rPr>
                <w:rFonts w:eastAsiaTheme="majorEastAsia" w:cstheme="minorHAnsi"/>
                <w:b/>
                <w:bCs/>
                <w:lang w:val="en-GB"/>
              </w:rPr>
            </w:pPr>
          </w:p>
        </w:tc>
        <w:tc>
          <w:tcPr>
            <w:tcW w:w="2458" w:type="pct"/>
            <w:vMerge/>
            <w:vAlign w:val="center"/>
            <w:hideMark/>
          </w:tcPr>
          <w:p w14:paraId="300EEF32" w14:textId="77777777" w:rsidR="00E12EE5" w:rsidRPr="006645DC" w:rsidRDefault="00E12EE5" w:rsidP="00E12EE5">
            <w:pPr>
              <w:spacing w:before="0" w:after="0"/>
              <w:jc w:val="left"/>
              <w:rPr>
                <w:rFonts w:eastAsiaTheme="majorEastAsia" w:cstheme="minorHAnsi"/>
                <w:b/>
                <w:bCs/>
                <w:lang w:val="en-GB"/>
              </w:rPr>
            </w:pPr>
          </w:p>
        </w:tc>
        <w:tc>
          <w:tcPr>
            <w:tcW w:w="550" w:type="pct"/>
            <w:vAlign w:val="center"/>
            <w:hideMark/>
          </w:tcPr>
          <w:p w14:paraId="47FB0D08" w14:textId="77777777" w:rsidR="00E12EE5" w:rsidRPr="006645DC" w:rsidRDefault="00E12EE5" w:rsidP="00A4740C">
            <w:pPr>
              <w:keepNext/>
              <w:keepLines/>
              <w:spacing w:before="0" w:after="0"/>
              <w:outlineLvl w:val="1"/>
              <w:rPr>
                <w:rFonts w:cstheme="minorHAnsi"/>
                <w:b/>
                <w:lang w:val="en-GB"/>
              </w:rPr>
            </w:pPr>
            <w:bookmarkStart w:id="1431" w:name="_Toc376199601"/>
            <w:r w:rsidRPr="006645DC">
              <w:rPr>
                <w:rFonts w:cstheme="minorHAnsi"/>
                <w:b/>
                <w:lang w:val="en-GB"/>
              </w:rPr>
              <w:t>RO</w:t>
            </w:r>
            <w:bookmarkEnd w:id="1431"/>
          </w:p>
        </w:tc>
        <w:tc>
          <w:tcPr>
            <w:tcW w:w="550" w:type="pct"/>
            <w:vAlign w:val="center"/>
            <w:hideMark/>
          </w:tcPr>
          <w:p w14:paraId="052FCAC5" w14:textId="77777777" w:rsidR="00E12EE5" w:rsidRPr="006645DC" w:rsidRDefault="00E12EE5" w:rsidP="00A4740C">
            <w:pPr>
              <w:keepNext/>
              <w:keepLines/>
              <w:spacing w:before="0" w:after="0"/>
              <w:outlineLvl w:val="1"/>
              <w:rPr>
                <w:rFonts w:cstheme="minorHAnsi"/>
                <w:b/>
                <w:lang w:val="en-GB"/>
              </w:rPr>
            </w:pPr>
            <w:bookmarkStart w:id="1432" w:name="_Toc376199602"/>
            <w:r w:rsidRPr="006645DC">
              <w:rPr>
                <w:rFonts w:cstheme="minorHAnsi"/>
                <w:b/>
                <w:lang w:val="en-GB"/>
              </w:rPr>
              <w:t>BG</w:t>
            </w:r>
            <w:bookmarkEnd w:id="1432"/>
          </w:p>
        </w:tc>
        <w:tc>
          <w:tcPr>
            <w:tcW w:w="551" w:type="pct"/>
            <w:vAlign w:val="center"/>
            <w:hideMark/>
          </w:tcPr>
          <w:p w14:paraId="15829966" w14:textId="77777777" w:rsidR="00E12EE5" w:rsidRPr="006645DC" w:rsidRDefault="00E12EE5" w:rsidP="00A4740C">
            <w:pPr>
              <w:keepNext/>
              <w:keepLines/>
              <w:spacing w:before="0" w:after="0"/>
              <w:outlineLvl w:val="1"/>
              <w:rPr>
                <w:rFonts w:cstheme="minorHAnsi"/>
                <w:b/>
                <w:lang w:val="en-GB"/>
              </w:rPr>
            </w:pPr>
            <w:bookmarkStart w:id="1433" w:name="_Toc376199603"/>
            <w:r w:rsidRPr="006645DC">
              <w:rPr>
                <w:rFonts w:cstheme="minorHAnsi"/>
                <w:b/>
                <w:lang w:val="en-GB"/>
              </w:rPr>
              <w:t>TO4</w:t>
            </w:r>
            <w:bookmarkEnd w:id="1433"/>
          </w:p>
        </w:tc>
        <w:tc>
          <w:tcPr>
            <w:tcW w:w="546" w:type="pct"/>
            <w:vAlign w:val="center"/>
            <w:hideMark/>
          </w:tcPr>
          <w:p w14:paraId="4E438983" w14:textId="77777777" w:rsidR="00E12EE5" w:rsidRPr="006645DC" w:rsidRDefault="00E12EE5" w:rsidP="00A4740C">
            <w:pPr>
              <w:spacing w:before="0" w:after="0"/>
              <w:rPr>
                <w:rFonts w:cstheme="minorHAnsi"/>
                <w:b/>
                <w:lang w:val="en-GB"/>
              </w:rPr>
            </w:pPr>
            <w:r w:rsidRPr="006645DC">
              <w:rPr>
                <w:rFonts w:cstheme="minorHAnsi"/>
                <w:b/>
                <w:lang w:val="en-GB"/>
              </w:rPr>
              <w:t>TO5</w:t>
            </w:r>
          </w:p>
        </w:tc>
      </w:tr>
      <w:tr w:rsidR="00E12EE5" w:rsidRPr="006645DC" w14:paraId="0AC7FE97" w14:textId="77777777" w:rsidTr="00C77B3E">
        <w:trPr>
          <w:jc w:val="center"/>
        </w:trPr>
        <w:tc>
          <w:tcPr>
            <w:tcW w:w="346" w:type="pct"/>
            <w:vAlign w:val="center"/>
            <w:hideMark/>
          </w:tcPr>
          <w:p w14:paraId="505CF65A" w14:textId="77777777" w:rsidR="00E12EE5" w:rsidRPr="006645DC" w:rsidRDefault="00E12EE5" w:rsidP="00E12EE5">
            <w:pPr>
              <w:spacing w:before="0" w:after="0"/>
              <w:jc w:val="center"/>
              <w:rPr>
                <w:rFonts w:asciiTheme="minorHAnsi" w:hAnsiTheme="minorHAnsi" w:cstheme="minorHAnsi"/>
                <w:lang w:val="en-GB"/>
              </w:rPr>
            </w:pPr>
            <w:r w:rsidRPr="006645DC">
              <w:rPr>
                <w:rFonts w:asciiTheme="minorHAnsi" w:hAnsiTheme="minorHAnsi" w:cstheme="minorHAnsi"/>
                <w:lang w:val="en-GB"/>
              </w:rPr>
              <w:t>1</w:t>
            </w:r>
          </w:p>
        </w:tc>
        <w:tc>
          <w:tcPr>
            <w:tcW w:w="2458" w:type="pct"/>
            <w:vAlign w:val="center"/>
            <w:hideMark/>
          </w:tcPr>
          <w:p w14:paraId="1963CD90" w14:textId="77777777" w:rsidR="00E12EE5" w:rsidRPr="006645DC" w:rsidRDefault="00E12EE5" w:rsidP="00E12EE5">
            <w:pPr>
              <w:pStyle w:val="BodyText"/>
              <w:keepNext/>
              <w:keepLines/>
              <w:outlineLvl w:val="1"/>
              <w:rPr>
                <w:rFonts w:asciiTheme="minorHAnsi" w:hAnsiTheme="minorHAnsi" w:cstheme="minorHAnsi"/>
                <w:sz w:val="22"/>
                <w:szCs w:val="22"/>
                <w:lang w:val="en-GB"/>
              </w:rPr>
            </w:pPr>
            <w:bookmarkStart w:id="1434" w:name="_Toc376199604"/>
            <w:r w:rsidRPr="006645DC">
              <w:rPr>
                <w:rFonts w:asciiTheme="minorHAnsi" w:hAnsiTheme="minorHAnsi" w:cstheme="minorHAnsi"/>
                <w:sz w:val="22"/>
                <w:szCs w:val="22"/>
                <w:lang w:val="en-GB"/>
              </w:rPr>
              <w:t>Support the planning, development and implementation of preventive actions in accordance with the developed local or regional strategies</w:t>
            </w:r>
            <w:bookmarkEnd w:id="1434"/>
          </w:p>
        </w:tc>
        <w:tc>
          <w:tcPr>
            <w:tcW w:w="550" w:type="pct"/>
            <w:vAlign w:val="center"/>
            <w:hideMark/>
          </w:tcPr>
          <w:p w14:paraId="24D1D240" w14:textId="77777777" w:rsidR="00E12EE5" w:rsidRPr="006645DC" w:rsidRDefault="00E12EE5" w:rsidP="00A4740C">
            <w:pPr>
              <w:keepNext/>
              <w:keepLines/>
              <w:spacing w:before="0" w:after="0"/>
              <w:jc w:val="center"/>
              <w:outlineLvl w:val="1"/>
              <w:rPr>
                <w:rFonts w:cstheme="minorHAnsi"/>
                <w:lang w:val="en-GB"/>
              </w:rPr>
            </w:pPr>
            <w:bookmarkStart w:id="1435" w:name="_Toc376199605"/>
            <w:r w:rsidRPr="006645DC">
              <w:rPr>
                <w:rFonts w:cstheme="minorHAnsi"/>
                <w:lang w:val="en-GB"/>
              </w:rPr>
              <w:t>++</w:t>
            </w:r>
            <w:bookmarkEnd w:id="1435"/>
          </w:p>
        </w:tc>
        <w:tc>
          <w:tcPr>
            <w:tcW w:w="550" w:type="pct"/>
            <w:vAlign w:val="center"/>
            <w:hideMark/>
          </w:tcPr>
          <w:p w14:paraId="207B98ED" w14:textId="77777777" w:rsidR="00E12EE5" w:rsidRPr="006645DC" w:rsidRDefault="00E12EE5" w:rsidP="00A4740C">
            <w:pPr>
              <w:keepNext/>
              <w:keepLines/>
              <w:spacing w:before="0" w:after="0"/>
              <w:jc w:val="center"/>
              <w:outlineLvl w:val="1"/>
              <w:rPr>
                <w:rFonts w:cstheme="minorHAnsi"/>
                <w:lang w:val="en-GB"/>
              </w:rPr>
            </w:pPr>
            <w:bookmarkStart w:id="1436" w:name="_Toc376199606"/>
            <w:r w:rsidRPr="006645DC">
              <w:rPr>
                <w:rFonts w:cstheme="minorHAnsi"/>
                <w:lang w:val="en-GB"/>
              </w:rPr>
              <w:t>++</w:t>
            </w:r>
            <w:bookmarkEnd w:id="1436"/>
          </w:p>
        </w:tc>
        <w:tc>
          <w:tcPr>
            <w:tcW w:w="551" w:type="pct"/>
            <w:vAlign w:val="center"/>
          </w:tcPr>
          <w:p w14:paraId="40A66E00" w14:textId="77777777" w:rsidR="00E12EE5" w:rsidRPr="006645DC" w:rsidRDefault="00E12EE5" w:rsidP="00A4740C">
            <w:pPr>
              <w:spacing w:before="0" w:after="0"/>
              <w:jc w:val="center"/>
              <w:rPr>
                <w:rFonts w:cstheme="minorHAnsi"/>
                <w:b/>
                <w:lang w:val="en-GB"/>
              </w:rPr>
            </w:pPr>
          </w:p>
        </w:tc>
        <w:tc>
          <w:tcPr>
            <w:tcW w:w="546" w:type="pct"/>
            <w:vAlign w:val="center"/>
            <w:hideMark/>
          </w:tcPr>
          <w:p w14:paraId="4BD6CECA" w14:textId="77777777" w:rsidR="00E12EE5" w:rsidRPr="006645DC" w:rsidRDefault="00E12EE5" w:rsidP="00A4740C">
            <w:pPr>
              <w:keepNext/>
              <w:keepLines/>
              <w:spacing w:before="0" w:after="0"/>
              <w:jc w:val="center"/>
              <w:outlineLvl w:val="1"/>
              <w:rPr>
                <w:rFonts w:cstheme="minorHAnsi"/>
                <w:b/>
                <w:lang w:val="en-GB"/>
              </w:rPr>
            </w:pPr>
            <w:bookmarkStart w:id="1437" w:name="_Toc376199607"/>
            <w:r w:rsidRPr="006645DC">
              <w:rPr>
                <w:rFonts w:cstheme="minorHAnsi"/>
                <w:b/>
                <w:lang w:val="en-GB"/>
              </w:rPr>
              <w:t>√</w:t>
            </w:r>
            <w:bookmarkEnd w:id="1437"/>
          </w:p>
        </w:tc>
      </w:tr>
      <w:tr w:rsidR="00E12EE5" w:rsidRPr="006645DC" w14:paraId="552B5178" w14:textId="77777777" w:rsidTr="00C77B3E">
        <w:trPr>
          <w:jc w:val="center"/>
        </w:trPr>
        <w:tc>
          <w:tcPr>
            <w:tcW w:w="346" w:type="pct"/>
            <w:vAlign w:val="center"/>
            <w:hideMark/>
          </w:tcPr>
          <w:p w14:paraId="357EAD37" w14:textId="77777777" w:rsidR="00E12EE5" w:rsidRPr="006645DC" w:rsidRDefault="00E12EE5" w:rsidP="00E12EE5">
            <w:pPr>
              <w:keepNext/>
              <w:keepLines/>
              <w:spacing w:before="0" w:after="0"/>
              <w:jc w:val="center"/>
              <w:outlineLvl w:val="1"/>
              <w:rPr>
                <w:rFonts w:asciiTheme="minorHAnsi" w:hAnsiTheme="minorHAnsi" w:cstheme="minorHAnsi"/>
                <w:lang w:val="en-GB"/>
              </w:rPr>
            </w:pPr>
            <w:bookmarkStart w:id="1438" w:name="_Toc376199608"/>
            <w:r w:rsidRPr="006645DC">
              <w:rPr>
                <w:rFonts w:asciiTheme="minorHAnsi" w:hAnsiTheme="minorHAnsi" w:cstheme="minorHAnsi"/>
                <w:lang w:val="en-GB"/>
              </w:rPr>
              <w:t>2</w:t>
            </w:r>
            <w:bookmarkEnd w:id="1438"/>
          </w:p>
        </w:tc>
        <w:tc>
          <w:tcPr>
            <w:tcW w:w="2458" w:type="pct"/>
            <w:vAlign w:val="center"/>
            <w:hideMark/>
          </w:tcPr>
          <w:p w14:paraId="57C7DFF6" w14:textId="77777777" w:rsidR="00E12EE5" w:rsidRPr="006645DC" w:rsidRDefault="00E12EE5" w:rsidP="00E12EE5">
            <w:pPr>
              <w:pStyle w:val="BodyText"/>
              <w:keepNext/>
              <w:keepLines/>
              <w:outlineLvl w:val="1"/>
              <w:rPr>
                <w:rFonts w:asciiTheme="minorHAnsi" w:hAnsiTheme="minorHAnsi" w:cstheme="minorHAnsi"/>
                <w:sz w:val="22"/>
                <w:szCs w:val="22"/>
                <w:lang w:val="en-GB"/>
              </w:rPr>
            </w:pPr>
            <w:bookmarkStart w:id="1439" w:name="_Toc376199609"/>
            <w:r w:rsidRPr="006645DC">
              <w:rPr>
                <w:rFonts w:asciiTheme="minorHAnsi" w:hAnsiTheme="minorHAnsi" w:cstheme="minorHAnsi"/>
                <w:sz w:val="22"/>
                <w:szCs w:val="22"/>
                <w:lang w:val="en-GB"/>
              </w:rPr>
              <w:t>Increase the spread of renewable energy sources, where possible and environmentally sustainable, in order to reduce greenhouse gas emissions</w:t>
            </w:r>
            <w:bookmarkEnd w:id="1439"/>
          </w:p>
        </w:tc>
        <w:tc>
          <w:tcPr>
            <w:tcW w:w="550" w:type="pct"/>
            <w:vAlign w:val="center"/>
            <w:hideMark/>
          </w:tcPr>
          <w:p w14:paraId="29E7B710" w14:textId="4D8437B3" w:rsidR="00E12EE5" w:rsidRPr="006645DC" w:rsidRDefault="00E12EE5" w:rsidP="00A4740C">
            <w:pPr>
              <w:keepNext/>
              <w:keepLines/>
              <w:spacing w:before="0" w:after="0"/>
              <w:jc w:val="center"/>
              <w:outlineLvl w:val="1"/>
              <w:rPr>
                <w:rFonts w:cstheme="minorHAnsi"/>
                <w:lang w:val="en-GB"/>
              </w:rPr>
            </w:pPr>
            <w:bookmarkStart w:id="1440" w:name="_Toc376199610"/>
            <w:r w:rsidRPr="006645DC">
              <w:rPr>
                <w:rFonts w:cstheme="minorHAnsi"/>
                <w:lang w:val="en-GB"/>
              </w:rPr>
              <w:t>++</w:t>
            </w:r>
            <w:bookmarkEnd w:id="1440"/>
          </w:p>
        </w:tc>
        <w:tc>
          <w:tcPr>
            <w:tcW w:w="550" w:type="pct"/>
            <w:vAlign w:val="center"/>
            <w:hideMark/>
          </w:tcPr>
          <w:p w14:paraId="39669A5C" w14:textId="6459BF64" w:rsidR="00E12EE5" w:rsidRPr="006645DC" w:rsidRDefault="00E12EE5" w:rsidP="00A4740C">
            <w:pPr>
              <w:keepNext/>
              <w:keepLines/>
              <w:spacing w:before="0" w:after="0"/>
              <w:jc w:val="center"/>
              <w:outlineLvl w:val="1"/>
              <w:rPr>
                <w:rFonts w:cstheme="minorHAnsi"/>
                <w:lang w:val="en-GB"/>
              </w:rPr>
            </w:pPr>
            <w:bookmarkStart w:id="1441" w:name="_Toc376199611"/>
            <w:r w:rsidRPr="006645DC">
              <w:rPr>
                <w:rFonts w:cstheme="minorHAnsi"/>
                <w:lang w:val="en-GB"/>
              </w:rPr>
              <w:t>++</w:t>
            </w:r>
            <w:bookmarkEnd w:id="1441"/>
          </w:p>
        </w:tc>
        <w:tc>
          <w:tcPr>
            <w:tcW w:w="551" w:type="pct"/>
            <w:vAlign w:val="center"/>
            <w:hideMark/>
          </w:tcPr>
          <w:p w14:paraId="303C8215" w14:textId="77777777" w:rsidR="00E12EE5" w:rsidRPr="006645DC" w:rsidRDefault="00E12EE5" w:rsidP="00A4740C">
            <w:pPr>
              <w:keepNext/>
              <w:keepLines/>
              <w:spacing w:before="0" w:after="0"/>
              <w:jc w:val="center"/>
              <w:outlineLvl w:val="1"/>
              <w:rPr>
                <w:rFonts w:cstheme="minorHAnsi"/>
                <w:b/>
                <w:lang w:val="en-GB"/>
              </w:rPr>
            </w:pPr>
            <w:bookmarkStart w:id="1442" w:name="_Toc376199612"/>
            <w:r w:rsidRPr="006645DC">
              <w:rPr>
                <w:rFonts w:cstheme="minorHAnsi"/>
                <w:b/>
                <w:lang w:val="en-GB"/>
              </w:rPr>
              <w:t>√</w:t>
            </w:r>
            <w:bookmarkEnd w:id="1442"/>
          </w:p>
        </w:tc>
        <w:tc>
          <w:tcPr>
            <w:tcW w:w="546" w:type="pct"/>
            <w:vAlign w:val="center"/>
            <w:hideMark/>
          </w:tcPr>
          <w:p w14:paraId="1C571E1F" w14:textId="44ECDA6C" w:rsidR="00E12EE5" w:rsidRPr="006645DC" w:rsidRDefault="00E12EE5" w:rsidP="00A4740C">
            <w:pPr>
              <w:keepNext/>
              <w:keepLines/>
              <w:spacing w:before="0" w:after="0"/>
              <w:jc w:val="center"/>
              <w:outlineLvl w:val="1"/>
              <w:rPr>
                <w:rFonts w:cstheme="minorHAnsi"/>
                <w:b/>
                <w:lang w:val="en-GB"/>
              </w:rPr>
            </w:pPr>
          </w:p>
        </w:tc>
      </w:tr>
      <w:tr w:rsidR="00E12EE5" w:rsidRPr="006645DC" w14:paraId="264B3BED" w14:textId="77777777" w:rsidTr="00C77B3E">
        <w:trPr>
          <w:jc w:val="center"/>
        </w:trPr>
        <w:tc>
          <w:tcPr>
            <w:tcW w:w="346" w:type="pct"/>
            <w:vAlign w:val="center"/>
            <w:hideMark/>
          </w:tcPr>
          <w:p w14:paraId="79E149FF" w14:textId="77777777" w:rsidR="00E12EE5" w:rsidRPr="006645DC" w:rsidRDefault="00E12EE5" w:rsidP="00E12EE5">
            <w:pPr>
              <w:keepNext/>
              <w:keepLines/>
              <w:spacing w:before="0" w:after="0"/>
              <w:jc w:val="center"/>
              <w:outlineLvl w:val="1"/>
              <w:rPr>
                <w:rFonts w:asciiTheme="minorHAnsi" w:hAnsiTheme="minorHAnsi" w:cstheme="minorHAnsi"/>
                <w:lang w:val="en-GB"/>
              </w:rPr>
            </w:pPr>
            <w:bookmarkStart w:id="1443" w:name="_Toc376199614"/>
            <w:r w:rsidRPr="006645DC">
              <w:rPr>
                <w:rFonts w:asciiTheme="minorHAnsi" w:hAnsiTheme="minorHAnsi" w:cstheme="minorHAnsi"/>
                <w:lang w:val="en-GB"/>
              </w:rPr>
              <w:t>3</w:t>
            </w:r>
            <w:bookmarkEnd w:id="1443"/>
          </w:p>
        </w:tc>
        <w:tc>
          <w:tcPr>
            <w:tcW w:w="2458" w:type="pct"/>
            <w:vAlign w:val="center"/>
            <w:hideMark/>
          </w:tcPr>
          <w:p w14:paraId="52E0C0EF" w14:textId="77777777" w:rsidR="00E12EE5" w:rsidRPr="006645DC" w:rsidRDefault="00E12EE5" w:rsidP="00E12EE5">
            <w:pPr>
              <w:pStyle w:val="BodyText"/>
              <w:keepNext/>
              <w:keepLines/>
              <w:outlineLvl w:val="1"/>
              <w:rPr>
                <w:rFonts w:asciiTheme="minorHAnsi" w:hAnsiTheme="minorHAnsi" w:cstheme="minorHAnsi"/>
                <w:sz w:val="22"/>
                <w:szCs w:val="22"/>
                <w:lang w:val="en-GB"/>
              </w:rPr>
            </w:pPr>
            <w:bookmarkStart w:id="1444" w:name="_Toc376199615"/>
            <w:r w:rsidRPr="006645DC">
              <w:rPr>
                <w:rFonts w:asciiTheme="minorHAnsi" w:hAnsiTheme="minorHAnsi" w:cstheme="minorHAnsi"/>
                <w:sz w:val="22"/>
                <w:szCs w:val="22"/>
                <w:lang w:val="en-GB"/>
              </w:rPr>
              <w:t>Pursue the development of an efficient economy with low carbon intensity</w:t>
            </w:r>
            <w:bookmarkEnd w:id="1444"/>
          </w:p>
        </w:tc>
        <w:tc>
          <w:tcPr>
            <w:tcW w:w="550" w:type="pct"/>
            <w:vAlign w:val="center"/>
            <w:hideMark/>
          </w:tcPr>
          <w:p w14:paraId="13567010" w14:textId="26A7529B" w:rsidR="00E12EE5" w:rsidRPr="006645DC" w:rsidRDefault="00C77B3E" w:rsidP="00A4740C">
            <w:pPr>
              <w:keepNext/>
              <w:keepLines/>
              <w:spacing w:before="0" w:after="0"/>
              <w:jc w:val="center"/>
              <w:outlineLvl w:val="1"/>
              <w:rPr>
                <w:rFonts w:cstheme="minorHAnsi"/>
                <w:lang w:val="en-GB"/>
              </w:rPr>
            </w:pPr>
            <w:bookmarkStart w:id="1445" w:name="_Toc376199616"/>
            <w:r>
              <w:rPr>
                <w:rFonts w:cstheme="minorHAnsi"/>
                <w:lang w:val="en-GB"/>
              </w:rPr>
              <w:t>+</w:t>
            </w:r>
            <w:r w:rsidR="00E12EE5" w:rsidRPr="006645DC">
              <w:rPr>
                <w:rFonts w:cstheme="minorHAnsi"/>
                <w:lang w:val="en-GB"/>
              </w:rPr>
              <w:t>+</w:t>
            </w:r>
            <w:bookmarkEnd w:id="1445"/>
          </w:p>
        </w:tc>
        <w:tc>
          <w:tcPr>
            <w:tcW w:w="550" w:type="pct"/>
            <w:vAlign w:val="center"/>
            <w:hideMark/>
          </w:tcPr>
          <w:p w14:paraId="7615C41D" w14:textId="621058B6" w:rsidR="00E12EE5" w:rsidRPr="006645DC" w:rsidRDefault="00E12EE5" w:rsidP="00A4740C">
            <w:pPr>
              <w:keepNext/>
              <w:keepLines/>
              <w:spacing w:before="0" w:after="0"/>
              <w:jc w:val="center"/>
              <w:outlineLvl w:val="1"/>
              <w:rPr>
                <w:rFonts w:cstheme="minorHAnsi"/>
                <w:lang w:val="en-GB"/>
              </w:rPr>
            </w:pPr>
            <w:bookmarkStart w:id="1446" w:name="_Toc376199617"/>
            <w:r w:rsidRPr="006645DC">
              <w:rPr>
                <w:rFonts w:cstheme="minorHAnsi"/>
                <w:lang w:val="en-GB"/>
              </w:rPr>
              <w:t>++</w:t>
            </w:r>
            <w:bookmarkEnd w:id="1446"/>
          </w:p>
        </w:tc>
        <w:tc>
          <w:tcPr>
            <w:tcW w:w="551" w:type="pct"/>
            <w:vAlign w:val="center"/>
            <w:hideMark/>
          </w:tcPr>
          <w:p w14:paraId="3C11967B" w14:textId="77777777" w:rsidR="00E12EE5" w:rsidRPr="006645DC" w:rsidRDefault="00E12EE5" w:rsidP="00A4740C">
            <w:pPr>
              <w:keepNext/>
              <w:keepLines/>
              <w:spacing w:before="0" w:after="0"/>
              <w:jc w:val="center"/>
              <w:outlineLvl w:val="1"/>
              <w:rPr>
                <w:rFonts w:cstheme="minorHAnsi"/>
                <w:b/>
                <w:lang w:val="en-GB"/>
              </w:rPr>
            </w:pPr>
            <w:bookmarkStart w:id="1447" w:name="_Toc376199618"/>
            <w:r w:rsidRPr="006645DC">
              <w:rPr>
                <w:rFonts w:cstheme="minorHAnsi"/>
                <w:b/>
                <w:lang w:val="en-GB"/>
              </w:rPr>
              <w:t>√</w:t>
            </w:r>
            <w:bookmarkEnd w:id="1447"/>
          </w:p>
        </w:tc>
        <w:tc>
          <w:tcPr>
            <w:tcW w:w="546" w:type="pct"/>
            <w:vAlign w:val="center"/>
          </w:tcPr>
          <w:p w14:paraId="09C6AF99" w14:textId="77777777" w:rsidR="00E12EE5" w:rsidRPr="006645DC" w:rsidRDefault="00E12EE5" w:rsidP="00A4740C">
            <w:pPr>
              <w:spacing w:before="0" w:after="0"/>
              <w:jc w:val="center"/>
              <w:rPr>
                <w:rFonts w:cstheme="minorHAnsi"/>
                <w:b/>
                <w:lang w:val="en-GB"/>
              </w:rPr>
            </w:pPr>
          </w:p>
        </w:tc>
      </w:tr>
      <w:tr w:rsidR="00E12EE5" w:rsidRPr="006645DC" w14:paraId="6B1A00B6" w14:textId="77777777" w:rsidTr="00C77B3E">
        <w:trPr>
          <w:jc w:val="center"/>
        </w:trPr>
        <w:tc>
          <w:tcPr>
            <w:tcW w:w="346" w:type="pct"/>
            <w:vAlign w:val="center"/>
            <w:hideMark/>
          </w:tcPr>
          <w:p w14:paraId="2F46C78B" w14:textId="77777777" w:rsidR="00E12EE5" w:rsidRPr="006645DC" w:rsidRDefault="00E12EE5" w:rsidP="00E12EE5">
            <w:pPr>
              <w:keepNext/>
              <w:keepLines/>
              <w:spacing w:before="0" w:after="0"/>
              <w:jc w:val="center"/>
              <w:outlineLvl w:val="1"/>
              <w:rPr>
                <w:rFonts w:asciiTheme="minorHAnsi" w:hAnsiTheme="minorHAnsi" w:cstheme="minorHAnsi"/>
                <w:lang w:val="en-GB"/>
              </w:rPr>
            </w:pPr>
            <w:bookmarkStart w:id="1448" w:name="_Toc376199619"/>
            <w:r w:rsidRPr="006645DC">
              <w:rPr>
                <w:rFonts w:asciiTheme="minorHAnsi" w:hAnsiTheme="minorHAnsi" w:cstheme="minorHAnsi"/>
                <w:lang w:val="en-GB"/>
              </w:rPr>
              <w:t>4</w:t>
            </w:r>
            <w:bookmarkEnd w:id="1448"/>
          </w:p>
        </w:tc>
        <w:tc>
          <w:tcPr>
            <w:tcW w:w="2458" w:type="pct"/>
            <w:vAlign w:val="center"/>
            <w:hideMark/>
          </w:tcPr>
          <w:p w14:paraId="4961EE2C" w14:textId="77777777" w:rsidR="00E12EE5" w:rsidRPr="006645DC" w:rsidRDefault="00E12EE5" w:rsidP="00E12EE5">
            <w:pPr>
              <w:pStyle w:val="BodyText"/>
              <w:keepNext/>
              <w:keepLines/>
              <w:outlineLvl w:val="1"/>
              <w:rPr>
                <w:rFonts w:asciiTheme="minorHAnsi" w:hAnsiTheme="minorHAnsi" w:cstheme="minorHAnsi"/>
                <w:sz w:val="22"/>
                <w:szCs w:val="22"/>
                <w:lang w:val="en-GB"/>
              </w:rPr>
            </w:pPr>
            <w:bookmarkStart w:id="1449" w:name="_Toc376199620"/>
            <w:r w:rsidRPr="006645DC">
              <w:rPr>
                <w:rFonts w:asciiTheme="minorHAnsi" w:hAnsiTheme="minorHAnsi" w:cstheme="minorHAnsi"/>
                <w:sz w:val="22"/>
                <w:szCs w:val="22"/>
                <w:lang w:val="en-GB"/>
              </w:rPr>
              <w:t>Reduce the impact of climate change on natural environment to protect the existing biodiversity of the programme area</w:t>
            </w:r>
            <w:bookmarkEnd w:id="1449"/>
            <w:r w:rsidR="002A4570" w:rsidRPr="006645DC">
              <w:rPr>
                <w:rFonts w:asciiTheme="minorHAnsi" w:hAnsiTheme="minorHAnsi" w:cstheme="minorHAnsi"/>
                <w:sz w:val="22"/>
                <w:szCs w:val="22"/>
                <w:lang w:val="en-GB"/>
              </w:rPr>
              <w:t xml:space="preserve"> (e.g. increase small-scale investments)</w:t>
            </w:r>
          </w:p>
        </w:tc>
        <w:tc>
          <w:tcPr>
            <w:tcW w:w="550" w:type="pct"/>
            <w:vAlign w:val="center"/>
            <w:hideMark/>
          </w:tcPr>
          <w:p w14:paraId="4CFADD2F" w14:textId="77777777" w:rsidR="00E12EE5" w:rsidRPr="006645DC" w:rsidRDefault="00E12EE5" w:rsidP="00A4740C">
            <w:pPr>
              <w:keepNext/>
              <w:keepLines/>
              <w:spacing w:before="0" w:after="0"/>
              <w:jc w:val="center"/>
              <w:outlineLvl w:val="1"/>
              <w:rPr>
                <w:rFonts w:cstheme="minorHAnsi"/>
                <w:lang w:val="en-GB"/>
              </w:rPr>
            </w:pPr>
            <w:bookmarkStart w:id="1450" w:name="_Toc376199621"/>
            <w:r w:rsidRPr="006645DC">
              <w:rPr>
                <w:rFonts w:cstheme="minorHAnsi"/>
                <w:lang w:val="en-GB"/>
              </w:rPr>
              <w:t>++</w:t>
            </w:r>
            <w:bookmarkEnd w:id="1450"/>
            <w:r w:rsidR="00DC1A8E" w:rsidRPr="006645DC">
              <w:rPr>
                <w:rFonts w:cstheme="minorHAnsi"/>
                <w:lang w:val="en-GB"/>
              </w:rPr>
              <w:t>+</w:t>
            </w:r>
          </w:p>
        </w:tc>
        <w:tc>
          <w:tcPr>
            <w:tcW w:w="550" w:type="pct"/>
            <w:vAlign w:val="center"/>
            <w:hideMark/>
          </w:tcPr>
          <w:p w14:paraId="4F042DB0" w14:textId="77777777" w:rsidR="00E12EE5" w:rsidRPr="006645DC" w:rsidRDefault="00E12EE5" w:rsidP="00A4740C">
            <w:pPr>
              <w:keepNext/>
              <w:keepLines/>
              <w:spacing w:before="0" w:after="0"/>
              <w:jc w:val="center"/>
              <w:outlineLvl w:val="1"/>
              <w:rPr>
                <w:rFonts w:cstheme="minorHAnsi"/>
                <w:lang w:val="en-GB"/>
              </w:rPr>
            </w:pPr>
            <w:bookmarkStart w:id="1451" w:name="_Toc376199622"/>
            <w:r w:rsidRPr="006645DC">
              <w:rPr>
                <w:rFonts w:cstheme="minorHAnsi"/>
                <w:lang w:val="en-GB"/>
              </w:rPr>
              <w:t>++</w:t>
            </w:r>
            <w:bookmarkEnd w:id="1451"/>
            <w:r w:rsidR="00DC1A8E" w:rsidRPr="006645DC">
              <w:rPr>
                <w:rFonts w:cstheme="minorHAnsi"/>
                <w:lang w:val="en-GB"/>
              </w:rPr>
              <w:t>+</w:t>
            </w:r>
          </w:p>
        </w:tc>
        <w:tc>
          <w:tcPr>
            <w:tcW w:w="551" w:type="pct"/>
            <w:vAlign w:val="center"/>
          </w:tcPr>
          <w:p w14:paraId="6E599C11" w14:textId="77777777" w:rsidR="00E12EE5" w:rsidRPr="006645DC" w:rsidRDefault="00E12EE5" w:rsidP="00A4740C">
            <w:pPr>
              <w:spacing w:before="0" w:after="0"/>
              <w:jc w:val="center"/>
              <w:rPr>
                <w:rFonts w:cstheme="minorHAnsi"/>
                <w:b/>
                <w:lang w:val="en-GB"/>
              </w:rPr>
            </w:pPr>
          </w:p>
        </w:tc>
        <w:tc>
          <w:tcPr>
            <w:tcW w:w="546" w:type="pct"/>
            <w:vAlign w:val="center"/>
            <w:hideMark/>
          </w:tcPr>
          <w:p w14:paraId="7EC51DED" w14:textId="77777777" w:rsidR="00E12EE5" w:rsidRPr="006645DC" w:rsidRDefault="00E12EE5" w:rsidP="00A4740C">
            <w:pPr>
              <w:keepNext/>
              <w:keepLines/>
              <w:spacing w:before="0" w:after="0"/>
              <w:jc w:val="center"/>
              <w:outlineLvl w:val="1"/>
              <w:rPr>
                <w:rFonts w:cstheme="minorHAnsi"/>
                <w:b/>
                <w:lang w:val="en-GB"/>
              </w:rPr>
            </w:pPr>
            <w:bookmarkStart w:id="1452" w:name="_Toc376199623"/>
            <w:r w:rsidRPr="006645DC">
              <w:rPr>
                <w:rFonts w:cstheme="minorHAnsi"/>
                <w:b/>
                <w:lang w:val="en-GB"/>
              </w:rPr>
              <w:t>√</w:t>
            </w:r>
            <w:bookmarkEnd w:id="1452"/>
          </w:p>
        </w:tc>
      </w:tr>
      <w:tr w:rsidR="00E12EE5" w:rsidRPr="006645DC" w14:paraId="29DF8FB4" w14:textId="77777777" w:rsidTr="00C77B3E">
        <w:trPr>
          <w:jc w:val="center"/>
        </w:trPr>
        <w:tc>
          <w:tcPr>
            <w:tcW w:w="346" w:type="pct"/>
            <w:vAlign w:val="center"/>
            <w:hideMark/>
          </w:tcPr>
          <w:p w14:paraId="5F9A2A72" w14:textId="77777777" w:rsidR="00E12EE5" w:rsidRPr="006645DC" w:rsidRDefault="00E12EE5" w:rsidP="00E12EE5">
            <w:pPr>
              <w:keepNext/>
              <w:keepLines/>
              <w:spacing w:before="0" w:after="0"/>
              <w:jc w:val="center"/>
              <w:outlineLvl w:val="1"/>
              <w:rPr>
                <w:rFonts w:asciiTheme="minorHAnsi" w:hAnsiTheme="minorHAnsi" w:cstheme="minorHAnsi"/>
                <w:lang w:val="en-GB"/>
              </w:rPr>
            </w:pPr>
            <w:bookmarkStart w:id="1453" w:name="_Toc376199624"/>
            <w:r w:rsidRPr="006645DC">
              <w:rPr>
                <w:rFonts w:asciiTheme="minorHAnsi" w:hAnsiTheme="minorHAnsi" w:cstheme="minorHAnsi"/>
                <w:lang w:val="en-GB"/>
              </w:rPr>
              <w:t>5</w:t>
            </w:r>
            <w:bookmarkEnd w:id="1453"/>
          </w:p>
        </w:tc>
        <w:tc>
          <w:tcPr>
            <w:tcW w:w="2458" w:type="pct"/>
            <w:vAlign w:val="center"/>
            <w:hideMark/>
          </w:tcPr>
          <w:p w14:paraId="385B39A5" w14:textId="33D6F068" w:rsidR="00E12EE5" w:rsidRPr="006645DC" w:rsidRDefault="00E12EE5" w:rsidP="00806D57">
            <w:pPr>
              <w:pStyle w:val="BodyText"/>
              <w:keepNext/>
              <w:keepLines/>
              <w:outlineLvl w:val="1"/>
              <w:rPr>
                <w:rFonts w:asciiTheme="minorHAnsi" w:hAnsiTheme="minorHAnsi" w:cstheme="minorHAnsi"/>
                <w:sz w:val="22"/>
                <w:szCs w:val="22"/>
                <w:lang w:val="en-GB"/>
              </w:rPr>
            </w:pPr>
            <w:bookmarkStart w:id="1454" w:name="_Toc376199625"/>
            <w:r w:rsidRPr="006645DC">
              <w:rPr>
                <w:rFonts w:asciiTheme="minorHAnsi" w:hAnsiTheme="minorHAnsi" w:cstheme="minorHAnsi"/>
                <w:sz w:val="22"/>
                <w:szCs w:val="22"/>
                <w:lang w:val="en-GB"/>
              </w:rPr>
              <w:t xml:space="preserve">Increase the </w:t>
            </w:r>
            <w:r w:rsidR="00806D57" w:rsidRPr="006645DC">
              <w:rPr>
                <w:rFonts w:asciiTheme="minorHAnsi" w:hAnsiTheme="minorHAnsi" w:cstheme="minorHAnsi"/>
                <w:sz w:val="22"/>
                <w:szCs w:val="22"/>
                <w:lang w:val="en-GB"/>
              </w:rPr>
              <w:t xml:space="preserve">effectiveness of early-warning systems and </w:t>
            </w:r>
            <w:r w:rsidR="00AA1FB8" w:rsidRPr="006645DC">
              <w:rPr>
                <w:rFonts w:asciiTheme="minorHAnsi" w:hAnsiTheme="minorHAnsi" w:cstheme="minorHAnsi"/>
                <w:sz w:val="22"/>
                <w:szCs w:val="22"/>
                <w:lang w:val="en-GB"/>
              </w:rPr>
              <w:t>equipment</w:t>
            </w:r>
            <w:r w:rsidR="00806D57" w:rsidRPr="006645DC">
              <w:rPr>
                <w:rFonts w:asciiTheme="minorHAnsi" w:hAnsiTheme="minorHAnsi" w:cstheme="minorHAnsi"/>
                <w:sz w:val="22"/>
                <w:szCs w:val="22"/>
                <w:lang w:val="en-GB"/>
              </w:rPr>
              <w:t xml:space="preserve"> as well as the </w:t>
            </w:r>
            <w:r w:rsidRPr="006645DC">
              <w:rPr>
                <w:rFonts w:asciiTheme="minorHAnsi" w:hAnsiTheme="minorHAnsi" w:cstheme="minorHAnsi"/>
                <w:sz w:val="22"/>
                <w:szCs w:val="22"/>
                <w:lang w:val="en-GB"/>
              </w:rPr>
              <w:t>adaptive capacity to climate change in the cross-border area</w:t>
            </w:r>
            <w:bookmarkEnd w:id="1454"/>
          </w:p>
        </w:tc>
        <w:tc>
          <w:tcPr>
            <w:tcW w:w="550" w:type="pct"/>
            <w:vAlign w:val="center"/>
            <w:hideMark/>
          </w:tcPr>
          <w:p w14:paraId="1EBF4DCE" w14:textId="77777777" w:rsidR="00E12EE5" w:rsidRPr="006645DC" w:rsidRDefault="00E12EE5" w:rsidP="00A4740C">
            <w:pPr>
              <w:keepNext/>
              <w:keepLines/>
              <w:spacing w:before="0" w:after="0"/>
              <w:jc w:val="center"/>
              <w:outlineLvl w:val="1"/>
              <w:rPr>
                <w:rFonts w:cstheme="minorHAnsi"/>
                <w:lang w:val="en-GB"/>
              </w:rPr>
            </w:pPr>
            <w:bookmarkStart w:id="1455" w:name="_Toc376199626"/>
            <w:r w:rsidRPr="006645DC">
              <w:rPr>
                <w:rFonts w:cstheme="minorHAnsi"/>
                <w:lang w:val="en-GB"/>
              </w:rPr>
              <w:t>+++</w:t>
            </w:r>
            <w:bookmarkEnd w:id="1455"/>
          </w:p>
        </w:tc>
        <w:tc>
          <w:tcPr>
            <w:tcW w:w="550" w:type="pct"/>
            <w:vAlign w:val="center"/>
            <w:hideMark/>
          </w:tcPr>
          <w:p w14:paraId="2C1889AA" w14:textId="7C18D6CD" w:rsidR="00E12EE5" w:rsidRPr="006645DC" w:rsidRDefault="00E12EE5" w:rsidP="00A4740C">
            <w:pPr>
              <w:keepNext/>
              <w:keepLines/>
              <w:spacing w:before="0" w:after="0"/>
              <w:jc w:val="center"/>
              <w:outlineLvl w:val="1"/>
              <w:rPr>
                <w:rFonts w:cstheme="minorHAnsi"/>
                <w:lang w:val="en-GB"/>
              </w:rPr>
            </w:pPr>
            <w:bookmarkStart w:id="1456" w:name="_Toc376199627"/>
            <w:r w:rsidRPr="006645DC">
              <w:rPr>
                <w:rFonts w:cstheme="minorHAnsi"/>
                <w:lang w:val="en-GB"/>
              </w:rPr>
              <w:t>++</w:t>
            </w:r>
            <w:bookmarkEnd w:id="1456"/>
            <w:r w:rsidR="00C77B3E">
              <w:rPr>
                <w:rFonts w:cstheme="minorHAnsi"/>
                <w:lang w:val="en-GB"/>
              </w:rPr>
              <w:t>+</w:t>
            </w:r>
          </w:p>
        </w:tc>
        <w:tc>
          <w:tcPr>
            <w:tcW w:w="551" w:type="pct"/>
            <w:vAlign w:val="center"/>
            <w:hideMark/>
          </w:tcPr>
          <w:p w14:paraId="44661094" w14:textId="77777777" w:rsidR="00E12EE5" w:rsidRPr="006645DC" w:rsidRDefault="00E12EE5" w:rsidP="00A4740C">
            <w:pPr>
              <w:keepNext/>
              <w:keepLines/>
              <w:spacing w:before="0" w:after="0"/>
              <w:jc w:val="center"/>
              <w:outlineLvl w:val="1"/>
              <w:rPr>
                <w:rFonts w:cstheme="minorHAnsi"/>
                <w:b/>
                <w:lang w:val="en-GB"/>
              </w:rPr>
            </w:pPr>
            <w:bookmarkStart w:id="1457" w:name="_Toc376199628"/>
            <w:r w:rsidRPr="006645DC">
              <w:rPr>
                <w:rFonts w:cstheme="minorHAnsi"/>
                <w:b/>
                <w:lang w:val="en-GB"/>
              </w:rPr>
              <w:t>√</w:t>
            </w:r>
            <w:bookmarkEnd w:id="1457"/>
          </w:p>
        </w:tc>
        <w:tc>
          <w:tcPr>
            <w:tcW w:w="546" w:type="pct"/>
            <w:vAlign w:val="center"/>
            <w:hideMark/>
          </w:tcPr>
          <w:p w14:paraId="1A96E518" w14:textId="77777777" w:rsidR="00E12EE5" w:rsidRPr="006645DC" w:rsidRDefault="00E12EE5" w:rsidP="00A4740C">
            <w:pPr>
              <w:keepNext/>
              <w:keepLines/>
              <w:spacing w:before="0" w:after="0"/>
              <w:jc w:val="center"/>
              <w:outlineLvl w:val="1"/>
              <w:rPr>
                <w:rFonts w:cstheme="minorHAnsi"/>
                <w:b/>
                <w:lang w:val="en-GB"/>
              </w:rPr>
            </w:pPr>
            <w:bookmarkStart w:id="1458" w:name="_Toc376199629"/>
            <w:r w:rsidRPr="006645DC">
              <w:rPr>
                <w:rFonts w:cstheme="minorHAnsi"/>
                <w:b/>
                <w:lang w:val="en-GB"/>
              </w:rPr>
              <w:t>√</w:t>
            </w:r>
            <w:bookmarkEnd w:id="1458"/>
          </w:p>
        </w:tc>
      </w:tr>
      <w:tr w:rsidR="00E12EE5" w:rsidRPr="006645DC" w14:paraId="2BAF821D" w14:textId="77777777" w:rsidTr="00C77B3E">
        <w:trPr>
          <w:jc w:val="center"/>
        </w:trPr>
        <w:tc>
          <w:tcPr>
            <w:tcW w:w="346" w:type="pct"/>
            <w:vAlign w:val="center"/>
            <w:hideMark/>
          </w:tcPr>
          <w:p w14:paraId="71ED1F54" w14:textId="77777777" w:rsidR="00E12EE5" w:rsidRPr="006645DC" w:rsidRDefault="00E12EE5" w:rsidP="00E12EE5">
            <w:pPr>
              <w:keepNext/>
              <w:keepLines/>
              <w:spacing w:before="0" w:after="0"/>
              <w:jc w:val="center"/>
              <w:outlineLvl w:val="1"/>
              <w:rPr>
                <w:rFonts w:asciiTheme="minorHAnsi" w:hAnsiTheme="minorHAnsi" w:cstheme="minorHAnsi"/>
                <w:lang w:val="en-GB"/>
              </w:rPr>
            </w:pPr>
            <w:bookmarkStart w:id="1459" w:name="_Toc376199635"/>
            <w:r w:rsidRPr="006645DC">
              <w:rPr>
                <w:rFonts w:asciiTheme="minorHAnsi" w:hAnsiTheme="minorHAnsi" w:cstheme="minorHAnsi"/>
                <w:lang w:val="en-GB"/>
              </w:rPr>
              <w:t>7</w:t>
            </w:r>
            <w:bookmarkEnd w:id="1459"/>
          </w:p>
        </w:tc>
        <w:tc>
          <w:tcPr>
            <w:tcW w:w="2458" w:type="pct"/>
            <w:vAlign w:val="center"/>
            <w:hideMark/>
          </w:tcPr>
          <w:p w14:paraId="30D7C963" w14:textId="77777777" w:rsidR="00E12EE5" w:rsidRPr="006645DC" w:rsidRDefault="00E12EE5" w:rsidP="00E12EE5">
            <w:pPr>
              <w:pStyle w:val="BodyText"/>
              <w:keepNext/>
              <w:keepLines/>
              <w:outlineLvl w:val="1"/>
              <w:rPr>
                <w:rFonts w:asciiTheme="minorHAnsi" w:hAnsiTheme="minorHAnsi" w:cstheme="minorHAnsi"/>
                <w:sz w:val="22"/>
                <w:szCs w:val="22"/>
                <w:lang w:val="en-GB"/>
              </w:rPr>
            </w:pPr>
            <w:bookmarkStart w:id="1460" w:name="_Toc376199636"/>
            <w:r w:rsidRPr="006645DC">
              <w:rPr>
                <w:rFonts w:asciiTheme="minorHAnsi" w:hAnsiTheme="minorHAnsi" w:cstheme="minorHAnsi"/>
                <w:sz w:val="22"/>
                <w:szCs w:val="22"/>
                <w:lang w:val="en-GB"/>
              </w:rPr>
              <w:t>Awareness raising related to climate change</w:t>
            </w:r>
            <w:bookmarkEnd w:id="1460"/>
            <w:r w:rsidR="00A462B1" w:rsidRPr="006645DC">
              <w:rPr>
                <w:rFonts w:asciiTheme="minorHAnsi" w:hAnsiTheme="minorHAnsi" w:cstheme="minorHAnsi"/>
                <w:sz w:val="22"/>
                <w:szCs w:val="22"/>
                <w:lang w:val="en-GB"/>
              </w:rPr>
              <w:t xml:space="preserve"> and effective hazard management</w:t>
            </w:r>
          </w:p>
        </w:tc>
        <w:tc>
          <w:tcPr>
            <w:tcW w:w="550" w:type="pct"/>
            <w:vAlign w:val="center"/>
            <w:hideMark/>
          </w:tcPr>
          <w:p w14:paraId="615595C8" w14:textId="77777777" w:rsidR="00E12EE5" w:rsidRPr="006645DC" w:rsidRDefault="00E12EE5" w:rsidP="00A4740C">
            <w:pPr>
              <w:keepNext/>
              <w:keepLines/>
              <w:spacing w:before="0" w:after="0"/>
              <w:jc w:val="center"/>
              <w:outlineLvl w:val="1"/>
              <w:rPr>
                <w:rFonts w:cstheme="minorHAnsi"/>
                <w:lang w:val="en-GB"/>
              </w:rPr>
            </w:pPr>
            <w:bookmarkStart w:id="1461" w:name="_Toc376199637"/>
            <w:r w:rsidRPr="006645DC">
              <w:rPr>
                <w:rFonts w:cstheme="minorHAnsi"/>
                <w:lang w:val="en-GB"/>
              </w:rPr>
              <w:t>+++</w:t>
            </w:r>
            <w:bookmarkEnd w:id="1461"/>
          </w:p>
        </w:tc>
        <w:tc>
          <w:tcPr>
            <w:tcW w:w="550" w:type="pct"/>
            <w:vAlign w:val="center"/>
            <w:hideMark/>
          </w:tcPr>
          <w:p w14:paraId="2B600A0D" w14:textId="77777777" w:rsidR="00E12EE5" w:rsidRPr="006645DC" w:rsidRDefault="00E12EE5" w:rsidP="00A4740C">
            <w:pPr>
              <w:keepNext/>
              <w:keepLines/>
              <w:spacing w:before="0" w:after="0"/>
              <w:jc w:val="center"/>
              <w:outlineLvl w:val="1"/>
              <w:rPr>
                <w:rFonts w:cstheme="minorHAnsi"/>
                <w:lang w:val="en-GB"/>
              </w:rPr>
            </w:pPr>
            <w:bookmarkStart w:id="1462" w:name="_Toc376199638"/>
            <w:r w:rsidRPr="006645DC">
              <w:rPr>
                <w:rFonts w:cstheme="minorHAnsi"/>
                <w:lang w:val="en-GB"/>
              </w:rPr>
              <w:t>+++</w:t>
            </w:r>
            <w:bookmarkEnd w:id="1462"/>
          </w:p>
        </w:tc>
        <w:tc>
          <w:tcPr>
            <w:tcW w:w="551" w:type="pct"/>
            <w:vAlign w:val="center"/>
            <w:hideMark/>
          </w:tcPr>
          <w:p w14:paraId="1E6E59E2" w14:textId="77777777" w:rsidR="00E12EE5" w:rsidRPr="006645DC" w:rsidRDefault="00E12EE5" w:rsidP="00A4740C">
            <w:pPr>
              <w:keepNext/>
              <w:keepLines/>
              <w:spacing w:before="0" w:after="0"/>
              <w:jc w:val="center"/>
              <w:outlineLvl w:val="1"/>
              <w:rPr>
                <w:rFonts w:cstheme="minorHAnsi"/>
                <w:b/>
                <w:lang w:val="en-GB"/>
              </w:rPr>
            </w:pPr>
            <w:bookmarkStart w:id="1463" w:name="_Toc376199639"/>
            <w:r w:rsidRPr="006645DC">
              <w:rPr>
                <w:rFonts w:cstheme="minorHAnsi"/>
                <w:b/>
                <w:lang w:val="en-GB"/>
              </w:rPr>
              <w:t>√</w:t>
            </w:r>
            <w:bookmarkEnd w:id="1463"/>
          </w:p>
        </w:tc>
        <w:tc>
          <w:tcPr>
            <w:tcW w:w="546" w:type="pct"/>
            <w:vAlign w:val="center"/>
            <w:hideMark/>
          </w:tcPr>
          <w:p w14:paraId="0A7AFFAF" w14:textId="77777777" w:rsidR="00E12EE5" w:rsidRPr="006645DC" w:rsidRDefault="00E12EE5" w:rsidP="00A4740C">
            <w:pPr>
              <w:keepNext/>
              <w:keepLines/>
              <w:spacing w:before="0" w:after="0"/>
              <w:jc w:val="center"/>
              <w:outlineLvl w:val="1"/>
              <w:rPr>
                <w:rFonts w:cstheme="minorHAnsi"/>
                <w:b/>
                <w:lang w:val="en-GB"/>
              </w:rPr>
            </w:pPr>
            <w:bookmarkStart w:id="1464" w:name="_Toc376199640"/>
            <w:r w:rsidRPr="006645DC">
              <w:rPr>
                <w:rFonts w:cstheme="minorHAnsi"/>
                <w:b/>
                <w:lang w:val="en-GB"/>
              </w:rPr>
              <w:t>√</w:t>
            </w:r>
            <w:bookmarkEnd w:id="1464"/>
          </w:p>
        </w:tc>
      </w:tr>
      <w:tr w:rsidR="00E12EE5" w:rsidRPr="006645DC" w14:paraId="2EE75DC7" w14:textId="77777777" w:rsidTr="00C77B3E">
        <w:trPr>
          <w:jc w:val="center"/>
        </w:trPr>
        <w:tc>
          <w:tcPr>
            <w:tcW w:w="346" w:type="pct"/>
            <w:vAlign w:val="center"/>
            <w:hideMark/>
          </w:tcPr>
          <w:p w14:paraId="071F6C74" w14:textId="77777777" w:rsidR="00E12EE5" w:rsidRPr="006645DC" w:rsidRDefault="00E12EE5" w:rsidP="00E12EE5">
            <w:pPr>
              <w:keepNext/>
              <w:keepLines/>
              <w:spacing w:before="0" w:after="0"/>
              <w:jc w:val="center"/>
              <w:outlineLvl w:val="1"/>
              <w:rPr>
                <w:rFonts w:asciiTheme="minorHAnsi" w:hAnsiTheme="minorHAnsi" w:cstheme="minorHAnsi"/>
                <w:lang w:val="en-GB"/>
              </w:rPr>
            </w:pPr>
            <w:bookmarkStart w:id="1465" w:name="_Toc376199641"/>
            <w:r w:rsidRPr="006645DC">
              <w:rPr>
                <w:rFonts w:asciiTheme="minorHAnsi" w:hAnsiTheme="minorHAnsi" w:cstheme="minorHAnsi"/>
                <w:lang w:val="en-GB"/>
              </w:rPr>
              <w:t>8</w:t>
            </w:r>
            <w:bookmarkEnd w:id="1465"/>
          </w:p>
        </w:tc>
        <w:tc>
          <w:tcPr>
            <w:tcW w:w="2458" w:type="pct"/>
            <w:vAlign w:val="center"/>
            <w:hideMark/>
          </w:tcPr>
          <w:p w14:paraId="5B90506B" w14:textId="128C0AD3" w:rsidR="00E12EE5" w:rsidRPr="006645DC" w:rsidRDefault="00E12EE5" w:rsidP="00383E1A">
            <w:pPr>
              <w:pStyle w:val="BodyText"/>
              <w:keepNext/>
              <w:keepLines/>
              <w:outlineLvl w:val="1"/>
              <w:rPr>
                <w:rFonts w:asciiTheme="minorHAnsi" w:hAnsiTheme="minorHAnsi" w:cstheme="minorHAnsi"/>
                <w:sz w:val="22"/>
                <w:szCs w:val="22"/>
                <w:lang w:val="en-GB"/>
              </w:rPr>
            </w:pPr>
            <w:bookmarkStart w:id="1466" w:name="_Toc376199642"/>
            <w:r w:rsidRPr="006645DC">
              <w:rPr>
                <w:rFonts w:asciiTheme="minorHAnsi" w:hAnsiTheme="minorHAnsi" w:cstheme="minorHAnsi"/>
                <w:sz w:val="22"/>
                <w:szCs w:val="22"/>
                <w:lang w:val="en-GB"/>
              </w:rPr>
              <w:t>Increase the level of cross-border cooperation</w:t>
            </w:r>
            <w:r w:rsidR="00C77B3E">
              <w:rPr>
                <w:rFonts w:asciiTheme="minorHAnsi" w:hAnsiTheme="minorHAnsi" w:cstheme="minorHAnsi"/>
                <w:sz w:val="22"/>
                <w:szCs w:val="22"/>
                <w:lang w:val="en-GB"/>
              </w:rPr>
              <w:t xml:space="preserve"> in climate change adaptation</w:t>
            </w:r>
            <w:r w:rsidRPr="006645DC">
              <w:rPr>
                <w:rFonts w:asciiTheme="minorHAnsi" w:hAnsiTheme="minorHAnsi" w:cstheme="minorHAnsi"/>
                <w:sz w:val="22"/>
                <w:szCs w:val="22"/>
                <w:lang w:val="en-GB"/>
              </w:rPr>
              <w:t xml:space="preserve"> through</w:t>
            </w:r>
            <w:r w:rsidR="00383E1A" w:rsidRPr="006645DC">
              <w:rPr>
                <w:rFonts w:asciiTheme="minorHAnsi" w:hAnsiTheme="minorHAnsi" w:cstheme="minorHAnsi"/>
                <w:sz w:val="22"/>
                <w:szCs w:val="22"/>
                <w:lang w:val="en-GB"/>
              </w:rPr>
              <w:t xml:space="preserve"> coordination,</w:t>
            </w:r>
            <w:r w:rsidRPr="006645DC">
              <w:rPr>
                <w:rFonts w:asciiTheme="minorHAnsi" w:hAnsiTheme="minorHAnsi" w:cstheme="minorHAnsi"/>
                <w:sz w:val="22"/>
                <w:szCs w:val="22"/>
                <w:lang w:val="en-GB"/>
              </w:rPr>
              <w:t xml:space="preserve"> implementation of common projects and initiations, e.g., preparation of plans, studies, etc.</w:t>
            </w:r>
            <w:bookmarkEnd w:id="1466"/>
          </w:p>
        </w:tc>
        <w:tc>
          <w:tcPr>
            <w:tcW w:w="550" w:type="pct"/>
            <w:vAlign w:val="center"/>
            <w:hideMark/>
          </w:tcPr>
          <w:p w14:paraId="4A69EE24" w14:textId="77777777" w:rsidR="00E12EE5" w:rsidRPr="006645DC" w:rsidRDefault="00E12EE5" w:rsidP="00A4740C">
            <w:pPr>
              <w:keepNext/>
              <w:keepLines/>
              <w:spacing w:before="0" w:after="0"/>
              <w:jc w:val="center"/>
              <w:outlineLvl w:val="1"/>
              <w:rPr>
                <w:rFonts w:cstheme="minorHAnsi"/>
                <w:lang w:val="en-GB"/>
              </w:rPr>
            </w:pPr>
            <w:bookmarkStart w:id="1467" w:name="_Toc376199643"/>
            <w:r w:rsidRPr="006645DC">
              <w:rPr>
                <w:rFonts w:cstheme="minorHAnsi"/>
                <w:lang w:val="en-GB"/>
              </w:rPr>
              <w:t>++</w:t>
            </w:r>
            <w:bookmarkEnd w:id="1467"/>
            <w:r w:rsidR="00DC1A8E" w:rsidRPr="006645DC">
              <w:rPr>
                <w:rFonts w:cstheme="minorHAnsi"/>
                <w:lang w:val="en-GB"/>
              </w:rPr>
              <w:t>+</w:t>
            </w:r>
          </w:p>
        </w:tc>
        <w:tc>
          <w:tcPr>
            <w:tcW w:w="550" w:type="pct"/>
            <w:vAlign w:val="center"/>
            <w:hideMark/>
          </w:tcPr>
          <w:p w14:paraId="5CE1A9AD" w14:textId="77777777" w:rsidR="00E12EE5" w:rsidRPr="006645DC" w:rsidRDefault="00E12EE5" w:rsidP="00A4740C">
            <w:pPr>
              <w:keepNext/>
              <w:keepLines/>
              <w:spacing w:before="0" w:after="0"/>
              <w:jc w:val="center"/>
              <w:outlineLvl w:val="1"/>
              <w:rPr>
                <w:rFonts w:cstheme="minorHAnsi"/>
                <w:lang w:val="en-GB"/>
              </w:rPr>
            </w:pPr>
            <w:bookmarkStart w:id="1468" w:name="_Toc376199644"/>
            <w:r w:rsidRPr="006645DC">
              <w:rPr>
                <w:rFonts w:cstheme="minorHAnsi"/>
                <w:lang w:val="en-GB"/>
              </w:rPr>
              <w:t>++</w:t>
            </w:r>
            <w:bookmarkEnd w:id="1468"/>
            <w:r w:rsidR="00DC1A8E" w:rsidRPr="006645DC">
              <w:rPr>
                <w:rFonts w:cstheme="minorHAnsi"/>
                <w:lang w:val="en-GB"/>
              </w:rPr>
              <w:t>+</w:t>
            </w:r>
          </w:p>
        </w:tc>
        <w:tc>
          <w:tcPr>
            <w:tcW w:w="551" w:type="pct"/>
            <w:vAlign w:val="center"/>
            <w:hideMark/>
          </w:tcPr>
          <w:p w14:paraId="58374071" w14:textId="7033E95A" w:rsidR="00E12EE5" w:rsidRPr="006645DC" w:rsidRDefault="00E12EE5" w:rsidP="00A4740C">
            <w:pPr>
              <w:keepNext/>
              <w:keepLines/>
              <w:spacing w:before="0" w:after="0"/>
              <w:jc w:val="center"/>
              <w:outlineLvl w:val="1"/>
              <w:rPr>
                <w:rFonts w:cstheme="minorHAnsi"/>
                <w:b/>
                <w:lang w:val="en-GB"/>
              </w:rPr>
            </w:pPr>
          </w:p>
        </w:tc>
        <w:tc>
          <w:tcPr>
            <w:tcW w:w="546" w:type="pct"/>
            <w:vAlign w:val="center"/>
            <w:hideMark/>
          </w:tcPr>
          <w:p w14:paraId="5AB00CC9" w14:textId="77777777" w:rsidR="00E12EE5" w:rsidRPr="006645DC" w:rsidRDefault="00E12EE5" w:rsidP="00A4740C">
            <w:pPr>
              <w:keepNext/>
              <w:keepLines/>
              <w:spacing w:before="0" w:after="0"/>
              <w:jc w:val="center"/>
              <w:outlineLvl w:val="1"/>
              <w:rPr>
                <w:rFonts w:cstheme="minorHAnsi"/>
                <w:b/>
                <w:lang w:val="en-GB"/>
              </w:rPr>
            </w:pPr>
            <w:bookmarkStart w:id="1469" w:name="_Toc376199646"/>
            <w:r w:rsidRPr="006645DC">
              <w:rPr>
                <w:rFonts w:cstheme="minorHAnsi"/>
                <w:b/>
                <w:lang w:val="en-GB"/>
              </w:rPr>
              <w:t>√</w:t>
            </w:r>
            <w:bookmarkEnd w:id="1469"/>
          </w:p>
        </w:tc>
      </w:tr>
    </w:tbl>
    <w:p w14:paraId="7D055E33" w14:textId="77777777" w:rsidR="00E12EE5" w:rsidRPr="006645DC" w:rsidRDefault="00E12EE5" w:rsidP="00E12EE5">
      <w:pPr>
        <w:rPr>
          <w:rFonts w:asciiTheme="minorHAnsi" w:hAnsiTheme="minorHAnsi" w:cstheme="minorBidi"/>
          <w:b/>
          <w:lang w:val="en-GB"/>
        </w:rPr>
      </w:pPr>
      <w:r w:rsidRPr="006645DC">
        <w:rPr>
          <w:b/>
          <w:lang w:val="en-GB"/>
        </w:rPr>
        <w:t>Table key:</w:t>
      </w:r>
    </w:p>
    <w:tbl>
      <w:tblPr>
        <w:tblW w:w="0" w:type="auto"/>
        <w:jc w:val="center"/>
        <w:tblLook w:val="04A0" w:firstRow="1" w:lastRow="0" w:firstColumn="1" w:lastColumn="0" w:noHBand="0" w:noVBand="1"/>
      </w:tblPr>
      <w:tblGrid>
        <w:gridCol w:w="3192"/>
        <w:gridCol w:w="3192"/>
        <w:gridCol w:w="3192"/>
      </w:tblGrid>
      <w:tr w:rsidR="00E12EE5" w:rsidRPr="006645DC" w14:paraId="5CE82E8B" w14:textId="77777777" w:rsidTr="00E12EE5">
        <w:trPr>
          <w:trHeight w:val="283"/>
          <w:jc w:val="center"/>
        </w:trPr>
        <w:tc>
          <w:tcPr>
            <w:tcW w:w="3192" w:type="dxa"/>
            <w:vAlign w:val="center"/>
            <w:hideMark/>
          </w:tcPr>
          <w:p w14:paraId="51FBD299" w14:textId="0C9F79C2" w:rsidR="00E12EE5" w:rsidRPr="006645DC" w:rsidRDefault="00982AD8" w:rsidP="00E12EE5">
            <w:pPr>
              <w:spacing w:before="0" w:after="0"/>
              <w:jc w:val="center"/>
              <w:rPr>
                <w:b/>
                <w:lang w:val="en-GB"/>
              </w:rPr>
            </w:pPr>
            <w:r w:rsidRPr="006645DC">
              <w:rPr>
                <w:noProof/>
                <w:lang w:val="bg-BG" w:eastAsia="bg-BG"/>
              </w:rPr>
              <mc:AlternateContent>
                <mc:Choice Requires="wps">
                  <w:drawing>
                    <wp:anchor distT="0" distB="0" distL="114300" distR="114300" simplePos="0" relativeHeight="251686912" behindDoc="0" locked="0" layoutInCell="1" allowOverlap="1" wp14:anchorId="5640F686" wp14:editId="71D828BB">
                      <wp:simplePos x="0" y="0"/>
                      <wp:positionH relativeFrom="column">
                        <wp:posOffset>132715</wp:posOffset>
                      </wp:positionH>
                      <wp:positionV relativeFrom="paragraph">
                        <wp:posOffset>113665</wp:posOffset>
                      </wp:positionV>
                      <wp:extent cx="5848350" cy="232410"/>
                      <wp:effectExtent l="0" t="0" r="0" b="53340"/>
                      <wp:wrapNone/>
                      <wp:docPr id="491" name="Right Arrow 1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48350" cy="232410"/>
                              </a:xfrm>
                              <a:prstGeom prst="rightArrow">
                                <a:avLst>
                                  <a:gd name="adj1" fmla="val 50000"/>
                                  <a:gd name="adj2" fmla="val 49978"/>
                                </a:avLst>
                              </a:prstGeom>
                              <a:gradFill rotWithShape="1">
                                <a:gsLst>
                                  <a:gs pos="0">
                                    <a:srgbClr val="FF0000"/>
                                  </a:gs>
                                  <a:gs pos="74001">
                                    <a:srgbClr val="C2D1ED"/>
                                  </a:gs>
                                  <a:gs pos="100000">
                                    <a:srgbClr val="E1E8F5"/>
                                  </a:gs>
                                </a:gsLst>
                                <a:lin ang="10800000" scaled="1"/>
                              </a:gradFill>
                              <a:ln>
                                <a:noFill/>
                              </a:ln>
                              <a:effectLst>
                                <a:outerShdw dist="50800" dir="5400000" algn="ctr" rotWithShape="0">
                                  <a:srgbClr val="808080"/>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14:paraId="1A693390" w14:textId="77777777" w:rsidR="00F14D1E" w:rsidRPr="00E12EE5" w:rsidRDefault="00F14D1E" w:rsidP="00E12EE5"/>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Right Arrow 156" o:spid="_x0000_s1030" type="#_x0000_t13" style="position:absolute;left:0;text-align:left;margin-left:10.45pt;margin-top:8.95pt;width:460.5pt;height:18.3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" adj="21171" fillcolor="red" stroked="f" strokeweight="2pt">
                      <v:fill color2="#e1e8f5" rotate="t" angle="270" colors="0 red;48497f #c2d1ed;1 #e1e8f5" focus="100%" type="gradient"/>
                      <v:shadow on="t" offset="0,4pt"/>
                      <v:path arrowok="t"/>
                      <v:textbox>
                        <w:txbxContent>
                          <w:p w14:paraId="1A693390" w14:textId="77777777" w:rsidR="00F14D1E" w:rsidRPr="00E12EE5" w:rsidRDefault="00F14D1E" w:rsidP="00E12EE5"/>
                        </w:txbxContent>
                      </v:textbox>
                    </v:shape>
                  </w:pict>
                </mc:Fallback>
              </mc:AlternateContent>
            </w:r>
            <w:r w:rsidR="00E12EE5" w:rsidRPr="006645DC">
              <w:rPr>
                <w:b/>
                <w:lang w:val="en-GB"/>
              </w:rPr>
              <w:t>+</w:t>
            </w:r>
          </w:p>
        </w:tc>
        <w:tc>
          <w:tcPr>
            <w:tcW w:w="3192" w:type="dxa"/>
            <w:vAlign w:val="center"/>
            <w:hideMark/>
          </w:tcPr>
          <w:p w14:paraId="44CB0C07" w14:textId="77777777" w:rsidR="00E12EE5" w:rsidRPr="006645DC" w:rsidRDefault="00E12EE5" w:rsidP="00E12EE5">
            <w:pPr>
              <w:keepNext/>
              <w:keepLines/>
              <w:spacing w:before="0" w:after="0"/>
              <w:ind w:left="680"/>
              <w:jc w:val="center"/>
              <w:outlineLvl w:val="4"/>
              <w:rPr>
                <w:b/>
                <w:lang w:val="en-GB"/>
              </w:rPr>
            </w:pPr>
            <w:r w:rsidRPr="006645DC">
              <w:rPr>
                <w:b/>
                <w:lang w:val="en-GB"/>
              </w:rPr>
              <w:t>++</w:t>
            </w:r>
          </w:p>
        </w:tc>
        <w:tc>
          <w:tcPr>
            <w:tcW w:w="3192" w:type="dxa"/>
            <w:vAlign w:val="center"/>
            <w:hideMark/>
          </w:tcPr>
          <w:p w14:paraId="3C993738" w14:textId="77777777" w:rsidR="00E12EE5" w:rsidRPr="006645DC" w:rsidRDefault="00E12EE5" w:rsidP="00E12EE5">
            <w:pPr>
              <w:keepNext/>
              <w:keepLines/>
              <w:spacing w:before="0" w:after="0"/>
              <w:ind w:left="680"/>
              <w:jc w:val="center"/>
              <w:outlineLvl w:val="4"/>
              <w:rPr>
                <w:b/>
                <w:lang w:val="en-GB"/>
              </w:rPr>
            </w:pPr>
            <w:r w:rsidRPr="006645DC">
              <w:rPr>
                <w:b/>
                <w:lang w:val="en-GB"/>
              </w:rPr>
              <w:t>+++</w:t>
            </w:r>
          </w:p>
        </w:tc>
      </w:tr>
    </w:tbl>
    <w:p w14:paraId="524E641C" w14:textId="77777777" w:rsidR="00E12EE5" w:rsidRPr="006645DC" w:rsidRDefault="00E12EE5" w:rsidP="00E12EE5">
      <w:pPr>
        <w:spacing w:before="0" w:after="0"/>
        <w:rPr>
          <w:rFonts w:asciiTheme="minorHAnsi" w:hAnsiTheme="minorHAnsi" w:cstheme="minorBidi"/>
          <w:b/>
          <w:lang w:val="en-GB"/>
        </w:rPr>
      </w:pPr>
    </w:p>
    <w:p w14:paraId="2463694E" w14:textId="77777777" w:rsidR="00E12EE5" w:rsidRPr="006645DC" w:rsidRDefault="00E12EE5" w:rsidP="00E12EE5">
      <w:pPr>
        <w:spacing w:before="0" w:after="0"/>
        <w:jc w:val="center"/>
        <w:rPr>
          <w:i/>
          <w:lang w:val="en-GB"/>
        </w:rPr>
      </w:pPr>
      <w:r w:rsidRPr="006645DC">
        <w:rPr>
          <w:i/>
          <w:lang w:val="en-GB"/>
        </w:rPr>
        <w:t>Degree of need territorial relevance</w:t>
      </w:r>
    </w:p>
    <w:p w14:paraId="14CB94BA" w14:textId="77777777" w:rsidR="00E12EE5" w:rsidRPr="006645DC" w:rsidRDefault="00E12EE5" w:rsidP="00E12EE5">
      <w:pPr>
        <w:spacing w:before="0" w:after="0"/>
        <w:rPr>
          <w:b/>
          <w:i/>
          <w:lang w:val="en-GB"/>
        </w:rPr>
      </w:pPr>
      <w:r w:rsidRPr="006645DC">
        <w:rPr>
          <w:b/>
          <w:i/>
          <w:lang w:val="en-GB"/>
        </w:rPr>
        <w:t>TO4 – Supporting the shift towards a low-carbon economy in all sectors</w:t>
      </w:r>
    </w:p>
    <w:p w14:paraId="611570AB" w14:textId="77777777" w:rsidR="00E12EE5" w:rsidRPr="006645DC" w:rsidRDefault="00E12EE5" w:rsidP="00E12EE5">
      <w:pPr>
        <w:spacing w:before="0" w:after="0"/>
        <w:rPr>
          <w:b/>
          <w:i/>
          <w:lang w:val="en-GB"/>
        </w:rPr>
      </w:pPr>
      <w:r w:rsidRPr="006645DC">
        <w:rPr>
          <w:b/>
          <w:i/>
          <w:lang w:val="en-GB"/>
        </w:rPr>
        <w:t>TO5 – Promoting climate change adaptation, risk prevention and management</w:t>
      </w:r>
    </w:p>
    <w:p w14:paraId="0E904CCE" w14:textId="77777777" w:rsidR="00E12EE5" w:rsidRPr="006645DC" w:rsidRDefault="00E12EE5" w:rsidP="00E12EE5">
      <w:pPr>
        <w:rPr>
          <w:lang w:val="en-GB"/>
        </w:rPr>
      </w:pPr>
    </w:p>
    <w:p w14:paraId="50DF37E7" w14:textId="77777777" w:rsidR="00E12EE5" w:rsidRPr="006645DC" w:rsidRDefault="00E12EE5" w:rsidP="00AC6769">
      <w:pPr>
        <w:rPr>
          <w:lang w:val="en-GB"/>
        </w:rPr>
      </w:pPr>
    </w:p>
    <w:p w14:paraId="1E70742F" w14:textId="77777777" w:rsidR="00E12EE5" w:rsidRPr="006645DC" w:rsidRDefault="00E12EE5" w:rsidP="00E12EE5">
      <w:pPr>
        <w:rPr>
          <w:lang w:val="en-GB"/>
        </w:rPr>
      </w:pPr>
    </w:p>
    <w:p w14:paraId="5B25EBB1" w14:textId="77777777" w:rsidR="00A14E7C" w:rsidRPr="006645DC" w:rsidRDefault="00A14E7C" w:rsidP="00E12EE5">
      <w:pPr>
        <w:rPr>
          <w:lang w:val="en-GB"/>
        </w:rPr>
        <w:sectPr w:rsidR="00A14E7C" w:rsidRPr="006645DC" w:rsidSect="00187E88">
          <w:pgSz w:w="12240" w:h="15840"/>
          <w:pgMar w:top="1440" w:right="1440" w:bottom="1440" w:left="1440" w:header="720" w:footer="720" w:gutter="0"/>
          <w:cols w:space="720"/>
          <w:docGrid w:linePitch="360"/>
        </w:sectPr>
      </w:pPr>
    </w:p>
    <w:p w14:paraId="58CFBD1E" w14:textId="77777777" w:rsidR="003531E5" w:rsidRPr="006645DC" w:rsidRDefault="003531E5" w:rsidP="003531E5">
      <w:pPr>
        <w:pStyle w:val="Heading1"/>
        <w:rPr>
          <w:lang w:val="en-GB"/>
        </w:rPr>
      </w:pPr>
      <w:bookmarkStart w:id="1470" w:name="_Toc376199647"/>
      <w:bookmarkStart w:id="1471" w:name="_Toc254543816"/>
      <w:bookmarkStart w:id="1472" w:name="_Toc391150193"/>
      <w:r w:rsidRPr="006645DC">
        <w:rPr>
          <w:lang w:val="en-GB"/>
        </w:rPr>
        <w:lastRenderedPageBreak/>
        <w:t>Energy</w:t>
      </w:r>
      <w:r w:rsidR="007A0E5C" w:rsidRPr="006645DC">
        <w:rPr>
          <w:lang w:val="en-GB"/>
        </w:rPr>
        <w:t xml:space="preserve"> sector</w:t>
      </w:r>
      <w:bookmarkEnd w:id="1470"/>
      <w:bookmarkEnd w:id="1471"/>
      <w:bookmarkEnd w:id="1472"/>
    </w:p>
    <w:p w14:paraId="3496FD3E" w14:textId="77777777" w:rsidR="00B5369A" w:rsidRPr="006645DC" w:rsidRDefault="00B5369A" w:rsidP="00C951D5">
      <w:pPr>
        <w:pStyle w:val="Heading2"/>
        <w:numPr>
          <w:ilvl w:val="0"/>
          <w:numId w:val="94"/>
        </w:numPr>
        <w:rPr>
          <w:lang w:val="en-GB"/>
        </w:rPr>
      </w:pPr>
      <w:bookmarkStart w:id="1473" w:name="_Toc376199648"/>
      <w:bookmarkStart w:id="1474" w:name="_Toc254543817"/>
      <w:bookmarkStart w:id="1475" w:name="_Toc391150194"/>
      <w:bookmarkStart w:id="1476" w:name="_Toc371105800"/>
      <w:r w:rsidRPr="006645DC">
        <w:rPr>
          <w:lang w:val="en-GB"/>
        </w:rPr>
        <w:t>National strategies concerning the energy sector</w:t>
      </w:r>
      <w:bookmarkEnd w:id="1473"/>
      <w:bookmarkEnd w:id="1474"/>
      <w:bookmarkEnd w:id="1475"/>
    </w:p>
    <w:p w14:paraId="1F7E0918" w14:textId="77777777" w:rsidR="00B5369A" w:rsidRPr="006645DC" w:rsidRDefault="00B5369A" w:rsidP="00C951D5">
      <w:pPr>
        <w:pStyle w:val="Heading3"/>
        <w:numPr>
          <w:ilvl w:val="0"/>
          <w:numId w:val="130"/>
        </w:numPr>
        <w:rPr>
          <w:lang w:val="en-GB"/>
        </w:rPr>
      </w:pPr>
      <w:bookmarkStart w:id="1477" w:name="_Toc376199649"/>
      <w:bookmarkStart w:id="1478" w:name="_Toc254543818"/>
      <w:r w:rsidRPr="006645DC">
        <w:rPr>
          <w:lang w:val="en-GB"/>
        </w:rPr>
        <w:t>Romania</w:t>
      </w:r>
      <w:bookmarkEnd w:id="1477"/>
      <w:bookmarkEnd w:id="1478"/>
    </w:p>
    <w:p w14:paraId="412FA1D4" w14:textId="77777777" w:rsidR="00B5369A" w:rsidRPr="006645DC" w:rsidRDefault="00B5369A" w:rsidP="00A4740C">
      <w:pPr>
        <w:rPr>
          <w:lang w:val="en-GB"/>
        </w:rPr>
      </w:pPr>
      <w:r w:rsidRPr="006645DC">
        <w:rPr>
          <w:lang w:val="en-GB"/>
        </w:rPr>
        <w:t>Romania has adopted an Energy Strategy for the period 2007-2020 with a general objective to “cover the present and future energy demand at the least price, in the conditions of a modern market economy and civilized life standing, ensuring quality and security of supply and observing the principles of sustainable development”</w:t>
      </w:r>
      <w:r w:rsidRPr="006645DC">
        <w:rPr>
          <w:rStyle w:val="FootnoteReference"/>
          <w:lang w:val="en-GB"/>
        </w:rPr>
        <w:footnoteReference w:id="35"/>
      </w:r>
      <w:r w:rsidRPr="006645DC">
        <w:rPr>
          <w:lang w:val="en-GB"/>
        </w:rPr>
        <w:t xml:space="preserve">. </w:t>
      </w:r>
    </w:p>
    <w:p w14:paraId="5B602020" w14:textId="77777777" w:rsidR="00B5369A" w:rsidRPr="006645DC" w:rsidRDefault="00B5369A" w:rsidP="00A4740C">
      <w:pPr>
        <w:rPr>
          <w:lang w:val="en-GB"/>
        </w:rPr>
      </w:pPr>
      <w:r w:rsidRPr="006645DC">
        <w:rPr>
          <w:lang w:val="en-GB"/>
        </w:rPr>
        <w:t>In order to reduce energy intensity in the great energy consuming sectors and attain the targets proposed both by the National Energy Efficiency Strategy and the National Energy Efficiency Action Plan, measures will be taken in the following directions:</w:t>
      </w:r>
      <w:r w:rsidRPr="006645DC">
        <w:rPr>
          <w:rStyle w:val="FootnoteReference"/>
          <w:lang w:val="en-GB"/>
        </w:rPr>
        <w:footnoteReference w:id="36"/>
      </w:r>
    </w:p>
    <w:p w14:paraId="11BD4ADD" w14:textId="77777777" w:rsidR="00B5369A" w:rsidRPr="006645DC" w:rsidRDefault="00B5369A" w:rsidP="00A4740C">
      <w:pPr>
        <w:rPr>
          <w:b/>
          <w:lang w:val="en-GB"/>
        </w:rPr>
      </w:pPr>
      <w:r w:rsidRPr="006645DC">
        <w:rPr>
          <w:b/>
          <w:lang w:val="en-GB"/>
        </w:rPr>
        <w:t xml:space="preserve">Industry </w:t>
      </w:r>
    </w:p>
    <w:p w14:paraId="25EDAE98" w14:textId="77777777" w:rsidR="00B5369A" w:rsidRPr="006645DC" w:rsidRDefault="00B5369A" w:rsidP="00A4740C">
      <w:pPr>
        <w:pStyle w:val="ListParagraph"/>
        <w:rPr>
          <w:rFonts w:eastAsiaTheme="minorHAnsi"/>
          <w:lang w:val="en-GB"/>
        </w:rPr>
      </w:pPr>
      <w:r w:rsidRPr="006645DC">
        <w:rPr>
          <w:rFonts w:eastAsiaTheme="minorHAnsi"/>
          <w:lang w:val="en-GB"/>
        </w:rPr>
        <w:t xml:space="preserve">Information campaigns; </w:t>
      </w:r>
    </w:p>
    <w:p w14:paraId="2A4FBA70" w14:textId="77777777" w:rsidR="00B5369A" w:rsidRPr="006645DC" w:rsidRDefault="00B5369A" w:rsidP="00A4740C">
      <w:pPr>
        <w:pStyle w:val="ListParagraph"/>
        <w:rPr>
          <w:rFonts w:eastAsiaTheme="minorHAnsi"/>
          <w:lang w:val="en-GB"/>
        </w:rPr>
      </w:pPr>
      <w:r w:rsidRPr="006645DC">
        <w:rPr>
          <w:rFonts w:eastAsiaTheme="minorHAnsi"/>
          <w:lang w:val="en-GB"/>
        </w:rPr>
        <w:t xml:space="preserve">Long-term voluntary agreements in different sectors of the processing industry; </w:t>
      </w:r>
    </w:p>
    <w:p w14:paraId="4FB01D86" w14:textId="77777777" w:rsidR="00B5369A" w:rsidRPr="006645DC" w:rsidRDefault="00B5369A" w:rsidP="00A4740C">
      <w:pPr>
        <w:pStyle w:val="ListParagraph"/>
        <w:rPr>
          <w:rFonts w:eastAsiaTheme="minorHAnsi"/>
          <w:lang w:val="en-GB"/>
        </w:rPr>
      </w:pPr>
      <w:r w:rsidRPr="006645DC">
        <w:rPr>
          <w:rFonts w:eastAsiaTheme="minorHAnsi"/>
          <w:lang w:val="en-GB"/>
        </w:rPr>
        <w:t xml:space="preserve">Energy audits and efficient energy management; </w:t>
      </w:r>
    </w:p>
    <w:p w14:paraId="3269786B" w14:textId="77777777" w:rsidR="00B5369A" w:rsidRPr="006645DC" w:rsidRDefault="00B5369A" w:rsidP="00A4740C">
      <w:pPr>
        <w:pStyle w:val="ListParagraph"/>
        <w:rPr>
          <w:rFonts w:eastAsiaTheme="minorHAnsi"/>
          <w:lang w:val="en-GB" w:eastAsia="en-US"/>
        </w:rPr>
      </w:pPr>
      <w:r w:rsidRPr="006645DC">
        <w:rPr>
          <w:rFonts w:eastAsiaTheme="minorHAnsi"/>
          <w:lang w:val="en-GB"/>
        </w:rPr>
        <w:t>Energy efficiency</w:t>
      </w:r>
      <w:r w:rsidRPr="006645DC">
        <w:rPr>
          <w:rFonts w:eastAsiaTheme="minorHAnsi"/>
          <w:lang w:val="en-GB" w:eastAsia="en-US"/>
        </w:rPr>
        <w:t xml:space="preserve"> improvement by supporting financing from the Community funds. </w:t>
      </w:r>
    </w:p>
    <w:p w14:paraId="133D7970" w14:textId="77777777" w:rsidR="00B5369A" w:rsidRPr="006645DC" w:rsidRDefault="00B5369A" w:rsidP="00A4740C">
      <w:pPr>
        <w:rPr>
          <w:b/>
          <w:lang w:val="en-GB"/>
        </w:rPr>
      </w:pPr>
      <w:r w:rsidRPr="006645DC">
        <w:rPr>
          <w:b/>
          <w:lang w:val="en-GB"/>
        </w:rPr>
        <w:t xml:space="preserve">Transport </w:t>
      </w:r>
    </w:p>
    <w:p w14:paraId="38688BFD" w14:textId="77777777" w:rsidR="00B5369A" w:rsidRPr="006645DC" w:rsidRDefault="00B5369A" w:rsidP="00A4740C">
      <w:pPr>
        <w:pStyle w:val="ListParagraph"/>
        <w:rPr>
          <w:rFonts w:eastAsiaTheme="minorHAnsi"/>
          <w:lang w:val="en-GB"/>
        </w:rPr>
      </w:pPr>
      <w:r w:rsidRPr="006645DC">
        <w:rPr>
          <w:rFonts w:eastAsiaTheme="minorHAnsi"/>
          <w:lang w:val="en-GB"/>
        </w:rPr>
        <w:t xml:space="preserve">Energy consumption reduction by people and merchandise railway transport modernization; </w:t>
      </w:r>
    </w:p>
    <w:p w14:paraId="1DCF3BA2" w14:textId="77777777" w:rsidR="00B5369A" w:rsidRPr="006645DC" w:rsidRDefault="00B5369A" w:rsidP="00A4740C">
      <w:pPr>
        <w:pStyle w:val="ListParagraph"/>
        <w:rPr>
          <w:rFonts w:eastAsiaTheme="minorHAnsi"/>
          <w:lang w:val="en-GB"/>
        </w:rPr>
      </w:pPr>
      <w:r w:rsidRPr="006645DC">
        <w:rPr>
          <w:rFonts w:eastAsiaTheme="minorHAnsi"/>
          <w:lang w:val="en-GB"/>
        </w:rPr>
        <w:t xml:space="preserve">Public transport quality increase so that to be preponderantly used by people instead of own cars; </w:t>
      </w:r>
    </w:p>
    <w:p w14:paraId="322F7DB5" w14:textId="77777777" w:rsidR="00B5369A" w:rsidRPr="006645DC" w:rsidRDefault="00B5369A" w:rsidP="00A4740C">
      <w:pPr>
        <w:pStyle w:val="ListParagraph"/>
        <w:rPr>
          <w:rFonts w:eastAsiaTheme="minorHAnsi"/>
          <w:lang w:val="en-GB"/>
        </w:rPr>
      </w:pPr>
      <w:r w:rsidRPr="006645DC">
        <w:rPr>
          <w:rFonts w:eastAsiaTheme="minorHAnsi"/>
          <w:lang w:val="en-GB"/>
        </w:rPr>
        <w:t xml:space="preserve">Expansion of public transport by new route building; </w:t>
      </w:r>
    </w:p>
    <w:p w14:paraId="62F66A02" w14:textId="77777777" w:rsidR="00B5369A" w:rsidRPr="006645DC" w:rsidRDefault="00B5369A" w:rsidP="00A4740C">
      <w:pPr>
        <w:pStyle w:val="ListParagraph"/>
        <w:rPr>
          <w:rFonts w:eastAsiaTheme="minorHAnsi"/>
          <w:lang w:val="en-GB"/>
        </w:rPr>
      </w:pPr>
      <w:r w:rsidRPr="006645DC">
        <w:rPr>
          <w:rFonts w:eastAsiaTheme="minorHAnsi"/>
          <w:lang w:val="en-GB"/>
        </w:rPr>
        <w:t xml:space="preserve">Increase traffic and parking efficiency; </w:t>
      </w:r>
    </w:p>
    <w:p w14:paraId="224DC617" w14:textId="77777777" w:rsidR="00B5369A" w:rsidRPr="006645DC" w:rsidRDefault="00B5369A" w:rsidP="00A4740C">
      <w:pPr>
        <w:pStyle w:val="ListParagraph"/>
        <w:rPr>
          <w:rFonts w:eastAsiaTheme="minorHAnsi"/>
          <w:lang w:val="en-GB"/>
        </w:rPr>
      </w:pPr>
      <w:r w:rsidRPr="006645DC">
        <w:rPr>
          <w:rFonts w:eastAsiaTheme="minorHAnsi"/>
          <w:lang w:val="en-GB"/>
        </w:rPr>
        <w:t xml:space="preserve">Provision of public means of transport for employees by the beneficiary companies; </w:t>
      </w:r>
    </w:p>
    <w:p w14:paraId="1CB52165" w14:textId="77777777" w:rsidR="00B5369A" w:rsidRPr="006645DC" w:rsidRDefault="00B5369A" w:rsidP="00A4740C">
      <w:pPr>
        <w:pStyle w:val="ListParagraph"/>
        <w:rPr>
          <w:rFonts w:eastAsiaTheme="minorHAnsi"/>
          <w:lang w:val="en-GB"/>
        </w:rPr>
      </w:pPr>
      <w:r w:rsidRPr="006645DC">
        <w:rPr>
          <w:rFonts w:eastAsiaTheme="minorHAnsi"/>
          <w:lang w:val="en-GB"/>
        </w:rPr>
        <w:t xml:space="preserve">Increase development of rail transport within urban transport (trams, trolley-buses); </w:t>
      </w:r>
    </w:p>
    <w:p w14:paraId="6BCEECA4" w14:textId="77777777" w:rsidR="00B5369A" w:rsidRPr="006645DC" w:rsidRDefault="00B5369A" w:rsidP="00A4740C">
      <w:pPr>
        <w:pStyle w:val="ListParagraph"/>
        <w:rPr>
          <w:rFonts w:eastAsiaTheme="minorHAnsi"/>
          <w:lang w:val="en-GB"/>
        </w:rPr>
      </w:pPr>
      <w:r w:rsidRPr="006645DC">
        <w:rPr>
          <w:rFonts w:eastAsiaTheme="minorHAnsi"/>
          <w:lang w:val="en-GB"/>
        </w:rPr>
        <w:lastRenderedPageBreak/>
        <w:t xml:space="preserve">Increase energy efficiency of vehicles by establishing minimum efficiency criteria; </w:t>
      </w:r>
    </w:p>
    <w:p w14:paraId="7C593E52" w14:textId="77777777" w:rsidR="00B5369A" w:rsidRPr="006645DC" w:rsidRDefault="00B5369A" w:rsidP="00A4740C">
      <w:pPr>
        <w:pStyle w:val="ListParagraph"/>
        <w:rPr>
          <w:rFonts w:eastAsiaTheme="minorHAnsi"/>
          <w:lang w:val="en-GB" w:eastAsia="en-US"/>
        </w:rPr>
      </w:pPr>
      <w:r w:rsidRPr="006645DC">
        <w:rPr>
          <w:rFonts w:eastAsiaTheme="minorHAnsi"/>
          <w:lang w:val="en-GB"/>
        </w:rPr>
        <w:t>Introduction of standards</w:t>
      </w:r>
      <w:r w:rsidRPr="006645DC">
        <w:rPr>
          <w:rFonts w:eastAsiaTheme="minorHAnsi"/>
          <w:lang w:val="en-GB" w:eastAsia="en-US"/>
        </w:rPr>
        <w:t xml:space="preserve"> to support the most efficient and least polluting vehicles; </w:t>
      </w:r>
    </w:p>
    <w:p w14:paraId="06B8BB9D" w14:textId="77777777" w:rsidR="00B5369A" w:rsidRPr="006645DC" w:rsidRDefault="00B5369A" w:rsidP="00F521CE">
      <w:pPr>
        <w:pStyle w:val="ListParagraph"/>
        <w:rPr>
          <w:rFonts w:eastAsiaTheme="minorHAnsi"/>
          <w:lang w:val="en-GB" w:eastAsia="en-US"/>
        </w:rPr>
      </w:pPr>
      <w:r w:rsidRPr="006645DC">
        <w:rPr>
          <w:rFonts w:eastAsiaTheme="minorHAnsi"/>
          <w:lang w:val="en-GB" w:eastAsia="en-US"/>
        </w:rPr>
        <w:t xml:space="preserve">Utilization of gaseous and bio-fuels in the transport sector. </w:t>
      </w:r>
    </w:p>
    <w:p w14:paraId="78023832" w14:textId="77777777" w:rsidR="00B5369A" w:rsidRPr="006645DC" w:rsidRDefault="00B5369A" w:rsidP="00A4740C">
      <w:pPr>
        <w:rPr>
          <w:lang w:val="en-GB"/>
        </w:rPr>
      </w:pPr>
      <w:r w:rsidRPr="006645DC">
        <w:rPr>
          <w:b/>
          <w:lang w:val="en-GB"/>
        </w:rPr>
        <w:t xml:space="preserve">Residential </w:t>
      </w:r>
      <w:r w:rsidRPr="006645DC">
        <w:rPr>
          <w:lang w:val="en-GB"/>
        </w:rPr>
        <w:t xml:space="preserve">(final energy consumption in buildings: heating, hot water and lighting): </w:t>
      </w:r>
    </w:p>
    <w:p w14:paraId="0832BEEB" w14:textId="77777777" w:rsidR="00B5369A" w:rsidRPr="006645DC" w:rsidRDefault="00B5369A" w:rsidP="00A4740C">
      <w:pPr>
        <w:pStyle w:val="ListParagraph"/>
        <w:rPr>
          <w:rFonts w:eastAsiaTheme="minorHAnsi"/>
          <w:lang w:val="en-GB"/>
        </w:rPr>
      </w:pPr>
      <w:r w:rsidRPr="006645DC">
        <w:rPr>
          <w:rFonts w:eastAsiaTheme="minorHAnsi"/>
          <w:lang w:val="en-GB"/>
        </w:rPr>
        <w:t xml:space="preserve">Rehabilitation of the building envelope through thermal rehabilitation measures and financial support for the low-income owners for carrying out the rehabilitation works; </w:t>
      </w:r>
    </w:p>
    <w:p w14:paraId="1DD2EE74" w14:textId="77777777" w:rsidR="00B5369A" w:rsidRPr="006645DC" w:rsidRDefault="00B5369A" w:rsidP="00A4740C">
      <w:pPr>
        <w:pStyle w:val="ListParagraph"/>
        <w:rPr>
          <w:rFonts w:eastAsiaTheme="minorHAnsi"/>
          <w:lang w:val="en-GB"/>
        </w:rPr>
      </w:pPr>
      <w:r w:rsidRPr="006645DC">
        <w:rPr>
          <w:rFonts w:eastAsiaTheme="minorHAnsi"/>
          <w:lang w:val="en-GB"/>
        </w:rPr>
        <w:t xml:space="preserve">Increasing efficiency of the existing thermal installations; </w:t>
      </w:r>
    </w:p>
    <w:p w14:paraId="40128AA5" w14:textId="77777777" w:rsidR="00B5369A" w:rsidRPr="006645DC" w:rsidRDefault="00B5369A" w:rsidP="00A4740C">
      <w:pPr>
        <w:pStyle w:val="ListParagraph"/>
        <w:rPr>
          <w:rFonts w:eastAsiaTheme="minorHAnsi"/>
          <w:lang w:val="en-GB"/>
        </w:rPr>
      </w:pPr>
      <w:r w:rsidRPr="006645DC">
        <w:rPr>
          <w:rFonts w:eastAsiaTheme="minorHAnsi"/>
          <w:lang w:val="en-GB"/>
        </w:rPr>
        <w:t xml:space="preserve">Increasing efficiency of lighting, utilization of low consumption lamps; </w:t>
      </w:r>
    </w:p>
    <w:p w14:paraId="225D9FC1" w14:textId="77777777" w:rsidR="00B5369A" w:rsidRPr="006645DC" w:rsidRDefault="00B5369A" w:rsidP="00A4740C">
      <w:pPr>
        <w:pStyle w:val="ListParagraph"/>
        <w:rPr>
          <w:rFonts w:eastAsiaTheme="minorHAnsi"/>
          <w:lang w:val="en-GB"/>
        </w:rPr>
      </w:pPr>
      <w:r w:rsidRPr="006645DC">
        <w:rPr>
          <w:rFonts w:eastAsiaTheme="minorHAnsi"/>
          <w:lang w:val="en-GB"/>
        </w:rPr>
        <w:t xml:space="preserve">Obligation to apply the provisions of the Directive and the European standards on the new buildings; </w:t>
      </w:r>
    </w:p>
    <w:p w14:paraId="7CC67159" w14:textId="77777777" w:rsidR="00B5369A" w:rsidRPr="006645DC" w:rsidRDefault="00B5369A" w:rsidP="00A4740C">
      <w:pPr>
        <w:pStyle w:val="ListParagraph"/>
        <w:rPr>
          <w:rFonts w:eastAsiaTheme="minorHAnsi"/>
          <w:lang w:val="en-GB"/>
        </w:rPr>
      </w:pPr>
      <w:r w:rsidRPr="006645DC">
        <w:rPr>
          <w:rFonts w:eastAsiaTheme="minorHAnsi"/>
          <w:lang w:val="en-GB"/>
        </w:rPr>
        <w:t xml:space="preserve">Increasing energy efficiency by supporting financing from the Community funds; </w:t>
      </w:r>
    </w:p>
    <w:p w14:paraId="63F7530C" w14:textId="77777777" w:rsidR="00B5369A" w:rsidRPr="006645DC" w:rsidRDefault="00B5369A" w:rsidP="00A4740C">
      <w:pPr>
        <w:pStyle w:val="ListParagraph"/>
        <w:rPr>
          <w:rFonts w:eastAsiaTheme="minorHAnsi"/>
          <w:lang w:val="en-GB"/>
        </w:rPr>
      </w:pPr>
      <w:r w:rsidRPr="006645DC">
        <w:rPr>
          <w:rFonts w:eastAsiaTheme="minorHAnsi"/>
          <w:lang w:val="en-GB"/>
        </w:rPr>
        <w:t xml:space="preserve">Continuing final consumer thermal energy metering; </w:t>
      </w:r>
    </w:p>
    <w:p w14:paraId="2239ECF8" w14:textId="77777777" w:rsidR="00B5369A" w:rsidRPr="006645DC" w:rsidRDefault="00B5369A" w:rsidP="00A4740C">
      <w:pPr>
        <w:pStyle w:val="ListParagraph"/>
        <w:rPr>
          <w:rFonts w:eastAsiaTheme="minorHAnsi"/>
          <w:lang w:val="en-GB"/>
        </w:rPr>
      </w:pPr>
      <w:r w:rsidRPr="006645DC">
        <w:rPr>
          <w:rFonts w:eastAsiaTheme="minorHAnsi"/>
          <w:lang w:val="en-GB"/>
        </w:rPr>
        <w:t xml:space="preserve">Development of a national energy saving education programme for population, in schools and through mass-media, aiming at saving energy, protecting the environment and locally utilizing the renewable energy sources; </w:t>
      </w:r>
    </w:p>
    <w:p w14:paraId="2344B85E" w14:textId="77777777" w:rsidR="00B5369A" w:rsidRPr="006645DC" w:rsidRDefault="00B5369A" w:rsidP="00A4740C">
      <w:pPr>
        <w:pStyle w:val="ListParagraph"/>
        <w:rPr>
          <w:rFonts w:eastAsiaTheme="minorHAnsi"/>
          <w:lang w:val="en-GB" w:eastAsia="en-US"/>
        </w:rPr>
      </w:pPr>
      <w:r w:rsidRPr="006645DC">
        <w:rPr>
          <w:rFonts w:eastAsiaTheme="minorHAnsi"/>
          <w:lang w:val="en-GB"/>
        </w:rPr>
        <w:t>Stimulation of</w:t>
      </w:r>
      <w:r w:rsidRPr="006645DC">
        <w:rPr>
          <w:rFonts w:eastAsiaTheme="minorHAnsi"/>
          <w:lang w:val="en-GB" w:eastAsia="en-US"/>
        </w:rPr>
        <w:t xml:space="preserve"> energy service company (ESCO) functioning. </w:t>
      </w:r>
    </w:p>
    <w:p w14:paraId="1E61B28F" w14:textId="77777777" w:rsidR="00B5369A" w:rsidRPr="006645DC" w:rsidRDefault="00B5369A" w:rsidP="00A4740C">
      <w:pPr>
        <w:rPr>
          <w:b/>
          <w:lang w:val="en-GB"/>
        </w:rPr>
      </w:pPr>
      <w:r w:rsidRPr="006645DC">
        <w:rPr>
          <w:b/>
          <w:lang w:val="en-GB"/>
        </w:rPr>
        <w:t xml:space="preserve">Public sector </w:t>
      </w:r>
    </w:p>
    <w:p w14:paraId="250BEB92" w14:textId="77777777" w:rsidR="00B5369A" w:rsidRPr="006645DC" w:rsidRDefault="00B5369A" w:rsidP="00A4740C">
      <w:pPr>
        <w:pStyle w:val="ListParagraph"/>
        <w:rPr>
          <w:rFonts w:eastAsiaTheme="minorHAnsi"/>
          <w:lang w:val="en-GB"/>
        </w:rPr>
      </w:pPr>
      <w:r w:rsidRPr="006645DC">
        <w:rPr>
          <w:rFonts w:eastAsiaTheme="minorHAnsi"/>
          <w:lang w:val="en-GB"/>
        </w:rPr>
        <w:t xml:space="preserve">Efficiency increase and reduction in the public lighting consumption; </w:t>
      </w:r>
    </w:p>
    <w:p w14:paraId="55590ECA" w14:textId="77777777" w:rsidR="00B5369A" w:rsidRPr="006645DC" w:rsidRDefault="00B5369A" w:rsidP="00A4740C">
      <w:pPr>
        <w:pStyle w:val="ListParagraph"/>
        <w:rPr>
          <w:rFonts w:eastAsiaTheme="minorHAnsi"/>
          <w:lang w:val="en-GB"/>
        </w:rPr>
      </w:pPr>
      <w:r w:rsidRPr="006645DC">
        <w:rPr>
          <w:rFonts w:eastAsiaTheme="minorHAnsi"/>
          <w:lang w:val="en-GB"/>
        </w:rPr>
        <w:t xml:space="preserve">Efficiency increase and reduction in the water supply installation consumption; </w:t>
      </w:r>
    </w:p>
    <w:p w14:paraId="5499318D" w14:textId="77777777" w:rsidR="00B5369A" w:rsidRPr="006645DC" w:rsidRDefault="00B5369A" w:rsidP="00A4740C">
      <w:pPr>
        <w:pStyle w:val="ListParagraph"/>
        <w:rPr>
          <w:rFonts w:eastAsiaTheme="minorHAnsi"/>
          <w:lang w:val="en-GB" w:eastAsia="en-US"/>
        </w:rPr>
      </w:pPr>
      <w:r w:rsidRPr="006645DC">
        <w:rPr>
          <w:rFonts w:eastAsiaTheme="minorHAnsi"/>
          <w:lang w:val="en-GB"/>
        </w:rPr>
        <w:t>Public building</w:t>
      </w:r>
      <w:r w:rsidRPr="006645DC">
        <w:rPr>
          <w:rFonts w:eastAsiaTheme="minorHAnsi"/>
          <w:lang w:val="en-GB" w:eastAsia="en-US"/>
        </w:rPr>
        <w:t xml:space="preserve"> efficiency increase. </w:t>
      </w:r>
    </w:p>
    <w:p w14:paraId="140EC3B8" w14:textId="77777777" w:rsidR="00B5369A" w:rsidRPr="006645DC" w:rsidRDefault="00B5369A" w:rsidP="00A4740C">
      <w:pPr>
        <w:rPr>
          <w:b/>
          <w:lang w:val="en-GB"/>
        </w:rPr>
      </w:pPr>
      <w:r w:rsidRPr="006645DC">
        <w:rPr>
          <w:b/>
          <w:lang w:val="en-GB"/>
        </w:rPr>
        <w:t xml:space="preserve">Agriculture </w:t>
      </w:r>
    </w:p>
    <w:p w14:paraId="157726FD" w14:textId="77777777" w:rsidR="00B5369A" w:rsidRPr="006645DC" w:rsidRDefault="00B5369A" w:rsidP="00A4740C">
      <w:pPr>
        <w:pStyle w:val="ListParagraph"/>
        <w:rPr>
          <w:rFonts w:eastAsiaTheme="minorHAnsi"/>
          <w:lang w:val="en-GB"/>
        </w:rPr>
      </w:pPr>
      <w:r w:rsidRPr="006645DC">
        <w:rPr>
          <w:rFonts w:eastAsiaTheme="minorHAnsi"/>
          <w:lang w:val="en-GB"/>
        </w:rPr>
        <w:t xml:space="preserve">Increase in the efficiency and utilization of bio-fuels for the agricultural ma-chines; </w:t>
      </w:r>
    </w:p>
    <w:p w14:paraId="171F73C8" w14:textId="77777777" w:rsidR="00B5369A" w:rsidRPr="006645DC" w:rsidRDefault="00B5369A" w:rsidP="00A4740C">
      <w:pPr>
        <w:pStyle w:val="ListParagraph"/>
        <w:rPr>
          <w:rFonts w:eastAsiaTheme="minorHAnsi"/>
          <w:lang w:val="en-GB"/>
        </w:rPr>
      </w:pPr>
      <w:r w:rsidRPr="006645DC">
        <w:rPr>
          <w:rFonts w:eastAsiaTheme="minorHAnsi"/>
          <w:lang w:val="en-GB"/>
        </w:rPr>
        <w:t xml:space="preserve">Development of energy crops, both for producing bio-fuels, and electricity and heat through cogeneration; </w:t>
      </w:r>
    </w:p>
    <w:p w14:paraId="2CA97827" w14:textId="77777777" w:rsidR="00B5369A" w:rsidRPr="006645DC" w:rsidRDefault="00B5369A" w:rsidP="00A4740C">
      <w:pPr>
        <w:pStyle w:val="ListParagraph"/>
        <w:rPr>
          <w:rFonts w:eastAsiaTheme="minorHAnsi"/>
          <w:lang w:val="en-GB" w:eastAsia="en-US"/>
        </w:rPr>
      </w:pPr>
      <w:r w:rsidRPr="006645DC">
        <w:rPr>
          <w:rFonts w:eastAsiaTheme="minorHAnsi"/>
          <w:lang w:val="en-GB"/>
        </w:rPr>
        <w:t>Increase in</w:t>
      </w:r>
      <w:r w:rsidRPr="006645DC">
        <w:rPr>
          <w:rFonts w:eastAsiaTheme="minorHAnsi"/>
          <w:lang w:val="en-GB" w:eastAsia="en-US"/>
        </w:rPr>
        <w:t xml:space="preserve"> the energy efficiency of irrigations. </w:t>
      </w:r>
    </w:p>
    <w:p w14:paraId="7C73485B" w14:textId="77777777" w:rsidR="00B5369A" w:rsidRPr="006645DC" w:rsidRDefault="00B5369A" w:rsidP="00A4740C">
      <w:pPr>
        <w:rPr>
          <w:b/>
          <w:lang w:val="en-GB"/>
        </w:rPr>
      </w:pPr>
      <w:r w:rsidRPr="006645DC">
        <w:rPr>
          <w:b/>
          <w:lang w:val="en-GB"/>
        </w:rPr>
        <w:t xml:space="preserve">Cogeneration </w:t>
      </w:r>
    </w:p>
    <w:p w14:paraId="6DABC33E" w14:textId="77777777" w:rsidR="00B5369A" w:rsidRPr="006645DC" w:rsidRDefault="00B5369A" w:rsidP="00A4740C">
      <w:pPr>
        <w:pStyle w:val="ListParagraph"/>
        <w:rPr>
          <w:rFonts w:eastAsiaTheme="minorHAnsi"/>
          <w:lang w:val="en-GB"/>
        </w:rPr>
      </w:pPr>
      <w:r w:rsidRPr="006645DC">
        <w:rPr>
          <w:rFonts w:eastAsiaTheme="minorHAnsi"/>
          <w:lang w:val="en-GB"/>
        </w:rPr>
        <w:t xml:space="preserve">Promotion of highly efficient cogeneration; </w:t>
      </w:r>
    </w:p>
    <w:p w14:paraId="716E08D9" w14:textId="77777777" w:rsidR="00B5369A" w:rsidRPr="006645DC" w:rsidRDefault="00B5369A" w:rsidP="00A4740C">
      <w:pPr>
        <w:pStyle w:val="ListParagraph"/>
        <w:rPr>
          <w:rFonts w:eastAsiaTheme="minorHAnsi"/>
          <w:lang w:val="en-GB"/>
        </w:rPr>
      </w:pPr>
      <w:r w:rsidRPr="006645DC">
        <w:rPr>
          <w:rFonts w:eastAsiaTheme="minorHAnsi"/>
          <w:lang w:val="en-GB"/>
        </w:rPr>
        <w:t xml:space="preserve">Identification and turning to good account of the national cogeneration potential; </w:t>
      </w:r>
    </w:p>
    <w:p w14:paraId="25565941" w14:textId="77777777" w:rsidR="00B5369A" w:rsidRPr="006645DC" w:rsidRDefault="00B5369A" w:rsidP="00A4740C">
      <w:pPr>
        <w:pStyle w:val="ListParagraph"/>
        <w:rPr>
          <w:rFonts w:eastAsiaTheme="minorHAnsi"/>
          <w:lang w:val="en-GB"/>
        </w:rPr>
      </w:pPr>
      <w:r w:rsidRPr="006645DC">
        <w:rPr>
          <w:rFonts w:eastAsiaTheme="minorHAnsi"/>
          <w:lang w:val="en-GB"/>
        </w:rPr>
        <w:t xml:space="preserve">Energy auditing of cogeneration units; </w:t>
      </w:r>
    </w:p>
    <w:p w14:paraId="7CAAE628" w14:textId="77777777" w:rsidR="00B5369A" w:rsidRPr="006645DC" w:rsidRDefault="00B5369A" w:rsidP="00A4740C">
      <w:pPr>
        <w:pStyle w:val="ListParagraph"/>
        <w:rPr>
          <w:rFonts w:eastAsiaTheme="minorHAnsi"/>
          <w:lang w:val="en-GB" w:eastAsia="en-US"/>
        </w:rPr>
      </w:pPr>
      <w:r w:rsidRPr="006645DC">
        <w:rPr>
          <w:rFonts w:eastAsiaTheme="minorHAnsi"/>
          <w:lang w:val="en-GB"/>
        </w:rPr>
        <w:lastRenderedPageBreak/>
        <w:t>Rehabilitations and modernizations of the existing installations for increasing efficiency and reducing the environmental</w:t>
      </w:r>
      <w:r w:rsidRPr="006645DC">
        <w:rPr>
          <w:rFonts w:eastAsiaTheme="minorHAnsi"/>
          <w:lang w:val="en-GB" w:eastAsia="en-US"/>
        </w:rPr>
        <w:t xml:space="preserve"> impact; </w:t>
      </w:r>
    </w:p>
    <w:p w14:paraId="434C7AAD" w14:textId="77777777" w:rsidR="00B5369A" w:rsidRPr="006645DC" w:rsidRDefault="00B5369A" w:rsidP="00A4740C">
      <w:pPr>
        <w:rPr>
          <w:b/>
          <w:lang w:val="en-GB"/>
        </w:rPr>
      </w:pPr>
      <w:r w:rsidRPr="006645DC">
        <w:rPr>
          <w:b/>
          <w:lang w:val="en-GB"/>
        </w:rPr>
        <w:t xml:space="preserve">Renewable energy sources </w:t>
      </w:r>
    </w:p>
    <w:p w14:paraId="680B1949" w14:textId="77777777" w:rsidR="00B5369A" w:rsidRPr="006645DC" w:rsidRDefault="00B5369A" w:rsidP="00A4740C">
      <w:pPr>
        <w:pStyle w:val="ListParagraph"/>
        <w:rPr>
          <w:rFonts w:eastAsiaTheme="minorHAnsi"/>
          <w:lang w:val="en-GB"/>
        </w:rPr>
      </w:pPr>
      <w:r w:rsidRPr="006645DC">
        <w:rPr>
          <w:rFonts w:eastAsiaTheme="minorHAnsi"/>
          <w:lang w:val="en-GB"/>
        </w:rPr>
        <w:t xml:space="preserve">Increase in the degree of RES utilization under high economic efficiency conditions for producing electricity and heat, by means of facilities, including facilitation of access to the electrical network, in the investment phase; </w:t>
      </w:r>
    </w:p>
    <w:p w14:paraId="0CD5E894" w14:textId="77777777" w:rsidR="00B5369A" w:rsidRPr="006645DC" w:rsidRDefault="00B5369A" w:rsidP="00A4740C">
      <w:pPr>
        <w:pStyle w:val="ListParagraph"/>
        <w:rPr>
          <w:rFonts w:eastAsiaTheme="minorHAnsi"/>
          <w:lang w:val="en-GB"/>
        </w:rPr>
      </w:pPr>
      <w:r w:rsidRPr="006645DC">
        <w:rPr>
          <w:rFonts w:eastAsiaTheme="minorHAnsi"/>
          <w:lang w:val="en-GB"/>
        </w:rPr>
        <w:t xml:space="preserve">Green certificate improvement with a view to attracting the private capital in the RES field investment; </w:t>
      </w:r>
    </w:p>
    <w:p w14:paraId="05482E31" w14:textId="77777777" w:rsidR="00B5369A" w:rsidRPr="006645DC" w:rsidRDefault="00B5369A" w:rsidP="00A4740C">
      <w:pPr>
        <w:pStyle w:val="ListParagraph"/>
        <w:rPr>
          <w:rFonts w:eastAsiaTheme="minorHAnsi"/>
          <w:lang w:val="en-GB"/>
        </w:rPr>
      </w:pPr>
      <w:r w:rsidRPr="006645DC">
        <w:rPr>
          <w:rFonts w:eastAsiaTheme="minorHAnsi"/>
          <w:lang w:val="en-GB"/>
        </w:rPr>
        <w:t xml:space="preserve">Promotion of mechanisms for supporting utilization of RES for producing heat and hot water for domestic use; </w:t>
      </w:r>
    </w:p>
    <w:p w14:paraId="3D20B8A9" w14:textId="77777777" w:rsidR="00B5369A" w:rsidRPr="006645DC" w:rsidRDefault="00B5369A" w:rsidP="00B5369A">
      <w:pPr>
        <w:pStyle w:val="ListParagraph"/>
        <w:rPr>
          <w:rFonts w:eastAsiaTheme="minorHAnsi"/>
          <w:lang w:val="en-GB"/>
        </w:rPr>
      </w:pPr>
      <w:r w:rsidRPr="006645DC">
        <w:rPr>
          <w:rFonts w:eastAsiaTheme="minorHAnsi"/>
          <w:lang w:val="en-GB"/>
        </w:rPr>
        <w:t xml:space="preserve">Utilization of structural funds. </w:t>
      </w:r>
    </w:p>
    <w:p w14:paraId="2B590157" w14:textId="77777777" w:rsidR="00B5369A" w:rsidRPr="006645DC" w:rsidRDefault="00B5369A" w:rsidP="003C3D5A">
      <w:pPr>
        <w:pStyle w:val="Heading3"/>
        <w:rPr>
          <w:lang w:val="en-GB"/>
        </w:rPr>
      </w:pPr>
      <w:bookmarkStart w:id="1479" w:name="_Toc376199650"/>
      <w:bookmarkStart w:id="1480" w:name="_Toc254543819"/>
      <w:r w:rsidRPr="006645DC">
        <w:rPr>
          <w:lang w:val="en-GB"/>
        </w:rPr>
        <w:t>Bulgaria</w:t>
      </w:r>
      <w:bookmarkEnd w:id="1479"/>
      <w:bookmarkEnd w:id="1480"/>
    </w:p>
    <w:p w14:paraId="10952732" w14:textId="77777777" w:rsidR="00B5369A" w:rsidRPr="006645DC" w:rsidRDefault="00B5369A" w:rsidP="00A4740C">
      <w:pPr>
        <w:rPr>
          <w:lang w:val="en-GB"/>
        </w:rPr>
      </w:pPr>
      <w:r w:rsidRPr="006645DC">
        <w:rPr>
          <w:lang w:val="en-GB"/>
        </w:rPr>
        <w:t xml:space="preserve">In its Energy Strategy till 2020 Bulgaria has identified (1) High energy intensiveness of GDP, (2) high dependency on energy resource imports and (3) necessity for environmentally sound development as the main challenges for its energy sector for the coming years. </w:t>
      </w:r>
    </w:p>
    <w:p w14:paraId="450D72AB" w14:textId="77777777" w:rsidR="00B5369A" w:rsidRPr="006645DC" w:rsidRDefault="00B5369A" w:rsidP="00B5369A">
      <w:pPr>
        <w:rPr>
          <w:lang w:val="en-GB"/>
        </w:rPr>
      </w:pPr>
      <w:r w:rsidRPr="006645DC">
        <w:rPr>
          <w:lang w:val="en-GB"/>
        </w:rPr>
        <w:t>The first important step concerning the implementation of national strategies was in 2010 to integrate the policies of energy efficiency and renewable sources by combining the existing Energy Efficiency Agency into the Sustainable Energy Development Agency. The new agency combines the implementation of activities of conducting the state policy for increasing energy efficiency in final energy consumption and providing energy services, as well as state policy to encourage the production and consumption of electricity, thermal energy and cooling from renewable sources, gas production and consumption from renewable sources, and the production and consumption of bio fuels and renewable energy in transport.</w:t>
      </w:r>
    </w:p>
    <w:p w14:paraId="2FF4EB3B" w14:textId="77777777" w:rsidR="00B5369A" w:rsidRPr="006645DC" w:rsidRDefault="00B5369A" w:rsidP="00A4740C">
      <w:pPr>
        <w:pStyle w:val="Heading2"/>
        <w:rPr>
          <w:lang w:val="en-GB"/>
        </w:rPr>
      </w:pPr>
      <w:bookmarkStart w:id="1481" w:name="_Toc376199651"/>
      <w:bookmarkStart w:id="1482" w:name="_Toc254543820"/>
      <w:bookmarkStart w:id="1483" w:name="_Toc391150195"/>
      <w:r w:rsidRPr="006645DC">
        <w:rPr>
          <w:lang w:val="en-GB"/>
        </w:rPr>
        <w:t>Energy consumption</w:t>
      </w:r>
      <w:bookmarkEnd w:id="1476"/>
      <w:bookmarkEnd w:id="1481"/>
      <w:bookmarkEnd w:id="1482"/>
      <w:bookmarkEnd w:id="1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1027"/>
        <w:gridCol w:w="1348"/>
        <w:gridCol w:w="1134"/>
        <w:gridCol w:w="1276"/>
        <w:gridCol w:w="1134"/>
      </w:tblGrid>
      <w:tr w:rsidR="00B5369A" w:rsidRPr="006645DC" w14:paraId="309CA068" w14:textId="77777777" w:rsidTr="00F521CE">
        <w:trPr>
          <w:trHeight w:val="414"/>
          <w:jc w:val="center"/>
        </w:trPr>
        <w:tc>
          <w:tcPr>
            <w:tcW w:w="1027" w:type="dxa"/>
            <w:vAlign w:val="center"/>
          </w:tcPr>
          <w:p w14:paraId="61F0F97E" w14:textId="77777777" w:rsidR="00B5369A" w:rsidRPr="006645DC" w:rsidRDefault="00B5369A" w:rsidP="00F521CE">
            <w:pPr>
              <w:spacing w:before="0" w:after="0"/>
              <w:jc w:val="center"/>
              <w:rPr>
                <w:b/>
                <w:highlight w:val="yellow"/>
                <w:lang w:val="en-GB"/>
              </w:rPr>
            </w:pPr>
          </w:p>
        </w:tc>
        <w:tc>
          <w:tcPr>
            <w:tcW w:w="1027" w:type="dxa"/>
            <w:vAlign w:val="center"/>
          </w:tcPr>
          <w:p w14:paraId="74A0466A" w14:textId="77777777" w:rsidR="00B5369A" w:rsidRPr="006645DC" w:rsidRDefault="00B5369A" w:rsidP="00F521CE">
            <w:pPr>
              <w:spacing w:before="0" w:after="0"/>
              <w:jc w:val="center"/>
              <w:rPr>
                <w:b/>
                <w:lang w:val="en-GB"/>
              </w:rPr>
            </w:pPr>
            <w:r w:rsidRPr="006645DC">
              <w:rPr>
                <w:b/>
                <w:lang w:val="en-GB"/>
              </w:rPr>
              <w:t>2007</w:t>
            </w:r>
          </w:p>
        </w:tc>
        <w:tc>
          <w:tcPr>
            <w:tcW w:w="1348" w:type="dxa"/>
            <w:vAlign w:val="center"/>
          </w:tcPr>
          <w:p w14:paraId="43BA4313" w14:textId="77777777" w:rsidR="00B5369A" w:rsidRPr="006645DC" w:rsidRDefault="00B5369A" w:rsidP="00F521CE">
            <w:pPr>
              <w:spacing w:before="0" w:after="0"/>
              <w:jc w:val="center"/>
              <w:rPr>
                <w:b/>
                <w:lang w:val="en-GB"/>
              </w:rPr>
            </w:pPr>
            <w:r w:rsidRPr="006645DC">
              <w:rPr>
                <w:b/>
                <w:lang w:val="en-GB"/>
              </w:rPr>
              <w:t>2008</w:t>
            </w:r>
          </w:p>
        </w:tc>
        <w:tc>
          <w:tcPr>
            <w:tcW w:w="1134" w:type="dxa"/>
            <w:vAlign w:val="center"/>
          </w:tcPr>
          <w:p w14:paraId="5BABFF66" w14:textId="77777777" w:rsidR="00B5369A" w:rsidRPr="006645DC" w:rsidRDefault="00B5369A" w:rsidP="00F521CE">
            <w:pPr>
              <w:spacing w:before="0" w:after="0"/>
              <w:jc w:val="center"/>
              <w:rPr>
                <w:b/>
                <w:lang w:val="en-GB"/>
              </w:rPr>
            </w:pPr>
            <w:r w:rsidRPr="006645DC">
              <w:rPr>
                <w:b/>
                <w:lang w:val="en-GB"/>
              </w:rPr>
              <w:t>2009</w:t>
            </w:r>
          </w:p>
        </w:tc>
        <w:tc>
          <w:tcPr>
            <w:tcW w:w="1276" w:type="dxa"/>
            <w:vAlign w:val="center"/>
          </w:tcPr>
          <w:p w14:paraId="7071E18A" w14:textId="77777777" w:rsidR="00B5369A" w:rsidRPr="006645DC" w:rsidRDefault="00B5369A" w:rsidP="00F521CE">
            <w:pPr>
              <w:spacing w:before="0" w:after="0"/>
              <w:jc w:val="center"/>
              <w:rPr>
                <w:b/>
                <w:lang w:val="en-GB"/>
              </w:rPr>
            </w:pPr>
            <w:r w:rsidRPr="006645DC">
              <w:rPr>
                <w:b/>
                <w:lang w:val="en-GB"/>
              </w:rPr>
              <w:t>2010</w:t>
            </w:r>
          </w:p>
        </w:tc>
        <w:tc>
          <w:tcPr>
            <w:tcW w:w="1134" w:type="dxa"/>
            <w:vAlign w:val="center"/>
          </w:tcPr>
          <w:p w14:paraId="5BE66424" w14:textId="77777777" w:rsidR="00B5369A" w:rsidRPr="006645DC" w:rsidRDefault="00B5369A" w:rsidP="00F521CE">
            <w:pPr>
              <w:spacing w:before="0" w:after="0"/>
              <w:jc w:val="center"/>
              <w:rPr>
                <w:b/>
                <w:lang w:val="en-GB"/>
              </w:rPr>
            </w:pPr>
            <w:r w:rsidRPr="006645DC">
              <w:rPr>
                <w:b/>
                <w:lang w:val="en-GB"/>
              </w:rPr>
              <w:t>2011</w:t>
            </w:r>
          </w:p>
        </w:tc>
      </w:tr>
      <w:tr w:rsidR="00B5369A" w:rsidRPr="006645DC" w14:paraId="07A455D8" w14:textId="77777777" w:rsidTr="00B5369A">
        <w:trPr>
          <w:jc w:val="center"/>
        </w:trPr>
        <w:tc>
          <w:tcPr>
            <w:tcW w:w="1027" w:type="dxa"/>
          </w:tcPr>
          <w:p w14:paraId="03C27BC5" w14:textId="77777777" w:rsidR="00B5369A" w:rsidRPr="006645DC" w:rsidRDefault="00B5369A" w:rsidP="00B5369A">
            <w:pPr>
              <w:spacing w:before="0" w:after="0"/>
              <w:rPr>
                <w:b/>
                <w:lang w:val="en-GB"/>
              </w:rPr>
            </w:pPr>
            <w:r w:rsidRPr="006645DC">
              <w:rPr>
                <w:b/>
                <w:lang w:val="en-GB"/>
              </w:rPr>
              <w:t>Bulgaria</w:t>
            </w:r>
          </w:p>
        </w:tc>
        <w:tc>
          <w:tcPr>
            <w:tcW w:w="1027" w:type="dxa"/>
            <w:vAlign w:val="center"/>
          </w:tcPr>
          <w:p w14:paraId="5712DAB4" w14:textId="77777777" w:rsidR="00B5369A" w:rsidRPr="006645DC" w:rsidRDefault="00B5369A" w:rsidP="00F521CE">
            <w:pPr>
              <w:keepNext/>
              <w:keepLines/>
              <w:spacing w:before="0" w:after="0"/>
              <w:jc w:val="right"/>
              <w:outlineLvl w:val="1"/>
              <w:rPr>
                <w:lang w:val="en-GB"/>
              </w:rPr>
            </w:pPr>
            <w:bookmarkStart w:id="1484" w:name="_Toc376199652"/>
            <w:r w:rsidRPr="006645DC">
              <w:rPr>
                <w:lang w:val="en-GB"/>
              </w:rPr>
              <w:t>20</w:t>
            </w:r>
            <w:r w:rsidR="00F521CE" w:rsidRPr="006645DC">
              <w:rPr>
                <w:lang w:val="en-GB"/>
              </w:rPr>
              <w:t xml:space="preserve"> </w:t>
            </w:r>
            <w:r w:rsidRPr="006645DC">
              <w:rPr>
                <w:lang w:val="en-GB"/>
              </w:rPr>
              <w:t>312</w:t>
            </w:r>
            <w:bookmarkEnd w:id="1484"/>
          </w:p>
        </w:tc>
        <w:tc>
          <w:tcPr>
            <w:tcW w:w="1348" w:type="dxa"/>
            <w:vAlign w:val="center"/>
          </w:tcPr>
          <w:p w14:paraId="095D16B1" w14:textId="77777777" w:rsidR="00B5369A" w:rsidRPr="006645DC" w:rsidRDefault="00B5369A" w:rsidP="00F521CE">
            <w:pPr>
              <w:keepNext/>
              <w:keepLines/>
              <w:spacing w:before="0" w:after="0"/>
              <w:jc w:val="right"/>
              <w:outlineLvl w:val="1"/>
              <w:rPr>
                <w:lang w:val="en-GB"/>
              </w:rPr>
            </w:pPr>
            <w:bookmarkStart w:id="1485" w:name="_Toc376199653"/>
            <w:r w:rsidRPr="006645DC">
              <w:rPr>
                <w:lang w:val="en-GB"/>
              </w:rPr>
              <w:t>20 108</w:t>
            </w:r>
            <w:bookmarkEnd w:id="1485"/>
          </w:p>
        </w:tc>
        <w:tc>
          <w:tcPr>
            <w:tcW w:w="1134" w:type="dxa"/>
            <w:vAlign w:val="center"/>
          </w:tcPr>
          <w:p w14:paraId="533C3BF9" w14:textId="77777777" w:rsidR="00B5369A" w:rsidRPr="006645DC" w:rsidRDefault="00B5369A" w:rsidP="00F521CE">
            <w:pPr>
              <w:keepNext/>
              <w:keepLines/>
              <w:spacing w:before="0" w:after="0"/>
              <w:jc w:val="right"/>
              <w:outlineLvl w:val="1"/>
              <w:rPr>
                <w:lang w:val="en-GB"/>
              </w:rPr>
            </w:pPr>
            <w:bookmarkStart w:id="1486" w:name="_Toc376199654"/>
            <w:r w:rsidRPr="006645DC">
              <w:rPr>
                <w:lang w:val="en-GB"/>
              </w:rPr>
              <w:t>17</w:t>
            </w:r>
            <w:r w:rsidR="00F521CE" w:rsidRPr="006645DC">
              <w:rPr>
                <w:lang w:val="en-GB"/>
              </w:rPr>
              <w:t xml:space="preserve"> </w:t>
            </w:r>
            <w:r w:rsidRPr="006645DC">
              <w:rPr>
                <w:lang w:val="en-GB"/>
              </w:rPr>
              <w:t>594</w:t>
            </w:r>
            <w:bookmarkEnd w:id="1486"/>
          </w:p>
        </w:tc>
        <w:tc>
          <w:tcPr>
            <w:tcW w:w="1276" w:type="dxa"/>
            <w:vAlign w:val="center"/>
          </w:tcPr>
          <w:p w14:paraId="48D597B9" w14:textId="77777777" w:rsidR="00B5369A" w:rsidRPr="006645DC" w:rsidRDefault="00B5369A" w:rsidP="00F521CE">
            <w:pPr>
              <w:keepNext/>
              <w:keepLines/>
              <w:spacing w:before="0" w:after="0"/>
              <w:jc w:val="right"/>
              <w:outlineLvl w:val="1"/>
              <w:rPr>
                <w:lang w:val="en-GB"/>
              </w:rPr>
            </w:pPr>
            <w:bookmarkStart w:id="1487" w:name="_Toc376199655"/>
            <w:r w:rsidRPr="006645DC">
              <w:rPr>
                <w:lang w:val="en-GB"/>
              </w:rPr>
              <w:t>17 937</w:t>
            </w:r>
            <w:bookmarkEnd w:id="1487"/>
          </w:p>
        </w:tc>
        <w:tc>
          <w:tcPr>
            <w:tcW w:w="1134" w:type="dxa"/>
            <w:vAlign w:val="center"/>
          </w:tcPr>
          <w:p w14:paraId="452A6CFF" w14:textId="77777777" w:rsidR="00B5369A" w:rsidRPr="006645DC" w:rsidRDefault="00B5369A" w:rsidP="00F521CE">
            <w:pPr>
              <w:keepNext/>
              <w:keepLines/>
              <w:spacing w:before="0" w:after="0"/>
              <w:jc w:val="right"/>
              <w:outlineLvl w:val="1"/>
              <w:rPr>
                <w:lang w:val="en-GB"/>
              </w:rPr>
            </w:pPr>
            <w:bookmarkStart w:id="1488" w:name="_Toc376199656"/>
            <w:r w:rsidRPr="006645DC">
              <w:rPr>
                <w:lang w:val="en-GB"/>
              </w:rPr>
              <w:t>19</w:t>
            </w:r>
            <w:r w:rsidR="00F521CE" w:rsidRPr="006645DC">
              <w:rPr>
                <w:lang w:val="en-GB"/>
              </w:rPr>
              <w:t xml:space="preserve"> </w:t>
            </w:r>
            <w:r w:rsidRPr="006645DC">
              <w:rPr>
                <w:lang w:val="en-GB"/>
              </w:rPr>
              <w:t>278</w:t>
            </w:r>
            <w:bookmarkEnd w:id="1488"/>
          </w:p>
        </w:tc>
      </w:tr>
      <w:tr w:rsidR="00B5369A" w:rsidRPr="006645DC" w14:paraId="1EF7D902" w14:textId="77777777" w:rsidTr="00B5369A">
        <w:trPr>
          <w:jc w:val="center"/>
        </w:trPr>
        <w:tc>
          <w:tcPr>
            <w:tcW w:w="1027" w:type="dxa"/>
          </w:tcPr>
          <w:p w14:paraId="467E05D4" w14:textId="77777777" w:rsidR="00B5369A" w:rsidRPr="006645DC" w:rsidRDefault="00B5369A" w:rsidP="00F521CE">
            <w:pPr>
              <w:keepNext/>
              <w:keepLines/>
              <w:spacing w:before="0" w:after="0"/>
              <w:outlineLvl w:val="1"/>
              <w:rPr>
                <w:b/>
                <w:lang w:val="en-GB"/>
              </w:rPr>
            </w:pPr>
            <w:bookmarkStart w:id="1489" w:name="_Toc376199657"/>
            <w:r w:rsidRPr="006645DC">
              <w:rPr>
                <w:b/>
                <w:lang w:val="en-GB"/>
              </w:rPr>
              <w:t>Romania</w:t>
            </w:r>
            <w:bookmarkEnd w:id="1489"/>
          </w:p>
        </w:tc>
        <w:tc>
          <w:tcPr>
            <w:tcW w:w="1027" w:type="dxa"/>
            <w:vAlign w:val="center"/>
          </w:tcPr>
          <w:p w14:paraId="6BB25EFE" w14:textId="77777777" w:rsidR="00B5369A" w:rsidRPr="006645DC" w:rsidRDefault="00B5369A" w:rsidP="00F521CE">
            <w:pPr>
              <w:keepNext/>
              <w:keepLines/>
              <w:spacing w:before="0" w:after="0"/>
              <w:jc w:val="right"/>
              <w:outlineLvl w:val="1"/>
              <w:rPr>
                <w:lang w:val="en-GB"/>
              </w:rPr>
            </w:pPr>
            <w:bookmarkStart w:id="1490" w:name="_Toc376199658"/>
            <w:r w:rsidRPr="006645DC">
              <w:rPr>
                <w:lang w:val="en-GB"/>
              </w:rPr>
              <w:t>40</w:t>
            </w:r>
            <w:r w:rsidR="00F521CE" w:rsidRPr="006645DC">
              <w:rPr>
                <w:lang w:val="en-GB"/>
              </w:rPr>
              <w:t xml:space="preserve"> </w:t>
            </w:r>
            <w:r w:rsidRPr="006645DC">
              <w:rPr>
                <w:lang w:val="en-GB"/>
              </w:rPr>
              <w:t>576</w:t>
            </w:r>
            <w:bookmarkEnd w:id="1490"/>
          </w:p>
        </w:tc>
        <w:tc>
          <w:tcPr>
            <w:tcW w:w="1348" w:type="dxa"/>
            <w:vAlign w:val="center"/>
          </w:tcPr>
          <w:p w14:paraId="34F33354" w14:textId="77777777" w:rsidR="00B5369A" w:rsidRPr="006645DC" w:rsidRDefault="00B5369A" w:rsidP="00F521CE">
            <w:pPr>
              <w:keepNext/>
              <w:keepLines/>
              <w:spacing w:before="0" w:after="0"/>
              <w:jc w:val="right"/>
              <w:outlineLvl w:val="1"/>
              <w:rPr>
                <w:lang w:val="en-GB"/>
              </w:rPr>
            </w:pPr>
            <w:bookmarkStart w:id="1491" w:name="_Toc376199659"/>
            <w:r w:rsidRPr="006645DC">
              <w:rPr>
                <w:lang w:val="en-GB"/>
              </w:rPr>
              <w:t>40 496</w:t>
            </w:r>
            <w:bookmarkEnd w:id="1491"/>
          </w:p>
        </w:tc>
        <w:tc>
          <w:tcPr>
            <w:tcW w:w="1134" w:type="dxa"/>
            <w:vAlign w:val="center"/>
          </w:tcPr>
          <w:p w14:paraId="7104FD7F" w14:textId="77777777" w:rsidR="00B5369A" w:rsidRPr="006645DC" w:rsidRDefault="00B5369A" w:rsidP="00F521CE">
            <w:pPr>
              <w:keepNext/>
              <w:keepLines/>
              <w:spacing w:before="0" w:after="0"/>
              <w:jc w:val="right"/>
              <w:outlineLvl w:val="1"/>
              <w:rPr>
                <w:lang w:val="en-GB"/>
              </w:rPr>
            </w:pPr>
            <w:bookmarkStart w:id="1492" w:name="_Toc376199660"/>
            <w:r w:rsidRPr="006645DC">
              <w:rPr>
                <w:lang w:val="en-GB"/>
              </w:rPr>
              <w:t>35</w:t>
            </w:r>
            <w:r w:rsidR="00F521CE" w:rsidRPr="006645DC">
              <w:rPr>
                <w:lang w:val="en-GB"/>
              </w:rPr>
              <w:t xml:space="preserve"> </w:t>
            </w:r>
            <w:r w:rsidRPr="006645DC">
              <w:rPr>
                <w:lang w:val="en-GB"/>
              </w:rPr>
              <w:t>507</w:t>
            </w:r>
            <w:bookmarkEnd w:id="1492"/>
          </w:p>
        </w:tc>
        <w:tc>
          <w:tcPr>
            <w:tcW w:w="1276" w:type="dxa"/>
            <w:vAlign w:val="center"/>
          </w:tcPr>
          <w:p w14:paraId="677DE520" w14:textId="77777777" w:rsidR="00B5369A" w:rsidRPr="006645DC" w:rsidRDefault="00B5369A" w:rsidP="00F521CE">
            <w:pPr>
              <w:keepNext/>
              <w:keepLines/>
              <w:spacing w:before="0" w:after="0"/>
              <w:jc w:val="right"/>
              <w:outlineLvl w:val="1"/>
              <w:rPr>
                <w:lang w:val="en-GB"/>
              </w:rPr>
            </w:pPr>
            <w:bookmarkStart w:id="1493" w:name="_Toc376199661"/>
            <w:r w:rsidRPr="006645DC">
              <w:rPr>
                <w:lang w:val="en-GB"/>
              </w:rPr>
              <w:t>35 655</w:t>
            </w:r>
            <w:bookmarkEnd w:id="1493"/>
          </w:p>
        </w:tc>
        <w:tc>
          <w:tcPr>
            <w:tcW w:w="1134" w:type="dxa"/>
            <w:vAlign w:val="center"/>
          </w:tcPr>
          <w:p w14:paraId="63CBDD5B" w14:textId="77777777" w:rsidR="00B5369A" w:rsidRPr="006645DC" w:rsidRDefault="00B5369A" w:rsidP="00F521CE">
            <w:pPr>
              <w:keepNext/>
              <w:keepLines/>
              <w:spacing w:before="0" w:after="0"/>
              <w:jc w:val="right"/>
              <w:outlineLvl w:val="1"/>
              <w:rPr>
                <w:lang w:val="en-GB"/>
              </w:rPr>
            </w:pPr>
            <w:bookmarkStart w:id="1494" w:name="_Toc376199662"/>
            <w:r w:rsidRPr="006645DC">
              <w:rPr>
                <w:lang w:val="en-GB"/>
              </w:rPr>
              <w:t>36</w:t>
            </w:r>
            <w:r w:rsidR="00F521CE" w:rsidRPr="006645DC">
              <w:rPr>
                <w:lang w:val="en-GB"/>
              </w:rPr>
              <w:t xml:space="preserve"> </w:t>
            </w:r>
            <w:r w:rsidRPr="006645DC">
              <w:rPr>
                <w:lang w:val="en-GB"/>
              </w:rPr>
              <w:t>349</w:t>
            </w:r>
            <w:bookmarkEnd w:id="1494"/>
          </w:p>
        </w:tc>
      </w:tr>
    </w:tbl>
    <w:p w14:paraId="76C77201" w14:textId="75C3C921" w:rsidR="00C77B3E" w:rsidRDefault="00B5369A" w:rsidP="00C77B3E">
      <w:pPr>
        <w:pStyle w:val="Caption"/>
        <w:rPr>
          <w:lang w:val="en-GB"/>
        </w:rPr>
      </w:pPr>
      <w:bookmarkStart w:id="1495" w:name="_Toc391150134"/>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37</w:t>
      </w:r>
      <w:r w:rsidR="005979EB" w:rsidRPr="006645DC">
        <w:rPr>
          <w:lang w:val="en-GB"/>
        </w:rPr>
        <w:fldChar w:fldCharType="end"/>
      </w:r>
      <w:r w:rsidRPr="006645DC">
        <w:rPr>
          <w:lang w:val="en-GB"/>
        </w:rPr>
        <w:t xml:space="preserve"> - Gross inland consumption</w:t>
      </w:r>
      <w:r w:rsidRPr="006645DC">
        <w:rPr>
          <w:rStyle w:val="FootnoteReference"/>
          <w:sz w:val="24"/>
          <w:lang w:val="en-GB"/>
        </w:rPr>
        <w:footnoteReference w:id="37"/>
      </w:r>
      <w:r w:rsidRPr="006645DC">
        <w:rPr>
          <w:lang w:val="en-GB"/>
        </w:rPr>
        <w:t xml:space="preserve"> of primary energy (tonnes of oil equivalent)</w:t>
      </w:r>
      <w:bookmarkEnd w:id="1495"/>
    </w:p>
    <w:p w14:paraId="7332F090" w14:textId="6E4AF42A" w:rsidR="003C3D5A" w:rsidRPr="00C77B3E" w:rsidRDefault="00C77B3E" w:rsidP="00C77B3E">
      <w:pPr>
        <w:tabs>
          <w:tab w:val="left" w:pos="2338"/>
        </w:tabs>
        <w:jc w:val="right"/>
        <w:rPr>
          <w:bCs/>
          <w:i/>
          <w:iCs/>
          <w:lang w:val="en-GB" w:eastAsia="ro-RO"/>
        </w:rPr>
      </w:pPr>
      <w:r>
        <w:rPr>
          <w:lang w:val="en-GB" w:eastAsia="ro-RO"/>
        </w:rPr>
        <w:tab/>
      </w:r>
      <w:r w:rsidRPr="00C77B3E">
        <w:rPr>
          <w:sz w:val="18"/>
          <w:lang w:val="en-GB" w:eastAsia="ro-RO"/>
        </w:rPr>
        <w:t>S</w:t>
      </w:r>
      <w:r w:rsidRPr="00C77B3E">
        <w:rPr>
          <w:bCs/>
          <w:i/>
          <w:iCs/>
          <w:sz w:val="18"/>
          <w:lang w:val="en-GB" w:eastAsia="ro-RO"/>
        </w:rPr>
        <w:t>ource: Eurostat</w:t>
      </w:r>
    </w:p>
    <w:tbl>
      <w:tblPr>
        <w:tblW w:w="6901" w:type="dxa"/>
        <w:jc w:val="center"/>
        <w:tblCellMar>
          <w:left w:w="70" w:type="dxa"/>
          <w:right w:w="70" w:type="dxa"/>
        </w:tblCellMar>
        <w:tblLook w:val="04A0" w:firstRow="1" w:lastRow="0" w:firstColumn="1" w:lastColumn="0" w:noHBand="0" w:noVBand="1"/>
      </w:tblPr>
      <w:tblGrid>
        <w:gridCol w:w="2705"/>
        <w:gridCol w:w="870"/>
        <w:gridCol w:w="883"/>
        <w:gridCol w:w="801"/>
        <w:gridCol w:w="883"/>
        <w:gridCol w:w="759"/>
      </w:tblGrid>
      <w:tr w:rsidR="00B5369A" w:rsidRPr="006645DC" w14:paraId="67A22267" w14:textId="77777777" w:rsidTr="00B5369A">
        <w:trPr>
          <w:trHeight w:val="255"/>
          <w:jc w:val="center"/>
        </w:trPr>
        <w:tc>
          <w:tcPr>
            <w:tcW w:w="270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43B815" w14:textId="77777777" w:rsidR="00B5369A" w:rsidRPr="006645DC" w:rsidRDefault="00B5369A" w:rsidP="00B5369A">
            <w:pPr>
              <w:spacing w:before="0" w:after="0"/>
              <w:rPr>
                <w:rFonts w:cstheme="minorHAnsi"/>
                <w:lang w:val="en-GB" w:eastAsia="hu-HU"/>
              </w:rPr>
            </w:pPr>
            <w:r w:rsidRPr="006645DC">
              <w:rPr>
                <w:rFonts w:cstheme="minorHAnsi"/>
                <w:lang w:val="en-GB" w:eastAsia="hu-HU"/>
              </w:rPr>
              <w:lastRenderedPageBreak/>
              <w:t> </w:t>
            </w:r>
          </w:p>
        </w:tc>
        <w:tc>
          <w:tcPr>
            <w:tcW w:w="870" w:type="dxa"/>
            <w:tcBorders>
              <w:top w:val="single" w:sz="4" w:space="0" w:color="auto"/>
              <w:left w:val="nil"/>
              <w:bottom w:val="single" w:sz="4" w:space="0" w:color="auto"/>
              <w:right w:val="single" w:sz="4" w:space="0" w:color="auto"/>
            </w:tcBorders>
            <w:shd w:val="clear" w:color="auto" w:fill="auto"/>
            <w:noWrap/>
            <w:vAlign w:val="bottom"/>
            <w:hideMark/>
          </w:tcPr>
          <w:p w14:paraId="34F9A32B" w14:textId="77777777" w:rsidR="00B5369A" w:rsidRPr="006645DC" w:rsidRDefault="00B5369A" w:rsidP="00B5369A">
            <w:pPr>
              <w:spacing w:before="0" w:after="0"/>
              <w:jc w:val="center"/>
              <w:rPr>
                <w:rFonts w:cstheme="minorHAnsi"/>
                <w:b/>
                <w:lang w:val="en-GB" w:eastAsia="hu-HU"/>
              </w:rPr>
            </w:pPr>
            <w:r w:rsidRPr="006645DC">
              <w:rPr>
                <w:rFonts w:cstheme="minorHAnsi"/>
                <w:b/>
                <w:lang w:val="en-GB" w:eastAsia="hu-HU"/>
              </w:rPr>
              <w:t>2007</w:t>
            </w:r>
          </w:p>
        </w:tc>
        <w:tc>
          <w:tcPr>
            <w:tcW w:w="883" w:type="dxa"/>
            <w:tcBorders>
              <w:top w:val="single" w:sz="4" w:space="0" w:color="auto"/>
              <w:left w:val="nil"/>
              <w:bottom w:val="single" w:sz="4" w:space="0" w:color="auto"/>
              <w:right w:val="single" w:sz="4" w:space="0" w:color="auto"/>
            </w:tcBorders>
            <w:shd w:val="clear" w:color="auto" w:fill="auto"/>
            <w:noWrap/>
            <w:vAlign w:val="bottom"/>
            <w:hideMark/>
          </w:tcPr>
          <w:p w14:paraId="67F58288" w14:textId="77777777" w:rsidR="00B5369A" w:rsidRPr="006645DC" w:rsidRDefault="00B5369A" w:rsidP="00B5369A">
            <w:pPr>
              <w:spacing w:before="0" w:after="0"/>
              <w:jc w:val="center"/>
              <w:rPr>
                <w:rFonts w:cstheme="minorHAnsi"/>
                <w:b/>
                <w:lang w:val="en-GB" w:eastAsia="hu-HU"/>
              </w:rPr>
            </w:pPr>
            <w:r w:rsidRPr="006645DC">
              <w:rPr>
                <w:rFonts w:cstheme="minorHAnsi"/>
                <w:b/>
                <w:lang w:val="en-GB" w:eastAsia="hu-HU"/>
              </w:rPr>
              <w:t>2008</w:t>
            </w:r>
          </w:p>
        </w:tc>
        <w:tc>
          <w:tcPr>
            <w:tcW w:w="801" w:type="dxa"/>
            <w:tcBorders>
              <w:top w:val="single" w:sz="4" w:space="0" w:color="auto"/>
              <w:left w:val="nil"/>
              <w:bottom w:val="single" w:sz="4" w:space="0" w:color="auto"/>
              <w:right w:val="single" w:sz="4" w:space="0" w:color="auto"/>
            </w:tcBorders>
            <w:shd w:val="clear" w:color="auto" w:fill="auto"/>
            <w:noWrap/>
            <w:vAlign w:val="bottom"/>
            <w:hideMark/>
          </w:tcPr>
          <w:p w14:paraId="509D9A69" w14:textId="77777777" w:rsidR="00B5369A" w:rsidRPr="006645DC" w:rsidRDefault="00B5369A" w:rsidP="00B5369A">
            <w:pPr>
              <w:spacing w:before="0" w:after="0"/>
              <w:jc w:val="center"/>
              <w:rPr>
                <w:rFonts w:cstheme="minorHAnsi"/>
                <w:b/>
                <w:lang w:val="en-GB" w:eastAsia="hu-HU"/>
              </w:rPr>
            </w:pPr>
            <w:r w:rsidRPr="006645DC">
              <w:rPr>
                <w:rFonts w:cstheme="minorHAnsi"/>
                <w:b/>
                <w:lang w:val="en-GB" w:eastAsia="hu-HU"/>
              </w:rPr>
              <w:t>2009</w:t>
            </w:r>
          </w:p>
        </w:tc>
        <w:tc>
          <w:tcPr>
            <w:tcW w:w="883" w:type="dxa"/>
            <w:tcBorders>
              <w:top w:val="single" w:sz="4" w:space="0" w:color="auto"/>
              <w:left w:val="nil"/>
              <w:bottom w:val="single" w:sz="4" w:space="0" w:color="auto"/>
              <w:right w:val="single" w:sz="4" w:space="0" w:color="auto"/>
            </w:tcBorders>
            <w:shd w:val="clear" w:color="auto" w:fill="auto"/>
            <w:noWrap/>
            <w:vAlign w:val="bottom"/>
            <w:hideMark/>
          </w:tcPr>
          <w:p w14:paraId="4939836A" w14:textId="77777777" w:rsidR="00B5369A" w:rsidRPr="006645DC" w:rsidRDefault="00B5369A" w:rsidP="00B5369A">
            <w:pPr>
              <w:spacing w:before="0" w:after="0"/>
              <w:jc w:val="center"/>
              <w:rPr>
                <w:rFonts w:cstheme="minorHAnsi"/>
                <w:b/>
                <w:lang w:val="en-GB" w:eastAsia="hu-HU"/>
              </w:rPr>
            </w:pPr>
            <w:r w:rsidRPr="006645DC">
              <w:rPr>
                <w:rFonts w:cstheme="minorHAnsi"/>
                <w:b/>
                <w:lang w:val="en-GB" w:eastAsia="hu-HU"/>
              </w:rPr>
              <w:t>2010</w:t>
            </w:r>
          </w:p>
        </w:tc>
        <w:tc>
          <w:tcPr>
            <w:tcW w:w="759" w:type="dxa"/>
            <w:tcBorders>
              <w:top w:val="single" w:sz="4" w:space="0" w:color="auto"/>
              <w:left w:val="nil"/>
              <w:bottom w:val="single" w:sz="4" w:space="0" w:color="auto"/>
              <w:right w:val="single" w:sz="4" w:space="0" w:color="auto"/>
            </w:tcBorders>
            <w:shd w:val="clear" w:color="auto" w:fill="auto"/>
            <w:noWrap/>
            <w:vAlign w:val="bottom"/>
            <w:hideMark/>
          </w:tcPr>
          <w:p w14:paraId="3E73481C" w14:textId="77777777" w:rsidR="00B5369A" w:rsidRPr="006645DC" w:rsidRDefault="00B5369A" w:rsidP="00B5369A">
            <w:pPr>
              <w:spacing w:before="0" w:after="0"/>
              <w:jc w:val="center"/>
              <w:rPr>
                <w:rFonts w:cstheme="minorHAnsi"/>
                <w:b/>
                <w:lang w:val="en-GB" w:eastAsia="hu-HU"/>
              </w:rPr>
            </w:pPr>
            <w:r w:rsidRPr="006645DC">
              <w:rPr>
                <w:rFonts w:cstheme="minorHAnsi"/>
                <w:b/>
                <w:lang w:val="en-GB" w:eastAsia="hu-HU"/>
              </w:rPr>
              <w:t>2011</w:t>
            </w:r>
          </w:p>
        </w:tc>
      </w:tr>
      <w:tr w:rsidR="00B5369A" w:rsidRPr="006645DC" w14:paraId="172F65ED" w14:textId="77777777" w:rsidTr="00B5369A">
        <w:trPr>
          <w:trHeight w:val="255"/>
          <w:jc w:val="center"/>
        </w:trPr>
        <w:tc>
          <w:tcPr>
            <w:tcW w:w="6901" w:type="dxa"/>
            <w:gridSpan w:val="6"/>
            <w:tcBorders>
              <w:top w:val="nil"/>
              <w:left w:val="single" w:sz="4" w:space="0" w:color="auto"/>
              <w:bottom w:val="single" w:sz="4" w:space="0" w:color="auto"/>
              <w:right w:val="single" w:sz="4" w:space="0" w:color="auto"/>
            </w:tcBorders>
            <w:shd w:val="clear" w:color="auto" w:fill="auto"/>
            <w:noWrap/>
            <w:vAlign w:val="bottom"/>
            <w:hideMark/>
          </w:tcPr>
          <w:p w14:paraId="520EA727" w14:textId="77777777" w:rsidR="00B5369A" w:rsidRPr="006645DC" w:rsidRDefault="00B5369A" w:rsidP="00B5369A">
            <w:pPr>
              <w:spacing w:before="0" w:after="0"/>
              <w:rPr>
                <w:rFonts w:cstheme="minorHAnsi"/>
                <w:b/>
                <w:lang w:val="en-GB" w:eastAsia="hu-HU"/>
              </w:rPr>
            </w:pPr>
            <w:r w:rsidRPr="006645DC">
              <w:rPr>
                <w:rFonts w:cstheme="minorHAnsi"/>
                <w:b/>
                <w:lang w:val="en-GB" w:eastAsia="hu-HU"/>
              </w:rPr>
              <w:t>Romania </w:t>
            </w:r>
          </w:p>
        </w:tc>
      </w:tr>
      <w:tr w:rsidR="00B5369A" w:rsidRPr="006645DC" w14:paraId="15CFE580" w14:textId="77777777" w:rsidTr="00B5369A">
        <w:trPr>
          <w:trHeight w:val="255"/>
          <w:jc w:val="center"/>
        </w:trPr>
        <w:tc>
          <w:tcPr>
            <w:tcW w:w="2705" w:type="dxa"/>
            <w:tcBorders>
              <w:top w:val="single" w:sz="4" w:space="0" w:color="auto"/>
              <w:left w:val="single" w:sz="4" w:space="0" w:color="auto"/>
              <w:bottom w:val="single" w:sz="12" w:space="0" w:color="auto"/>
              <w:right w:val="single" w:sz="4" w:space="0" w:color="auto"/>
            </w:tcBorders>
            <w:shd w:val="clear" w:color="auto" w:fill="auto"/>
            <w:noWrap/>
            <w:vAlign w:val="bottom"/>
            <w:hideMark/>
          </w:tcPr>
          <w:p w14:paraId="1065F803" w14:textId="77777777" w:rsidR="00B5369A" w:rsidRPr="006645DC" w:rsidRDefault="00B5369A" w:rsidP="00B5369A">
            <w:pPr>
              <w:keepNext/>
              <w:keepLines/>
              <w:spacing w:before="0" w:after="0"/>
              <w:outlineLvl w:val="1"/>
              <w:rPr>
                <w:rFonts w:cstheme="minorHAnsi"/>
                <w:lang w:val="en-GB" w:eastAsia="hu-HU"/>
              </w:rPr>
            </w:pPr>
            <w:bookmarkStart w:id="1496" w:name="_Toc376199663"/>
            <w:r w:rsidRPr="006645DC">
              <w:rPr>
                <w:rFonts w:cstheme="minorHAnsi"/>
                <w:lang w:val="en-GB" w:eastAsia="hu-HU"/>
              </w:rPr>
              <w:t>Final energy consumption</w:t>
            </w:r>
            <w:bookmarkEnd w:id="1496"/>
          </w:p>
        </w:tc>
        <w:tc>
          <w:tcPr>
            <w:tcW w:w="870" w:type="dxa"/>
            <w:tcBorders>
              <w:top w:val="single" w:sz="4" w:space="0" w:color="auto"/>
              <w:left w:val="nil"/>
              <w:bottom w:val="single" w:sz="12" w:space="0" w:color="auto"/>
              <w:right w:val="single" w:sz="4" w:space="0" w:color="auto"/>
            </w:tcBorders>
            <w:shd w:val="clear" w:color="auto" w:fill="auto"/>
            <w:noWrap/>
            <w:vAlign w:val="center"/>
            <w:hideMark/>
          </w:tcPr>
          <w:p w14:paraId="32E8466F" w14:textId="77777777" w:rsidR="00B5369A" w:rsidRPr="006645DC" w:rsidRDefault="00B5369A" w:rsidP="00EB4D87">
            <w:pPr>
              <w:keepNext/>
              <w:keepLines/>
              <w:spacing w:before="0" w:after="0"/>
              <w:jc w:val="right"/>
              <w:outlineLvl w:val="1"/>
              <w:rPr>
                <w:rFonts w:cstheme="minorHAnsi"/>
                <w:lang w:val="en-GB" w:eastAsia="hu-HU"/>
              </w:rPr>
            </w:pPr>
            <w:bookmarkStart w:id="1497" w:name="_Toc376199664"/>
            <w:r w:rsidRPr="006645DC">
              <w:rPr>
                <w:rFonts w:cstheme="minorHAnsi"/>
                <w:lang w:val="en-GB" w:eastAsia="hu-HU"/>
              </w:rPr>
              <w:t>25 683</w:t>
            </w:r>
            <w:bookmarkEnd w:id="1497"/>
          </w:p>
        </w:tc>
        <w:tc>
          <w:tcPr>
            <w:tcW w:w="883" w:type="dxa"/>
            <w:tcBorders>
              <w:top w:val="single" w:sz="4" w:space="0" w:color="auto"/>
              <w:left w:val="nil"/>
              <w:bottom w:val="single" w:sz="12" w:space="0" w:color="auto"/>
              <w:right w:val="single" w:sz="4" w:space="0" w:color="auto"/>
            </w:tcBorders>
            <w:shd w:val="clear" w:color="auto" w:fill="auto"/>
            <w:noWrap/>
            <w:vAlign w:val="center"/>
            <w:hideMark/>
          </w:tcPr>
          <w:p w14:paraId="13E2E4C5" w14:textId="77777777" w:rsidR="00B5369A" w:rsidRPr="006645DC" w:rsidRDefault="00B5369A" w:rsidP="00EB4D87">
            <w:pPr>
              <w:keepNext/>
              <w:keepLines/>
              <w:spacing w:before="0" w:after="0"/>
              <w:jc w:val="right"/>
              <w:outlineLvl w:val="1"/>
              <w:rPr>
                <w:rFonts w:cstheme="minorHAnsi"/>
                <w:lang w:val="en-GB" w:eastAsia="hu-HU"/>
              </w:rPr>
            </w:pPr>
            <w:bookmarkStart w:id="1498" w:name="_Toc376199665"/>
            <w:r w:rsidRPr="006645DC">
              <w:rPr>
                <w:rFonts w:cstheme="minorHAnsi"/>
                <w:lang w:val="en-GB" w:eastAsia="hu-HU"/>
              </w:rPr>
              <w:t>26 950</w:t>
            </w:r>
            <w:bookmarkEnd w:id="1498"/>
          </w:p>
        </w:tc>
        <w:tc>
          <w:tcPr>
            <w:tcW w:w="801" w:type="dxa"/>
            <w:tcBorders>
              <w:top w:val="single" w:sz="4" w:space="0" w:color="auto"/>
              <w:left w:val="nil"/>
              <w:bottom w:val="single" w:sz="12" w:space="0" w:color="auto"/>
              <w:right w:val="single" w:sz="4" w:space="0" w:color="auto"/>
            </w:tcBorders>
            <w:shd w:val="clear" w:color="auto" w:fill="auto"/>
            <w:noWrap/>
            <w:vAlign w:val="center"/>
            <w:hideMark/>
          </w:tcPr>
          <w:p w14:paraId="026F283F" w14:textId="77777777" w:rsidR="00B5369A" w:rsidRPr="006645DC" w:rsidRDefault="00B5369A" w:rsidP="00EB4D87">
            <w:pPr>
              <w:keepNext/>
              <w:keepLines/>
              <w:spacing w:before="0" w:after="0"/>
              <w:jc w:val="right"/>
              <w:outlineLvl w:val="1"/>
              <w:rPr>
                <w:rFonts w:cstheme="minorHAnsi"/>
                <w:lang w:val="en-GB" w:eastAsia="hu-HU"/>
              </w:rPr>
            </w:pPr>
            <w:bookmarkStart w:id="1499" w:name="_Toc376199666"/>
            <w:r w:rsidRPr="006645DC">
              <w:rPr>
                <w:rFonts w:cstheme="minorHAnsi"/>
                <w:lang w:val="en-GB" w:eastAsia="hu-HU"/>
              </w:rPr>
              <w:t>29 798</w:t>
            </w:r>
            <w:bookmarkEnd w:id="1499"/>
          </w:p>
        </w:tc>
        <w:tc>
          <w:tcPr>
            <w:tcW w:w="883" w:type="dxa"/>
            <w:tcBorders>
              <w:top w:val="single" w:sz="4" w:space="0" w:color="auto"/>
              <w:left w:val="nil"/>
              <w:bottom w:val="single" w:sz="12" w:space="0" w:color="auto"/>
              <w:right w:val="single" w:sz="4" w:space="0" w:color="auto"/>
            </w:tcBorders>
            <w:shd w:val="clear" w:color="auto" w:fill="auto"/>
            <w:noWrap/>
            <w:vAlign w:val="center"/>
            <w:hideMark/>
          </w:tcPr>
          <w:p w14:paraId="7D67A1B8" w14:textId="77777777" w:rsidR="00B5369A" w:rsidRPr="006645DC" w:rsidRDefault="00B5369A" w:rsidP="00EB4D87">
            <w:pPr>
              <w:keepNext/>
              <w:keepLines/>
              <w:spacing w:before="0" w:after="0"/>
              <w:jc w:val="right"/>
              <w:outlineLvl w:val="1"/>
              <w:rPr>
                <w:rFonts w:cstheme="minorHAnsi"/>
                <w:lang w:val="en-GB" w:eastAsia="hu-HU"/>
              </w:rPr>
            </w:pPr>
            <w:bookmarkStart w:id="1500" w:name="_Toc376199667"/>
            <w:r w:rsidRPr="006645DC">
              <w:rPr>
                <w:rFonts w:cstheme="minorHAnsi"/>
                <w:lang w:val="en-GB" w:eastAsia="hu-HU"/>
              </w:rPr>
              <w:t>28 872</w:t>
            </w:r>
            <w:bookmarkEnd w:id="1500"/>
          </w:p>
        </w:tc>
        <w:tc>
          <w:tcPr>
            <w:tcW w:w="759" w:type="dxa"/>
            <w:tcBorders>
              <w:top w:val="single" w:sz="4" w:space="0" w:color="auto"/>
              <w:left w:val="nil"/>
              <w:bottom w:val="single" w:sz="12" w:space="0" w:color="auto"/>
              <w:right w:val="single" w:sz="4" w:space="0" w:color="auto"/>
            </w:tcBorders>
            <w:shd w:val="clear" w:color="auto" w:fill="auto"/>
            <w:noWrap/>
            <w:vAlign w:val="center"/>
            <w:hideMark/>
          </w:tcPr>
          <w:p w14:paraId="0BB40FD4" w14:textId="77777777" w:rsidR="00B5369A" w:rsidRPr="006645DC" w:rsidRDefault="00B5369A" w:rsidP="00EB4D87">
            <w:pPr>
              <w:keepNext/>
              <w:keepLines/>
              <w:spacing w:before="0" w:after="0"/>
              <w:jc w:val="right"/>
              <w:outlineLvl w:val="1"/>
              <w:rPr>
                <w:rFonts w:cstheme="minorHAnsi"/>
                <w:lang w:val="en-GB" w:eastAsia="hu-HU"/>
              </w:rPr>
            </w:pPr>
            <w:bookmarkStart w:id="1501" w:name="_Toc376199668"/>
            <w:r w:rsidRPr="006645DC">
              <w:rPr>
                <w:rFonts w:cstheme="minorHAnsi"/>
                <w:lang w:val="en-GB" w:eastAsia="hu-HU"/>
              </w:rPr>
              <w:t>26 399</w:t>
            </w:r>
            <w:bookmarkEnd w:id="1501"/>
          </w:p>
        </w:tc>
      </w:tr>
      <w:tr w:rsidR="00B5369A" w:rsidRPr="006645DC" w14:paraId="45C46DE5" w14:textId="77777777" w:rsidTr="00B5369A">
        <w:trPr>
          <w:trHeight w:val="255"/>
          <w:jc w:val="center"/>
        </w:trPr>
        <w:tc>
          <w:tcPr>
            <w:tcW w:w="2705" w:type="dxa"/>
            <w:tcBorders>
              <w:top w:val="single" w:sz="12" w:space="0" w:color="auto"/>
              <w:left w:val="single" w:sz="4" w:space="0" w:color="auto"/>
              <w:bottom w:val="single" w:sz="4" w:space="0" w:color="auto"/>
              <w:right w:val="single" w:sz="4" w:space="0" w:color="auto"/>
            </w:tcBorders>
            <w:shd w:val="clear" w:color="auto" w:fill="auto"/>
            <w:noWrap/>
            <w:vAlign w:val="bottom"/>
            <w:hideMark/>
          </w:tcPr>
          <w:p w14:paraId="63A41CCA" w14:textId="77777777" w:rsidR="00B5369A" w:rsidRPr="006645DC" w:rsidRDefault="00B5369A" w:rsidP="00B5369A">
            <w:pPr>
              <w:keepNext/>
              <w:keepLines/>
              <w:spacing w:before="0" w:after="0"/>
              <w:ind w:left="757" w:hanging="360"/>
              <w:outlineLvl w:val="1"/>
              <w:rPr>
                <w:rFonts w:cstheme="minorHAnsi"/>
                <w:lang w:val="en-GB" w:eastAsia="hu-HU"/>
              </w:rPr>
            </w:pPr>
            <w:bookmarkStart w:id="1502" w:name="_Toc376199669"/>
            <w:r w:rsidRPr="006645DC">
              <w:rPr>
                <w:rFonts w:cstheme="minorHAnsi"/>
                <w:lang w:val="en-GB" w:eastAsia="hu-HU"/>
              </w:rPr>
              <w:t>Industry</w:t>
            </w:r>
            <w:bookmarkEnd w:id="1502"/>
          </w:p>
        </w:tc>
        <w:tc>
          <w:tcPr>
            <w:tcW w:w="870" w:type="dxa"/>
            <w:tcBorders>
              <w:top w:val="single" w:sz="12" w:space="0" w:color="auto"/>
              <w:left w:val="nil"/>
              <w:bottom w:val="single" w:sz="4" w:space="0" w:color="auto"/>
              <w:right w:val="single" w:sz="4" w:space="0" w:color="auto"/>
            </w:tcBorders>
            <w:shd w:val="clear" w:color="auto" w:fill="auto"/>
            <w:vAlign w:val="center"/>
            <w:hideMark/>
          </w:tcPr>
          <w:p w14:paraId="29F1618D" w14:textId="77777777" w:rsidR="00B5369A" w:rsidRPr="006645DC" w:rsidRDefault="00B5369A" w:rsidP="00EB4D87">
            <w:pPr>
              <w:keepNext/>
              <w:keepLines/>
              <w:spacing w:before="0" w:after="0"/>
              <w:jc w:val="right"/>
              <w:outlineLvl w:val="1"/>
              <w:rPr>
                <w:rFonts w:cstheme="minorHAnsi"/>
                <w:lang w:val="en-GB" w:eastAsia="hu-HU"/>
              </w:rPr>
            </w:pPr>
            <w:bookmarkStart w:id="1503" w:name="_Toc376199670"/>
            <w:r w:rsidRPr="006645DC">
              <w:rPr>
                <w:rFonts w:cstheme="minorHAnsi"/>
                <w:lang w:val="en-GB" w:eastAsia="hu-HU"/>
              </w:rPr>
              <w:t>9 691</w:t>
            </w:r>
            <w:bookmarkEnd w:id="1503"/>
          </w:p>
        </w:tc>
        <w:tc>
          <w:tcPr>
            <w:tcW w:w="883" w:type="dxa"/>
            <w:tcBorders>
              <w:top w:val="single" w:sz="12" w:space="0" w:color="auto"/>
              <w:left w:val="nil"/>
              <w:bottom w:val="single" w:sz="4" w:space="0" w:color="auto"/>
              <w:right w:val="single" w:sz="4" w:space="0" w:color="auto"/>
            </w:tcBorders>
            <w:shd w:val="clear" w:color="auto" w:fill="auto"/>
            <w:vAlign w:val="center"/>
            <w:hideMark/>
          </w:tcPr>
          <w:p w14:paraId="2C3834D7" w14:textId="77777777" w:rsidR="00B5369A" w:rsidRPr="006645DC" w:rsidRDefault="00B5369A" w:rsidP="00EB4D87">
            <w:pPr>
              <w:keepNext/>
              <w:keepLines/>
              <w:spacing w:before="0" w:after="0"/>
              <w:jc w:val="right"/>
              <w:outlineLvl w:val="1"/>
              <w:rPr>
                <w:rFonts w:cstheme="minorHAnsi"/>
                <w:lang w:val="en-GB" w:eastAsia="hu-HU"/>
              </w:rPr>
            </w:pPr>
            <w:bookmarkStart w:id="1504" w:name="_Toc376199671"/>
            <w:r w:rsidRPr="006645DC">
              <w:rPr>
                <w:rFonts w:cstheme="minorHAnsi"/>
                <w:lang w:val="en-GB" w:eastAsia="hu-HU"/>
              </w:rPr>
              <w:t>9 206</w:t>
            </w:r>
            <w:bookmarkEnd w:id="1504"/>
          </w:p>
        </w:tc>
        <w:tc>
          <w:tcPr>
            <w:tcW w:w="801" w:type="dxa"/>
            <w:tcBorders>
              <w:top w:val="single" w:sz="12" w:space="0" w:color="auto"/>
              <w:left w:val="nil"/>
              <w:bottom w:val="single" w:sz="4" w:space="0" w:color="auto"/>
              <w:right w:val="single" w:sz="4" w:space="0" w:color="auto"/>
            </w:tcBorders>
            <w:shd w:val="clear" w:color="auto" w:fill="auto"/>
            <w:vAlign w:val="center"/>
            <w:hideMark/>
          </w:tcPr>
          <w:p w14:paraId="034FF50D" w14:textId="77777777" w:rsidR="00B5369A" w:rsidRPr="006645DC" w:rsidRDefault="00B5369A" w:rsidP="00EB4D87">
            <w:pPr>
              <w:keepNext/>
              <w:keepLines/>
              <w:spacing w:before="0" w:after="0"/>
              <w:jc w:val="right"/>
              <w:outlineLvl w:val="1"/>
              <w:rPr>
                <w:rFonts w:cstheme="minorHAnsi"/>
                <w:lang w:val="en-GB" w:eastAsia="hu-HU"/>
              </w:rPr>
            </w:pPr>
            <w:bookmarkStart w:id="1505" w:name="_Toc376199672"/>
            <w:r w:rsidRPr="006645DC">
              <w:rPr>
                <w:rFonts w:cstheme="minorHAnsi"/>
                <w:lang w:val="en-GB" w:eastAsia="hu-HU"/>
              </w:rPr>
              <w:t>6 688</w:t>
            </w:r>
            <w:bookmarkEnd w:id="1505"/>
          </w:p>
        </w:tc>
        <w:tc>
          <w:tcPr>
            <w:tcW w:w="883" w:type="dxa"/>
            <w:tcBorders>
              <w:top w:val="single" w:sz="12" w:space="0" w:color="auto"/>
              <w:left w:val="nil"/>
              <w:bottom w:val="single" w:sz="4" w:space="0" w:color="auto"/>
              <w:right w:val="single" w:sz="4" w:space="0" w:color="auto"/>
            </w:tcBorders>
            <w:shd w:val="clear" w:color="auto" w:fill="auto"/>
            <w:vAlign w:val="center"/>
            <w:hideMark/>
          </w:tcPr>
          <w:p w14:paraId="2D789824" w14:textId="77777777" w:rsidR="00B5369A" w:rsidRPr="006645DC" w:rsidRDefault="00B5369A" w:rsidP="00EB4D87">
            <w:pPr>
              <w:keepNext/>
              <w:keepLines/>
              <w:spacing w:before="0" w:after="0"/>
              <w:jc w:val="right"/>
              <w:outlineLvl w:val="1"/>
              <w:rPr>
                <w:rFonts w:cstheme="minorHAnsi"/>
                <w:lang w:val="en-GB" w:eastAsia="hu-HU"/>
              </w:rPr>
            </w:pPr>
            <w:bookmarkStart w:id="1506" w:name="_Toc376199673"/>
            <w:r w:rsidRPr="006645DC">
              <w:rPr>
                <w:rFonts w:cstheme="minorHAnsi"/>
                <w:lang w:val="en-GB" w:eastAsia="hu-HU"/>
              </w:rPr>
              <w:t>6 909</w:t>
            </w:r>
            <w:bookmarkEnd w:id="1506"/>
          </w:p>
        </w:tc>
        <w:tc>
          <w:tcPr>
            <w:tcW w:w="759" w:type="dxa"/>
            <w:tcBorders>
              <w:top w:val="single" w:sz="12" w:space="0" w:color="auto"/>
              <w:left w:val="nil"/>
              <w:bottom w:val="single" w:sz="4" w:space="0" w:color="auto"/>
              <w:right w:val="single" w:sz="4" w:space="0" w:color="auto"/>
            </w:tcBorders>
            <w:shd w:val="clear" w:color="auto" w:fill="auto"/>
            <w:vAlign w:val="center"/>
            <w:hideMark/>
          </w:tcPr>
          <w:p w14:paraId="06715B33" w14:textId="77777777" w:rsidR="00B5369A" w:rsidRPr="006645DC" w:rsidRDefault="00B5369A" w:rsidP="00EB4D87">
            <w:pPr>
              <w:keepNext/>
              <w:keepLines/>
              <w:spacing w:before="0" w:after="0"/>
              <w:jc w:val="right"/>
              <w:outlineLvl w:val="1"/>
              <w:rPr>
                <w:rFonts w:cstheme="minorHAnsi"/>
                <w:lang w:val="en-GB" w:eastAsia="hu-HU"/>
              </w:rPr>
            </w:pPr>
            <w:bookmarkStart w:id="1507" w:name="_Toc376199674"/>
            <w:r w:rsidRPr="006645DC">
              <w:rPr>
                <w:rFonts w:cstheme="minorHAnsi"/>
                <w:lang w:val="en-GB" w:eastAsia="hu-HU"/>
              </w:rPr>
              <w:t>7 106</w:t>
            </w:r>
            <w:bookmarkEnd w:id="1507"/>
          </w:p>
        </w:tc>
      </w:tr>
      <w:tr w:rsidR="00B5369A" w:rsidRPr="006645DC" w14:paraId="51FDD43B" w14:textId="77777777" w:rsidTr="00B5369A">
        <w:trPr>
          <w:trHeight w:val="255"/>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14:paraId="1BB8D724" w14:textId="77777777" w:rsidR="00B5369A" w:rsidRPr="006645DC" w:rsidRDefault="00B5369A" w:rsidP="00B5369A">
            <w:pPr>
              <w:keepNext/>
              <w:keepLines/>
              <w:spacing w:before="0" w:after="0"/>
              <w:ind w:left="757" w:hanging="360"/>
              <w:outlineLvl w:val="1"/>
              <w:rPr>
                <w:rFonts w:cstheme="minorHAnsi"/>
                <w:lang w:val="en-GB" w:eastAsia="hu-HU"/>
              </w:rPr>
            </w:pPr>
            <w:bookmarkStart w:id="1508" w:name="_Toc376199675"/>
            <w:r w:rsidRPr="006645DC">
              <w:rPr>
                <w:rFonts w:cstheme="minorHAnsi"/>
                <w:lang w:val="en-GB" w:eastAsia="hu-HU"/>
              </w:rPr>
              <w:t>Transport</w:t>
            </w:r>
            <w:bookmarkEnd w:id="1508"/>
          </w:p>
        </w:tc>
        <w:tc>
          <w:tcPr>
            <w:tcW w:w="870" w:type="dxa"/>
            <w:tcBorders>
              <w:top w:val="nil"/>
              <w:left w:val="nil"/>
              <w:bottom w:val="single" w:sz="4" w:space="0" w:color="auto"/>
              <w:right w:val="single" w:sz="4" w:space="0" w:color="auto"/>
            </w:tcBorders>
            <w:shd w:val="clear" w:color="auto" w:fill="auto"/>
            <w:vAlign w:val="center"/>
            <w:hideMark/>
          </w:tcPr>
          <w:p w14:paraId="1D22379A" w14:textId="77777777" w:rsidR="00B5369A" w:rsidRPr="006645DC" w:rsidRDefault="00B5369A" w:rsidP="00EB4D87">
            <w:pPr>
              <w:keepNext/>
              <w:keepLines/>
              <w:spacing w:before="0" w:after="0"/>
              <w:jc w:val="right"/>
              <w:outlineLvl w:val="1"/>
              <w:rPr>
                <w:rFonts w:cstheme="minorHAnsi"/>
                <w:lang w:val="en-GB" w:eastAsia="hu-HU"/>
              </w:rPr>
            </w:pPr>
            <w:bookmarkStart w:id="1509" w:name="_Toc376199676"/>
            <w:r w:rsidRPr="006645DC">
              <w:rPr>
                <w:rFonts w:cstheme="minorHAnsi"/>
                <w:lang w:val="en-GB" w:eastAsia="hu-HU"/>
              </w:rPr>
              <w:t>4 717</w:t>
            </w:r>
            <w:bookmarkEnd w:id="1509"/>
          </w:p>
        </w:tc>
        <w:tc>
          <w:tcPr>
            <w:tcW w:w="883" w:type="dxa"/>
            <w:tcBorders>
              <w:top w:val="nil"/>
              <w:left w:val="nil"/>
              <w:bottom w:val="single" w:sz="4" w:space="0" w:color="auto"/>
              <w:right w:val="single" w:sz="4" w:space="0" w:color="auto"/>
            </w:tcBorders>
            <w:shd w:val="clear" w:color="auto" w:fill="auto"/>
            <w:vAlign w:val="center"/>
            <w:hideMark/>
          </w:tcPr>
          <w:p w14:paraId="44BBD946" w14:textId="77777777" w:rsidR="00B5369A" w:rsidRPr="006645DC" w:rsidRDefault="00B5369A" w:rsidP="00EB4D87">
            <w:pPr>
              <w:keepNext/>
              <w:keepLines/>
              <w:spacing w:before="0" w:after="0"/>
              <w:jc w:val="right"/>
              <w:outlineLvl w:val="1"/>
              <w:rPr>
                <w:rFonts w:cstheme="minorHAnsi"/>
                <w:lang w:val="en-GB" w:eastAsia="hu-HU"/>
              </w:rPr>
            </w:pPr>
            <w:bookmarkStart w:id="1510" w:name="_Toc376199677"/>
            <w:r w:rsidRPr="006645DC">
              <w:rPr>
                <w:rFonts w:cstheme="minorHAnsi"/>
                <w:lang w:val="en-GB" w:eastAsia="hu-HU"/>
              </w:rPr>
              <w:t>5 353</w:t>
            </w:r>
            <w:bookmarkEnd w:id="1510"/>
          </w:p>
        </w:tc>
        <w:tc>
          <w:tcPr>
            <w:tcW w:w="801" w:type="dxa"/>
            <w:tcBorders>
              <w:top w:val="nil"/>
              <w:left w:val="nil"/>
              <w:bottom w:val="single" w:sz="4" w:space="0" w:color="auto"/>
              <w:right w:val="single" w:sz="4" w:space="0" w:color="auto"/>
            </w:tcBorders>
            <w:shd w:val="clear" w:color="auto" w:fill="auto"/>
            <w:vAlign w:val="center"/>
            <w:hideMark/>
          </w:tcPr>
          <w:p w14:paraId="758B3375" w14:textId="77777777" w:rsidR="00B5369A" w:rsidRPr="006645DC" w:rsidRDefault="00B5369A" w:rsidP="00EB4D87">
            <w:pPr>
              <w:keepNext/>
              <w:keepLines/>
              <w:spacing w:before="0" w:after="0"/>
              <w:jc w:val="right"/>
              <w:outlineLvl w:val="1"/>
              <w:rPr>
                <w:rFonts w:cstheme="minorHAnsi"/>
                <w:lang w:val="en-GB" w:eastAsia="hu-HU"/>
              </w:rPr>
            </w:pPr>
            <w:bookmarkStart w:id="1511" w:name="_Toc376199678"/>
            <w:r w:rsidRPr="006645DC">
              <w:rPr>
                <w:rFonts w:cstheme="minorHAnsi"/>
                <w:lang w:val="en-GB" w:eastAsia="hu-HU"/>
              </w:rPr>
              <w:t>5 386</w:t>
            </w:r>
            <w:bookmarkEnd w:id="1511"/>
          </w:p>
        </w:tc>
        <w:tc>
          <w:tcPr>
            <w:tcW w:w="883" w:type="dxa"/>
            <w:tcBorders>
              <w:top w:val="nil"/>
              <w:left w:val="nil"/>
              <w:bottom w:val="single" w:sz="4" w:space="0" w:color="auto"/>
              <w:right w:val="single" w:sz="4" w:space="0" w:color="auto"/>
            </w:tcBorders>
            <w:shd w:val="clear" w:color="auto" w:fill="auto"/>
            <w:vAlign w:val="center"/>
            <w:hideMark/>
          </w:tcPr>
          <w:p w14:paraId="78421852" w14:textId="77777777" w:rsidR="00B5369A" w:rsidRPr="006645DC" w:rsidRDefault="00B5369A" w:rsidP="00EB4D87">
            <w:pPr>
              <w:keepNext/>
              <w:keepLines/>
              <w:spacing w:before="0" w:after="0"/>
              <w:jc w:val="right"/>
              <w:outlineLvl w:val="1"/>
              <w:rPr>
                <w:rFonts w:cstheme="minorHAnsi"/>
                <w:lang w:val="en-GB" w:eastAsia="hu-HU"/>
              </w:rPr>
            </w:pPr>
            <w:bookmarkStart w:id="1512" w:name="_Toc376199679"/>
            <w:r w:rsidRPr="006645DC">
              <w:rPr>
                <w:rFonts w:cstheme="minorHAnsi"/>
                <w:lang w:val="en-GB" w:eastAsia="hu-HU"/>
              </w:rPr>
              <w:t>5 013</w:t>
            </w:r>
            <w:bookmarkEnd w:id="1512"/>
          </w:p>
        </w:tc>
        <w:tc>
          <w:tcPr>
            <w:tcW w:w="759" w:type="dxa"/>
            <w:tcBorders>
              <w:top w:val="nil"/>
              <w:left w:val="nil"/>
              <w:bottom w:val="single" w:sz="4" w:space="0" w:color="auto"/>
              <w:right w:val="single" w:sz="4" w:space="0" w:color="auto"/>
            </w:tcBorders>
            <w:shd w:val="clear" w:color="auto" w:fill="auto"/>
            <w:vAlign w:val="center"/>
            <w:hideMark/>
          </w:tcPr>
          <w:p w14:paraId="1AABF5B5" w14:textId="77777777" w:rsidR="00B5369A" w:rsidRPr="006645DC" w:rsidRDefault="00B5369A" w:rsidP="00EB4D87">
            <w:pPr>
              <w:keepNext/>
              <w:keepLines/>
              <w:spacing w:before="0" w:after="0"/>
              <w:jc w:val="right"/>
              <w:outlineLvl w:val="1"/>
              <w:rPr>
                <w:rFonts w:cstheme="minorHAnsi"/>
                <w:lang w:val="en-GB" w:eastAsia="hu-HU"/>
              </w:rPr>
            </w:pPr>
            <w:bookmarkStart w:id="1513" w:name="_Toc376199680"/>
            <w:r w:rsidRPr="006645DC">
              <w:rPr>
                <w:rFonts w:cstheme="minorHAnsi"/>
                <w:lang w:val="en-GB" w:eastAsia="hu-HU"/>
              </w:rPr>
              <w:t>5 155</w:t>
            </w:r>
            <w:bookmarkEnd w:id="1513"/>
          </w:p>
        </w:tc>
      </w:tr>
      <w:tr w:rsidR="00B5369A" w:rsidRPr="006645DC" w14:paraId="67073522" w14:textId="77777777" w:rsidTr="00B5369A">
        <w:trPr>
          <w:trHeight w:val="255"/>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14:paraId="11C3AD1C" w14:textId="77777777" w:rsidR="00B5369A" w:rsidRPr="006645DC" w:rsidRDefault="00B5369A" w:rsidP="00B5369A">
            <w:pPr>
              <w:keepNext/>
              <w:keepLines/>
              <w:spacing w:before="0" w:after="0"/>
              <w:ind w:left="757" w:hanging="360"/>
              <w:outlineLvl w:val="1"/>
              <w:rPr>
                <w:rFonts w:cstheme="minorHAnsi"/>
                <w:lang w:val="en-GB" w:eastAsia="hu-HU"/>
              </w:rPr>
            </w:pPr>
            <w:bookmarkStart w:id="1514" w:name="_Toc376199681"/>
            <w:r w:rsidRPr="006645DC">
              <w:rPr>
                <w:rFonts w:cstheme="minorHAnsi"/>
                <w:lang w:val="en-GB" w:eastAsia="hu-HU"/>
              </w:rPr>
              <w:t>Residential</w:t>
            </w:r>
            <w:bookmarkEnd w:id="1514"/>
          </w:p>
        </w:tc>
        <w:tc>
          <w:tcPr>
            <w:tcW w:w="870" w:type="dxa"/>
            <w:tcBorders>
              <w:top w:val="nil"/>
              <w:left w:val="nil"/>
              <w:bottom w:val="single" w:sz="4" w:space="0" w:color="auto"/>
              <w:right w:val="single" w:sz="4" w:space="0" w:color="auto"/>
            </w:tcBorders>
            <w:shd w:val="clear" w:color="auto" w:fill="auto"/>
            <w:vAlign w:val="center"/>
            <w:hideMark/>
          </w:tcPr>
          <w:p w14:paraId="1AD4BE33" w14:textId="77777777" w:rsidR="00B5369A" w:rsidRPr="006645DC" w:rsidRDefault="00B5369A" w:rsidP="00EB4D87">
            <w:pPr>
              <w:keepNext/>
              <w:keepLines/>
              <w:spacing w:before="0" w:after="0"/>
              <w:jc w:val="right"/>
              <w:outlineLvl w:val="1"/>
              <w:rPr>
                <w:rFonts w:cstheme="minorHAnsi"/>
                <w:lang w:val="en-GB" w:eastAsia="hu-HU"/>
              </w:rPr>
            </w:pPr>
            <w:bookmarkStart w:id="1515" w:name="_Toc376199682"/>
            <w:r w:rsidRPr="006645DC">
              <w:rPr>
                <w:rFonts w:cstheme="minorHAnsi"/>
                <w:lang w:val="en-GB" w:eastAsia="hu-HU"/>
              </w:rPr>
              <w:t>7 518</w:t>
            </w:r>
            <w:bookmarkEnd w:id="1515"/>
          </w:p>
        </w:tc>
        <w:tc>
          <w:tcPr>
            <w:tcW w:w="883" w:type="dxa"/>
            <w:tcBorders>
              <w:top w:val="nil"/>
              <w:left w:val="nil"/>
              <w:bottom w:val="single" w:sz="4" w:space="0" w:color="auto"/>
              <w:right w:val="single" w:sz="4" w:space="0" w:color="auto"/>
            </w:tcBorders>
            <w:shd w:val="clear" w:color="auto" w:fill="auto"/>
            <w:vAlign w:val="center"/>
            <w:hideMark/>
          </w:tcPr>
          <w:p w14:paraId="6E9178C0" w14:textId="77777777" w:rsidR="00B5369A" w:rsidRPr="006645DC" w:rsidRDefault="00B5369A" w:rsidP="00EB4D87">
            <w:pPr>
              <w:keepNext/>
              <w:keepLines/>
              <w:spacing w:before="0" w:after="0"/>
              <w:jc w:val="right"/>
              <w:outlineLvl w:val="1"/>
              <w:rPr>
                <w:rFonts w:cstheme="minorHAnsi"/>
                <w:lang w:val="en-GB" w:eastAsia="hu-HU"/>
              </w:rPr>
            </w:pPr>
            <w:bookmarkStart w:id="1516" w:name="_Toc376199683"/>
            <w:r w:rsidRPr="006645DC">
              <w:rPr>
                <w:rFonts w:cstheme="minorHAnsi"/>
                <w:lang w:val="en-GB" w:eastAsia="hu-HU"/>
              </w:rPr>
              <w:t>8 070</w:t>
            </w:r>
            <w:bookmarkEnd w:id="1516"/>
          </w:p>
        </w:tc>
        <w:tc>
          <w:tcPr>
            <w:tcW w:w="801" w:type="dxa"/>
            <w:tcBorders>
              <w:top w:val="nil"/>
              <w:left w:val="nil"/>
              <w:bottom w:val="single" w:sz="4" w:space="0" w:color="auto"/>
              <w:right w:val="single" w:sz="4" w:space="0" w:color="auto"/>
            </w:tcBorders>
            <w:shd w:val="clear" w:color="auto" w:fill="auto"/>
            <w:vAlign w:val="center"/>
            <w:hideMark/>
          </w:tcPr>
          <w:p w14:paraId="5DD24FDD" w14:textId="77777777" w:rsidR="00B5369A" w:rsidRPr="006645DC" w:rsidRDefault="00B5369A" w:rsidP="00EB4D87">
            <w:pPr>
              <w:keepNext/>
              <w:keepLines/>
              <w:spacing w:before="0" w:after="0"/>
              <w:jc w:val="right"/>
              <w:outlineLvl w:val="1"/>
              <w:rPr>
                <w:rFonts w:cstheme="minorHAnsi"/>
                <w:lang w:val="en-GB" w:eastAsia="hu-HU"/>
              </w:rPr>
            </w:pPr>
            <w:bookmarkStart w:id="1517" w:name="_Toc376199684"/>
            <w:r w:rsidRPr="006645DC">
              <w:rPr>
                <w:rFonts w:cstheme="minorHAnsi"/>
                <w:lang w:val="en-GB" w:eastAsia="hu-HU"/>
              </w:rPr>
              <w:t>8 015</w:t>
            </w:r>
            <w:bookmarkEnd w:id="1517"/>
          </w:p>
        </w:tc>
        <w:tc>
          <w:tcPr>
            <w:tcW w:w="883" w:type="dxa"/>
            <w:tcBorders>
              <w:top w:val="nil"/>
              <w:left w:val="nil"/>
              <w:bottom w:val="single" w:sz="4" w:space="0" w:color="auto"/>
              <w:right w:val="single" w:sz="4" w:space="0" w:color="auto"/>
            </w:tcBorders>
            <w:shd w:val="clear" w:color="auto" w:fill="auto"/>
            <w:vAlign w:val="center"/>
            <w:hideMark/>
          </w:tcPr>
          <w:p w14:paraId="684EC3B3" w14:textId="77777777" w:rsidR="00B5369A" w:rsidRPr="006645DC" w:rsidRDefault="00B5369A" w:rsidP="00EB4D87">
            <w:pPr>
              <w:keepNext/>
              <w:keepLines/>
              <w:spacing w:before="0" w:after="0"/>
              <w:jc w:val="right"/>
              <w:outlineLvl w:val="1"/>
              <w:rPr>
                <w:rFonts w:cstheme="minorHAnsi"/>
                <w:lang w:val="en-GB" w:eastAsia="hu-HU"/>
              </w:rPr>
            </w:pPr>
            <w:bookmarkStart w:id="1518" w:name="_Toc376199685"/>
            <w:r w:rsidRPr="006645DC">
              <w:rPr>
                <w:rFonts w:cstheme="minorHAnsi"/>
                <w:lang w:val="en-GB" w:eastAsia="hu-HU"/>
              </w:rPr>
              <w:t>8 102</w:t>
            </w:r>
            <w:bookmarkEnd w:id="1518"/>
          </w:p>
        </w:tc>
        <w:tc>
          <w:tcPr>
            <w:tcW w:w="759" w:type="dxa"/>
            <w:tcBorders>
              <w:top w:val="nil"/>
              <w:left w:val="nil"/>
              <w:bottom w:val="single" w:sz="4" w:space="0" w:color="auto"/>
              <w:right w:val="single" w:sz="4" w:space="0" w:color="auto"/>
            </w:tcBorders>
            <w:shd w:val="clear" w:color="auto" w:fill="auto"/>
            <w:vAlign w:val="center"/>
            <w:hideMark/>
          </w:tcPr>
          <w:p w14:paraId="30B691E1" w14:textId="77777777" w:rsidR="00B5369A" w:rsidRPr="006645DC" w:rsidRDefault="00B5369A" w:rsidP="00EB4D87">
            <w:pPr>
              <w:keepNext/>
              <w:keepLines/>
              <w:spacing w:before="0" w:after="0"/>
              <w:jc w:val="right"/>
              <w:outlineLvl w:val="1"/>
              <w:rPr>
                <w:rFonts w:cstheme="minorHAnsi"/>
                <w:lang w:val="en-GB" w:eastAsia="hu-HU"/>
              </w:rPr>
            </w:pPr>
            <w:bookmarkStart w:id="1519" w:name="_Toc376199686"/>
            <w:r w:rsidRPr="006645DC">
              <w:rPr>
                <w:rFonts w:cstheme="minorHAnsi"/>
                <w:lang w:val="en-GB" w:eastAsia="hu-HU"/>
              </w:rPr>
              <w:t>7 860</w:t>
            </w:r>
            <w:bookmarkEnd w:id="1519"/>
          </w:p>
        </w:tc>
      </w:tr>
      <w:tr w:rsidR="00B5369A" w:rsidRPr="006645DC" w14:paraId="1620DF3D" w14:textId="77777777" w:rsidTr="00B5369A">
        <w:trPr>
          <w:trHeight w:val="255"/>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14:paraId="1A8E55BC" w14:textId="77777777" w:rsidR="00B5369A" w:rsidRPr="006645DC" w:rsidRDefault="00B5369A" w:rsidP="00B5369A">
            <w:pPr>
              <w:keepNext/>
              <w:keepLines/>
              <w:spacing w:before="0" w:after="0"/>
              <w:ind w:left="757" w:hanging="360"/>
              <w:outlineLvl w:val="1"/>
              <w:rPr>
                <w:rFonts w:cstheme="minorHAnsi"/>
                <w:lang w:val="en-GB" w:eastAsia="hu-HU"/>
              </w:rPr>
            </w:pPr>
            <w:bookmarkStart w:id="1520" w:name="_Toc376199687"/>
            <w:r w:rsidRPr="006645DC">
              <w:rPr>
                <w:rFonts w:cstheme="minorHAnsi"/>
                <w:lang w:val="en-GB" w:eastAsia="hu-HU"/>
              </w:rPr>
              <w:t>Agriculture/Forestry</w:t>
            </w:r>
            <w:bookmarkEnd w:id="1520"/>
          </w:p>
        </w:tc>
        <w:tc>
          <w:tcPr>
            <w:tcW w:w="870" w:type="dxa"/>
            <w:tcBorders>
              <w:top w:val="nil"/>
              <w:left w:val="nil"/>
              <w:bottom w:val="single" w:sz="4" w:space="0" w:color="auto"/>
              <w:right w:val="single" w:sz="4" w:space="0" w:color="auto"/>
            </w:tcBorders>
            <w:shd w:val="clear" w:color="auto" w:fill="auto"/>
            <w:vAlign w:val="center"/>
            <w:hideMark/>
          </w:tcPr>
          <w:p w14:paraId="617BD4DA" w14:textId="77777777" w:rsidR="00B5369A" w:rsidRPr="006645DC" w:rsidRDefault="00B5369A" w:rsidP="00EB4D87">
            <w:pPr>
              <w:keepNext/>
              <w:keepLines/>
              <w:spacing w:before="0" w:after="0"/>
              <w:jc w:val="right"/>
              <w:outlineLvl w:val="1"/>
              <w:rPr>
                <w:rFonts w:cstheme="minorHAnsi"/>
                <w:lang w:val="en-GB" w:eastAsia="hu-HU"/>
              </w:rPr>
            </w:pPr>
            <w:bookmarkStart w:id="1521" w:name="_Toc376199688"/>
            <w:r w:rsidRPr="006645DC">
              <w:rPr>
                <w:rFonts w:cstheme="minorHAnsi"/>
                <w:lang w:val="en-GB" w:eastAsia="hu-HU"/>
              </w:rPr>
              <w:t>260</w:t>
            </w:r>
            <w:bookmarkEnd w:id="1521"/>
          </w:p>
        </w:tc>
        <w:tc>
          <w:tcPr>
            <w:tcW w:w="883" w:type="dxa"/>
            <w:tcBorders>
              <w:top w:val="nil"/>
              <w:left w:val="nil"/>
              <w:bottom w:val="single" w:sz="4" w:space="0" w:color="auto"/>
              <w:right w:val="single" w:sz="4" w:space="0" w:color="auto"/>
            </w:tcBorders>
            <w:shd w:val="clear" w:color="auto" w:fill="auto"/>
            <w:vAlign w:val="center"/>
            <w:hideMark/>
          </w:tcPr>
          <w:p w14:paraId="66A19AF1" w14:textId="77777777" w:rsidR="00B5369A" w:rsidRPr="006645DC" w:rsidRDefault="00B5369A" w:rsidP="00EB4D87">
            <w:pPr>
              <w:keepNext/>
              <w:keepLines/>
              <w:spacing w:before="0" w:after="0"/>
              <w:jc w:val="right"/>
              <w:outlineLvl w:val="1"/>
              <w:rPr>
                <w:rFonts w:cstheme="minorHAnsi"/>
                <w:lang w:val="en-GB" w:eastAsia="hu-HU"/>
              </w:rPr>
            </w:pPr>
            <w:bookmarkStart w:id="1522" w:name="_Toc376199689"/>
            <w:r w:rsidRPr="006645DC">
              <w:rPr>
                <w:rFonts w:cstheme="minorHAnsi"/>
                <w:lang w:val="en-GB" w:eastAsia="hu-HU"/>
              </w:rPr>
              <w:t>292</w:t>
            </w:r>
            <w:bookmarkEnd w:id="1522"/>
          </w:p>
        </w:tc>
        <w:tc>
          <w:tcPr>
            <w:tcW w:w="801" w:type="dxa"/>
            <w:tcBorders>
              <w:top w:val="nil"/>
              <w:left w:val="nil"/>
              <w:bottom w:val="single" w:sz="4" w:space="0" w:color="auto"/>
              <w:right w:val="single" w:sz="4" w:space="0" w:color="auto"/>
            </w:tcBorders>
            <w:shd w:val="clear" w:color="auto" w:fill="auto"/>
            <w:vAlign w:val="center"/>
            <w:hideMark/>
          </w:tcPr>
          <w:p w14:paraId="60C1F108" w14:textId="77777777" w:rsidR="00B5369A" w:rsidRPr="006645DC" w:rsidRDefault="00B5369A" w:rsidP="00EB4D87">
            <w:pPr>
              <w:keepNext/>
              <w:keepLines/>
              <w:spacing w:before="0" w:after="0"/>
              <w:jc w:val="right"/>
              <w:outlineLvl w:val="1"/>
              <w:rPr>
                <w:rFonts w:cstheme="minorHAnsi"/>
                <w:lang w:val="en-GB" w:eastAsia="hu-HU"/>
              </w:rPr>
            </w:pPr>
            <w:bookmarkStart w:id="1523" w:name="_Toc376199690"/>
            <w:r w:rsidRPr="006645DC">
              <w:rPr>
                <w:rFonts w:cstheme="minorHAnsi"/>
                <w:lang w:val="en-GB" w:eastAsia="hu-HU"/>
              </w:rPr>
              <w:t>379</w:t>
            </w:r>
            <w:bookmarkEnd w:id="1523"/>
          </w:p>
        </w:tc>
        <w:tc>
          <w:tcPr>
            <w:tcW w:w="883" w:type="dxa"/>
            <w:tcBorders>
              <w:top w:val="nil"/>
              <w:left w:val="nil"/>
              <w:bottom w:val="single" w:sz="4" w:space="0" w:color="auto"/>
              <w:right w:val="single" w:sz="4" w:space="0" w:color="auto"/>
            </w:tcBorders>
            <w:shd w:val="clear" w:color="auto" w:fill="auto"/>
            <w:vAlign w:val="center"/>
            <w:hideMark/>
          </w:tcPr>
          <w:p w14:paraId="0B48A5D0" w14:textId="77777777" w:rsidR="00B5369A" w:rsidRPr="006645DC" w:rsidRDefault="00B5369A" w:rsidP="00EB4D87">
            <w:pPr>
              <w:keepNext/>
              <w:keepLines/>
              <w:spacing w:before="0" w:after="0"/>
              <w:jc w:val="right"/>
              <w:outlineLvl w:val="1"/>
              <w:rPr>
                <w:rFonts w:cstheme="minorHAnsi"/>
                <w:lang w:val="en-GB" w:eastAsia="hu-HU"/>
              </w:rPr>
            </w:pPr>
            <w:bookmarkStart w:id="1524" w:name="_Toc376199691"/>
            <w:r w:rsidRPr="006645DC">
              <w:rPr>
                <w:rFonts w:cstheme="minorHAnsi"/>
                <w:lang w:val="en-GB" w:eastAsia="hu-HU"/>
              </w:rPr>
              <w:t>391</w:t>
            </w:r>
            <w:bookmarkEnd w:id="1524"/>
          </w:p>
        </w:tc>
        <w:tc>
          <w:tcPr>
            <w:tcW w:w="759" w:type="dxa"/>
            <w:tcBorders>
              <w:top w:val="nil"/>
              <w:left w:val="nil"/>
              <w:bottom w:val="single" w:sz="4" w:space="0" w:color="auto"/>
              <w:right w:val="single" w:sz="4" w:space="0" w:color="auto"/>
            </w:tcBorders>
            <w:shd w:val="clear" w:color="auto" w:fill="auto"/>
            <w:vAlign w:val="center"/>
            <w:hideMark/>
          </w:tcPr>
          <w:p w14:paraId="7D0DD13C" w14:textId="77777777" w:rsidR="00B5369A" w:rsidRPr="006645DC" w:rsidRDefault="00B5369A" w:rsidP="00EB4D87">
            <w:pPr>
              <w:keepNext/>
              <w:keepLines/>
              <w:spacing w:before="0" w:after="0"/>
              <w:jc w:val="right"/>
              <w:outlineLvl w:val="1"/>
              <w:rPr>
                <w:rFonts w:cstheme="minorHAnsi"/>
                <w:lang w:val="en-GB" w:eastAsia="hu-HU"/>
              </w:rPr>
            </w:pPr>
            <w:bookmarkStart w:id="1525" w:name="_Toc376199692"/>
            <w:r w:rsidRPr="006645DC">
              <w:rPr>
                <w:rFonts w:cstheme="minorHAnsi"/>
                <w:lang w:val="en-GB" w:eastAsia="hu-HU"/>
              </w:rPr>
              <w:t>432</w:t>
            </w:r>
            <w:bookmarkEnd w:id="1525"/>
          </w:p>
        </w:tc>
      </w:tr>
      <w:tr w:rsidR="00B5369A" w:rsidRPr="006645DC" w14:paraId="40B4E7CA" w14:textId="77777777" w:rsidTr="00B5369A">
        <w:trPr>
          <w:trHeight w:val="255"/>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14:paraId="0620E521" w14:textId="77777777" w:rsidR="00B5369A" w:rsidRPr="006645DC" w:rsidRDefault="00B5369A" w:rsidP="00B5369A">
            <w:pPr>
              <w:keepNext/>
              <w:keepLines/>
              <w:spacing w:before="0" w:after="0"/>
              <w:ind w:left="757" w:hanging="360"/>
              <w:outlineLvl w:val="1"/>
              <w:rPr>
                <w:rFonts w:cstheme="minorHAnsi"/>
                <w:lang w:val="en-GB" w:eastAsia="hu-HU"/>
              </w:rPr>
            </w:pPr>
            <w:bookmarkStart w:id="1526" w:name="_Toc376199693"/>
            <w:r w:rsidRPr="006645DC">
              <w:rPr>
                <w:rFonts w:cstheme="minorHAnsi"/>
                <w:lang w:val="en-GB" w:eastAsia="hu-HU"/>
              </w:rPr>
              <w:t>Services</w:t>
            </w:r>
            <w:bookmarkEnd w:id="1526"/>
          </w:p>
        </w:tc>
        <w:tc>
          <w:tcPr>
            <w:tcW w:w="870" w:type="dxa"/>
            <w:tcBorders>
              <w:top w:val="nil"/>
              <w:left w:val="nil"/>
              <w:bottom w:val="single" w:sz="4" w:space="0" w:color="auto"/>
              <w:right w:val="single" w:sz="4" w:space="0" w:color="auto"/>
            </w:tcBorders>
            <w:shd w:val="clear" w:color="auto" w:fill="auto"/>
            <w:vAlign w:val="center"/>
            <w:hideMark/>
          </w:tcPr>
          <w:p w14:paraId="3702DEC8" w14:textId="77777777" w:rsidR="00B5369A" w:rsidRPr="006645DC" w:rsidRDefault="00B5369A" w:rsidP="00EB4D87">
            <w:pPr>
              <w:keepNext/>
              <w:keepLines/>
              <w:spacing w:before="0" w:after="0"/>
              <w:jc w:val="right"/>
              <w:outlineLvl w:val="1"/>
              <w:rPr>
                <w:rFonts w:cstheme="minorHAnsi"/>
                <w:lang w:val="en-GB" w:eastAsia="hu-HU"/>
              </w:rPr>
            </w:pPr>
            <w:bookmarkStart w:id="1527" w:name="_Toc376199694"/>
            <w:r w:rsidRPr="006645DC">
              <w:rPr>
                <w:rFonts w:cstheme="minorHAnsi"/>
                <w:lang w:val="en-GB" w:eastAsia="hu-HU"/>
              </w:rPr>
              <w:t>2 020</w:t>
            </w:r>
            <w:bookmarkEnd w:id="1527"/>
          </w:p>
        </w:tc>
        <w:tc>
          <w:tcPr>
            <w:tcW w:w="883" w:type="dxa"/>
            <w:tcBorders>
              <w:top w:val="nil"/>
              <w:left w:val="nil"/>
              <w:bottom w:val="single" w:sz="4" w:space="0" w:color="auto"/>
              <w:right w:val="single" w:sz="4" w:space="0" w:color="auto"/>
            </w:tcBorders>
            <w:shd w:val="clear" w:color="auto" w:fill="auto"/>
            <w:vAlign w:val="center"/>
            <w:hideMark/>
          </w:tcPr>
          <w:p w14:paraId="0429768D" w14:textId="77777777" w:rsidR="00B5369A" w:rsidRPr="006645DC" w:rsidRDefault="00B5369A" w:rsidP="00EB4D87">
            <w:pPr>
              <w:keepNext/>
              <w:keepLines/>
              <w:spacing w:before="0" w:after="0"/>
              <w:jc w:val="right"/>
              <w:outlineLvl w:val="1"/>
              <w:rPr>
                <w:rFonts w:cstheme="minorHAnsi"/>
                <w:lang w:val="en-GB" w:eastAsia="hu-HU"/>
              </w:rPr>
            </w:pPr>
            <w:bookmarkStart w:id="1528" w:name="_Toc376199695"/>
            <w:r w:rsidRPr="006645DC">
              <w:rPr>
                <w:rFonts w:cstheme="minorHAnsi"/>
                <w:lang w:val="en-GB" w:eastAsia="hu-HU"/>
              </w:rPr>
              <w:t>1 698</w:t>
            </w:r>
            <w:bookmarkEnd w:id="1528"/>
          </w:p>
        </w:tc>
        <w:tc>
          <w:tcPr>
            <w:tcW w:w="801" w:type="dxa"/>
            <w:tcBorders>
              <w:top w:val="nil"/>
              <w:left w:val="nil"/>
              <w:bottom w:val="single" w:sz="4" w:space="0" w:color="auto"/>
              <w:right w:val="single" w:sz="4" w:space="0" w:color="auto"/>
            </w:tcBorders>
            <w:shd w:val="clear" w:color="auto" w:fill="auto"/>
            <w:vAlign w:val="center"/>
            <w:hideMark/>
          </w:tcPr>
          <w:p w14:paraId="45B5B52C" w14:textId="77777777" w:rsidR="00B5369A" w:rsidRPr="006645DC" w:rsidRDefault="00B5369A" w:rsidP="00EB4D87">
            <w:pPr>
              <w:keepNext/>
              <w:keepLines/>
              <w:spacing w:before="0" w:after="0"/>
              <w:jc w:val="right"/>
              <w:outlineLvl w:val="1"/>
              <w:rPr>
                <w:rFonts w:cstheme="minorHAnsi"/>
                <w:lang w:val="en-GB" w:eastAsia="hu-HU"/>
              </w:rPr>
            </w:pPr>
            <w:bookmarkStart w:id="1529" w:name="_Toc376199696"/>
            <w:r w:rsidRPr="006645DC">
              <w:rPr>
                <w:rFonts w:cstheme="minorHAnsi"/>
                <w:lang w:val="en-GB" w:eastAsia="hu-HU"/>
              </w:rPr>
              <w:t>1 760</w:t>
            </w:r>
            <w:bookmarkEnd w:id="1529"/>
          </w:p>
        </w:tc>
        <w:tc>
          <w:tcPr>
            <w:tcW w:w="883" w:type="dxa"/>
            <w:tcBorders>
              <w:top w:val="nil"/>
              <w:left w:val="nil"/>
              <w:bottom w:val="single" w:sz="4" w:space="0" w:color="auto"/>
              <w:right w:val="single" w:sz="4" w:space="0" w:color="auto"/>
            </w:tcBorders>
            <w:shd w:val="clear" w:color="auto" w:fill="auto"/>
            <w:vAlign w:val="center"/>
            <w:hideMark/>
          </w:tcPr>
          <w:p w14:paraId="66F42A6E" w14:textId="77777777" w:rsidR="00B5369A" w:rsidRPr="006645DC" w:rsidRDefault="00B5369A" w:rsidP="00EB4D87">
            <w:pPr>
              <w:keepNext/>
              <w:keepLines/>
              <w:spacing w:before="0" w:after="0"/>
              <w:jc w:val="right"/>
              <w:outlineLvl w:val="1"/>
              <w:rPr>
                <w:rFonts w:cstheme="minorHAnsi"/>
                <w:lang w:val="en-GB" w:eastAsia="hu-HU"/>
              </w:rPr>
            </w:pPr>
            <w:bookmarkStart w:id="1530" w:name="_Toc376199697"/>
            <w:r w:rsidRPr="006645DC">
              <w:rPr>
                <w:rFonts w:cstheme="minorHAnsi"/>
                <w:lang w:val="en-GB" w:eastAsia="hu-HU"/>
              </w:rPr>
              <w:t>1 881</w:t>
            </w:r>
            <w:bookmarkEnd w:id="1530"/>
          </w:p>
        </w:tc>
        <w:tc>
          <w:tcPr>
            <w:tcW w:w="759" w:type="dxa"/>
            <w:tcBorders>
              <w:top w:val="nil"/>
              <w:left w:val="nil"/>
              <w:bottom w:val="single" w:sz="4" w:space="0" w:color="auto"/>
              <w:right w:val="single" w:sz="4" w:space="0" w:color="auto"/>
            </w:tcBorders>
            <w:shd w:val="clear" w:color="auto" w:fill="auto"/>
            <w:vAlign w:val="center"/>
            <w:hideMark/>
          </w:tcPr>
          <w:p w14:paraId="400CA8CF" w14:textId="77777777" w:rsidR="00B5369A" w:rsidRPr="006645DC" w:rsidRDefault="00B5369A" w:rsidP="00EB4D87">
            <w:pPr>
              <w:keepNext/>
              <w:keepLines/>
              <w:spacing w:before="0" w:after="0"/>
              <w:jc w:val="right"/>
              <w:outlineLvl w:val="1"/>
              <w:rPr>
                <w:rFonts w:cstheme="minorHAnsi"/>
                <w:lang w:val="en-GB" w:eastAsia="hu-HU"/>
              </w:rPr>
            </w:pPr>
            <w:bookmarkStart w:id="1531" w:name="_Toc376199698"/>
            <w:r w:rsidRPr="006645DC">
              <w:rPr>
                <w:rFonts w:cstheme="minorHAnsi"/>
                <w:lang w:val="en-GB" w:eastAsia="hu-HU"/>
              </w:rPr>
              <w:t>1 774</w:t>
            </w:r>
            <w:bookmarkEnd w:id="1531"/>
          </w:p>
        </w:tc>
      </w:tr>
      <w:tr w:rsidR="00B5369A" w:rsidRPr="006645DC" w14:paraId="6CDDA3C1" w14:textId="77777777" w:rsidTr="00B5369A">
        <w:trPr>
          <w:trHeight w:val="255"/>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14:paraId="772CFB02" w14:textId="77777777" w:rsidR="00B5369A" w:rsidRPr="006645DC" w:rsidRDefault="00B5369A" w:rsidP="00B5369A">
            <w:pPr>
              <w:keepNext/>
              <w:keepLines/>
              <w:spacing w:before="0" w:after="0"/>
              <w:ind w:left="757" w:hanging="360"/>
              <w:outlineLvl w:val="1"/>
              <w:rPr>
                <w:rFonts w:cstheme="minorHAnsi"/>
                <w:lang w:val="en-GB" w:eastAsia="hu-HU"/>
              </w:rPr>
            </w:pPr>
            <w:bookmarkStart w:id="1532" w:name="_Toc376199699"/>
            <w:r w:rsidRPr="006645DC">
              <w:rPr>
                <w:rFonts w:cstheme="minorHAnsi"/>
                <w:lang w:val="en-GB" w:eastAsia="hu-HU"/>
              </w:rPr>
              <w:t>Other</w:t>
            </w:r>
            <w:bookmarkEnd w:id="1532"/>
          </w:p>
        </w:tc>
        <w:tc>
          <w:tcPr>
            <w:tcW w:w="870" w:type="dxa"/>
            <w:tcBorders>
              <w:top w:val="nil"/>
              <w:left w:val="nil"/>
              <w:bottom w:val="single" w:sz="4" w:space="0" w:color="auto"/>
              <w:right w:val="single" w:sz="4" w:space="0" w:color="auto"/>
            </w:tcBorders>
            <w:shd w:val="clear" w:color="auto" w:fill="auto"/>
            <w:vAlign w:val="center"/>
            <w:hideMark/>
          </w:tcPr>
          <w:p w14:paraId="13A678A3" w14:textId="77777777" w:rsidR="00B5369A" w:rsidRPr="006645DC" w:rsidRDefault="00B5369A" w:rsidP="00EB4D87">
            <w:pPr>
              <w:keepNext/>
              <w:keepLines/>
              <w:spacing w:before="0" w:after="0"/>
              <w:jc w:val="right"/>
              <w:outlineLvl w:val="1"/>
              <w:rPr>
                <w:rFonts w:cstheme="minorHAnsi"/>
                <w:lang w:val="en-GB" w:eastAsia="hu-HU"/>
              </w:rPr>
            </w:pPr>
            <w:bookmarkStart w:id="1533" w:name="_Toc376199700"/>
            <w:r w:rsidRPr="006645DC">
              <w:rPr>
                <w:rFonts w:cstheme="minorHAnsi"/>
                <w:lang w:val="en-GB" w:eastAsia="hu-HU"/>
              </w:rPr>
              <w:t>448</w:t>
            </w:r>
            <w:bookmarkEnd w:id="1533"/>
          </w:p>
        </w:tc>
        <w:tc>
          <w:tcPr>
            <w:tcW w:w="883" w:type="dxa"/>
            <w:tcBorders>
              <w:top w:val="nil"/>
              <w:left w:val="nil"/>
              <w:bottom w:val="single" w:sz="4" w:space="0" w:color="auto"/>
              <w:right w:val="single" w:sz="4" w:space="0" w:color="auto"/>
            </w:tcBorders>
            <w:shd w:val="clear" w:color="auto" w:fill="auto"/>
            <w:vAlign w:val="center"/>
            <w:hideMark/>
          </w:tcPr>
          <w:p w14:paraId="746EB0E5" w14:textId="77777777" w:rsidR="00B5369A" w:rsidRPr="006645DC" w:rsidRDefault="00B5369A" w:rsidP="00EB4D87">
            <w:pPr>
              <w:keepNext/>
              <w:keepLines/>
              <w:spacing w:before="0" w:after="0"/>
              <w:jc w:val="right"/>
              <w:outlineLvl w:val="1"/>
              <w:rPr>
                <w:rFonts w:cstheme="minorHAnsi"/>
                <w:lang w:val="en-GB" w:eastAsia="hu-HU"/>
              </w:rPr>
            </w:pPr>
            <w:bookmarkStart w:id="1534" w:name="_Toc376199701"/>
            <w:r w:rsidRPr="006645DC">
              <w:rPr>
                <w:rFonts w:cstheme="minorHAnsi"/>
                <w:lang w:val="en-GB" w:eastAsia="hu-HU"/>
              </w:rPr>
              <w:t>400</w:t>
            </w:r>
            <w:bookmarkEnd w:id="1534"/>
          </w:p>
        </w:tc>
        <w:tc>
          <w:tcPr>
            <w:tcW w:w="801" w:type="dxa"/>
            <w:tcBorders>
              <w:top w:val="nil"/>
              <w:left w:val="nil"/>
              <w:bottom w:val="single" w:sz="4" w:space="0" w:color="auto"/>
              <w:right w:val="single" w:sz="4" w:space="0" w:color="auto"/>
            </w:tcBorders>
            <w:shd w:val="clear" w:color="auto" w:fill="auto"/>
            <w:vAlign w:val="center"/>
            <w:hideMark/>
          </w:tcPr>
          <w:p w14:paraId="55853D6C" w14:textId="77777777" w:rsidR="00B5369A" w:rsidRPr="006645DC" w:rsidRDefault="00B5369A" w:rsidP="00EB4D87">
            <w:pPr>
              <w:keepNext/>
              <w:keepLines/>
              <w:spacing w:before="0" w:after="0"/>
              <w:jc w:val="right"/>
              <w:outlineLvl w:val="1"/>
              <w:rPr>
                <w:rFonts w:cstheme="minorHAnsi"/>
                <w:lang w:val="en-GB" w:eastAsia="hu-HU"/>
              </w:rPr>
            </w:pPr>
            <w:bookmarkStart w:id="1535" w:name="_Toc376199702"/>
            <w:r w:rsidRPr="006645DC">
              <w:rPr>
                <w:rFonts w:cstheme="minorHAnsi"/>
                <w:lang w:val="en-GB" w:eastAsia="hu-HU"/>
              </w:rPr>
              <w:t>206</w:t>
            </w:r>
            <w:bookmarkEnd w:id="1535"/>
          </w:p>
        </w:tc>
        <w:tc>
          <w:tcPr>
            <w:tcW w:w="883" w:type="dxa"/>
            <w:tcBorders>
              <w:top w:val="nil"/>
              <w:left w:val="nil"/>
              <w:bottom w:val="single" w:sz="4" w:space="0" w:color="auto"/>
              <w:right w:val="single" w:sz="4" w:space="0" w:color="auto"/>
            </w:tcBorders>
            <w:shd w:val="clear" w:color="auto" w:fill="auto"/>
            <w:vAlign w:val="center"/>
            <w:hideMark/>
          </w:tcPr>
          <w:p w14:paraId="7392385D" w14:textId="77777777" w:rsidR="00B5369A" w:rsidRPr="006645DC" w:rsidRDefault="00B5369A" w:rsidP="00EB4D87">
            <w:pPr>
              <w:keepNext/>
              <w:keepLines/>
              <w:spacing w:before="0" w:after="0"/>
              <w:jc w:val="right"/>
              <w:outlineLvl w:val="1"/>
              <w:rPr>
                <w:rFonts w:cstheme="minorHAnsi"/>
                <w:lang w:val="en-GB" w:eastAsia="hu-HU"/>
              </w:rPr>
            </w:pPr>
            <w:bookmarkStart w:id="1536" w:name="_Toc376199703"/>
            <w:r w:rsidRPr="006645DC">
              <w:rPr>
                <w:rFonts w:cstheme="minorHAnsi"/>
                <w:lang w:val="en-GB" w:eastAsia="hu-HU"/>
              </w:rPr>
              <w:t>213</w:t>
            </w:r>
            <w:bookmarkEnd w:id="1536"/>
          </w:p>
        </w:tc>
        <w:tc>
          <w:tcPr>
            <w:tcW w:w="759" w:type="dxa"/>
            <w:tcBorders>
              <w:top w:val="nil"/>
              <w:left w:val="nil"/>
              <w:bottom w:val="single" w:sz="4" w:space="0" w:color="auto"/>
              <w:right w:val="single" w:sz="4" w:space="0" w:color="auto"/>
            </w:tcBorders>
            <w:shd w:val="clear" w:color="auto" w:fill="auto"/>
            <w:vAlign w:val="center"/>
            <w:hideMark/>
          </w:tcPr>
          <w:p w14:paraId="4B8949B6" w14:textId="77777777" w:rsidR="00B5369A" w:rsidRPr="006645DC" w:rsidRDefault="00B5369A" w:rsidP="00EB4D87">
            <w:pPr>
              <w:keepNext/>
              <w:keepLines/>
              <w:spacing w:before="0" w:after="0"/>
              <w:jc w:val="right"/>
              <w:outlineLvl w:val="1"/>
              <w:rPr>
                <w:rFonts w:cstheme="minorHAnsi"/>
                <w:lang w:val="en-GB" w:eastAsia="hu-HU"/>
              </w:rPr>
            </w:pPr>
            <w:bookmarkStart w:id="1537" w:name="_Toc376199704"/>
            <w:r w:rsidRPr="006645DC">
              <w:rPr>
                <w:rFonts w:cstheme="minorHAnsi"/>
                <w:lang w:val="en-GB" w:eastAsia="hu-HU"/>
              </w:rPr>
              <w:t>248</w:t>
            </w:r>
            <w:bookmarkEnd w:id="1537"/>
          </w:p>
        </w:tc>
      </w:tr>
      <w:tr w:rsidR="00B5369A" w:rsidRPr="006645DC" w14:paraId="6A085422" w14:textId="77777777" w:rsidTr="00B5369A">
        <w:trPr>
          <w:trHeight w:val="255"/>
          <w:jc w:val="center"/>
        </w:trPr>
        <w:tc>
          <w:tcPr>
            <w:tcW w:w="6901" w:type="dxa"/>
            <w:gridSpan w:val="6"/>
            <w:tcBorders>
              <w:top w:val="nil"/>
              <w:left w:val="single" w:sz="4" w:space="0" w:color="auto"/>
              <w:bottom w:val="single" w:sz="4" w:space="0" w:color="auto"/>
              <w:right w:val="single" w:sz="4" w:space="0" w:color="auto"/>
            </w:tcBorders>
            <w:shd w:val="clear" w:color="auto" w:fill="auto"/>
            <w:noWrap/>
            <w:vAlign w:val="bottom"/>
            <w:hideMark/>
          </w:tcPr>
          <w:p w14:paraId="0DE01EC0" w14:textId="77777777" w:rsidR="00B5369A" w:rsidRPr="006645DC" w:rsidRDefault="00B5369A" w:rsidP="00B5369A">
            <w:pPr>
              <w:keepNext/>
              <w:keepLines/>
              <w:spacing w:before="0" w:after="0"/>
              <w:jc w:val="left"/>
              <w:outlineLvl w:val="1"/>
              <w:rPr>
                <w:rFonts w:cstheme="minorHAnsi"/>
                <w:b/>
                <w:lang w:val="en-GB" w:eastAsia="hu-HU"/>
              </w:rPr>
            </w:pPr>
            <w:bookmarkStart w:id="1538" w:name="_Toc376199705"/>
            <w:r w:rsidRPr="006645DC">
              <w:rPr>
                <w:rFonts w:cstheme="minorHAnsi"/>
                <w:b/>
                <w:lang w:val="en-GB" w:eastAsia="hu-HU"/>
              </w:rPr>
              <w:t>Bulgaria</w:t>
            </w:r>
            <w:bookmarkEnd w:id="1538"/>
            <w:r w:rsidRPr="006645DC">
              <w:rPr>
                <w:rFonts w:cstheme="minorHAnsi"/>
                <w:b/>
                <w:lang w:val="en-GB" w:eastAsia="hu-HU"/>
              </w:rPr>
              <w:t>  </w:t>
            </w:r>
          </w:p>
        </w:tc>
      </w:tr>
      <w:tr w:rsidR="00B5369A" w:rsidRPr="006645DC" w14:paraId="23F2EA8C" w14:textId="77777777" w:rsidTr="00B5369A">
        <w:trPr>
          <w:trHeight w:val="255"/>
          <w:jc w:val="center"/>
        </w:trPr>
        <w:tc>
          <w:tcPr>
            <w:tcW w:w="2705" w:type="dxa"/>
            <w:tcBorders>
              <w:top w:val="single" w:sz="4" w:space="0" w:color="auto"/>
              <w:left w:val="single" w:sz="4" w:space="0" w:color="auto"/>
              <w:bottom w:val="single" w:sz="12" w:space="0" w:color="auto"/>
              <w:right w:val="single" w:sz="4" w:space="0" w:color="auto"/>
            </w:tcBorders>
            <w:shd w:val="clear" w:color="auto" w:fill="auto"/>
            <w:noWrap/>
            <w:vAlign w:val="bottom"/>
            <w:hideMark/>
          </w:tcPr>
          <w:p w14:paraId="5C9098E2" w14:textId="77777777" w:rsidR="00B5369A" w:rsidRPr="006645DC" w:rsidRDefault="00B5369A" w:rsidP="00B5369A">
            <w:pPr>
              <w:keepNext/>
              <w:keepLines/>
              <w:spacing w:before="0" w:after="0"/>
              <w:outlineLvl w:val="1"/>
              <w:rPr>
                <w:rFonts w:cstheme="minorHAnsi"/>
                <w:lang w:val="en-GB" w:eastAsia="hu-HU"/>
              </w:rPr>
            </w:pPr>
            <w:bookmarkStart w:id="1539" w:name="_Toc376199706"/>
            <w:r w:rsidRPr="006645DC">
              <w:rPr>
                <w:rFonts w:cstheme="minorHAnsi"/>
                <w:lang w:val="en-GB" w:eastAsia="hu-HU"/>
              </w:rPr>
              <w:t>Final energy consumption</w:t>
            </w:r>
            <w:bookmarkEnd w:id="1539"/>
          </w:p>
        </w:tc>
        <w:tc>
          <w:tcPr>
            <w:tcW w:w="870" w:type="dxa"/>
            <w:tcBorders>
              <w:top w:val="single" w:sz="4" w:space="0" w:color="auto"/>
              <w:left w:val="nil"/>
              <w:bottom w:val="single" w:sz="12" w:space="0" w:color="auto"/>
              <w:right w:val="single" w:sz="4" w:space="0" w:color="auto"/>
            </w:tcBorders>
            <w:shd w:val="clear" w:color="auto" w:fill="auto"/>
            <w:noWrap/>
            <w:vAlign w:val="center"/>
            <w:hideMark/>
          </w:tcPr>
          <w:p w14:paraId="3245EB99" w14:textId="77777777" w:rsidR="00B5369A" w:rsidRPr="006645DC" w:rsidRDefault="00B5369A" w:rsidP="00EB4D87">
            <w:pPr>
              <w:keepNext/>
              <w:keepLines/>
              <w:spacing w:before="0" w:after="0"/>
              <w:jc w:val="right"/>
              <w:outlineLvl w:val="1"/>
              <w:rPr>
                <w:rFonts w:cstheme="minorHAnsi"/>
                <w:lang w:val="en-GB" w:eastAsia="hu-HU"/>
              </w:rPr>
            </w:pPr>
            <w:bookmarkStart w:id="1540" w:name="_Toc376199707"/>
            <w:r w:rsidRPr="006645DC">
              <w:rPr>
                <w:rFonts w:cstheme="minorHAnsi"/>
                <w:lang w:val="en-GB" w:eastAsia="hu-HU"/>
              </w:rPr>
              <w:t>10 262</w:t>
            </w:r>
            <w:bookmarkEnd w:id="1540"/>
          </w:p>
        </w:tc>
        <w:tc>
          <w:tcPr>
            <w:tcW w:w="883" w:type="dxa"/>
            <w:tcBorders>
              <w:top w:val="single" w:sz="4" w:space="0" w:color="auto"/>
              <w:left w:val="nil"/>
              <w:bottom w:val="single" w:sz="12" w:space="0" w:color="auto"/>
              <w:right w:val="single" w:sz="4" w:space="0" w:color="auto"/>
            </w:tcBorders>
            <w:shd w:val="clear" w:color="auto" w:fill="auto"/>
            <w:noWrap/>
            <w:vAlign w:val="center"/>
            <w:hideMark/>
          </w:tcPr>
          <w:p w14:paraId="3F6C09B9" w14:textId="77777777" w:rsidR="00B5369A" w:rsidRPr="006645DC" w:rsidRDefault="00B5369A" w:rsidP="00EB4D87">
            <w:pPr>
              <w:keepNext/>
              <w:keepLines/>
              <w:spacing w:before="0" w:after="0"/>
              <w:jc w:val="right"/>
              <w:outlineLvl w:val="1"/>
              <w:rPr>
                <w:rFonts w:cstheme="minorHAnsi"/>
                <w:lang w:val="en-GB" w:eastAsia="hu-HU"/>
              </w:rPr>
            </w:pPr>
            <w:bookmarkStart w:id="1541" w:name="_Toc376199708"/>
            <w:r w:rsidRPr="006645DC">
              <w:rPr>
                <w:rFonts w:cstheme="minorHAnsi"/>
                <w:lang w:val="en-GB" w:eastAsia="hu-HU"/>
              </w:rPr>
              <w:t>9 971</w:t>
            </w:r>
            <w:bookmarkEnd w:id="1541"/>
          </w:p>
        </w:tc>
        <w:tc>
          <w:tcPr>
            <w:tcW w:w="801" w:type="dxa"/>
            <w:tcBorders>
              <w:top w:val="single" w:sz="4" w:space="0" w:color="auto"/>
              <w:left w:val="nil"/>
              <w:bottom w:val="single" w:sz="12" w:space="0" w:color="auto"/>
              <w:right w:val="single" w:sz="4" w:space="0" w:color="auto"/>
            </w:tcBorders>
            <w:shd w:val="clear" w:color="auto" w:fill="auto"/>
            <w:noWrap/>
            <w:vAlign w:val="center"/>
            <w:hideMark/>
          </w:tcPr>
          <w:p w14:paraId="2EBDE070" w14:textId="77777777" w:rsidR="00B5369A" w:rsidRPr="006645DC" w:rsidRDefault="00B5369A" w:rsidP="00EB4D87">
            <w:pPr>
              <w:keepNext/>
              <w:keepLines/>
              <w:spacing w:before="0" w:after="0"/>
              <w:jc w:val="right"/>
              <w:outlineLvl w:val="1"/>
              <w:rPr>
                <w:rFonts w:cstheme="minorHAnsi"/>
                <w:lang w:val="en-GB" w:eastAsia="hu-HU"/>
              </w:rPr>
            </w:pPr>
            <w:bookmarkStart w:id="1542" w:name="_Toc376199709"/>
            <w:r w:rsidRPr="006645DC">
              <w:rPr>
                <w:rFonts w:cstheme="minorHAnsi"/>
                <w:lang w:val="en-GB" w:eastAsia="hu-HU"/>
              </w:rPr>
              <w:t>8 624</w:t>
            </w:r>
            <w:bookmarkEnd w:id="1542"/>
          </w:p>
        </w:tc>
        <w:tc>
          <w:tcPr>
            <w:tcW w:w="883" w:type="dxa"/>
            <w:tcBorders>
              <w:top w:val="single" w:sz="4" w:space="0" w:color="auto"/>
              <w:left w:val="nil"/>
              <w:bottom w:val="single" w:sz="12" w:space="0" w:color="auto"/>
              <w:right w:val="single" w:sz="4" w:space="0" w:color="auto"/>
            </w:tcBorders>
            <w:shd w:val="clear" w:color="auto" w:fill="auto"/>
            <w:noWrap/>
            <w:vAlign w:val="center"/>
            <w:hideMark/>
          </w:tcPr>
          <w:p w14:paraId="4558078C" w14:textId="77777777" w:rsidR="00B5369A" w:rsidRPr="006645DC" w:rsidRDefault="00B5369A" w:rsidP="00EB4D87">
            <w:pPr>
              <w:keepNext/>
              <w:keepLines/>
              <w:spacing w:before="0" w:after="0"/>
              <w:jc w:val="right"/>
              <w:outlineLvl w:val="1"/>
              <w:rPr>
                <w:rFonts w:cstheme="minorHAnsi"/>
                <w:lang w:val="en-GB" w:eastAsia="hu-HU"/>
              </w:rPr>
            </w:pPr>
            <w:bookmarkStart w:id="1543" w:name="_Toc376199710"/>
            <w:r w:rsidRPr="006645DC">
              <w:rPr>
                <w:rFonts w:cstheme="minorHAnsi"/>
                <w:lang w:val="en-GB" w:eastAsia="hu-HU"/>
              </w:rPr>
              <w:t>8 870</w:t>
            </w:r>
            <w:bookmarkEnd w:id="1543"/>
          </w:p>
        </w:tc>
        <w:tc>
          <w:tcPr>
            <w:tcW w:w="759" w:type="dxa"/>
            <w:tcBorders>
              <w:top w:val="single" w:sz="4" w:space="0" w:color="auto"/>
              <w:left w:val="nil"/>
              <w:bottom w:val="single" w:sz="12" w:space="0" w:color="auto"/>
              <w:right w:val="single" w:sz="4" w:space="0" w:color="auto"/>
            </w:tcBorders>
            <w:shd w:val="clear" w:color="auto" w:fill="auto"/>
            <w:noWrap/>
            <w:vAlign w:val="center"/>
            <w:hideMark/>
          </w:tcPr>
          <w:p w14:paraId="5D265E0C" w14:textId="77777777" w:rsidR="00B5369A" w:rsidRPr="006645DC" w:rsidRDefault="00B5369A" w:rsidP="00EB4D87">
            <w:pPr>
              <w:keepNext/>
              <w:keepLines/>
              <w:spacing w:before="0" w:after="0"/>
              <w:jc w:val="right"/>
              <w:outlineLvl w:val="1"/>
              <w:rPr>
                <w:rFonts w:cstheme="minorHAnsi"/>
                <w:lang w:val="en-GB" w:eastAsia="hu-HU"/>
              </w:rPr>
            </w:pPr>
            <w:bookmarkStart w:id="1544" w:name="_Toc376199711"/>
            <w:r w:rsidRPr="006645DC">
              <w:rPr>
                <w:rFonts w:cstheme="minorHAnsi"/>
                <w:lang w:val="en-GB" w:eastAsia="hu-HU"/>
              </w:rPr>
              <w:t>9 287</w:t>
            </w:r>
            <w:bookmarkEnd w:id="1544"/>
          </w:p>
        </w:tc>
      </w:tr>
      <w:tr w:rsidR="00B5369A" w:rsidRPr="006645DC" w14:paraId="3E2B3C72" w14:textId="77777777" w:rsidTr="00B5369A">
        <w:trPr>
          <w:trHeight w:val="255"/>
          <w:jc w:val="center"/>
        </w:trPr>
        <w:tc>
          <w:tcPr>
            <w:tcW w:w="2705" w:type="dxa"/>
            <w:tcBorders>
              <w:top w:val="single" w:sz="12" w:space="0" w:color="auto"/>
              <w:left w:val="single" w:sz="4" w:space="0" w:color="auto"/>
              <w:bottom w:val="single" w:sz="4" w:space="0" w:color="auto"/>
              <w:right w:val="single" w:sz="4" w:space="0" w:color="auto"/>
            </w:tcBorders>
            <w:shd w:val="clear" w:color="auto" w:fill="auto"/>
            <w:noWrap/>
            <w:vAlign w:val="bottom"/>
            <w:hideMark/>
          </w:tcPr>
          <w:p w14:paraId="391CBDD3" w14:textId="77777777" w:rsidR="00B5369A" w:rsidRPr="006645DC" w:rsidRDefault="00B5369A" w:rsidP="00B5369A">
            <w:pPr>
              <w:keepNext/>
              <w:keepLines/>
              <w:spacing w:before="0" w:after="0"/>
              <w:ind w:left="757" w:hanging="360"/>
              <w:outlineLvl w:val="1"/>
              <w:rPr>
                <w:rFonts w:cstheme="minorHAnsi"/>
                <w:lang w:val="en-GB" w:eastAsia="hu-HU"/>
              </w:rPr>
            </w:pPr>
            <w:bookmarkStart w:id="1545" w:name="_Toc376199712"/>
            <w:r w:rsidRPr="006645DC">
              <w:rPr>
                <w:rFonts w:cstheme="minorHAnsi"/>
                <w:lang w:val="en-GB" w:eastAsia="hu-HU"/>
              </w:rPr>
              <w:t>Industry</w:t>
            </w:r>
            <w:bookmarkEnd w:id="1545"/>
          </w:p>
        </w:tc>
        <w:tc>
          <w:tcPr>
            <w:tcW w:w="870" w:type="dxa"/>
            <w:tcBorders>
              <w:top w:val="single" w:sz="12" w:space="0" w:color="auto"/>
              <w:left w:val="nil"/>
              <w:bottom w:val="single" w:sz="4" w:space="0" w:color="auto"/>
              <w:right w:val="single" w:sz="4" w:space="0" w:color="auto"/>
            </w:tcBorders>
            <w:shd w:val="clear" w:color="auto" w:fill="auto"/>
            <w:vAlign w:val="center"/>
            <w:hideMark/>
          </w:tcPr>
          <w:p w14:paraId="1EAB0DA3" w14:textId="77777777" w:rsidR="00B5369A" w:rsidRPr="006645DC" w:rsidRDefault="00B5369A" w:rsidP="00EB4D87">
            <w:pPr>
              <w:keepNext/>
              <w:keepLines/>
              <w:spacing w:before="0" w:after="0"/>
              <w:jc w:val="right"/>
              <w:outlineLvl w:val="1"/>
              <w:rPr>
                <w:rFonts w:cstheme="minorHAnsi"/>
                <w:lang w:val="en-GB" w:eastAsia="hu-HU"/>
              </w:rPr>
            </w:pPr>
            <w:bookmarkStart w:id="1546" w:name="_Toc376199713"/>
            <w:r w:rsidRPr="006645DC">
              <w:rPr>
                <w:rFonts w:cstheme="minorHAnsi"/>
                <w:lang w:val="en-GB" w:eastAsia="hu-HU"/>
              </w:rPr>
              <w:t>4 072</w:t>
            </w:r>
            <w:bookmarkEnd w:id="1546"/>
          </w:p>
        </w:tc>
        <w:tc>
          <w:tcPr>
            <w:tcW w:w="883" w:type="dxa"/>
            <w:tcBorders>
              <w:top w:val="single" w:sz="12" w:space="0" w:color="auto"/>
              <w:left w:val="nil"/>
              <w:bottom w:val="single" w:sz="4" w:space="0" w:color="auto"/>
              <w:right w:val="single" w:sz="4" w:space="0" w:color="auto"/>
            </w:tcBorders>
            <w:shd w:val="clear" w:color="auto" w:fill="auto"/>
            <w:vAlign w:val="center"/>
            <w:hideMark/>
          </w:tcPr>
          <w:p w14:paraId="2336F2B8" w14:textId="77777777" w:rsidR="00B5369A" w:rsidRPr="006645DC" w:rsidRDefault="00B5369A" w:rsidP="00EB4D87">
            <w:pPr>
              <w:keepNext/>
              <w:keepLines/>
              <w:spacing w:before="0" w:after="0"/>
              <w:jc w:val="right"/>
              <w:outlineLvl w:val="1"/>
              <w:rPr>
                <w:rFonts w:cstheme="minorHAnsi"/>
                <w:lang w:val="en-GB" w:eastAsia="hu-HU"/>
              </w:rPr>
            </w:pPr>
            <w:bookmarkStart w:id="1547" w:name="_Toc376199714"/>
            <w:r w:rsidRPr="006645DC">
              <w:rPr>
                <w:rFonts w:cstheme="minorHAnsi"/>
                <w:lang w:val="en-GB" w:eastAsia="hu-HU"/>
              </w:rPr>
              <w:t>3 603</w:t>
            </w:r>
            <w:bookmarkEnd w:id="1547"/>
          </w:p>
        </w:tc>
        <w:tc>
          <w:tcPr>
            <w:tcW w:w="801" w:type="dxa"/>
            <w:tcBorders>
              <w:top w:val="single" w:sz="12" w:space="0" w:color="auto"/>
              <w:left w:val="nil"/>
              <w:bottom w:val="single" w:sz="4" w:space="0" w:color="auto"/>
              <w:right w:val="single" w:sz="4" w:space="0" w:color="auto"/>
            </w:tcBorders>
            <w:shd w:val="clear" w:color="auto" w:fill="auto"/>
            <w:vAlign w:val="center"/>
            <w:hideMark/>
          </w:tcPr>
          <w:p w14:paraId="0E0A41C8" w14:textId="77777777" w:rsidR="00B5369A" w:rsidRPr="006645DC" w:rsidRDefault="00B5369A" w:rsidP="00EB4D87">
            <w:pPr>
              <w:keepNext/>
              <w:keepLines/>
              <w:spacing w:before="0" w:after="0"/>
              <w:jc w:val="right"/>
              <w:outlineLvl w:val="1"/>
              <w:rPr>
                <w:rFonts w:cstheme="minorHAnsi"/>
                <w:lang w:val="en-GB" w:eastAsia="hu-HU"/>
              </w:rPr>
            </w:pPr>
            <w:bookmarkStart w:id="1548" w:name="_Toc376199715"/>
            <w:r w:rsidRPr="006645DC">
              <w:rPr>
                <w:rFonts w:cstheme="minorHAnsi"/>
                <w:lang w:val="en-GB" w:eastAsia="hu-HU"/>
              </w:rPr>
              <w:t>2 458</w:t>
            </w:r>
            <w:bookmarkEnd w:id="1548"/>
          </w:p>
        </w:tc>
        <w:tc>
          <w:tcPr>
            <w:tcW w:w="883" w:type="dxa"/>
            <w:tcBorders>
              <w:top w:val="single" w:sz="12" w:space="0" w:color="auto"/>
              <w:left w:val="nil"/>
              <w:bottom w:val="single" w:sz="4" w:space="0" w:color="auto"/>
              <w:right w:val="single" w:sz="4" w:space="0" w:color="auto"/>
            </w:tcBorders>
            <w:shd w:val="clear" w:color="auto" w:fill="auto"/>
            <w:vAlign w:val="center"/>
            <w:hideMark/>
          </w:tcPr>
          <w:p w14:paraId="3A8A4D54" w14:textId="77777777" w:rsidR="00B5369A" w:rsidRPr="006645DC" w:rsidRDefault="00B5369A" w:rsidP="00EB4D87">
            <w:pPr>
              <w:keepNext/>
              <w:keepLines/>
              <w:spacing w:before="0" w:after="0"/>
              <w:jc w:val="right"/>
              <w:outlineLvl w:val="1"/>
              <w:rPr>
                <w:rFonts w:cstheme="minorHAnsi"/>
                <w:lang w:val="en-GB" w:eastAsia="hu-HU"/>
              </w:rPr>
            </w:pPr>
            <w:bookmarkStart w:id="1549" w:name="_Toc376199716"/>
            <w:r w:rsidRPr="006645DC">
              <w:rPr>
                <w:rFonts w:cstheme="minorHAnsi"/>
                <w:lang w:val="en-GB" w:eastAsia="hu-HU"/>
              </w:rPr>
              <w:t>2 569</w:t>
            </w:r>
            <w:bookmarkEnd w:id="1549"/>
          </w:p>
        </w:tc>
        <w:tc>
          <w:tcPr>
            <w:tcW w:w="759" w:type="dxa"/>
            <w:tcBorders>
              <w:top w:val="single" w:sz="12" w:space="0" w:color="auto"/>
              <w:left w:val="nil"/>
              <w:bottom w:val="single" w:sz="4" w:space="0" w:color="auto"/>
              <w:right w:val="single" w:sz="4" w:space="0" w:color="auto"/>
            </w:tcBorders>
            <w:shd w:val="clear" w:color="auto" w:fill="auto"/>
            <w:vAlign w:val="center"/>
            <w:hideMark/>
          </w:tcPr>
          <w:p w14:paraId="66C567C7" w14:textId="77777777" w:rsidR="00B5369A" w:rsidRPr="006645DC" w:rsidRDefault="00B5369A" w:rsidP="00EB4D87">
            <w:pPr>
              <w:keepNext/>
              <w:keepLines/>
              <w:spacing w:before="0" w:after="0"/>
              <w:jc w:val="right"/>
              <w:outlineLvl w:val="1"/>
              <w:rPr>
                <w:rFonts w:cstheme="minorHAnsi"/>
                <w:lang w:val="en-GB" w:eastAsia="hu-HU"/>
              </w:rPr>
            </w:pPr>
            <w:bookmarkStart w:id="1550" w:name="_Toc376199717"/>
            <w:r w:rsidRPr="006645DC">
              <w:rPr>
                <w:rFonts w:cstheme="minorHAnsi"/>
                <w:lang w:val="en-GB" w:eastAsia="hu-HU"/>
              </w:rPr>
              <w:t>2 709</w:t>
            </w:r>
            <w:bookmarkEnd w:id="1550"/>
          </w:p>
        </w:tc>
      </w:tr>
      <w:tr w:rsidR="00B5369A" w:rsidRPr="006645DC" w14:paraId="471AF4E6" w14:textId="77777777" w:rsidTr="00B5369A">
        <w:trPr>
          <w:trHeight w:val="255"/>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14:paraId="1BBAC49F" w14:textId="77777777" w:rsidR="00B5369A" w:rsidRPr="006645DC" w:rsidRDefault="00B5369A" w:rsidP="00B5369A">
            <w:pPr>
              <w:keepNext/>
              <w:keepLines/>
              <w:spacing w:before="0" w:after="0"/>
              <w:ind w:left="757" w:hanging="360"/>
              <w:outlineLvl w:val="1"/>
              <w:rPr>
                <w:rFonts w:cstheme="minorHAnsi"/>
                <w:lang w:val="en-GB" w:eastAsia="hu-HU"/>
              </w:rPr>
            </w:pPr>
            <w:bookmarkStart w:id="1551" w:name="_Toc376199718"/>
            <w:r w:rsidRPr="006645DC">
              <w:rPr>
                <w:rFonts w:cstheme="minorHAnsi"/>
                <w:lang w:val="en-GB" w:eastAsia="hu-HU"/>
              </w:rPr>
              <w:t>Transport</w:t>
            </w:r>
            <w:bookmarkEnd w:id="1551"/>
          </w:p>
        </w:tc>
        <w:tc>
          <w:tcPr>
            <w:tcW w:w="870" w:type="dxa"/>
            <w:tcBorders>
              <w:top w:val="nil"/>
              <w:left w:val="nil"/>
              <w:bottom w:val="single" w:sz="4" w:space="0" w:color="auto"/>
              <w:right w:val="single" w:sz="4" w:space="0" w:color="auto"/>
            </w:tcBorders>
            <w:shd w:val="clear" w:color="auto" w:fill="auto"/>
            <w:vAlign w:val="center"/>
            <w:hideMark/>
          </w:tcPr>
          <w:p w14:paraId="6715CE1E" w14:textId="77777777" w:rsidR="00B5369A" w:rsidRPr="006645DC" w:rsidRDefault="00B5369A" w:rsidP="00EB4D87">
            <w:pPr>
              <w:keepNext/>
              <w:keepLines/>
              <w:spacing w:before="0" w:after="0"/>
              <w:jc w:val="right"/>
              <w:outlineLvl w:val="1"/>
              <w:rPr>
                <w:rFonts w:cstheme="minorHAnsi"/>
                <w:lang w:val="en-GB" w:eastAsia="hu-HU"/>
              </w:rPr>
            </w:pPr>
            <w:bookmarkStart w:id="1552" w:name="_Toc376199719"/>
            <w:r w:rsidRPr="006645DC">
              <w:rPr>
                <w:rFonts w:cstheme="minorHAnsi"/>
                <w:lang w:val="en-GB" w:eastAsia="hu-HU"/>
              </w:rPr>
              <w:t>2 960</w:t>
            </w:r>
            <w:bookmarkEnd w:id="1552"/>
          </w:p>
        </w:tc>
        <w:tc>
          <w:tcPr>
            <w:tcW w:w="883" w:type="dxa"/>
            <w:tcBorders>
              <w:top w:val="nil"/>
              <w:left w:val="nil"/>
              <w:bottom w:val="single" w:sz="4" w:space="0" w:color="auto"/>
              <w:right w:val="single" w:sz="4" w:space="0" w:color="auto"/>
            </w:tcBorders>
            <w:shd w:val="clear" w:color="auto" w:fill="auto"/>
            <w:vAlign w:val="center"/>
            <w:hideMark/>
          </w:tcPr>
          <w:p w14:paraId="4A91443E" w14:textId="77777777" w:rsidR="00B5369A" w:rsidRPr="006645DC" w:rsidRDefault="00B5369A" w:rsidP="00EB4D87">
            <w:pPr>
              <w:keepNext/>
              <w:keepLines/>
              <w:spacing w:before="0" w:after="0"/>
              <w:jc w:val="right"/>
              <w:outlineLvl w:val="1"/>
              <w:rPr>
                <w:rFonts w:cstheme="minorHAnsi"/>
                <w:lang w:val="en-GB" w:eastAsia="hu-HU"/>
              </w:rPr>
            </w:pPr>
            <w:bookmarkStart w:id="1553" w:name="_Toc376199720"/>
            <w:r w:rsidRPr="006645DC">
              <w:rPr>
                <w:rFonts w:cstheme="minorHAnsi"/>
                <w:lang w:val="en-GB" w:eastAsia="hu-HU"/>
              </w:rPr>
              <w:t>3 107</w:t>
            </w:r>
            <w:bookmarkEnd w:id="1553"/>
          </w:p>
        </w:tc>
        <w:tc>
          <w:tcPr>
            <w:tcW w:w="801" w:type="dxa"/>
            <w:tcBorders>
              <w:top w:val="nil"/>
              <w:left w:val="nil"/>
              <w:bottom w:val="single" w:sz="4" w:space="0" w:color="auto"/>
              <w:right w:val="single" w:sz="4" w:space="0" w:color="auto"/>
            </w:tcBorders>
            <w:shd w:val="clear" w:color="auto" w:fill="auto"/>
            <w:vAlign w:val="center"/>
            <w:hideMark/>
          </w:tcPr>
          <w:p w14:paraId="41F3D537" w14:textId="77777777" w:rsidR="00B5369A" w:rsidRPr="006645DC" w:rsidRDefault="00B5369A" w:rsidP="00EB4D87">
            <w:pPr>
              <w:keepNext/>
              <w:keepLines/>
              <w:spacing w:before="0" w:after="0"/>
              <w:jc w:val="right"/>
              <w:outlineLvl w:val="1"/>
              <w:rPr>
                <w:rFonts w:cstheme="minorHAnsi"/>
                <w:lang w:val="en-GB" w:eastAsia="hu-HU"/>
              </w:rPr>
            </w:pPr>
            <w:bookmarkStart w:id="1554" w:name="_Toc376199721"/>
            <w:r w:rsidRPr="006645DC">
              <w:rPr>
                <w:rFonts w:cstheme="minorHAnsi"/>
                <w:lang w:val="en-GB" w:eastAsia="hu-HU"/>
              </w:rPr>
              <w:t>2 927</w:t>
            </w:r>
            <w:bookmarkEnd w:id="1554"/>
          </w:p>
        </w:tc>
        <w:tc>
          <w:tcPr>
            <w:tcW w:w="883" w:type="dxa"/>
            <w:tcBorders>
              <w:top w:val="nil"/>
              <w:left w:val="nil"/>
              <w:bottom w:val="single" w:sz="4" w:space="0" w:color="auto"/>
              <w:right w:val="single" w:sz="4" w:space="0" w:color="auto"/>
            </w:tcBorders>
            <w:shd w:val="clear" w:color="auto" w:fill="auto"/>
            <w:vAlign w:val="center"/>
            <w:hideMark/>
          </w:tcPr>
          <w:p w14:paraId="42477EE4" w14:textId="77777777" w:rsidR="00B5369A" w:rsidRPr="006645DC" w:rsidRDefault="00B5369A" w:rsidP="00EB4D87">
            <w:pPr>
              <w:keepNext/>
              <w:keepLines/>
              <w:spacing w:before="0" w:after="0"/>
              <w:jc w:val="right"/>
              <w:outlineLvl w:val="1"/>
              <w:rPr>
                <w:rFonts w:cstheme="minorHAnsi"/>
                <w:lang w:val="en-GB" w:eastAsia="hu-HU"/>
              </w:rPr>
            </w:pPr>
            <w:bookmarkStart w:id="1555" w:name="_Toc376199722"/>
            <w:r w:rsidRPr="006645DC">
              <w:rPr>
                <w:rFonts w:cstheme="minorHAnsi"/>
                <w:lang w:val="en-GB" w:eastAsia="hu-HU"/>
              </w:rPr>
              <w:t>2 880</w:t>
            </w:r>
            <w:bookmarkEnd w:id="1555"/>
          </w:p>
        </w:tc>
        <w:tc>
          <w:tcPr>
            <w:tcW w:w="759" w:type="dxa"/>
            <w:tcBorders>
              <w:top w:val="nil"/>
              <w:left w:val="nil"/>
              <w:bottom w:val="single" w:sz="4" w:space="0" w:color="auto"/>
              <w:right w:val="single" w:sz="4" w:space="0" w:color="auto"/>
            </w:tcBorders>
            <w:shd w:val="clear" w:color="auto" w:fill="auto"/>
            <w:vAlign w:val="center"/>
            <w:hideMark/>
          </w:tcPr>
          <w:p w14:paraId="4BDBB77C" w14:textId="77777777" w:rsidR="00B5369A" w:rsidRPr="006645DC" w:rsidRDefault="00B5369A" w:rsidP="00EB4D87">
            <w:pPr>
              <w:keepNext/>
              <w:keepLines/>
              <w:spacing w:before="0" w:after="0"/>
              <w:jc w:val="right"/>
              <w:outlineLvl w:val="1"/>
              <w:rPr>
                <w:rFonts w:cstheme="minorHAnsi"/>
                <w:lang w:val="en-GB" w:eastAsia="hu-HU"/>
              </w:rPr>
            </w:pPr>
            <w:bookmarkStart w:id="1556" w:name="_Toc376199723"/>
            <w:r w:rsidRPr="006645DC">
              <w:rPr>
                <w:rFonts w:cstheme="minorHAnsi"/>
                <w:lang w:val="en-GB" w:eastAsia="hu-HU"/>
              </w:rPr>
              <w:t>2 942</w:t>
            </w:r>
            <w:bookmarkEnd w:id="1556"/>
          </w:p>
        </w:tc>
      </w:tr>
      <w:tr w:rsidR="00B5369A" w:rsidRPr="006645DC" w14:paraId="63D2B5B9" w14:textId="77777777" w:rsidTr="00B5369A">
        <w:trPr>
          <w:trHeight w:val="255"/>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14:paraId="70320820" w14:textId="77777777" w:rsidR="00B5369A" w:rsidRPr="006645DC" w:rsidRDefault="00B5369A" w:rsidP="00B5369A">
            <w:pPr>
              <w:keepNext/>
              <w:keepLines/>
              <w:spacing w:before="0" w:after="0"/>
              <w:ind w:left="757" w:hanging="360"/>
              <w:outlineLvl w:val="1"/>
              <w:rPr>
                <w:rFonts w:cstheme="minorHAnsi"/>
                <w:lang w:val="en-GB" w:eastAsia="hu-HU"/>
              </w:rPr>
            </w:pPr>
            <w:bookmarkStart w:id="1557" w:name="_Toc376199724"/>
            <w:r w:rsidRPr="006645DC">
              <w:rPr>
                <w:rFonts w:cstheme="minorHAnsi"/>
                <w:lang w:val="en-GB" w:eastAsia="hu-HU"/>
              </w:rPr>
              <w:t>Residential</w:t>
            </w:r>
            <w:bookmarkEnd w:id="1557"/>
          </w:p>
        </w:tc>
        <w:tc>
          <w:tcPr>
            <w:tcW w:w="870" w:type="dxa"/>
            <w:tcBorders>
              <w:top w:val="nil"/>
              <w:left w:val="nil"/>
              <w:bottom w:val="single" w:sz="4" w:space="0" w:color="auto"/>
              <w:right w:val="single" w:sz="4" w:space="0" w:color="auto"/>
            </w:tcBorders>
            <w:shd w:val="clear" w:color="auto" w:fill="auto"/>
            <w:vAlign w:val="center"/>
            <w:hideMark/>
          </w:tcPr>
          <w:p w14:paraId="4A6E9508" w14:textId="77777777" w:rsidR="00B5369A" w:rsidRPr="006645DC" w:rsidRDefault="00B5369A" w:rsidP="00EB4D87">
            <w:pPr>
              <w:keepNext/>
              <w:keepLines/>
              <w:spacing w:before="0" w:after="0"/>
              <w:jc w:val="right"/>
              <w:outlineLvl w:val="1"/>
              <w:rPr>
                <w:rFonts w:cstheme="minorHAnsi"/>
                <w:lang w:val="en-GB" w:eastAsia="hu-HU"/>
              </w:rPr>
            </w:pPr>
            <w:bookmarkStart w:id="1558" w:name="_Toc376199725"/>
            <w:r w:rsidRPr="006645DC">
              <w:rPr>
                <w:rFonts w:cstheme="minorHAnsi"/>
                <w:lang w:val="en-GB" w:eastAsia="hu-HU"/>
              </w:rPr>
              <w:t>2 068</w:t>
            </w:r>
            <w:bookmarkEnd w:id="1558"/>
          </w:p>
        </w:tc>
        <w:tc>
          <w:tcPr>
            <w:tcW w:w="883" w:type="dxa"/>
            <w:tcBorders>
              <w:top w:val="nil"/>
              <w:left w:val="nil"/>
              <w:bottom w:val="single" w:sz="4" w:space="0" w:color="auto"/>
              <w:right w:val="single" w:sz="4" w:space="0" w:color="auto"/>
            </w:tcBorders>
            <w:shd w:val="clear" w:color="auto" w:fill="auto"/>
            <w:vAlign w:val="center"/>
            <w:hideMark/>
          </w:tcPr>
          <w:p w14:paraId="0F5832D8" w14:textId="77777777" w:rsidR="00B5369A" w:rsidRPr="006645DC" w:rsidRDefault="00B5369A" w:rsidP="00EB4D87">
            <w:pPr>
              <w:keepNext/>
              <w:keepLines/>
              <w:spacing w:before="0" w:after="0"/>
              <w:jc w:val="right"/>
              <w:outlineLvl w:val="1"/>
              <w:rPr>
                <w:rFonts w:cstheme="minorHAnsi"/>
                <w:lang w:val="en-GB" w:eastAsia="hu-HU"/>
              </w:rPr>
            </w:pPr>
            <w:bookmarkStart w:id="1559" w:name="_Toc376199726"/>
            <w:r w:rsidRPr="006645DC">
              <w:rPr>
                <w:rFonts w:cstheme="minorHAnsi"/>
                <w:lang w:val="en-GB" w:eastAsia="hu-HU"/>
              </w:rPr>
              <w:t>2 117</w:t>
            </w:r>
            <w:bookmarkEnd w:id="1559"/>
          </w:p>
        </w:tc>
        <w:tc>
          <w:tcPr>
            <w:tcW w:w="801" w:type="dxa"/>
            <w:tcBorders>
              <w:top w:val="nil"/>
              <w:left w:val="nil"/>
              <w:bottom w:val="single" w:sz="4" w:space="0" w:color="auto"/>
              <w:right w:val="single" w:sz="4" w:space="0" w:color="auto"/>
            </w:tcBorders>
            <w:shd w:val="clear" w:color="auto" w:fill="auto"/>
            <w:vAlign w:val="center"/>
            <w:hideMark/>
          </w:tcPr>
          <w:p w14:paraId="45A34144" w14:textId="77777777" w:rsidR="00B5369A" w:rsidRPr="006645DC" w:rsidRDefault="00B5369A" w:rsidP="00EB4D87">
            <w:pPr>
              <w:keepNext/>
              <w:keepLines/>
              <w:spacing w:before="0" w:after="0"/>
              <w:jc w:val="right"/>
              <w:outlineLvl w:val="1"/>
              <w:rPr>
                <w:rFonts w:cstheme="minorHAnsi"/>
                <w:lang w:val="en-GB" w:eastAsia="hu-HU"/>
              </w:rPr>
            </w:pPr>
            <w:bookmarkStart w:id="1560" w:name="_Toc376199727"/>
            <w:r w:rsidRPr="006645DC">
              <w:rPr>
                <w:rFonts w:cstheme="minorHAnsi"/>
                <w:lang w:val="en-GB" w:eastAsia="hu-HU"/>
              </w:rPr>
              <w:t>2 116</w:t>
            </w:r>
            <w:bookmarkEnd w:id="1560"/>
          </w:p>
        </w:tc>
        <w:tc>
          <w:tcPr>
            <w:tcW w:w="883" w:type="dxa"/>
            <w:tcBorders>
              <w:top w:val="nil"/>
              <w:left w:val="nil"/>
              <w:bottom w:val="single" w:sz="4" w:space="0" w:color="auto"/>
              <w:right w:val="single" w:sz="4" w:space="0" w:color="auto"/>
            </w:tcBorders>
            <w:shd w:val="clear" w:color="auto" w:fill="auto"/>
            <w:vAlign w:val="center"/>
            <w:hideMark/>
          </w:tcPr>
          <w:p w14:paraId="230B9B68" w14:textId="77777777" w:rsidR="00B5369A" w:rsidRPr="006645DC" w:rsidRDefault="00B5369A" w:rsidP="00EB4D87">
            <w:pPr>
              <w:keepNext/>
              <w:keepLines/>
              <w:spacing w:before="0" w:after="0"/>
              <w:jc w:val="right"/>
              <w:outlineLvl w:val="1"/>
              <w:rPr>
                <w:rFonts w:cstheme="minorHAnsi"/>
                <w:lang w:val="en-GB" w:eastAsia="hu-HU"/>
              </w:rPr>
            </w:pPr>
            <w:bookmarkStart w:id="1561" w:name="_Toc376199728"/>
            <w:r w:rsidRPr="006645DC">
              <w:rPr>
                <w:rFonts w:cstheme="minorHAnsi"/>
                <w:lang w:val="en-GB" w:eastAsia="hu-HU"/>
              </w:rPr>
              <w:t>2 246</w:t>
            </w:r>
            <w:bookmarkEnd w:id="1561"/>
          </w:p>
        </w:tc>
        <w:tc>
          <w:tcPr>
            <w:tcW w:w="759" w:type="dxa"/>
            <w:tcBorders>
              <w:top w:val="nil"/>
              <w:left w:val="nil"/>
              <w:bottom w:val="single" w:sz="4" w:space="0" w:color="auto"/>
              <w:right w:val="single" w:sz="4" w:space="0" w:color="auto"/>
            </w:tcBorders>
            <w:shd w:val="clear" w:color="auto" w:fill="auto"/>
            <w:vAlign w:val="center"/>
            <w:hideMark/>
          </w:tcPr>
          <w:p w14:paraId="0F55A61F" w14:textId="77777777" w:rsidR="00B5369A" w:rsidRPr="006645DC" w:rsidRDefault="00B5369A" w:rsidP="00EB4D87">
            <w:pPr>
              <w:keepNext/>
              <w:keepLines/>
              <w:spacing w:before="0" w:after="0"/>
              <w:jc w:val="right"/>
              <w:outlineLvl w:val="1"/>
              <w:rPr>
                <w:rFonts w:cstheme="minorHAnsi"/>
                <w:lang w:val="en-GB" w:eastAsia="hu-HU"/>
              </w:rPr>
            </w:pPr>
            <w:bookmarkStart w:id="1562" w:name="_Toc376199729"/>
            <w:r w:rsidRPr="006645DC">
              <w:rPr>
                <w:rFonts w:cstheme="minorHAnsi"/>
                <w:lang w:val="en-GB" w:eastAsia="hu-HU"/>
              </w:rPr>
              <w:t>2 380</w:t>
            </w:r>
            <w:bookmarkEnd w:id="1562"/>
          </w:p>
        </w:tc>
      </w:tr>
      <w:tr w:rsidR="00B5369A" w:rsidRPr="006645DC" w14:paraId="53710645" w14:textId="77777777" w:rsidTr="00B5369A">
        <w:trPr>
          <w:trHeight w:val="255"/>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14:paraId="25925878" w14:textId="77777777" w:rsidR="00B5369A" w:rsidRPr="006645DC" w:rsidRDefault="00B5369A" w:rsidP="00B5369A">
            <w:pPr>
              <w:keepNext/>
              <w:keepLines/>
              <w:spacing w:before="0" w:after="0"/>
              <w:ind w:left="757" w:hanging="360"/>
              <w:outlineLvl w:val="1"/>
              <w:rPr>
                <w:rFonts w:cstheme="minorHAnsi"/>
                <w:lang w:val="en-GB" w:eastAsia="hu-HU"/>
              </w:rPr>
            </w:pPr>
            <w:bookmarkStart w:id="1563" w:name="_Toc376199730"/>
            <w:r w:rsidRPr="006645DC">
              <w:rPr>
                <w:rFonts w:cstheme="minorHAnsi"/>
                <w:lang w:val="en-GB" w:eastAsia="hu-HU"/>
              </w:rPr>
              <w:t>Agriculture/Forestry</w:t>
            </w:r>
            <w:bookmarkEnd w:id="1563"/>
          </w:p>
        </w:tc>
        <w:tc>
          <w:tcPr>
            <w:tcW w:w="870" w:type="dxa"/>
            <w:tcBorders>
              <w:top w:val="nil"/>
              <w:left w:val="nil"/>
              <w:bottom w:val="single" w:sz="4" w:space="0" w:color="auto"/>
              <w:right w:val="single" w:sz="4" w:space="0" w:color="auto"/>
            </w:tcBorders>
            <w:shd w:val="clear" w:color="auto" w:fill="auto"/>
            <w:vAlign w:val="center"/>
            <w:hideMark/>
          </w:tcPr>
          <w:p w14:paraId="7A58BA66" w14:textId="77777777" w:rsidR="00B5369A" w:rsidRPr="006645DC" w:rsidRDefault="00B5369A" w:rsidP="00EB4D87">
            <w:pPr>
              <w:keepNext/>
              <w:keepLines/>
              <w:spacing w:before="0" w:after="0"/>
              <w:jc w:val="right"/>
              <w:outlineLvl w:val="1"/>
              <w:rPr>
                <w:rFonts w:cstheme="minorHAnsi"/>
                <w:lang w:val="en-GB" w:eastAsia="hu-HU"/>
              </w:rPr>
            </w:pPr>
            <w:bookmarkStart w:id="1564" w:name="_Toc376199731"/>
            <w:r w:rsidRPr="006645DC">
              <w:rPr>
                <w:rFonts w:cstheme="minorHAnsi"/>
                <w:lang w:val="en-GB" w:eastAsia="hu-HU"/>
              </w:rPr>
              <w:t>268</w:t>
            </w:r>
            <w:bookmarkEnd w:id="1564"/>
          </w:p>
        </w:tc>
        <w:tc>
          <w:tcPr>
            <w:tcW w:w="883" w:type="dxa"/>
            <w:tcBorders>
              <w:top w:val="nil"/>
              <w:left w:val="nil"/>
              <w:bottom w:val="single" w:sz="4" w:space="0" w:color="auto"/>
              <w:right w:val="single" w:sz="4" w:space="0" w:color="auto"/>
            </w:tcBorders>
            <w:shd w:val="clear" w:color="auto" w:fill="auto"/>
            <w:vAlign w:val="center"/>
            <w:hideMark/>
          </w:tcPr>
          <w:p w14:paraId="38F3CDD8" w14:textId="77777777" w:rsidR="00B5369A" w:rsidRPr="006645DC" w:rsidRDefault="00B5369A" w:rsidP="00EB4D87">
            <w:pPr>
              <w:keepNext/>
              <w:keepLines/>
              <w:spacing w:before="0" w:after="0"/>
              <w:jc w:val="right"/>
              <w:outlineLvl w:val="1"/>
              <w:rPr>
                <w:rFonts w:cstheme="minorHAnsi"/>
                <w:lang w:val="en-GB" w:eastAsia="hu-HU"/>
              </w:rPr>
            </w:pPr>
            <w:bookmarkStart w:id="1565" w:name="_Toc376199732"/>
            <w:r w:rsidRPr="006645DC">
              <w:rPr>
                <w:rFonts w:cstheme="minorHAnsi"/>
                <w:lang w:val="en-GB" w:eastAsia="hu-HU"/>
              </w:rPr>
              <w:t>188</w:t>
            </w:r>
            <w:bookmarkEnd w:id="1565"/>
          </w:p>
        </w:tc>
        <w:tc>
          <w:tcPr>
            <w:tcW w:w="801" w:type="dxa"/>
            <w:tcBorders>
              <w:top w:val="nil"/>
              <w:left w:val="nil"/>
              <w:bottom w:val="single" w:sz="4" w:space="0" w:color="auto"/>
              <w:right w:val="single" w:sz="4" w:space="0" w:color="auto"/>
            </w:tcBorders>
            <w:shd w:val="clear" w:color="auto" w:fill="auto"/>
            <w:vAlign w:val="center"/>
            <w:hideMark/>
          </w:tcPr>
          <w:p w14:paraId="7C2CBBCB" w14:textId="77777777" w:rsidR="00B5369A" w:rsidRPr="006645DC" w:rsidRDefault="00B5369A" w:rsidP="00EB4D87">
            <w:pPr>
              <w:keepNext/>
              <w:keepLines/>
              <w:spacing w:before="0" w:after="0"/>
              <w:jc w:val="right"/>
              <w:outlineLvl w:val="1"/>
              <w:rPr>
                <w:rFonts w:cstheme="minorHAnsi"/>
                <w:lang w:val="en-GB" w:eastAsia="hu-HU"/>
              </w:rPr>
            </w:pPr>
            <w:bookmarkStart w:id="1566" w:name="_Toc376199733"/>
            <w:r w:rsidRPr="006645DC">
              <w:rPr>
                <w:rFonts w:cstheme="minorHAnsi"/>
                <w:lang w:val="en-GB" w:eastAsia="hu-HU"/>
              </w:rPr>
              <w:t>184</w:t>
            </w:r>
            <w:bookmarkEnd w:id="1566"/>
          </w:p>
        </w:tc>
        <w:tc>
          <w:tcPr>
            <w:tcW w:w="883" w:type="dxa"/>
            <w:tcBorders>
              <w:top w:val="nil"/>
              <w:left w:val="nil"/>
              <w:bottom w:val="single" w:sz="4" w:space="0" w:color="auto"/>
              <w:right w:val="single" w:sz="4" w:space="0" w:color="auto"/>
            </w:tcBorders>
            <w:shd w:val="clear" w:color="auto" w:fill="auto"/>
            <w:vAlign w:val="center"/>
            <w:hideMark/>
          </w:tcPr>
          <w:p w14:paraId="5B2D6344" w14:textId="77777777" w:rsidR="00B5369A" w:rsidRPr="006645DC" w:rsidRDefault="00B5369A" w:rsidP="00EB4D87">
            <w:pPr>
              <w:keepNext/>
              <w:keepLines/>
              <w:spacing w:before="0" w:after="0"/>
              <w:jc w:val="right"/>
              <w:outlineLvl w:val="1"/>
              <w:rPr>
                <w:rFonts w:cstheme="minorHAnsi"/>
                <w:lang w:val="en-GB" w:eastAsia="hu-HU"/>
              </w:rPr>
            </w:pPr>
            <w:bookmarkStart w:id="1567" w:name="_Toc376199734"/>
            <w:r w:rsidRPr="006645DC">
              <w:rPr>
                <w:rFonts w:cstheme="minorHAnsi"/>
                <w:lang w:val="en-GB" w:eastAsia="hu-HU"/>
              </w:rPr>
              <w:t>184</w:t>
            </w:r>
            <w:bookmarkEnd w:id="1567"/>
          </w:p>
        </w:tc>
        <w:tc>
          <w:tcPr>
            <w:tcW w:w="759" w:type="dxa"/>
            <w:tcBorders>
              <w:top w:val="nil"/>
              <w:left w:val="nil"/>
              <w:bottom w:val="single" w:sz="4" w:space="0" w:color="auto"/>
              <w:right w:val="single" w:sz="4" w:space="0" w:color="auto"/>
            </w:tcBorders>
            <w:shd w:val="clear" w:color="auto" w:fill="auto"/>
            <w:vAlign w:val="center"/>
            <w:hideMark/>
          </w:tcPr>
          <w:p w14:paraId="7745FFBE" w14:textId="77777777" w:rsidR="00B5369A" w:rsidRPr="006645DC" w:rsidRDefault="00B5369A" w:rsidP="00EB4D87">
            <w:pPr>
              <w:keepNext/>
              <w:keepLines/>
              <w:spacing w:before="0" w:after="0"/>
              <w:jc w:val="right"/>
              <w:outlineLvl w:val="1"/>
              <w:rPr>
                <w:rFonts w:cstheme="minorHAnsi"/>
                <w:lang w:val="en-GB" w:eastAsia="hu-HU"/>
              </w:rPr>
            </w:pPr>
            <w:bookmarkStart w:id="1568" w:name="_Toc376199735"/>
            <w:r w:rsidRPr="006645DC">
              <w:rPr>
                <w:rFonts w:cstheme="minorHAnsi"/>
                <w:lang w:val="en-GB" w:eastAsia="hu-HU"/>
              </w:rPr>
              <w:t>207</w:t>
            </w:r>
            <w:bookmarkEnd w:id="1568"/>
          </w:p>
        </w:tc>
      </w:tr>
      <w:tr w:rsidR="00B5369A" w:rsidRPr="006645DC" w14:paraId="0E25FA02" w14:textId="77777777" w:rsidTr="00B5369A">
        <w:trPr>
          <w:trHeight w:val="255"/>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14:paraId="320A74C9" w14:textId="77777777" w:rsidR="00B5369A" w:rsidRPr="006645DC" w:rsidRDefault="00B5369A" w:rsidP="00B5369A">
            <w:pPr>
              <w:keepNext/>
              <w:keepLines/>
              <w:spacing w:before="0" w:after="0"/>
              <w:ind w:left="757" w:hanging="360"/>
              <w:outlineLvl w:val="1"/>
              <w:rPr>
                <w:rFonts w:cstheme="minorHAnsi"/>
                <w:lang w:val="en-GB" w:eastAsia="hu-HU"/>
              </w:rPr>
            </w:pPr>
            <w:bookmarkStart w:id="1569" w:name="_Toc376199736"/>
            <w:r w:rsidRPr="006645DC">
              <w:rPr>
                <w:rFonts w:cstheme="minorHAnsi"/>
                <w:lang w:val="en-GB" w:eastAsia="hu-HU"/>
              </w:rPr>
              <w:t>Services</w:t>
            </w:r>
            <w:bookmarkEnd w:id="1569"/>
          </w:p>
        </w:tc>
        <w:tc>
          <w:tcPr>
            <w:tcW w:w="870" w:type="dxa"/>
            <w:tcBorders>
              <w:top w:val="nil"/>
              <w:left w:val="nil"/>
              <w:bottom w:val="single" w:sz="4" w:space="0" w:color="auto"/>
              <w:right w:val="single" w:sz="4" w:space="0" w:color="auto"/>
            </w:tcBorders>
            <w:shd w:val="clear" w:color="auto" w:fill="auto"/>
            <w:vAlign w:val="center"/>
            <w:hideMark/>
          </w:tcPr>
          <w:p w14:paraId="562F1630" w14:textId="77777777" w:rsidR="00B5369A" w:rsidRPr="006645DC" w:rsidRDefault="00B5369A" w:rsidP="00EB4D87">
            <w:pPr>
              <w:keepNext/>
              <w:keepLines/>
              <w:spacing w:before="0" w:after="0"/>
              <w:jc w:val="right"/>
              <w:outlineLvl w:val="1"/>
              <w:rPr>
                <w:rFonts w:cstheme="minorHAnsi"/>
                <w:lang w:val="en-GB" w:eastAsia="hu-HU"/>
              </w:rPr>
            </w:pPr>
            <w:bookmarkStart w:id="1570" w:name="_Toc376199737"/>
            <w:r w:rsidRPr="006645DC">
              <w:rPr>
                <w:rFonts w:cstheme="minorHAnsi"/>
                <w:lang w:val="en-GB" w:eastAsia="hu-HU"/>
              </w:rPr>
              <w:t>894</w:t>
            </w:r>
            <w:bookmarkEnd w:id="1570"/>
          </w:p>
        </w:tc>
        <w:tc>
          <w:tcPr>
            <w:tcW w:w="883" w:type="dxa"/>
            <w:tcBorders>
              <w:top w:val="nil"/>
              <w:left w:val="nil"/>
              <w:bottom w:val="single" w:sz="4" w:space="0" w:color="auto"/>
              <w:right w:val="single" w:sz="4" w:space="0" w:color="auto"/>
            </w:tcBorders>
            <w:shd w:val="clear" w:color="auto" w:fill="auto"/>
            <w:vAlign w:val="center"/>
            <w:hideMark/>
          </w:tcPr>
          <w:p w14:paraId="6773211A" w14:textId="77777777" w:rsidR="00B5369A" w:rsidRPr="006645DC" w:rsidRDefault="00B5369A" w:rsidP="00EB4D87">
            <w:pPr>
              <w:keepNext/>
              <w:keepLines/>
              <w:spacing w:before="0" w:after="0"/>
              <w:jc w:val="right"/>
              <w:outlineLvl w:val="1"/>
              <w:rPr>
                <w:rFonts w:cstheme="minorHAnsi"/>
                <w:lang w:val="en-GB" w:eastAsia="hu-HU"/>
              </w:rPr>
            </w:pPr>
            <w:bookmarkStart w:id="1571" w:name="_Toc376199738"/>
            <w:r w:rsidRPr="006645DC">
              <w:rPr>
                <w:rFonts w:cstheme="minorHAnsi"/>
                <w:lang w:val="en-GB" w:eastAsia="hu-HU"/>
              </w:rPr>
              <w:t>955</w:t>
            </w:r>
            <w:bookmarkEnd w:id="1571"/>
          </w:p>
        </w:tc>
        <w:tc>
          <w:tcPr>
            <w:tcW w:w="801" w:type="dxa"/>
            <w:tcBorders>
              <w:top w:val="nil"/>
              <w:left w:val="nil"/>
              <w:bottom w:val="single" w:sz="4" w:space="0" w:color="auto"/>
              <w:right w:val="single" w:sz="4" w:space="0" w:color="auto"/>
            </w:tcBorders>
            <w:shd w:val="clear" w:color="auto" w:fill="auto"/>
            <w:vAlign w:val="center"/>
            <w:hideMark/>
          </w:tcPr>
          <w:p w14:paraId="46C9D157" w14:textId="77777777" w:rsidR="00B5369A" w:rsidRPr="006645DC" w:rsidRDefault="00B5369A" w:rsidP="00EB4D87">
            <w:pPr>
              <w:keepNext/>
              <w:keepLines/>
              <w:spacing w:before="0" w:after="0"/>
              <w:jc w:val="right"/>
              <w:outlineLvl w:val="1"/>
              <w:rPr>
                <w:rFonts w:cstheme="minorHAnsi"/>
                <w:lang w:val="en-GB" w:eastAsia="hu-HU"/>
              </w:rPr>
            </w:pPr>
            <w:bookmarkStart w:id="1572" w:name="_Toc376199739"/>
            <w:r w:rsidRPr="006645DC">
              <w:rPr>
                <w:rFonts w:cstheme="minorHAnsi"/>
                <w:lang w:val="en-GB" w:eastAsia="hu-HU"/>
              </w:rPr>
              <w:t>938</w:t>
            </w:r>
            <w:bookmarkEnd w:id="1572"/>
          </w:p>
        </w:tc>
        <w:tc>
          <w:tcPr>
            <w:tcW w:w="883" w:type="dxa"/>
            <w:tcBorders>
              <w:top w:val="nil"/>
              <w:left w:val="nil"/>
              <w:bottom w:val="single" w:sz="4" w:space="0" w:color="auto"/>
              <w:right w:val="single" w:sz="4" w:space="0" w:color="auto"/>
            </w:tcBorders>
            <w:shd w:val="clear" w:color="auto" w:fill="auto"/>
            <w:vAlign w:val="center"/>
            <w:hideMark/>
          </w:tcPr>
          <w:p w14:paraId="4770C9DA" w14:textId="77777777" w:rsidR="00B5369A" w:rsidRPr="006645DC" w:rsidRDefault="00B5369A" w:rsidP="00EB4D87">
            <w:pPr>
              <w:keepNext/>
              <w:keepLines/>
              <w:spacing w:before="0" w:after="0"/>
              <w:jc w:val="right"/>
              <w:outlineLvl w:val="1"/>
              <w:rPr>
                <w:rFonts w:cstheme="minorHAnsi"/>
                <w:lang w:val="en-GB" w:eastAsia="hu-HU"/>
              </w:rPr>
            </w:pPr>
            <w:bookmarkStart w:id="1573" w:name="_Toc376199740"/>
            <w:r w:rsidRPr="006645DC">
              <w:rPr>
                <w:rFonts w:cstheme="minorHAnsi"/>
                <w:lang w:val="en-GB" w:eastAsia="hu-HU"/>
              </w:rPr>
              <w:t>989</w:t>
            </w:r>
            <w:bookmarkEnd w:id="1573"/>
          </w:p>
        </w:tc>
        <w:tc>
          <w:tcPr>
            <w:tcW w:w="759" w:type="dxa"/>
            <w:tcBorders>
              <w:top w:val="nil"/>
              <w:left w:val="nil"/>
              <w:bottom w:val="single" w:sz="4" w:space="0" w:color="auto"/>
              <w:right w:val="single" w:sz="4" w:space="0" w:color="auto"/>
            </w:tcBorders>
            <w:shd w:val="clear" w:color="auto" w:fill="auto"/>
            <w:vAlign w:val="center"/>
            <w:hideMark/>
          </w:tcPr>
          <w:p w14:paraId="4CFC8277" w14:textId="77777777" w:rsidR="00B5369A" w:rsidRPr="006645DC" w:rsidRDefault="00B5369A" w:rsidP="00EB4D87">
            <w:pPr>
              <w:keepNext/>
              <w:keepLines/>
              <w:spacing w:before="0" w:after="0"/>
              <w:jc w:val="right"/>
              <w:outlineLvl w:val="1"/>
              <w:rPr>
                <w:rFonts w:cstheme="minorHAnsi"/>
                <w:lang w:val="en-GB" w:eastAsia="hu-HU"/>
              </w:rPr>
            </w:pPr>
            <w:bookmarkStart w:id="1574" w:name="_Toc376199741"/>
            <w:r w:rsidRPr="006645DC">
              <w:rPr>
                <w:rFonts w:cstheme="minorHAnsi"/>
                <w:lang w:val="en-GB" w:eastAsia="hu-HU"/>
              </w:rPr>
              <w:t>1 047</w:t>
            </w:r>
            <w:bookmarkEnd w:id="1574"/>
          </w:p>
        </w:tc>
      </w:tr>
      <w:tr w:rsidR="00B5369A" w:rsidRPr="006645DC" w14:paraId="64CF8280" w14:textId="77777777" w:rsidTr="00B5369A">
        <w:trPr>
          <w:trHeight w:val="255"/>
          <w:jc w:val="center"/>
        </w:trPr>
        <w:tc>
          <w:tcPr>
            <w:tcW w:w="2705" w:type="dxa"/>
            <w:tcBorders>
              <w:top w:val="nil"/>
              <w:left w:val="single" w:sz="4" w:space="0" w:color="auto"/>
              <w:bottom w:val="single" w:sz="4" w:space="0" w:color="auto"/>
              <w:right w:val="single" w:sz="4" w:space="0" w:color="auto"/>
            </w:tcBorders>
            <w:shd w:val="clear" w:color="auto" w:fill="auto"/>
            <w:noWrap/>
            <w:vAlign w:val="bottom"/>
            <w:hideMark/>
          </w:tcPr>
          <w:p w14:paraId="61F4CBFB" w14:textId="77777777" w:rsidR="00B5369A" w:rsidRPr="006645DC" w:rsidRDefault="00B5369A" w:rsidP="00B5369A">
            <w:pPr>
              <w:keepNext/>
              <w:keepLines/>
              <w:spacing w:before="0" w:after="0"/>
              <w:ind w:left="757" w:hanging="360"/>
              <w:outlineLvl w:val="1"/>
              <w:rPr>
                <w:rFonts w:cstheme="minorHAnsi"/>
                <w:lang w:val="en-GB" w:eastAsia="hu-HU"/>
              </w:rPr>
            </w:pPr>
            <w:bookmarkStart w:id="1575" w:name="_Toc376199742"/>
            <w:r w:rsidRPr="006645DC">
              <w:rPr>
                <w:rFonts w:cstheme="minorHAnsi"/>
                <w:lang w:val="en-GB" w:eastAsia="hu-HU"/>
              </w:rPr>
              <w:t>Other</w:t>
            </w:r>
            <w:bookmarkEnd w:id="1575"/>
          </w:p>
        </w:tc>
        <w:tc>
          <w:tcPr>
            <w:tcW w:w="870" w:type="dxa"/>
            <w:tcBorders>
              <w:top w:val="nil"/>
              <w:left w:val="nil"/>
              <w:bottom w:val="single" w:sz="4" w:space="0" w:color="auto"/>
              <w:right w:val="single" w:sz="4" w:space="0" w:color="auto"/>
            </w:tcBorders>
            <w:shd w:val="clear" w:color="auto" w:fill="auto"/>
            <w:vAlign w:val="center"/>
            <w:hideMark/>
          </w:tcPr>
          <w:p w14:paraId="0742514D" w14:textId="77777777" w:rsidR="00B5369A" w:rsidRPr="006645DC" w:rsidRDefault="00B5369A" w:rsidP="00EB4D87">
            <w:pPr>
              <w:keepNext/>
              <w:keepLines/>
              <w:spacing w:before="0" w:after="0"/>
              <w:jc w:val="right"/>
              <w:outlineLvl w:val="1"/>
              <w:rPr>
                <w:rFonts w:cstheme="minorHAnsi"/>
                <w:lang w:val="en-GB" w:eastAsia="hu-HU"/>
              </w:rPr>
            </w:pPr>
            <w:bookmarkStart w:id="1576" w:name="_Toc376199743"/>
            <w:r w:rsidRPr="006645DC">
              <w:rPr>
                <w:rFonts w:cstheme="minorHAnsi"/>
                <w:lang w:val="en-GB" w:eastAsia="hu-HU"/>
              </w:rPr>
              <w:t>0</w:t>
            </w:r>
            <w:bookmarkEnd w:id="1576"/>
          </w:p>
        </w:tc>
        <w:tc>
          <w:tcPr>
            <w:tcW w:w="883" w:type="dxa"/>
            <w:tcBorders>
              <w:top w:val="nil"/>
              <w:left w:val="nil"/>
              <w:bottom w:val="single" w:sz="4" w:space="0" w:color="auto"/>
              <w:right w:val="single" w:sz="4" w:space="0" w:color="auto"/>
            </w:tcBorders>
            <w:shd w:val="clear" w:color="auto" w:fill="auto"/>
            <w:vAlign w:val="center"/>
            <w:hideMark/>
          </w:tcPr>
          <w:p w14:paraId="1635A6C8" w14:textId="77777777" w:rsidR="00B5369A" w:rsidRPr="006645DC" w:rsidRDefault="00B5369A" w:rsidP="00EB4D87">
            <w:pPr>
              <w:keepNext/>
              <w:keepLines/>
              <w:spacing w:before="0" w:after="0"/>
              <w:jc w:val="right"/>
              <w:outlineLvl w:val="1"/>
              <w:rPr>
                <w:rFonts w:cstheme="minorHAnsi"/>
                <w:lang w:val="en-GB" w:eastAsia="hu-HU"/>
              </w:rPr>
            </w:pPr>
            <w:bookmarkStart w:id="1577" w:name="_Toc376199744"/>
            <w:r w:rsidRPr="006645DC">
              <w:rPr>
                <w:rFonts w:cstheme="minorHAnsi"/>
                <w:lang w:val="en-GB" w:eastAsia="hu-HU"/>
              </w:rPr>
              <w:t>0</w:t>
            </w:r>
            <w:bookmarkEnd w:id="1577"/>
          </w:p>
        </w:tc>
        <w:tc>
          <w:tcPr>
            <w:tcW w:w="801" w:type="dxa"/>
            <w:tcBorders>
              <w:top w:val="nil"/>
              <w:left w:val="nil"/>
              <w:bottom w:val="single" w:sz="4" w:space="0" w:color="auto"/>
              <w:right w:val="single" w:sz="4" w:space="0" w:color="auto"/>
            </w:tcBorders>
            <w:shd w:val="clear" w:color="auto" w:fill="auto"/>
            <w:vAlign w:val="center"/>
            <w:hideMark/>
          </w:tcPr>
          <w:p w14:paraId="234BF5CA" w14:textId="77777777" w:rsidR="00B5369A" w:rsidRPr="006645DC" w:rsidRDefault="00B5369A" w:rsidP="00EB4D87">
            <w:pPr>
              <w:keepNext/>
              <w:keepLines/>
              <w:spacing w:before="0" w:after="0"/>
              <w:jc w:val="right"/>
              <w:outlineLvl w:val="1"/>
              <w:rPr>
                <w:rFonts w:cstheme="minorHAnsi"/>
                <w:lang w:val="en-GB" w:eastAsia="hu-HU"/>
              </w:rPr>
            </w:pPr>
            <w:bookmarkStart w:id="1578" w:name="_Toc376199745"/>
            <w:r w:rsidRPr="006645DC">
              <w:rPr>
                <w:rFonts w:cstheme="minorHAnsi"/>
                <w:lang w:val="en-GB" w:eastAsia="hu-HU"/>
              </w:rPr>
              <w:t>0</w:t>
            </w:r>
            <w:bookmarkEnd w:id="1578"/>
          </w:p>
        </w:tc>
        <w:tc>
          <w:tcPr>
            <w:tcW w:w="883" w:type="dxa"/>
            <w:tcBorders>
              <w:top w:val="nil"/>
              <w:left w:val="nil"/>
              <w:bottom w:val="single" w:sz="4" w:space="0" w:color="auto"/>
              <w:right w:val="single" w:sz="4" w:space="0" w:color="auto"/>
            </w:tcBorders>
            <w:shd w:val="clear" w:color="auto" w:fill="auto"/>
            <w:vAlign w:val="center"/>
            <w:hideMark/>
          </w:tcPr>
          <w:p w14:paraId="34210386" w14:textId="77777777" w:rsidR="00B5369A" w:rsidRPr="006645DC" w:rsidRDefault="00B5369A" w:rsidP="00EB4D87">
            <w:pPr>
              <w:keepNext/>
              <w:keepLines/>
              <w:spacing w:before="0" w:after="0"/>
              <w:jc w:val="right"/>
              <w:outlineLvl w:val="1"/>
              <w:rPr>
                <w:rFonts w:cstheme="minorHAnsi"/>
                <w:lang w:val="en-GB" w:eastAsia="hu-HU"/>
              </w:rPr>
            </w:pPr>
            <w:bookmarkStart w:id="1579" w:name="_Toc376199746"/>
            <w:r w:rsidRPr="006645DC">
              <w:rPr>
                <w:rFonts w:cstheme="minorHAnsi"/>
                <w:lang w:val="en-GB" w:eastAsia="hu-HU"/>
              </w:rPr>
              <w:t>0</w:t>
            </w:r>
            <w:bookmarkEnd w:id="1579"/>
          </w:p>
        </w:tc>
        <w:tc>
          <w:tcPr>
            <w:tcW w:w="759" w:type="dxa"/>
            <w:tcBorders>
              <w:top w:val="nil"/>
              <w:left w:val="nil"/>
              <w:bottom w:val="single" w:sz="4" w:space="0" w:color="auto"/>
              <w:right w:val="single" w:sz="4" w:space="0" w:color="auto"/>
            </w:tcBorders>
            <w:shd w:val="clear" w:color="auto" w:fill="auto"/>
            <w:vAlign w:val="center"/>
            <w:hideMark/>
          </w:tcPr>
          <w:p w14:paraId="71910DE8" w14:textId="77777777" w:rsidR="00B5369A" w:rsidRPr="006645DC" w:rsidRDefault="00B5369A" w:rsidP="00EB4D87">
            <w:pPr>
              <w:keepNext/>
              <w:keepLines/>
              <w:spacing w:before="0" w:after="0"/>
              <w:jc w:val="right"/>
              <w:outlineLvl w:val="1"/>
              <w:rPr>
                <w:rFonts w:cstheme="minorHAnsi"/>
                <w:lang w:val="en-GB" w:eastAsia="hu-HU"/>
              </w:rPr>
            </w:pPr>
            <w:bookmarkStart w:id="1580" w:name="_Toc376199747"/>
            <w:r w:rsidRPr="006645DC">
              <w:rPr>
                <w:rFonts w:cstheme="minorHAnsi"/>
                <w:lang w:val="en-GB" w:eastAsia="hu-HU"/>
              </w:rPr>
              <w:t>0</w:t>
            </w:r>
            <w:bookmarkEnd w:id="1580"/>
          </w:p>
        </w:tc>
      </w:tr>
    </w:tbl>
    <w:p w14:paraId="07CE6735" w14:textId="77777777" w:rsidR="00B5369A" w:rsidRPr="006645DC" w:rsidRDefault="00B5369A" w:rsidP="00B5369A">
      <w:pPr>
        <w:pStyle w:val="Caption"/>
        <w:rPr>
          <w:lang w:val="en-GB"/>
        </w:rPr>
      </w:pPr>
      <w:bookmarkStart w:id="1581" w:name="_Toc391150135"/>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38</w:t>
      </w:r>
      <w:r w:rsidR="005979EB" w:rsidRPr="006645DC">
        <w:rPr>
          <w:lang w:val="en-GB"/>
        </w:rPr>
        <w:fldChar w:fldCharType="end"/>
      </w:r>
      <w:r w:rsidRPr="006645DC">
        <w:rPr>
          <w:lang w:val="en-GB"/>
        </w:rPr>
        <w:t xml:space="preserve"> - Final energy consumption</w:t>
      </w:r>
      <w:r w:rsidRPr="006645DC">
        <w:rPr>
          <w:rStyle w:val="FootnoteReference"/>
          <w:sz w:val="24"/>
          <w:lang w:val="en-GB"/>
        </w:rPr>
        <w:footnoteReference w:id="38"/>
      </w:r>
      <w:r w:rsidRPr="006645DC">
        <w:rPr>
          <w:lang w:val="en-GB"/>
        </w:rPr>
        <w:t xml:space="preserve"> by sector (1000 tonnes of oil equivalent)</w:t>
      </w:r>
      <w:bookmarkEnd w:id="1581"/>
      <w:r w:rsidRPr="006645DC">
        <w:rPr>
          <w:lang w:val="en-GB"/>
        </w:rPr>
        <w:t xml:space="preserve"> </w:t>
      </w:r>
    </w:p>
    <w:p w14:paraId="5EFD6063" w14:textId="619D0C7D" w:rsidR="00B5369A" w:rsidRPr="006645DC" w:rsidRDefault="00C77B3E" w:rsidP="00C77B3E">
      <w:pPr>
        <w:pStyle w:val="Heading4"/>
        <w:rPr>
          <w:lang w:val="en-GB"/>
        </w:rPr>
      </w:pPr>
      <w:r>
        <w:rPr>
          <w:lang w:val="en-GB"/>
        </w:rPr>
        <w:t>Source: Eurostat</w:t>
      </w:r>
    </w:p>
    <w:p w14:paraId="3967A310" w14:textId="77777777" w:rsidR="00B5369A" w:rsidRPr="006645DC" w:rsidRDefault="00B5369A" w:rsidP="00B5369A">
      <w:pPr>
        <w:rPr>
          <w:lang w:val="en-GB"/>
        </w:rPr>
      </w:pPr>
      <w:r w:rsidRPr="006645DC">
        <w:rPr>
          <w:lang w:val="en-GB"/>
        </w:rPr>
        <w:t>In Romania the recorded energy consumption has significantly decreased following the impact of the global economic and financial crisis. The effect of the crisis is clear from the decrease in energy consumption between 2008 and 2009. In Bulgaria the gross internal energy consumption records the same decreasing tendency as in Romania. In both countries the most significant decrease in final energy consumption was experienced in the industrial sector.</w:t>
      </w:r>
    </w:p>
    <w:p w14:paraId="2FBF9AC9" w14:textId="3F5D5CF9" w:rsidR="00C77B3E" w:rsidRPr="00CE723E" w:rsidRDefault="00B5369A" w:rsidP="00C77B3E">
      <w:pPr>
        <w:pStyle w:val="Heading2"/>
        <w:numPr>
          <w:ilvl w:val="0"/>
          <w:numId w:val="2"/>
        </w:numPr>
        <w:spacing w:after="0"/>
        <w:rPr>
          <w:lang w:val="en-GB"/>
        </w:rPr>
      </w:pPr>
      <w:bookmarkStart w:id="1582" w:name="_Toc371105801"/>
      <w:bookmarkStart w:id="1583" w:name="_Toc371284516"/>
      <w:bookmarkStart w:id="1584" w:name="_Toc376199748"/>
      <w:bookmarkStart w:id="1585" w:name="_Toc254543821"/>
      <w:bookmarkStart w:id="1586" w:name="_Toc391150196"/>
      <w:r w:rsidRPr="006645DC">
        <w:rPr>
          <w:lang w:val="en-GB"/>
        </w:rPr>
        <w:t>Energy production</w:t>
      </w:r>
      <w:bookmarkEnd w:id="1582"/>
      <w:bookmarkEnd w:id="1583"/>
      <w:bookmarkEnd w:id="1584"/>
      <w:bookmarkEnd w:id="1585"/>
      <w:bookmarkEnd w:id="1586"/>
    </w:p>
    <w:tbl>
      <w:tblPr>
        <w:tblW w:w="79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3"/>
        <w:gridCol w:w="1134"/>
        <w:gridCol w:w="993"/>
        <w:gridCol w:w="1134"/>
        <w:gridCol w:w="1134"/>
        <w:gridCol w:w="1134"/>
      </w:tblGrid>
      <w:tr w:rsidR="00B5369A" w:rsidRPr="006645DC" w14:paraId="511A833C" w14:textId="77777777" w:rsidTr="00F521CE">
        <w:trPr>
          <w:trHeight w:val="319"/>
          <w:jc w:val="center"/>
        </w:trPr>
        <w:tc>
          <w:tcPr>
            <w:tcW w:w="2373" w:type="dxa"/>
            <w:noWrap/>
            <w:vAlign w:val="center"/>
          </w:tcPr>
          <w:p w14:paraId="62B1D984" w14:textId="77777777" w:rsidR="00B5369A" w:rsidRPr="006645DC" w:rsidRDefault="00B5369A" w:rsidP="00B5369A">
            <w:pPr>
              <w:spacing w:before="0" w:after="0"/>
              <w:jc w:val="center"/>
              <w:rPr>
                <w:b/>
                <w:lang w:val="en-GB"/>
              </w:rPr>
            </w:pPr>
          </w:p>
        </w:tc>
        <w:tc>
          <w:tcPr>
            <w:tcW w:w="1134" w:type="dxa"/>
            <w:noWrap/>
            <w:vAlign w:val="center"/>
          </w:tcPr>
          <w:p w14:paraId="5BF27EBC" w14:textId="77777777" w:rsidR="00B5369A" w:rsidRPr="006645DC" w:rsidRDefault="00B5369A" w:rsidP="00F521CE">
            <w:pPr>
              <w:spacing w:before="0" w:after="0"/>
              <w:jc w:val="center"/>
              <w:rPr>
                <w:b/>
                <w:lang w:val="en-GB"/>
              </w:rPr>
            </w:pPr>
            <w:r w:rsidRPr="006645DC">
              <w:rPr>
                <w:b/>
                <w:lang w:val="en-GB"/>
              </w:rPr>
              <w:t>2007</w:t>
            </w:r>
          </w:p>
        </w:tc>
        <w:tc>
          <w:tcPr>
            <w:tcW w:w="993" w:type="dxa"/>
            <w:noWrap/>
            <w:vAlign w:val="center"/>
          </w:tcPr>
          <w:p w14:paraId="00F4CDB7" w14:textId="77777777" w:rsidR="00B5369A" w:rsidRPr="006645DC" w:rsidRDefault="00B5369A" w:rsidP="00F521CE">
            <w:pPr>
              <w:spacing w:before="0" w:after="0"/>
              <w:jc w:val="center"/>
              <w:rPr>
                <w:b/>
                <w:lang w:val="en-GB"/>
              </w:rPr>
            </w:pPr>
            <w:r w:rsidRPr="006645DC">
              <w:rPr>
                <w:b/>
                <w:lang w:val="en-GB"/>
              </w:rPr>
              <w:t>2008</w:t>
            </w:r>
          </w:p>
        </w:tc>
        <w:tc>
          <w:tcPr>
            <w:tcW w:w="1134" w:type="dxa"/>
            <w:noWrap/>
            <w:vAlign w:val="center"/>
          </w:tcPr>
          <w:p w14:paraId="4A8489AC" w14:textId="77777777" w:rsidR="00B5369A" w:rsidRPr="006645DC" w:rsidRDefault="00B5369A" w:rsidP="00F521CE">
            <w:pPr>
              <w:spacing w:before="0" w:after="0"/>
              <w:jc w:val="center"/>
              <w:rPr>
                <w:b/>
                <w:lang w:val="en-GB"/>
              </w:rPr>
            </w:pPr>
            <w:r w:rsidRPr="006645DC">
              <w:rPr>
                <w:b/>
                <w:lang w:val="en-GB"/>
              </w:rPr>
              <w:t>2009</w:t>
            </w:r>
          </w:p>
        </w:tc>
        <w:tc>
          <w:tcPr>
            <w:tcW w:w="1134" w:type="dxa"/>
            <w:vAlign w:val="center"/>
          </w:tcPr>
          <w:p w14:paraId="59A25B0F" w14:textId="77777777" w:rsidR="00B5369A" w:rsidRPr="006645DC" w:rsidRDefault="00B5369A" w:rsidP="00F521CE">
            <w:pPr>
              <w:spacing w:before="0" w:after="0"/>
              <w:jc w:val="center"/>
              <w:rPr>
                <w:b/>
                <w:lang w:val="en-GB"/>
              </w:rPr>
            </w:pPr>
            <w:r w:rsidRPr="006645DC">
              <w:rPr>
                <w:b/>
                <w:lang w:val="en-GB"/>
              </w:rPr>
              <w:t>2010</w:t>
            </w:r>
          </w:p>
        </w:tc>
        <w:tc>
          <w:tcPr>
            <w:tcW w:w="1134" w:type="dxa"/>
            <w:vAlign w:val="center"/>
          </w:tcPr>
          <w:p w14:paraId="448C3002" w14:textId="77777777" w:rsidR="00B5369A" w:rsidRPr="006645DC" w:rsidRDefault="00B5369A" w:rsidP="00F521CE">
            <w:pPr>
              <w:spacing w:before="0" w:after="0"/>
              <w:jc w:val="center"/>
              <w:rPr>
                <w:b/>
                <w:lang w:val="en-GB"/>
              </w:rPr>
            </w:pPr>
            <w:r w:rsidRPr="006645DC">
              <w:rPr>
                <w:b/>
                <w:lang w:val="en-GB"/>
              </w:rPr>
              <w:t>2011</w:t>
            </w:r>
          </w:p>
        </w:tc>
      </w:tr>
      <w:tr w:rsidR="00B5369A" w:rsidRPr="006645DC" w14:paraId="02AE4C37" w14:textId="77777777" w:rsidTr="00F521CE">
        <w:trPr>
          <w:trHeight w:val="222"/>
          <w:jc w:val="center"/>
        </w:trPr>
        <w:tc>
          <w:tcPr>
            <w:tcW w:w="2373" w:type="dxa"/>
            <w:vAlign w:val="center"/>
          </w:tcPr>
          <w:p w14:paraId="01296BB8" w14:textId="77777777" w:rsidR="00B5369A" w:rsidRPr="006645DC" w:rsidRDefault="00B5369A" w:rsidP="00F521CE">
            <w:pPr>
              <w:spacing w:before="0" w:after="0" w:line="280" w:lineRule="auto"/>
              <w:rPr>
                <w:b/>
                <w:lang w:val="en-GB"/>
              </w:rPr>
            </w:pPr>
            <w:r w:rsidRPr="006645DC">
              <w:rPr>
                <w:b/>
                <w:lang w:val="en-GB"/>
              </w:rPr>
              <w:t xml:space="preserve">Romania </w:t>
            </w:r>
          </w:p>
        </w:tc>
        <w:tc>
          <w:tcPr>
            <w:tcW w:w="1134" w:type="dxa"/>
            <w:noWrap/>
            <w:vAlign w:val="center"/>
          </w:tcPr>
          <w:p w14:paraId="2D1619EF" w14:textId="77777777" w:rsidR="00B5369A" w:rsidRPr="006645DC" w:rsidRDefault="00B5369A" w:rsidP="00F521CE">
            <w:pPr>
              <w:keepNext/>
              <w:keepLines/>
              <w:spacing w:before="0" w:after="0"/>
              <w:jc w:val="right"/>
              <w:outlineLvl w:val="1"/>
              <w:rPr>
                <w:rFonts w:cstheme="minorHAnsi"/>
                <w:lang w:val="en-GB" w:eastAsia="hu-HU"/>
              </w:rPr>
            </w:pPr>
            <w:bookmarkStart w:id="1587" w:name="_Toc376199749"/>
            <w:r w:rsidRPr="006645DC">
              <w:rPr>
                <w:rFonts w:cstheme="minorHAnsi"/>
                <w:lang w:val="en-GB" w:eastAsia="hu-HU"/>
              </w:rPr>
              <w:t>27 968</w:t>
            </w:r>
            <w:bookmarkEnd w:id="1587"/>
          </w:p>
        </w:tc>
        <w:tc>
          <w:tcPr>
            <w:tcW w:w="993" w:type="dxa"/>
            <w:noWrap/>
            <w:vAlign w:val="center"/>
          </w:tcPr>
          <w:p w14:paraId="43EDA01F" w14:textId="77777777" w:rsidR="00B5369A" w:rsidRPr="006645DC" w:rsidRDefault="00B5369A" w:rsidP="00F521CE">
            <w:pPr>
              <w:keepNext/>
              <w:keepLines/>
              <w:spacing w:before="0" w:after="0"/>
              <w:jc w:val="right"/>
              <w:outlineLvl w:val="1"/>
              <w:rPr>
                <w:rFonts w:cstheme="minorHAnsi"/>
                <w:lang w:val="en-GB" w:eastAsia="hu-HU"/>
              </w:rPr>
            </w:pPr>
            <w:bookmarkStart w:id="1588" w:name="_Toc376199750"/>
            <w:r w:rsidRPr="006645DC">
              <w:rPr>
                <w:rFonts w:cstheme="minorHAnsi"/>
                <w:lang w:val="en-GB" w:eastAsia="hu-HU"/>
              </w:rPr>
              <w:t>29 169</w:t>
            </w:r>
            <w:bookmarkEnd w:id="1588"/>
          </w:p>
        </w:tc>
        <w:tc>
          <w:tcPr>
            <w:tcW w:w="1134" w:type="dxa"/>
            <w:noWrap/>
            <w:vAlign w:val="center"/>
          </w:tcPr>
          <w:p w14:paraId="0E249061" w14:textId="77777777" w:rsidR="00B5369A" w:rsidRPr="006645DC" w:rsidRDefault="00B5369A" w:rsidP="00F521CE">
            <w:pPr>
              <w:keepNext/>
              <w:keepLines/>
              <w:spacing w:before="0" w:after="0"/>
              <w:jc w:val="right"/>
              <w:outlineLvl w:val="1"/>
              <w:rPr>
                <w:rFonts w:cstheme="minorHAnsi"/>
                <w:lang w:val="en-GB" w:eastAsia="hu-HU"/>
              </w:rPr>
            </w:pPr>
            <w:bookmarkStart w:id="1589" w:name="_Toc376199751"/>
            <w:r w:rsidRPr="006645DC">
              <w:rPr>
                <w:rFonts w:cstheme="minorHAnsi"/>
                <w:lang w:val="en-GB" w:eastAsia="hu-HU"/>
              </w:rPr>
              <w:t>28 506</w:t>
            </w:r>
            <w:bookmarkEnd w:id="1589"/>
          </w:p>
        </w:tc>
        <w:tc>
          <w:tcPr>
            <w:tcW w:w="1134" w:type="dxa"/>
            <w:vAlign w:val="center"/>
          </w:tcPr>
          <w:p w14:paraId="2BC3A392" w14:textId="77777777" w:rsidR="00B5369A" w:rsidRPr="006645DC" w:rsidRDefault="00B5369A" w:rsidP="00F521CE">
            <w:pPr>
              <w:keepNext/>
              <w:keepLines/>
              <w:spacing w:before="0" w:after="0"/>
              <w:jc w:val="right"/>
              <w:outlineLvl w:val="1"/>
              <w:rPr>
                <w:rFonts w:cstheme="minorHAnsi"/>
                <w:lang w:val="en-GB" w:eastAsia="hu-HU"/>
              </w:rPr>
            </w:pPr>
            <w:bookmarkStart w:id="1590" w:name="_Toc376199752"/>
            <w:r w:rsidRPr="006645DC">
              <w:rPr>
                <w:rFonts w:cstheme="minorHAnsi"/>
                <w:lang w:val="en-GB" w:eastAsia="hu-HU"/>
              </w:rPr>
              <w:t>27 705</w:t>
            </w:r>
            <w:bookmarkEnd w:id="1590"/>
          </w:p>
        </w:tc>
        <w:tc>
          <w:tcPr>
            <w:tcW w:w="1134" w:type="dxa"/>
            <w:vAlign w:val="center"/>
          </w:tcPr>
          <w:p w14:paraId="0B66D2B6" w14:textId="77777777" w:rsidR="00B5369A" w:rsidRPr="006645DC" w:rsidRDefault="00B5369A" w:rsidP="00F521CE">
            <w:pPr>
              <w:keepNext/>
              <w:keepLines/>
              <w:spacing w:before="0" w:after="0"/>
              <w:jc w:val="right"/>
              <w:outlineLvl w:val="1"/>
              <w:rPr>
                <w:rFonts w:cstheme="minorHAnsi"/>
                <w:lang w:val="en-GB" w:eastAsia="hu-HU"/>
              </w:rPr>
            </w:pPr>
            <w:bookmarkStart w:id="1591" w:name="_Toc376199753"/>
            <w:r w:rsidRPr="006645DC">
              <w:rPr>
                <w:rFonts w:cstheme="minorHAnsi"/>
                <w:lang w:val="en-GB" w:eastAsia="hu-HU"/>
              </w:rPr>
              <w:t>27 783</w:t>
            </w:r>
            <w:bookmarkEnd w:id="1591"/>
          </w:p>
        </w:tc>
      </w:tr>
      <w:tr w:rsidR="00B5369A" w:rsidRPr="006645DC" w14:paraId="2EA56CAF" w14:textId="77777777" w:rsidTr="00F521CE">
        <w:trPr>
          <w:trHeight w:val="210"/>
          <w:jc w:val="center"/>
        </w:trPr>
        <w:tc>
          <w:tcPr>
            <w:tcW w:w="2373" w:type="dxa"/>
            <w:vAlign w:val="center"/>
          </w:tcPr>
          <w:p w14:paraId="73AE8104" w14:textId="77777777" w:rsidR="00B5369A" w:rsidRPr="006645DC" w:rsidRDefault="00B5369A" w:rsidP="00F521CE">
            <w:pPr>
              <w:keepNext/>
              <w:keepLines/>
              <w:spacing w:before="0" w:after="0" w:line="280" w:lineRule="auto"/>
              <w:outlineLvl w:val="1"/>
              <w:rPr>
                <w:b/>
                <w:lang w:val="en-GB"/>
              </w:rPr>
            </w:pPr>
            <w:bookmarkStart w:id="1592" w:name="_Toc376199754"/>
            <w:r w:rsidRPr="006645DC">
              <w:rPr>
                <w:b/>
                <w:lang w:val="en-GB"/>
              </w:rPr>
              <w:t>Bulgaria</w:t>
            </w:r>
            <w:bookmarkEnd w:id="1592"/>
            <w:r w:rsidRPr="006645DC">
              <w:rPr>
                <w:b/>
                <w:lang w:val="en-GB"/>
              </w:rPr>
              <w:t xml:space="preserve"> </w:t>
            </w:r>
          </w:p>
        </w:tc>
        <w:tc>
          <w:tcPr>
            <w:tcW w:w="1134" w:type="dxa"/>
            <w:noWrap/>
            <w:vAlign w:val="center"/>
          </w:tcPr>
          <w:p w14:paraId="089868A6" w14:textId="77777777" w:rsidR="00B5369A" w:rsidRPr="006645DC" w:rsidRDefault="00B5369A" w:rsidP="00F521CE">
            <w:pPr>
              <w:keepNext/>
              <w:keepLines/>
              <w:spacing w:before="0" w:after="0"/>
              <w:jc w:val="right"/>
              <w:outlineLvl w:val="1"/>
              <w:rPr>
                <w:rFonts w:cstheme="minorHAnsi"/>
                <w:lang w:val="en-GB" w:eastAsia="hu-HU"/>
              </w:rPr>
            </w:pPr>
            <w:bookmarkStart w:id="1593" w:name="_Toc376199755"/>
            <w:r w:rsidRPr="006645DC">
              <w:rPr>
                <w:rFonts w:cstheme="minorHAnsi"/>
                <w:lang w:val="en-GB" w:eastAsia="hu-HU"/>
              </w:rPr>
              <w:t>9 869</w:t>
            </w:r>
            <w:bookmarkEnd w:id="1593"/>
          </w:p>
        </w:tc>
        <w:tc>
          <w:tcPr>
            <w:tcW w:w="993" w:type="dxa"/>
            <w:noWrap/>
            <w:vAlign w:val="center"/>
          </w:tcPr>
          <w:p w14:paraId="59F36BF7" w14:textId="77777777" w:rsidR="00B5369A" w:rsidRPr="006645DC" w:rsidRDefault="00B5369A" w:rsidP="00F521CE">
            <w:pPr>
              <w:keepNext/>
              <w:keepLines/>
              <w:spacing w:before="0" w:after="0"/>
              <w:jc w:val="right"/>
              <w:outlineLvl w:val="1"/>
              <w:rPr>
                <w:rFonts w:cstheme="minorHAnsi"/>
                <w:lang w:val="en-GB" w:eastAsia="hu-HU"/>
              </w:rPr>
            </w:pPr>
            <w:bookmarkStart w:id="1594" w:name="_Toc376199756"/>
            <w:r w:rsidRPr="006645DC">
              <w:rPr>
                <w:rFonts w:cstheme="minorHAnsi"/>
                <w:lang w:val="en-GB" w:eastAsia="hu-HU"/>
              </w:rPr>
              <w:t>10 184</w:t>
            </w:r>
            <w:bookmarkEnd w:id="1594"/>
          </w:p>
        </w:tc>
        <w:tc>
          <w:tcPr>
            <w:tcW w:w="1134" w:type="dxa"/>
            <w:noWrap/>
            <w:vAlign w:val="center"/>
          </w:tcPr>
          <w:p w14:paraId="6A81BD64" w14:textId="77777777" w:rsidR="00B5369A" w:rsidRPr="006645DC" w:rsidRDefault="00B5369A" w:rsidP="00F521CE">
            <w:pPr>
              <w:keepNext/>
              <w:keepLines/>
              <w:spacing w:before="0" w:after="0"/>
              <w:jc w:val="right"/>
              <w:outlineLvl w:val="1"/>
              <w:rPr>
                <w:rFonts w:cstheme="minorHAnsi"/>
                <w:lang w:val="en-GB" w:eastAsia="hu-HU"/>
              </w:rPr>
            </w:pPr>
            <w:bookmarkStart w:id="1595" w:name="_Toc376199757"/>
            <w:r w:rsidRPr="006645DC">
              <w:rPr>
                <w:rFonts w:cstheme="minorHAnsi"/>
                <w:lang w:val="en-GB" w:eastAsia="hu-HU"/>
              </w:rPr>
              <w:t>9 719</w:t>
            </w:r>
            <w:bookmarkEnd w:id="1595"/>
          </w:p>
        </w:tc>
        <w:tc>
          <w:tcPr>
            <w:tcW w:w="1134" w:type="dxa"/>
            <w:vAlign w:val="center"/>
          </w:tcPr>
          <w:p w14:paraId="0E4B9D4B" w14:textId="77777777" w:rsidR="00B5369A" w:rsidRPr="006645DC" w:rsidRDefault="00B5369A" w:rsidP="00F521CE">
            <w:pPr>
              <w:keepNext/>
              <w:keepLines/>
              <w:spacing w:before="0" w:after="0"/>
              <w:jc w:val="right"/>
              <w:outlineLvl w:val="1"/>
              <w:rPr>
                <w:rFonts w:cstheme="minorHAnsi"/>
                <w:lang w:val="en-GB" w:eastAsia="hu-HU"/>
              </w:rPr>
            </w:pPr>
            <w:bookmarkStart w:id="1596" w:name="_Toc376199758"/>
            <w:r w:rsidRPr="006645DC">
              <w:rPr>
                <w:rFonts w:cstheme="minorHAnsi"/>
                <w:lang w:val="en-GB" w:eastAsia="hu-HU"/>
              </w:rPr>
              <w:t>10 482</w:t>
            </w:r>
            <w:bookmarkEnd w:id="1596"/>
          </w:p>
        </w:tc>
        <w:tc>
          <w:tcPr>
            <w:tcW w:w="1134" w:type="dxa"/>
            <w:vAlign w:val="center"/>
          </w:tcPr>
          <w:p w14:paraId="05DDF24F" w14:textId="77777777" w:rsidR="00B5369A" w:rsidRPr="006645DC" w:rsidRDefault="00B5369A" w:rsidP="00F521CE">
            <w:pPr>
              <w:keepNext/>
              <w:keepLines/>
              <w:spacing w:before="0" w:after="0"/>
              <w:jc w:val="right"/>
              <w:outlineLvl w:val="1"/>
              <w:rPr>
                <w:rFonts w:cstheme="minorHAnsi"/>
                <w:lang w:val="en-GB" w:eastAsia="hu-HU"/>
              </w:rPr>
            </w:pPr>
            <w:bookmarkStart w:id="1597" w:name="_Toc376199759"/>
            <w:r w:rsidRPr="006645DC">
              <w:rPr>
                <w:rFonts w:cstheme="minorHAnsi"/>
                <w:lang w:val="en-GB" w:eastAsia="hu-HU"/>
              </w:rPr>
              <w:t>12 256</w:t>
            </w:r>
            <w:bookmarkEnd w:id="1597"/>
          </w:p>
        </w:tc>
      </w:tr>
    </w:tbl>
    <w:p w14:paraId="1B4740F4" w14:textId="77777777" w:rsidR="00B5369A" w:rsidRPr="006645DC" w:rsidRDefault="00B5369A" w:rsidP="00B5369A">
      <w:pPr>
        <w:pStyle w:val="Caption"/>
        <w:rPr>
          <w:lang w:val="en-GB"/>
        </w:rPr>
      </w:pPr>
      <w:bookmarkStart w:id="1598" w:name="_Toc391150136"/>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39</w:t>
      </w:r>
      <w:r w:rsidR="005979EB" w:rsidRPr="006645DC">
        <w:rPr>
          <w:lang w:val="en-GB"/>
        </w:rPr>
        <w:fldChar w:fldCharType="end"/>
      </w:r>
      <w:r w:rsidRPr="006645DC">
        <w:rPr>
          <w:lang w:val="en-GB"/>
        </w:rPr>
        <w:t xml:space="preserve"> - Energy production (1000 tonnes of oil equivalent)</w:t>
      </w:r>
      <w:bookmarkEnd w:id="1598"/>
      <w:r w:rsidRPr="006645DC">
        <w:rPr>
          <w:lang w:val="en-GB"/>
        </w:rPr>
        <w:t xml:space="preserve"> </w:t>
      </w:r>
    </w:p>
    <w:p w14:paraId="1793A024" w14:textId="77777777" w:rsidR="00B5369A" w:rsidRPr="006645DC" w:rsidRDefault="00B5369A" w:rsidP="00F521CE">
      <w:pPr>
        <w:pStyle w:val="Heading4"/>
        <w:rPr>
          <w:lang w:val="en-GB"/>
        </w:rPr>
      </w:pPr>
      <w:r w:rsidRPr="006645DC">
        <w:rPr>
          <w:lang w:val="en-GB"/>
        </w:rPr>
        <w:t>Source: Eurostat</w:t>
      </w:r>
    </w:p>
    <w:p w14:paraId="0472218A" w14:textId="2FDECC93" w:rsidR="00B5369A" w:rsidRPr="00C77B3E" w:rsidRDefault="00B5369A" w:rsidP="00C77B3E">
      <w:pPr>
        <w:rPr>
          <w:lang w:val="en-GB"/>
        </w:rPr>
      </w:pPr>
      <w:r w:rsidRPr="006645DC">
        <w:rPr>
          <w:lang w:val="en-GB"/>
        </w:rPr>
        <w:t>The effects of the financial and economic crisis can also be seen on the data concerning energy production. A major decrease took place between 2008 and 2009 in both countries and the level of production of the year 2008 was still n</w:t>
      </w:r>
      <w:r w:rsidR="00C77B3E">
        <w:rPr>
          <w:lang w:val="en-GB"/>
        </w:rPr>
        <w:t xml:space="preserve">ot reached in 2011 in Romania. </w:t>
      </w:r>
    </w:p>
    <w:tbl>
      <w:tblPr>
        <w:tblW w:w="7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889"/>
        <w:gridCol w:w="888"/>
        <w:gridCol w:w="1088"/>
        <w:gridCol w:w="1088"/>
        <w:gridCol w:w="1088"/>
      </w:tblGrid>
      <w:tr w:rsidR="00B5369A" w:rsidRPr="006645DC" w14:paraId="1C7E6121" w14:textId="77777777" w:rsidTr="00F521CE">
        <w:trPr>
          <w:trHeight w:val="199"/>
          <w:jc w:val="center"/>
        </w:trPr>
        <w:tc>
          <w:tcPr>
            <w:tcW w:w="2444" w:type="dxa"/>
            <w:vAlign w:val="center"/>
          </w:tcPr>
          <w:p w14:paraId="297D6C06" w14:textId="77777777" w:rsidR="00B5369A" w:rsidRPr="006645DC" w:rsidRDefault="00B5369A" w:rsidP="00F521CE">
            <w:pPr>
              <w:spacing w:before="0" w:after="0"/>
              <w:ind w:firstLineChars="100" w:firstLine="220"/>
              <w:jc w:val="center"/>
              <w:rPr>
                <w:lang w:val="en-GB"/>
              </w:rPr>
            </w:pPr>
          </w:p>
        </w:tc>
        <w:tc>
          <w:tcPr>
            <w:tcW w:w="889" w:type="dxa"/>
            <w:noWrap/>
            <w:vAlign w:val="center"/>
          </w:tcPr>
          <w:p w14:paraId="4BA5E132" w14:textId="77777777" w:rsidR="00B5369A" w:rsidRPr="006645DC" w:rsidRDefault="00B5369A" w:rsidP="00F521CE">
            <w:pPr>
              <w:spacing w:before="0" w:after="0"/>
              <w:jc w:val="center"/>
              <w:rPr>
                <w:b/>
                <w:lang w:val="en-GB"/>
              </w:rPr>
            </w:pPr>
            <w:r w:rsidRPr="006645DC">
              <w:rPr>
                <w:b/>
                <w:lang w:val="en-GB"/>
              </w:rPr>
              <w:t>2007</w:t>
            </w:r>
          </w:p>
        </w:tc>
        <w:tc>
          <w:tcPr>
            <w:tcW w:w="888" w:type="dxa"/>
            <w:noWrap/>
            <w:vAlign w:val="center"/>
          </w:tcPr>
          <w:p w14:paraId="35BD0BCA" w14:textId="77777777" w:rsidR="00B5369A" w:rsidRPr="006645DC" w:rsidRDefault="00B5369A" w:rsidP="00F521CE">
            <w:pPr>
              <w:spacing w:before="0" w:after="0"/>
              <w:jc w:val="center"/>
              <w:rPr>
                <w:b/>
                <w:lang w:val="en-GB"/>
              </w:rPr>
            </w:pPr>
            <w:r w:rsidRPr="006645DC">
              <w:rPr>
                <w:b/>
                <w:lang w:val="en-GB"/>
              </w:rPr>
              <w:t>2008</w:t>
            </w:r>
          </w:p>
        </w:tc>
        <w:tc>
          <w:tcPr>
            <w:tcW w:w="1088" w:type="dxa"/>
            <w:noWrap/>
            <w:vAlign w:val="center"/>
          </w:tcPr>
          <w:p w14:paraId="307A08F2" w14:textId="77777777" w:rsidR="00B5369A" w:rsidRPr="006645DC" w:rsidRDefault="00B5369A" w:rsidP="00F521CE">
            <w:pPr>
              <w:spacing w:before="0" w:after="0"/>
              <w:jc w:val="center"/>
              <w:rPr>
                <w:b/>
                <w:lang w:val="en-GB"/>
              </w:rPr>
            </w:pPr>
            <w:r w:rsidRPr="006645DC">
              <w:rPr>
                <w:b/>
                <w:lang w:val="en-GB"/>
              </w:rPr>
              <w:t>2009</w:t>
            </w:r>
          </w:p>
        </w:tc>
        <w:tc>
          <w:tcPr>
            <w:tcW w:w="1088" w:type="dxa"/>
            <w:vAlign w:val="center"/>
          </w:tcPr>
          <w:p w14:paraId="54B5E71B" w14:textId="77777777" w:rsidR="00B5369A" w:rsidRPr="006645DC" w:rsidRDefault="00B5369A" w:rsidP="003F2F1E">
            <w:pPr>
              <w:spacing w:before="0" w:after="0"/>
              <w:ind w:firstLineChars="100" w:firstLine="221"/>
              <w:jc w:val="center"/>
              <w:rPr>
                <w:b/>
                <w:lang w:val="en-GB"/>
              </w:rPr>
            </w:pPr>
            <w:r w:rsidRPr="006645DC">
              <w:rPr>
                <w:b/>
                <w:lang w:val="en-GB"/>
              </w:rPr>
              <w:t>2010</w:t>
            </w:r>
          </w:p>
        </w:tc>
        <w:tc>
          <w:tcPr>
            <w:tcW w:w="1088" w:type="dxa"/>
            <w:vAlign w:val="center"/>
          </w:tcPr>
          <w:p w14:paraId="616FE3AD" w14:textId="77777777" w:rsidR="00B5369A" w:rsidRPr="006645DC" w:rsidRDefault="00B5369A" w:rsidP="003F2F1E">
            <w:pPr>
              <w:spacing w:before="0" w:after="0"/>
              <w:ind w:firstLineChars="100" w:firstLine="221"/>
              <w:jc w:val="center"/>
              <w:rPr>
                <w:b/>
                <w:lang w:val="en-GB"/>
              </w:rPr>
            </w:pPr>
            <w:r w:rsidRPr="006645DC">
              <w:rPr>
                <w:b/>
                <w:lang w:val="en-GB"/>
              </w:rPr>
              <w:t>2011</w:t>
            </w:r>
          </w:p>
        </w:tc>
      </w:tr>
      <w:tr w:rsidR="00B5369A" w:rsidRPr="006645DC" w14:paraId="5D4DED57" w14:textId="77777777" w:rsidTr="00F521CE">
        <w:trPr>
          <w:trHeight w:val="210"/>
          <w:jc w:val="center"/>
        </w:trPr>
        <w:tc>
          <w:tcPr>
            <w:tcW w:w="2444" w:type="dxa"/>
            <w:vAlign w:val="center"/>
          </w:tcPr>
          <w:p w14:paraId="3760FD70" w14:textId="77777777" w:rsidR="00B5369A" w:rsidRPr="006645DC" w:rsidRDefault="00B5369A" w:rsidP="00F521CE">
            <w:pPr>
              <w:spacing w:before="0" w:after="0" w:line="280" w:lineRule="auto"/>
              <w:jc w:val="center"/>
              <w:rPr>
                <w:b/>
                <w:lang w:val="en-GB"/>
              </w:rPr>
            </w:pPr>
            <w:r w:rsidRPr="006645DC">
              <w:rPr>
                <w:b/>
                <w:lang w:val="en-GB"/>
              </w:rPr>
              <w:t>Romania</w:t>
            </w:r>
          </w:p>
        </w:tc>
        <w:tc>
          <w:tcPr>
            <w:tcW w:w="889" w:type="dxa"/>
            <w:noWrap/>
            <w:vAlign w:val="center"/>
          </w:tcPr>
          <w:p w14:paraId="1EE79259" w14:textId="77777777" w:rsidR="00B5369A" w:rsidRPr="006645DC" w:rsidRDefault="00B5369A" w:rsidP="00F521CE">
            <w:pPr>
              <w:keepNext/>
              <w:keepLines/>
              <w:spacing w:before="0" w:after="0"/>
              <w:jc w:val="right"/>
              <w:outlineLvl w:val="1"/>
              <w:rPr>
                <w:rFonts w:cstheme="minorHAnsi"/>
                <w:lang w:val="en-GB" w:eastAsia="hu-HU"/>
              </w:rPr>
            </w:pPr>
            <w:bookmarkStart w:id="1599" w:name="_Toc376199760"/>
            <w:r w:rsidRPr="006645DC">
              <w:rPr>
                <w:rFonts w:cstheme="minorHAnsi"/>
                <w:lang w:val="en-GB" w:eastAsia="hu-HU"/>
              </w:rPr>
              <w:t>61 673</w:t>
            </w:r>
            <w:bookmarkEnd w:id="1599"/>
          </w:p>
        </w:tc>
        <w:tc>
          <w:tcPr>
            <w:tcW w:w="888" w:type="dxa"/>
            <w:noWrap/>
            <w:vAlign w:val="center"/>
          </w:tcPr>
          <w:p w14:paraId="34E61FF2" w14:textId="77777777" w:rsidR="00B5369A" w:rsidRPr="006645DC" w:rsidRDefault="00B5369A" w:rsidP="00F521CE">
            <w:pPr>
              <w:keepNext/>
              <w:keepLines/>
              <w:spacing w:before="0" w:after="0"/>
              <w:jc w:val="right"/>
              <w:outlineLvl w:val="1"/>
              <w:rPr>
                <w:rFonts w:cstheme="minorHAnsi"/>
                <w:lang w:val="en-GB" w:eastAsia="hu-HU"/>
              </w:rPr>
            </w:pPr>
            <w:bookmarkStart w:id="1600" w:name="_Toc376199761"/>
            <w:r w:rsidRPr="006645DC">
              <w:rPr>
                <w:rFonts w:cstheme="minorHAnsi"/>
                <w:lang w:val="en-GB" w:eastAsia="hu-HU"/>
              </w:rPr>
              <w:t>64 956</w:t>
            </w:r>
            <w:bookmarkEnd w:id="1600"/>
          </w:p>
        </w:tc>
        <w:tc>
          <w:tcPr>
            <w:tcW w:w="1088" w:type="dxa"/>
            <w:noWrap/>
            <w:vAlign w:val="center"/>
          </w:tcPr>
          <w:p w14:paraId="7B6468EB" w14:textId="77777777" w:rsidR="00B5369A" w:rsidRPr="006645DC" w:rsidRDefault="00B5369A" w:rsidP="00F521CE">
            <w:pPr>
              <w:keepNext/>
              <w:keepLines/>
              <w:spacing w:before="0" w:after="0"/>
              <w:jc w:val="right"/>
              <w:outlineLvl w:val="1"/>
              <w:rPr>
                <w:rFonts w:cstheme="minorHAnsi"/>
                <w:lang w:val="en-GB" w:eastAsia="hu-HU"/>
              </w:rPr>
            </w:pPr>
            <w:bookmarkStart w:id="1601" w:name="_Toc376199762"/>
            <w:r w:rsidRPr="006645DC">
              <w:rPr>
                <w:rFonts w:cstheme="minorHAnsi"/>
                <w:lang w:val="en-GB" w:eastAsia="hu-HU"/>
              </w:rPr>
              <w:t>58 014</w:t>
            </w:r>
            <w:bookmarkEnd w:id="1601"/>
          </w:p>
        </w:tc>
        <w:tc>
          <w:tcPr>
            <w:tcW w:w="1088" w:type="dxa"/>
            <w:vAlign w:val="center"/>
          </w:tcPr>
          <w:p w14:paraId="5619EFB0" w14:textId="77777777" w:rsidR="00B5369A" w:rsidRPr="006645DC" w:rsidRDefault="00B5369A" w:rsidP="00F521CE">
            <w:pPr>
              <w:keepNext/>
              <w:keepLines/>
              <w:spacing w:before="0" w:after="0"/>
              <w:jc w:val="right"/>
              <w:outlineLvl w:val="1"/>
              <w:rPr>
                <w:rFonts w:cstheme="minorHAnsi"/>
                <w:lang w:val="en-GB" w:eastAsia="hu-HU"/>
              </w:rPr>
            </w:pPr>
            <w:bookmarkStart w:id="1602" w:name="_Toc376199763"/>
            <w:r w:rsidRPr="006645DC">
              <w:rPr>
                <w:rFonts w:cstheme="minorHAnsi"/>
                <w:lang w:val="en-GB" w:eastAsia="hu-HU"/>
              </w:rPr>
              <w:t>60 979</w:t>
            </w:r>
            <w:bookmarkEnd w:id="1602"/>
          </w:p>
        </w:tc>
        <w:tc>
          <w:tcPr>
            <w:tcW w:w="1088" w:type="dxa"/>
            <w:vAlign w:val="center"/>
          </w:tcPr>
          <w:p w14:paraId="3C0D1791" w14:textId="77777777" w:rsidR="00B5369A" w:rsidRPr="006645DC" w:rsidRDefault="00B5369A" w:rsidP="00F521CE">
            <w:pPr>
              <w:keepNext/>
              <w:keepLines/>
              <w:spacing w:before="0" w:after="0"/>
              <w:jc w:val="right"/>
              <w:outlineLvl w:val="1"/>
              <w:rPr>
                <w:rFonts w:cstheme="minorHAnsi"/>
                <w:lang w:val="en-GB" w:eastAsia="hu-HU"/>
              </w:rPr>
            </w:pPr>
            <w:bookmarkStart w:id="1603" w:name="_Toc376199764"/>
            <w:r w:rsidRPr="006645DC">
              <w:rPr>
                <w:rFonts w:cstheme="minorHAnsi"/>
                <w:lang w:val="en-GB" w:eastAsia="hu-HU"/>
              </w:rPr>
              <w:t>62 218</w:t>
            </w:r>
            <w:bookmarkEnd w:id="1603"/>
          </w:p>
        </w:tc>
      </w:tr>
      <w:tr w:rsidR="00B5369A" w:rsidRPr="006645DC" w14:paraId="76CA0868" w14:textId="77777777" w:rsidTr="00F521CE">
        <w:trPr>
          <w:trHeight w:val="60"/>
          <w:jc w:val="center"/>
        </w:trPr>
        <w:tc>
          <w:tcPr>
            <w:tcW w:w="2444" w:type="dxa"/>
            <w:vAlign w:val="center"/>
          </w:tcPr>
          <w:p w14:paraId="11971061" w14:textId="77777777" w:rsidR="00B5369A" w:rsidRPr="006645DC" w:rsidRDefault="00B5369A" w:rsidP="00F521CE">
            <w:pPr>
              <w:keepNext/>
              <w:keepLines/>
              <w:spacing w:before="0" w:after="0" w:line="280" w:lineRule="auto"/>
              <w:jc w:val="center"/>
              <w:outlineLvl w:val="1"/>
              <w:rPr>
                <w:b/>
                <w:lang w:val="en-GB"/>
              </w:rPr>
            </w:pPr>
            <w:bookmarkStart w:id="1604" w:name="_Toc376199765"/>
            <w:r w:rsidRPr="006645DC">
              <w:rPr>
                <w:b/>
                <w:lang w:val="en-GB"/>
              </w:rPr>
              <w:t>Bulgaria</w:t>
            </w:r>
            <w:bookmarkEnd w:id="1604"/>
          </w:p>
        </w:tc>
        <w:tc>
          <w:tcPr>
            <w:tcW w:w="889" w:type="dxa"/>
            <w:noWrap/>
            <w:vAlign w:val="center"/>
          </w:tcPr>
          <w:p w14:paraId="6B5C10AF" w14:textId="77777777" w:rsidR="00B5369A" w:rsidRPr="006645DC" w:rsidRDefault="00B5369A" w:rsidP="00F521CE">
            <w:pPr>
              <w:keepNext/>
              <w:keepLines/>
              <w:spacing w:before="0" w:after="0"/>
              <w:jc w:val="right"/>
              <w:outlineLvl w:val="1"/>
              <w:rPr>
                <w:rFonts w:cstheme="minorHAnsi"/>
                <w:lang w:val="en-GB" w:eastAsia="hu-HU"/>
              </w:rPr>
            </w:pPr>
            <w:bookmarkStart w:id="1605" w:name="_Toc376199766"/>
            <w:r w:rsidRPr="006645DC">
              <w:rPr>
                <w:rFonts w:cstheme="minorHAnsi"/>
                <w:lang w:val="en-GB" w:eastAsia="hu-HU"/>
              </w:rPr>
              <w:t>43 297</w:t>
            </w:r>
            <w:bookmarkEnd w:id="1605"/>
          </w:p>
        </w:tc>
        <w:tc>
          <w:tcPr>
            <w:tcW w:w="888" w:type="dxa"/>
            <w:noWrap/>
            <w:vAlign w:val="center"/>
          </w:tcPr>
          <w:p w14:paraId="45F8F34C" w14:textId="77777777" w:rsidR="00B5369A" w:rsidRPr="006645DC" w:rsidRDefault="00B5369A" w:rsidP="00F521CE">
            <w:pPr>
              <w:keepNext/>
              <w:keepLines/>
              <w:spacing w:before="0" w:after="0"/>
              <w:jc w:val="right"/>
              <w:outlineLvl w:val="1"/>
              <w:rPr>
                <w:rFonts w:cstheme="minorHAnsi"/>
                <w:lang w:val="en-GB" w:eastAsia="hu-HU"/>
              </w:rPr>
            </w:pPr>
            <w:bookmarkStart w:id="1606" w:name="_Toc376199767"/>
            <w:r w:rsidRPr="006645DC">
              <w:rPr>
                <w:rFonts w:cstheme="minorHAnsi"/>
                <w:lang w:val="en-GB" w:eastAsia="hu-HU"/>
              </w:rPr>
              <w:t>45 037</w:t>
            </w:r>
            <w:bookmarkEnd w:id="1606"/>
          </w:p>
        </w:tc>
        <w:tc>
          <w:tcPr>
            <w:tcW w:w="1088" w:type="dxa"/>
            <w:noWrap/>
            <w:vAlign w:val="center"/>
          </w:tcPr>
          <w:p w14:paraId="7A9A8FD6" w14:textId="77777777" w:rsidR="00B5369A" w:rsidRPr="006645DC" w:rsidRDefault="00B5369A" w:rsidP="00F521CE">
            <w:pPr>
              <w:keepNext/>
              <w:keepLines/>
              <w:spacing w:before="0" w:after="0"/>
              <w:jc w:val="right"/>
              <w:outlineLvl w:val="1"/>
              <w:rPr>
                <w:rFonts w:cstheme="minorHAnsi"/>
                <w:lang w:val="en-GB" w:eastAsia="hu-HU"/>
              </w:rPr>
            </w:pPr>
            <w:bookmarkStart w:id="1607" w:name="_Toc376199768"/>
            <w:r w:rsidRPr="006645DC">
              <w:rPr>
                <w:rFonts w:cstheme="minorHAnsi"/>
                <w:lang w:val="en-GB" w:eastAsia="hu-HU"/>
              </w:rPr>
              <w:t>42 964</w:t>
            </w:r>
            <w:bookmarkEnd w:id="1607"/>
          </w:p>
        </w:tc>
        <w:tc>
          <w:tcPr>
            <w:tcW w:w="1088" w:type="dxa"/>
            <w:vAlign w:val="center"/>
          </w:tcPr>
          <w:p w14:paraId="168CEDCB" w14:textId="77777777" w:rsidR="00B5369A" w:rsidRPr="006645DC" w:rsidRDefault="00B5369A" w:rsidP="00F521CE">
            <w:pPr>
              <w:keepNext/>
              <w:keepLines/>
              <w:spacing w:before="0" w:after="0"/>
              <w:jc w:val="right"/>
              <w:outlineLvl w:val="1"/>
              <w:rPr>
                <w:rFonts w:cstheme="minorHAnsi"/>
                <w:lang w:val="en-GB" w:eastAsia="hu-HU"/>
              </w:rPr>
            </w:pPr>
            <w:bookmarkStart w:id="1608" w:name="_Toc376199769"/>
            <w:r w:rsidRPr="006645DC">
              <w:rPr>
                <w:rFonts w:cstheme="minorHAnsi"/>
                <w:lang w:val="en-GB" w:eastAsia="hu-HU"/>
              </w:rPr>
              <w:t>46 653</w:t>
            </w:r>
            <w:bookmarkEnd w:id="1608"/>
          </w:p>
        </w:tc>
        <w:tc>
          <w:tcPr>
            <w:tcW w:w="1088" w:type="dxa"/>
            <w:vAlign w:val="center"/>
          </w:tcPr>
          <w:p w14:paraId="378B51B3" w14:textId="77777777" w:rsidR="00B5369A" w:rsidRPr="006645DC" w:rsidRDefault="00B5369A" w:rsidP="00F521CE">
            <w:pPr>
              <w:keepNext/>
              <w:keepLines/>
              <w:spacing w:before="0" w:after="0"/>
              <w:jc w:val="right"/>
              <w:outlineLvl w:val="1"/>
              <w:rPr>
                <w:rFonts w:cstheme="minorHAnsi"/>
                <w:lang w:val="en-GB" w:eastAsia="hu-HU"/>
              </w:rPr>
            </w:pPr>
            <w:bookmarkStart w:id="1609" w:name="_Toc376199770"/>
            <w:r w:rsidRPr="006645DC">
              <w:rPr>
                <w:rFonts w:cstheme="minorHAnsi"/>
                <w:lang w:val="en-GB" w:eastAsia="hu-HU"/>
              </w:rPr>
              <w:t>50 797</w:t>
            </w:r>
            <w:bookmarkEnd w:id="1609"/>
          </w:p>
        </w:tc>
      </w:tr>
    </w:tbl>
    <w:p w14:paraId="3FB16974" w14:textId="77777777" w:rsidR="00B5369A" w:rsidRPr="006645DC" w:rsidRDefault="00B5369A" w:rsidP="00B5369A">
      <w:pPr>
        <w:pStyle w:val="Caption"/>
        <w:rPr>
          <w:lang w:val="en-GB"/>
        </w:rPr>
      </w:pPr>
      <w:bookmarkStart w:id="1610" w:name="_Toc391150137"/>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40</w:t>
      </w:r>
      <w:r w:rsidR="005979EB" w:rsidRPr="006645DC">
        <w:rPr>
          <w:lang w:val="en-GB"/>
        </w:rPr>
        <w:fldChar w:fldCharType="end"/>
      </w:r>
      <w:r w:rsidRPr="006645DC">
        <w:rPr>
          <w:lang w:val="en-GB"/>
        </w:rPr>
        <w:t xml:space="preserve"> - Electricity production (million KWh)</w:t>
      </w:r>
      <w:bookmarkEnd w:id="1610"/>
    </w:p>
    <w:p w14:paraId="142761BB" w14:textId="77777777" w:rsidR="00B5369A" w:rsidRPr="006645DC" w:rsidRDefault="00B5369A" w:rsidP="00B5369A">
      <w:pPr>
        <w:pStyle w:val="Heading4"/>
        <w:rPr>
          <w:lang w:val="en-GB"/>
        </w:rPr>
      </w:pPr>
      <w:r w:rsidRPr="006645DC">
        <w:rPr>
          <w:lang w:val="en-GB"/>
        </w:rPr>
        <w:t xml:space="preserve">Source: Eurostat </w:t>
      </w:r>
    </w:p>
    <w:p w14:paraId="45DD0D90" w14:textId="77777777" w:rsidR="00B5369A" w:rsidRPr="006645DC" w:rsidRDefault="00523DE6" w:rsidP="00B5369A">
      <w:pPr>
        <w:rPr>
          <w:lang w:val="en-GB"/>
        </w:rPr>
      </w:pPr>
      <w:hyperlink r:id="rId119" w:tooltip="Electricity sector in Romania (page does not exist)" w:history="1">
        <w:r w:rsidR="00B5369A" w:rsidRPr="006645DC">
          <w:rPr>
            <w:lang w:val="en-GB"/>
          </w:rPr>
          <w:t>Electric power in Romania</w:t>
        </w:r>
      </w:hyperlink>
      <w:r w:rsidR="00B5369A" w:rsidRPr="006645DC">
        <w:rPr>
          <w:lang w:val="en-GB"/>
        </w:rPr>
        <w:t xml:space="preserve"> is dominated by government enterprises, although privately operated coal mines and oil refineries also existed. Accordingly, Romania placed an increasingly heavy emphasis on developing nuclear power generation. Electricity is mainly produced based on nuclear energy, coal, oil, and natural gas.</w:t>
      </w:r>
    </w:p>
    <w:p w14:paraId="4C5E23DB" w14:textId="77777777" w:rsidR="00B5369A" w:rsidRPr="006645DC" w:rsidRDefault="00B5369A" w:rsidP="00B5369A">
      <w:pPr>
        <w:rPr>
          <w:lang w:val="en-GB"/>
        </w:rPr>
      </w:pPr>
      <w:r w:rsidRPr="006645DC">
        <w:rPr>
          <w:lang w:val="en-GB"/>
        </w:rPr>
        <w:t xml:space="preserve">The cross-border region is important for the production of electricity. Each country has one nuclear power plant located along the Danube. In Romania, the Cernavoda nuclear power plant, located in the Constanta County, currently has 1,400 MW of nuclear power capacity through its 2 active reactors that produce approximately 20% of the country’s electricity. By using nuclear power, Romania is able to reduce its greenhouse gas emissions by over 10 million tonnes each year. Further extension of Cernavoda nuclear power plant is planned: reactors 3 and 4 are expected to be operational by 2016-2017 and will have the same capacity as the 2 existing reactors. </w:t>
      </w:r>
    </w:p>
    <w:p w14:paraId="52925A88" w14:textId="5335F0A4" w:rsidR="00B5369A" w:rsidRPr="006645DC" w:rsidRDefault="00C77B3E" w:rsidP="00B5369A">
      <w:pPr>
        <w:rPr>
          <w:lang w:val="en-GB"/>
        </w:rPr>
      </w:pPr>
      <w:r>
        <w:rPr>
          <w:lang w:val="en-GB"/>
        </w:rPr>
        <w:t xml:space="preserve">In </w:t>
      </w:r>
      <w:r w:rsidR="00B5369A" w:rsidRPr="006645DC">
        <w:rPr>
          <w:lang w:val="en-GB"/>
        </w:rPr>
        <w:t>Bulgaria</w:t>
      </w:r>
      <w:r>
        <w:rPr>
          <w:lang w:val="en-GB"/>
        </w:rPr>
        <w:t>, t</w:t>
      </w:r>
      <w:r w:rsidRPr="00C77B3E">
        <w:rPr>
          <w:lang w:val="en-GB"/>
        </w:rPr>
        <w:t>he Kozloduy Nuclear Power Plant</w:t>
      </w:r>
      <w:r>
        <w:rPr>
          <w:lang w:val="en-GB"/>
        </w:rPr>
        <w:t>,</w:t>
      </w:r>
      <w:r w:rsidRPr="00C77B3E">
        <w:rPr>
          <w:lang w:val="en-GB"/>
        </w:rPr>
        <w:t xml:space="preserve"> </w:t>
      </w:r>
      <w:r>
        <w:rPr>
          <w:lang w:val="en-GB"/>
        </w:rPr>
        <w:t xml:space="preserve">situated </w:t>
      </w:r>
      <w:r w:rsidRPr="00C77B3E">
        <w:rPr>
          <w:lang w:val="en-GB"/>
        </w:rPr>
        <w:t>along the Danube in the Vratsa province</w:t>
      </w:r>
      <w:r>
        <w:rPr>
          <w:lang w:val="en-GB"/>
        </w:rPr>
        <w:t xml:space="preserve">, </w:t>
      </w:r>
      <w:r w:rsidRPr="006645DC">
        <w:rPr>
          <w:lang w:val="en-GB"/>
        </w:rPr>
        <w:t>has two</w:t>
      </w:r>
      <w:r w:rsidR="00B5369A" w:rsidRPr="006645DC">
        <w:rPr>
          <w:lang w:val="en-GB"/>
        </w:rPr>
        <w:t xml:space="preserve"> reactors and a total output of 2 000 MW, generating about 35% of Bulgaria’s electricity.</w:t>
      </w:r>
      <w:r>
        <w:rPr>
          <w:lang w:val="en-GB"/>
        </w:rPr>
        <w:t xml:space="preserve"> It</w:t>
      </w:r>
      <w:r w:rsidR="00B5369A" w:rsidRPr="006645DC">
        <w:rPr>
          <w:lang w:val="en-GB"/>
        </w:rPr>
        <w:t xml:space="preserve"> is located. A</w:t>
      </w:r>
      <w:r>
        <w:rPr>
          <w:lang w:val="en-GB"/>
        </w:rPr>
        <w:t>nother</w:t>
      </w:r>
      <w:r w:rsidR="00B5369A" w:rsidRPr="006645DC">
        <w:rPr>
          <w:lang w:val="en-GB"/>
        </w:rPr>
        <w:t xml:space="preserve"> reactor is under construction at Kozloduy with a capacity of 1 000 MW.</w:t>
      </w:r>
    </w:p>
    <w:p w14:paraId="53A7E24E" w14:textId="77777777" w:rsidR="00B5369A" w:rsidRPr="006645DC" w:rsidRDefault="00B5369A" w:rsidP="00C77B3E">
      <w:pPr>
        <w:pStyle w:val="Heading2"/>
        <w:numPr>
          <w:ilvl w:val="0"/>
          <w:numId w:val="2"/>
        </w:numPr>
        <w:spacing w:after="0"/>
        <w:rPr>
          <w:lang w:val="en-GB"/>
        </w:rPr>
      </w:pPr>
      <w:bookmarkStart w:id="1611" w:name="_Toc371105802"/>
      <w:bookmarkStart w:id="1612" w:name="_Toc371284517"/>
      <w:bookmarkStart w:id="1613" w:name="_Toc376199771"/>
      <w:bookmarkStart w:id="1614" w:name="_Toc254543822"/>
      <w:bookmarkStart w:id="1615" w:name="_Toc391150197"/>
      <w:r w:rsidRPr="006645DC">
        <w:rPr>
          <w:lang w:val="en-GB"/>
        </w:rPr>
        <w:t>Energy intensity</w:t>
      </w:r>
      <w:bookmarkEnd w:id="1611"/>
      <w:bookmarkEnd w:id="1612"/>
      <w:bookmarkEnd w:id="1613"/>
      <w:bookmarkEnd w:id="1614"/>
      <w:bookmarkEnd w:id="1615"/>
    </w:p>
    <w:tbl>
      <w:tblPr>
        <w:tblW w:w="8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1"/>
        <w:gridCol w:w="1134"/>
        <w:gridCol w:w="1102"/>
        <w:gridCol w:w="1088"/>
        <w:gridCol w:w="1088"/>
        <w:gridCol w:w="1088"/>
      </w:tblGrid>
      <w:tr w:rsidR="00B5369A" w:rsidRPr="006645DC" w14:paraId="707C75CC" w14:textId="77777777" w:rsidTr="00B5369A">
        <w:trPr>
          <w:trHeight w:val="199"/>
          <w:jc w:val="center"/>
        </w:trPr>
        <w:tc>
          <w:tcPr>
            <w:tcW w:w="2951" w:type="dxa"/>
            <w:vAlign w:val="center"/>
          </w:tcPr>
          <w:p w14:paraId="6AA1AE70" w14:textId="77777777" w:rsidR="00B5369A" w:rsidRPr="006645DC" w:rsidRDefault="00B5369A" w:rsidP="00B5369A">
            <w:pPr>
              <w:spacing w:before="0" w:after="0" w:line="280" w:lineRule="auto"/>
              <w:jc w:val="center"/>
              <w:rPr>
                <w:lang w:val="en-GB"/>
              </w:rPr>
            </w:pPr>
          </w:p>
        </w:tc>
        <w:tc>
          <w:tcPr>
            <w:tcW w:w="1134" w:type="dxa"/>
            <w:noWrap/>
            <w:vAlign w:val="center"/>
          </w:tcPr>
          <w:p w14:paraId="57ADF24D" w14:textId="77777777" w:rsidR="00B5369A" w:rsidRPr="006645DC" w:rsidRDefault="00B5369A" w:rsidP="00B5369A">
            <w:pPr>
              <w:spacing w:before="0" w:after="0" w:line="280" w:lineRule="auto"/>
              <w:jc w:val="center"/>
              <w:rPr>
                <w:b/>
                <w:lang w:val="en-GB"/>
              </w:rPr>
            </w:pPr>
            <w:r w:rsidRPr="006645DC">
              <w:rPr>
                <w:b/>
                <w:lang w:val="en-GB"/>
              </w:rPr>
              <w:t>2007</w:t>
            </w:r>
          </w:p>
        </w:tc>
        <w:tc>
          <w:tcPr>
            <w:tcW w:w="1102" w:type="dxa"/>
            <w:noWrap/>
            <w:vAlign w:val="center"/>
          </w:tcPr>
          <w:p w14:paraId="4735583A" w14:textId="77777777" w:rsidR="00B5369A" w:rsidRPr="006645DC" w:rsidRDefault="00B5369A" w:rsidP="00B5369A">
            <w:pPr>
              <w:spacing w:before="0" w:after="0" w:line="280" w:lineRule="auto"/>
              <w:jc w:val="center"/>
              <w:rPr>
                <w:b/>
                <w:lang w:val="en-GB"/>
              </w:rPr>
            </w:pPr>
            <w:r w:rsidRPr="006645DC">
              <w:rPr>
                <w:b/>
                <w:lang w:val="en-GB"/>
              </w:rPr>
              <w:t>2008</w:t>
            </w:r>
          </w:p>
        </w:tc>
        <w:tc>
          <w:tcPr>
            <w:tcW w:w="1088" w:type="dxa"/>
            <w:noWrap/>
            <w:vAlign w:val="center"/>
          </w:tcPr>
          <w:p w14:paraId="64868442" w14:textId="77777777" w:rsidR="00B5369A" w:rsidRPr="006645DC" w:rsidRDefault="00B5369A" w:rsidP="00B5369A">
            <w:pPr>
              <w:spacing w:before="0" w:after="0" w:line="280" w:lineRule="auto"/>
              <w:jc w:val="center"/>
              <w:rPr>
                <w:b/>
                <w:lang w:val="en-GB"/>
              </w:rPr>
            </w:pPr>
            <w:r w:rsidRPr="006645DC">
              <w:rPr>
                <w:b/>
                <w:lang w:val="en-GB"/>
              </w:rPr>
              <w:t>2009</w:t>
            </w:r>
          </w:p>
        </w:tc>
        <w:tc>
          <w:tcPr>
            <w:tcW w:w="1088" w:type="dxa"/>
            <w:vAlign w:val="center"/>
          </w:tcPr>
          <w:p w14:paraId="178CB3FE" w14:textId="77777777" w:rsidR="00B5369A" w:rsidRPr="006645DC" w:rsidRDefault="00B5369A" w:rsidP="00B5369A">
            <w:pPr>
              <w:spacing w:before="0" w:after="0" w:line="280" w:lineRule="auto"/>
              <w:jc w:val="center"/>
              <w:rPr>
                <w:b/>
                <w:lang w:val="en-GB"/>
              </w:rPr>
            </w:pPr>
            <w:r w:rsidRPr="006645DC">
              <w:rPr>
                <w:b/>
                <w:lang w:val="en-GB"/>
              </w:rPr>
              <w:t>2010</w:t>
            </w:r>
          </w:p>
        </w:tc>
        <w:tc>
          <w:tcPr>
            <w:tcW w:w="1088" w:type="dxa"/>
            <w:vAlign w:val="center"/>
          </w:tcPr>
          <w:p w14:paraId="0BE1CCDA" w14:textId="77777777" w:rsidR="00B5369A" w:rsidRPr="006645DC" w:rsidRDefault="00B5369A" w:rsidP="00B5369A">
            <w:pPr>
              <w:spacing w:before="0" w:after="0" w:line="280" w:lineRule="auto"/>
              <w:jc w:val="center"/>
              <w:rPr>
                <w:b/>
                <w:lang w:val="en-GB"/>
              </w:rPr>
            </w:pPr>
            <w:r w:rsidRPr="006645DC">
              <w:rPr>
                <w:b/>
                <w:lang w:val="en-GB"/>
              </w:rPr>
              <w:t>2011</w:t>
            </w:r>
          </w:p>
        </w:tc>
      </w:tr>
      <w:tr w:rsidR="00B5369A" w:rsidRPr="006645DC" w14:paraId="2359D3FE" w14:textId="77777777" w:rsidTr="00B5369A">
        <w:trPr>
          <w:trHeight w:val="210"/>
          <w:jc w:val="center"/>
        </w:trPr>
        <w:tc>
          <w:tcPr>
            <w:tcW w:w="2951" w:type="dxa"/>
            <w:vAlign w:val="center"/>
          </w:tcPr>
          <w:p w14:paraId="71C0128F" w14:textId="77777777" w:rsidR="00B5369A" w:rsidRPr="006645DC" w:rsidRDefault="00B5369A" w:rsidP="00F521CE">
            <w:pPr>
              <w:spacing w:before="0" w:after="0" w:line="280" w:lineRule="auto"/>
              <w:rPr>
                <w:b/>
                <w:lang w:val="en-GB"/>
              </w:rPr>
            </w:pPr>
            <w:r w:rsidRPr="006645DC">
              <w:rPr>
                <w:b/>
                <w:lang w:val="en-GB"/>
              </w:rPr>
              <w:t>Romania</w:t>
            </w:r>
          </w:p>
        </w:tc>
        <w:tc>
          <w:tcPr>
            <w:tcW w:w="1134" w:type="dxa"/>
            <w:noWrap/>
            <w:vAlign w:val="center"/>
          </w:tcPr>
          <w:p w14:paraId="7094F71A" w14:textId="77777777" w:rsidR="00B5369A" w:rsidRPr="006645DC" w:rsidRDefault="00B5369A" w:rsidP="00B5369A">
            <w:pPr>
              <w:keepNext/>
              <w:keepLines/>
              <w:spacing w:before="0" w:after="0"/>
              <w:jc w:val="right"/>
              <w:outlineLvl w:val="1"/>
              <w:rPr>
                <w:rFonts w:cstheme="minorHAnsi"/>
                <w:lang w:val="en-GB" w:eastAsia="hu-HU"/>
              </w:rPr>
            </w:pPr>
            <w:bookmarkStart w:id="1616" w:name="_Toc376199772"/>
            <w:r w:rsidRPr="006645DC">
              <w:rPr>
                <w:rFonts w:cstheme="minorHAnsi"/>
                <w:lang w:val="en-GB" w:eastAsia="hu-HU"/>
              </w:rPr>
              <w:t>443,338</w:t>
            </w:r>
            <w:bookmarkEnd w:id="1616"/>
          </w:p>
        </w:tc>
        <w:tc>
          <w:tcPr>
            <w:tcW w:w="1102" w:type="dxa"/>
            <w:noWrap/>
            <w:vAlign w:val="center"/>
          </w:tcPr>
          <w:p w14:paraId="1DD883BA" w14:textId="77777777" w:rsidR="00B5369A" w:rsidRPr="006645DC" w:rsidRDefault="00B5369A" w:rsidP="00B5369A">
            <w:pPr>
              <w:keepNext/>
              <w:keepLines/>
              <w:spacing w:before="0" w:after="0"/>
              <w:jc w:val="right"/>
              <w:outlineLvl w:val="1"/>
              <w:rPr>
                <w:rFonts w:cstheme="minorHAnsi"/>
                <w:lang w:val="en-GB" w:eastAsia="hu-HU"/>
              </w:rPr>
            </w:pPr>
            <w:bookmarkStart w:id="1617" w:name="_Toc376199773"/>
            <w:r w:rsidRPr="006645DC">
              <w:rPr>
                <w:rFonts w:cstheme="minorHAnsi"/>
                <w:lang w:val="en-GB" w:eastAsia="hu-HU"/>
              </w:rPr>
              <w:t>412,2</w:t>
            </w:r>
            <w:bookmarkEnd w:id="1617"/>
          </w:p>
        </w:tc>
        <w:tc>
          <w:tcPr>
            <w:tcW w:w="1088" w:type="dxa"/>
            <w:noWrap/>
            <w:vAlign w:val="center"/>
          </w:tcPr>
          <w:p w14:paraId="164243F9" w14:textId="77777777" w:rsidR="00B5369A" w:rsidRPr="006645DC" w:rsidRDefault="00B5369A" w:rsidP="00B5369A">
            <w:pPr>
              <w:keepNext/>
              <w:keepLines/>
              <w:spacing w:before="0" w:after="0"/>
              <w:jc w:val="right"/>
              <w:outlineLvl w:val="1"/>
              <w:rPr>
                <w:rFonts w:cstheme="minorHAnsi"/>
                <w:lang w:val="en-GB" w:eastAsia="hu-HU"/>
              </w:rPr>
            </w:pPr>
            <w:bookmarkStart w:id="1618" w:name="_Toc376199774"/>
            <w:r w:rsidRPr="006645DC">
              <w:rPr>
                <w:rFonts w:cstheme="minorHAnsi"/>
                <w:lang w:val="en-GB" w:eastAsia="hu-HU"/>
              </w:rPr>
              <w:t>386,6</w:t>
            </w:r>
            <w:bookmarkEnd w:id="1618"/>
          </w:p>
        </w:tc>
        <w:tc>
          <w:tcPr>
            <w:tcW w:w="1088" w:type="dxa"/>
            <w:vAlign w:val="center"/>
          </w:tcPr>
          <w:p w14:paraId="0736734A" w14:textId="77777777" w:rsidR="00B5369A" w:rsidRPr="006645DC" w:rsidRDefault="00B5369A" w:rsidP="00B5369A">
            <w:pPr>
              <w:keepNext/>
              <w:keepLines/>
              <w:spacing w:before="0" w:after="0"/>
              <w:jc w:val="right"/>
              <w:outlineLvl w:val="1"/>
              <w:rPr>
                <w:rFonts w:cstheme="minorHAnsi"/>
                <w:lang w:val="en-GB" w:eastAsia="hu-HU"/>
              </w:rPr>
            </w:pPr>
            <w:bookmarkStart w:id="1619" w:name="_Toc376199775"/>
            <w:r w:rsidRPr="006645DC">
              <w:rPr>
                <w:rFonts w:cstheme="minorHAnsi"/>
                <w:lang w:val="en-GB" w:eastAsia="hu-HU"/>
              </w:rPr>
              <w:t>393</w:t>
            </w:r>
            <w:bookmarkEnd w:id="1619"/>
          </w:p>
        </w:tc>
        <w:tc>
          <w:tcPr>
            <w:tcW w:w="1088" w:type="dxa"/>
            <w:vAlign w:val="center"/>
          </w:tcPr>
          <w:p w14:paraId="4EF18A77" w14:textId="77777777" w:rsidR="00B5369A" w:rsidRPr="006645DC" w:rsidRDefault="00B5369A" w:rsidP="00B5369A">
            <w:pPr>
              <w:keepNext/>
              <w:keepLines/>
              <w:spacing w:before="0" w:after="0"/>
              <w:jc w:val="right"/>
              <w:outlineLvl w:val="1"/>
              <w:rPr>
                <w:rFonts w:cstheme="minorHAnsi"/>
                <w:lang w:val="en-GB" w:eastAsia="hu-HU"/>
              </w:rPr>
            </w:pPr>
            <w:bookmarkStart w:id="1620" w:name="_Toc376199776"/>
            <w:r w:rsidRPr="006645DC">
              <w:rPr>
                <w:rFonts w:cstheme="minorHAnsi"/>
                <w:lang w:val="en-GB" w:eastAsia="hu-HU"/>
              </w:rPr>
              <w:t>392,1</w:t>
            </w:r>
            <w:bookmarkEnd w:id="1620"/>
          </w:p>
        </w:tc>
      </w:tr>
      <w:tr w:rsidR="00B5369A" w:rsidRPr="006645DC" w14:paraId="523919C1" w14:textId="77777777" w:rsidTr="00B5369A">
        <w:trPr>
          <w:trHeight w:val="60"/>
          <w:jc w:val="center"/>
        </w:trPr>
        <w:tc>
          <w:tcPr>
            <w:tcW w:w="2951" w:type="dxa"/>
            <w:vAlign w:val="center"/>
          </w:tcPr>
          <w:p w14:paraId="48268C2B" w14:textId="77777777" w:rsidR="00B5369A" w:rsidRPr="006645DC" w:rsidRDefault="00B5369A" w:rsidP="00F521CE">
            <w:pPr>
              <w:keepNext/>
              <w:keepLines/>
              <w:spacing w:before="0" w:after="0" w:line="280" w:lineRule="auto"/>
              <w:outlineLvl w:val="1"/>
              <w:rPr>
                <w:b/>
                <w:lang w:val="en-GB"/>
              </w:rPr>
            </w:pPr>
            <w:bookmarkStart w:id="1621" w:name="_Toc376199777"/>
            <w:r w:rsidRPr="006645DC">
              <w:rPr>
                <w:b/>
                <w:lang w:val="en-GB"/>
              </w:rPr>
              <w:t>Bulgaria</w:t>
            </w:r>
            <w:bookmarkEnd w:id="1621"/>
          </w:p>
        </w:tc>
        <w:tc>
          <w:tcPr>
            <w:tcW w:w="1134" w:type="dxa"/>
            <w:noWrap/>
            <w:vAlign w:val="center"/>
          </w:tcPr>
          <w:p w14:paraId="09DC1FBF" w14:textId="77777777" w:rsidR="00B5369A" w:rsidRPr="006645DC" w:rsidRDefault="00B5369A" w:rsidP="00B5369A">
            <w:pPr>
              <w:keepNext/>
              <w:keepLines/>
              <w:spacing w:before="0" w:after="0"/>
              <w:jc w:val="right"/>
              <w:outlineLvl w:val="1"/>
              <w:rPr>
                <w:rFonts w:cstheme="minorHAnsi"/>
                <w:lang w:val="en-GB" w:eastAsia="hu-HU"/>
              </w:rPr>
            </w:pPr>
            <w:bookmarkStart w:id="1622" w:name="_Toc376199778"/>
            <w:r w:rsidRPr="006645DC">
              <w:rPr>
                <w:rFonts w:cstheme="minorHAnsi"/>
                <w:lang w:val="en-GB" w:eastAsia="hu-HU"/>
              </w:rPr>
              <w:t>770,4</w:t>
            </w:r>
            <w:bookmarkEnd w:id="1622"/>
          </w:p>
        </w:tc>
        <w:tc>
          <w:tcPr>
            <w:tcW w:w="1102" w:type="dxa"/>
            <w:noWrap/>
            <w:vAlign w:val="center"/>
          </w:tcPr>
          <w:p w14:paraId="5CBA98DC" w14:textId="77777777" w:rsidR="00B5369A" w:rsidRPr="006645DC" w:rsidRDefault="00B5369A" w:rsidP="00B5369A">
            <w:pPr>
              <w:keepNext/>
              <w:keepLines/>
              <w:spacing w:before="0" w:after="0"/>
              <w:jc w:val="right"/>
              <w:outlineLvl w:val="1"/>
              <w:rPr>
                <w:rFonts w:cstheme="minorHAnsi"/>
                <w:lang w:val="en-GB" w:eastAsia="hu-HU"/>
              </w:rPr>
            </w:pPr>
            <w:bookmarkStart w:id="1623" w:name="_Toc376199779"/>
            <w:r w:rsidRPr="006645DC">
              <w:rPr>
                <w:rFonts w:cstheme="minorHAnsi"/>
                <w:lang w:val="en-GB" w:eastAsia="hu-HU"/>
              </w:rPr>
              <w:t>718,2</w:t>
            </w:r>
            <w:bookmarkEnd w:id="1623"/>
          </w:p>
        </w:tc>
        <w:tc>
          <w:tcPr>
            <w:tcW w:w="1088" w:type="dxa"/>
            <w:noWrap/>
            <w:vAlign w:val="center"/>
          </w:tcPr>
          <w:p w14:paraId="7D870BC8" w14:textId="77777777" w:rsidR="00B5369A" w:rsidRPr="006645DC" w:rsidRDefault="00B5369A" w:rsidP="00B5369A">
            <w:pPr>
              <w:keepNext/>
              <w:keepLines/>
              <w:spacing w:before="0" w:after="0"/>
              <w:jc w:val="right"/>
              <w:outlineLvl w:val="1"/>
              <w:rPr>
                <w:rFonts w:cstheme="minorHAnsi"/>
                <w:lang w:val="en-GB" w:eastAsia="hu-HU"/>
              </w:rPr>
            </w:pPr>
            <w:bookmarkStart w:id="1624" w:name="_Toc376199780"/>
            <w:r w:rsidRPr="006645DC">
              <w:rPr>
                <w:rFonts w:cstheme="minorHAnsi"/>
                <w:lang w:val="en-GB" w:eastAsia="hu-HU"/>
              </w:rPr>
              <w:t>664,8</w:t>
            </w:r>
            <w:bookmarkEnd w:id="1624"/>
          </w:p>
        </w:tc>
        <w:tc>
          <w:tcPr>
            <w:tcW w:w="1088" w:type="dxa"/>
            <w:vAlign w:val="center"/>
          </w:tcPr>
          <w:p w14:paraId="40DBEC05" w14:textId="77777777" w:rsidR="00B5369A" w:rsidRPr="006645DC" w:rsidRDefault="00B5369A" w:rsidP="00B5369A">
            <w:pPr>
              <w:keepNext/>
              <w:keepLines/>
              <w:spacing w:before="0" w:after="0"/>
              <w:jc w:val="right"/>
              <w:outlineLvl w:val="1"/>
              <w:rPr>
                <w:rFonts w:cstheme="minorHAnsi"/>
                <w:lang w:val="en-GB" w:eastAsia="hu-HU"/>
              </w:rPr>
            </w:pPr>
            <w:bookmarkStart w:id="1625" w:name="_Toc376199781"/>
            <w:r w:rsidRPr="006645DC">
              <w:rPr>
                <w:rFonts w:cstheme="minorHAnsi"/>
                <w:lang w:val="en-GB" w:eastAsia="hu-HU"/>
              </w:rPr>
              <w:t>675,1</w:t>
            </w:r>
            <w:bookmarkEnd w:id="1625"/>
          </w:p>
        </w:tc>
        <w:tc>
          <w:tcPr>
            <w:tcW w:w="1088" w:type="dxa"/>
            <w:vAlign w:val="center"/>
          </w:tcPr>
          <w:p w14:paraId="4FFA591A" w14:textId="77777777" w:rsidR="00B5369A" w:rsidRPr="006645DC" w:rsidRDefault="00B5369A" w:rsidP="00B5369A">
            <w:pPr>
              <w:keepNext/>
              <w:keepLines/>
              <w:spacing w:before="0" w:after="0"/>
              <w:jc w:val="right"/>
              <w:outlineLvl w:val="1"/>
              <w:rPr>
                <w:rFonts w:cstheme="minorHAnsi"/>
                <w:lang w:val="en-GB" w:eastAsia="hu-HU"/>
              </w:rPr>
            </w:pPr>
            <w:bookmarkStart w:id="1626" w:name="_Toc376199782"/>
            <w:r w:rsidRPr="006645DC">
              <w:rPr>
                <w:rFonts w:cstheme="minorHAnsi"/>
                <w:lang w:val="en-GB" w:eastAsia="hu-HU"/>
              </w:rPr>
              <w:t>712,4</w:t>
            </w:r>
            <w:bookmarkEnd w:id="1626"/>
          </w:p>
        </w:tc>
      </w:tr>
      <w:tr w:rsidR="00B5369A" w:rsidRPr="006645DC" w14:paraId="001B5C86" w14:textId="77777777" w:rsidTr="00B5369A">
        <w:trPr>
          <w:trHeight w:val="60"/>
          <w:jc w:val="center"/>
        </w:trPr>
        <w:tc>
          <w:tcPr>
            <w:tcW w:w="2951" w:type="dxa"/>
            <w:vAlign w:val="center"/>
          </w:tcPr>
          <w:p w14:paraId="739DDCBF" w14:textId="77777777" w:rsidR="00B5369A" w:rsidRPr="006645DC" w:rsidRDefault="00B5369A" w:rsidP="00F521CE">
            <w:pPr>
              <w:keepNext/>
              <w:keepLines/>
              <w:spacing w:before="0" w:after="0" w:line="280" w:lineRule="auto"/>
              <w:outlineLvl w:val="1"/>
              <w:rPr>
                <w:b/>
                <w:lang w:val="en-GB"/>
              </w:rPr>
            </w:pPr>
            <w:bookmarkStart w:id="1627" w:name="_Toc376199783"/>
            <w:r w:rsidRPr="006645DC">
              <w:rPr>
                <w:b/>
                <w:lang w:val="en-GB"/>
              </w:rPr>
              <w:t>EU (27 countries)</w:t>
            </w:r>
            <w:bookmarkEnd w:id="1627"/>
          </w:p>
        </w:tc>
        <w:tc>
          <w:tcPr>
            <w:tcW w:w="1134" w:type="dxa"/>
            <w:noWrap/>
            <w:vAlign w:val="center"/>
          </w:tcPr>
          <w:p w14:paraId="0A2A9136" w14:textId="77777777" w:rsidR="00B5369A" w:rsidRPr="006645DC" w:rsidRDefault="00B5369A" w:rsidP="00B5369A">
            <w:pPr>
              <w:keepNext/>
              <w:keepLines/>
              <w:spacing w:before="0" w:after="0"/>
              <w:jc w:val="right"/>
              <w:outlineLvl w:val="1"/>
              <w:rPr>
                <w:rFonts w:cstheme="minorHAnsi"/>
                <w:lang w:val="en-GB" w:eastAsia="hu-HU"/>
              </w:rPr>
            </w:pPr>
            <w:bookmarkStart w:id="1628" w:name="_Toc376199784"/>
            <w:r w:rsidRPr="006645DC">
              <w:rPr>
                <w:rFonts w:cstheme="minorHAnsi"/>
                <w:lang w:val="en-GB" w:eastAsia="hu-HU"/>
              </w:rPr>
              <w:t>153,169</w:t>
            </w:r>
            <w:bookmarkEnd w:id="1628"/>
          </w:p>
        </w:tc>
        <w:tc>
          <w:tcPr>
            <w:tcW w:w="1102" w:type="dxa"/>
            <w:noWrap/>
            <w:vAlign w:val="center"/>
          </w:tcPr>
          <w:p w14:paraId="1E1187FB" w14:textId="77777777" w:rsidR="00B5369A" w:rsidRPr="006645DC" w:rsidRDefault="00B5369A" w:rsidP="00B5369A">
            <w:pPr>
              <w:keepNext/>
              <w:keepLines/>
              <w:spacing w:before="0" w:after="0"/>
              <w:jc w:val="right"/>
              <w:outlineLvl w:val="1"/>
              <w:rPr>
                <w:rFonts w:cstheme="minorHAnsi"/>
                <w:lang w:val="en-GB" w:eastAsia="hu-HU"/>
              </w:rPr>
            </w:pPr>
            <w:bookmarkStart w:id="1629" w:name="_Toc376199785"/>
            <w:r w:rsidRPr="006645DC">
              <w:rPr>
                <w:rFonts w:cstheme="minorHAnsi"/>
                <w:lang w:val="en-GB" w:eastAsia="hu-HU"/>
              </w:rPr>
              <w:t>151,974</w:t>
            </w:r>
            <w:bookmarkEnd w:id="1629"/>
          </w:p>
        </w:tc>
        <w:tc>
          <w:tcPr>
            <w:tcW w:w="1088" w:type="dxa"/>
            <w:noWrap/>
            <w:vAlign w:val="center"/>
          </w:tcPr>
          <w:p w14:paraId="219A66FA" w14:textId="77777777" w:rsidR="00B5369A" w:rsidRPr="006645DC" w:rsidRDefault="00B5369A" w:rsidP="00B5369A">
            <w:pPr>
              <w:keepNext/>
              <w:keepLines/>
              <w:spacing w:before="0" w:after="0"/>
              <w:jc w:val="right"/>
              <w:outlineLvl w:val="1"/>
              <w:rPr>
                <w:rFonts w:cstheme="minorHAnsi"/>
                <w:lang w:val="en-GB" w:eastAsia="hu-HU"/>
              </w:rPr>
            </w:pPr>
            <w:bookmarkStart w:id="1630" w:name="_Toc376199786"/>
            <w:r w:rsidRPr="006645DC">
              <w:rPr>
                <w:rFonts w:cstheme="minorHAnsi"/>
                <w:lang w:val="en-GB" w:eastAsia="hu-HU"/>
              </w:rPr>
              <w:t>150,294</w:t>
            </w:r>
            <w:bookmarkEnd w:id="1630"/>
          </w:p>
        </w:tc>
        <w:tc>
          <w:tcPr>
            <w:tcW w:w="1088" w:type="dxa"/>
            <w:vAlign w:val="center"/>
          </w:tcPr>
          <w:p w14:paraId="3B6D408A" w14:textId="77777777" w:rsidR="00B5369A" w:rsidRPr="006645DC" w:rsidRDefault="00B5369A" w:rsidP="00B5369A">
            <w:pPr>
              <w:keepNext/>
              <w:keepLines/>
              <w:spacing w:before="0" w:after="0"/>
              <w:jc w:val="right"/>
              <w:outlineLvl w:val="1"/>
              <w:rPr>
                <w:rFonts w:cstheme="minorHAnsi"/>
                <w:lang w:val="en-GB" w:eastAsia="hu-HU"/>
              </w:rPr>
            </w:pPr>
            <w:bookmarkStart w:id="1631" w:name="_Toc376199787"/>
            <w:r w:rsidRPr="006645DC">
              <w:rPr>
                <w:rFonts w:cstheme="minorHAnsi"/>
                <w:lang w:val="en-GB" w:eastAsia="hu-HU"/>
              </w:rPr>
              <w:t>152,08</w:t>
            </w:r>
            <w:bookmarkEnd w:id="1631"/>
          </w:p>
        </w:tc>
        <w:tc>
          <w:tcPr>
            <w:tcW w:w="1088" w:type="dxa"/>
            <w:vAlign w:val="center"/>
          </w:tcPr>
          <w:p w14:paraId="6951BF0E" w14:textId="77777777" w:rsidR="00B5369A" w:rsidRPr="006645DC" w:rsidRDefault="00B5369A" w:rsidP="00B5369A">
            <w:pPr>
              <w:keepNext/>
              <w:keepLines/>
              <w:spacing w:before="0" w:after="0"/>
              <w:jc w:val="right"/>
              <w:outlineLvl w:val="1"/>
              <w:rPr>
                <w:rFonts w:cstheme="minorHAnsi"/>
                <w:lang w:val="en-GB" w:eastAsia="hu-HU"/>
              </w:rPr>
            </w:pPr>
            <w:bookmarkStart w:id="1632" w:name="_Toc376199788"/>
            <w:r w:rsidRPr="006645DC">
              <w:rPr>
                <w:rFonts w:cstheme="minorHAnsi"/>
                <w:lang w:val="en-GB" w:eastAsia="hu-HU"/>
              </w:rPr>
              <w:t>144,3</w:t>
            </w:r>
            <w:bookmarkEnd w:id="1632"/>
          </w:p>
        </w:tc>
      </w:tr>
    </w:tbl>
    <w:p w14:paraId="34B92B64" w14:textId="77777777" w:rsidR="00B5369A" w:rsidRPr="006645DC" w:rsidRDefault="00B5369A" w:rsidP="00B5369A">
      <w:pPr>
        <w:pStyle w:val="Caption"/>
        <w:rPr>
          <w:lang w:val="en-GB"/>
        </w:rPr>
      </w:pPr>
      <w:bookmarkStart w:id="1633" w:name="_Toc391150138"/>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41</w:t>
      </w:r>
      <w:r w:rsidR="005979EB" w:rsidRPr="006645DC">
        <w:rPr>
          <w:lang w:val="en-GB"/>
        </w:rPr>
        <w:fldChar w:fldCharType="end"/>
      </w:r>
      <w:r w:rsidRPr="006645DC">
        <w:rPr>
          <w:lang w:val="en-GB"/>
        </w:rPr>
        <w:t xml:space="preserve"> - Energy intensity</w:t>
      </w:r>
      <w:r w:rsidRPr="006645DC">
        <w:rPr>
          <w:rStyle w:val="FootnoteReference"/>
          <w:i w:val="0"/>
          <w:lang w:val="en-GB"/>
        </w:rPr>
        <w:footnoteReference w:id="39"/>
      </w:r>
      <w:r w:rsidRPr="006645DC">
        <w:rPr>
          <w:lang w:val="en-GB"/>
        </w:rPr>
        <w:t xml:space="preserve"> (kilogram of oil equivalent /1000 Euro)</w:t>
      </w:r>
      <w:bookmarkEnd w:id="1633"/>
    </w:p>
    <w:p w14:paraId="3EC26356" w14:textId="77777777" w:rsidR="00B5369A" w:rsidRPr="006645DC" w:rsidRDefault="00B5369A" w:rsidP="00B5369A">
      <w:pPr>
        <w:pStyle w:val="Heading4"/>
        <w:rPr>
          <w:lang w:val="en-GB"/>
        </w:rPr>
      </w:pPr>
      <w:r w:rsidRPr="006645DC">
        <w:rPr>
          <w:lang w:val="en-GB"/>
        </w:rPr>
        <w:t>source: Eurostat</w:t>
      </w:r>
    </w:p>
    <w:p w14:paraId="4269B175" w14:textId="77777777" w:rsidR="00B5369A" w:rsidRPr="006645DC" w:rsidRDefault="00B5369A" w:rsidP="00B5369A">
      <w:pPr>
        <w:rPr>
          <w:lang w:val="en-GB"/>
        </w:rPr>
      </w:pPr>
      <w:r w:rsidRPr="006645DC">
        <w:rPr>
          <w:lang w:val="en-GB"/>
        </w:rPr>
        <w:t xml:space="preserve">In both Romania and Bulgaria the economy is characterised by high energy intensity compared to the European level. This represents a major risk factor for the competitiveness of the national economy. However, high level of energy intensity shows that there is a significant potential for </w:t>
      </w:r>
      <w:r w:rsidRPr="006645DC">
        <w:rPr>
          <w:lang w:val="en-GB"/>
        </w:rPr>
        <w:lastRenderedPageBreak/>
        <w:t>reduction in both countries through energy efficiency measures that can become a factor for fostering economic growth.</w:t>
      </w:r>
    </w:p>
    <w:p w14:paraId="6BC9BFD3" w14:textId="77777777" w:rsidR="00B5369A" w:rsidRPr="006645DC" w:rsidRDefault="00B5369A" w:rsidP="00B5369A">
      <w:pPr>
        <w:pStyle w:val="Heading2"/>
        <w:numPr>
          <w:ilvl w:val="0"/>
          <w:numId w:val="2"/>
        </w:numPr>
        <w:rPr>
          <w:lang w:val="en-GB"/>
        </w:rPr>
      </w:pPr>
      <w:bookmarkStart w:id="1634" w:name="_Toc371105803"/>
      <w:bookmarkStart w:id="1635" w:name="_Toc371284518"/>
      <w:bookmarkStart w:id="1636" w:name="_Toc376199789"/>
      <w:bookmarkStart w:id="1637" w:name="_Toc254543823"/>
      <w:bookmarkStart w:id="1638" w:name="_Toc391150198"/>
      <w:r w:rsidRPr="006645DC">
        <w:rPr>
          <w:lang w:val="en-GB"/>
        </w:rPr>
        <w:t>Energy dependence</w:t>
      </w:r>
      <w:bookmarkEnd w:id="1634"/>
      <w:bookmarkEnd w:id="1635"/>
      <w:bookmarkEnd w:id="1636"/>
      <w:bookmarkEnd w:id="1637"/>
      <w:bookmarkEnd w:id="1638"/>
    </w:p>
    <w:tbl>
      <w:tblPr>
        <w:tblW w:w="7750" w:type="dxa"/>
        <w:jc w:val="center"/>
        <w:tblCellMar>
          <w:left w:w="70" w:type="dxa"/>
          <w:right w:w="70" w:type="dxa"/>
        </w:tblCellMar>
        <w:tblLook w:val="04A0" w:firstRow="1" w:lastRow="0" w:firstColumn="1" w:lastColumn="0" w:noHBand="0" w:noVBand="1"/>
      </w:tblPr>
      <w:tblGrid>
        <w:gridCol w:w="2950"/>
        <w:gridCol w:w="960"/>
        <w:gridCol w:w="960"/>
        <w:gridCol w:w="960"/>
        <w:gridCol w:w="960"/>
        <w:gridCol w:w="960"/>
      </w:tblGrid>
      <w:tr w:rsidR="00B5369A" w:rsidRPr="006645DC" w14:paraId="33234269" w14:textId="77777777" w:rsidTr="00F521CE">
        <w:trPr>
          <w:trHeight w:val="300"/>
          <w:jc w:val="center"/>
        </w:trPr>
        <w:tc>
          <w:tcPr>
            <w:tcW w:w="29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D0F831" w14:textId="77777777" w:rsidR="00B5369A" w:rsidRPr="006645DC" w:rsidRDefault="00B5369A" w:rsidP="00F521CE">
            <w:pPr>
              <w:spacing w:before="0" w:after="0"/>
              <w:jc w:val="center"/>
              <w:rPr>
                <w:rFonts w:cstheme="minorHAnsi"/>
                <w:color w:val="000000"/>
                <w:lang w:val="en-GB" w:eastAsia="hu-HU"/>
              </w:rPr>
            </w:pP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CCE3111" w14:textId="77777777" w:rsidR="00B5369A" w:rsidRPr="006645DC" w:rsidRDefault="00B5369A" w:rsidP="00F521CE">
            <w:pPr>
              <w:spacing w:before="0" w:after="0"/>
              <w:jc w:val="center"/>
              <w:rPr>
                <w:rFonts w:cstheme="minorHAnsi"/>
                <w:b/>
                <w:bCs/>
                <w:color w:val="000000"/>
                <w:lang w:val="en-GB" w:eastAsia="hu-HU"/>
              </w:rPr>
            </w:pPr>
            <w:r w:rsidRPr="006645DC">
              <w:rPr>
                <w:rFonts w:cstheme="minorHAnsi"/>
                <w:b/>
                <w:bCs/>
                <w:color w:val="000000"/>
                <w:lang w:val="en-GB" w:eastAsia="hu-HU"/>
              </w:rPr>
              <w:t>2007</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D3D14AA" w14:textId="77777777" w:rsidR="00B5369A" w:rsidRPr="006645DC" w:rsidRDefault="00B5369A" w:rsidP="00F521CE">
            <w:pPr>
              <w:spacing w:before="0" w:after="0"/>
              <w:jc w:val="center"/>
              <w:rPr>
                <w:rFonts w:cstheme="minorHAnsi"/>
                <w:b/>
                <w:bCs/>
                <w:color w:val="000000"/>
                <w:lang w:val="en-GB" w:eastAsia="hu-HU"/>
              </w:rPr>
            </w:pPr>
            <w:r w:rsidRPr="006645DC">
              <w:rPr>
                <w:rFonts w:cstheme="minorHAnsi"/>
                <w:b/>
                <w:bCs/>
                <w:color w:val="000000"/>
                <w:lang w:val="en-GB" w:eastAsia="hu-HU"/>
              </w:rPr>
              <w:t>2008</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B4EC681" w14:textId="77777777" w:rsidR="00B5369A" w:rsidRPr="006645DC" w:rsidRDefault="00B5369A" w:rsidP="00F521CE">
            <w:pPr>
              <w:spacing w:before="0" w:after="0"/>
              <w:jc w:val="center"/>
              <w:rPr>
                <w:rFonts w:cstheme="minorHAnsi"/>
                <w:b/>
                <w:bCs/>
                <w:color w:val="000000"/>
                <w:lang w:val="en-GB" w:eastAsia="hu-HU"/>
              </w:rPr>
            </w:pPr>
            <w:r w:rsidRPr="006645DC">
              <w:rPr>
                <w:rFonts w:cstheme="minorHAnsi"/>
                <w:b/>
                <w:bCs/>
                <w:color w:val="000000"/>
                <w:lang w:val="en-GB" w:eastAsia="hu-HU"/>
              </w:rPr>
              <w:t>2009</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8220960" w14:textId="77777777" w:rsidR="00B5369A" w:rsidRPr="006645DC" w:rsidRDefault="00B5369A" w:rsidP="00F521CE">
            <w:pPr>
              <w:spacing w:before="0" w:after="0"/>
              <w:jc w:val="center"/>
              <w:rPr>
                <w:rFonts w:cstheme="minorHAnsi"/>
                <w:b/>
                <w:bCs/>
                <w:color w:val="000000"/>
                <w:lang w:val="en-GB" w:eastAsia="hu-HU"/>
              </w:rPr>
            </w:pPr>
            <w:r w:rsidRPr="006645DC">
              <w:rPr>
                <w:rFonts w:cstheme="minorHAnsi"/>
                <w:b/>
                <w:bCs/>
                <w:color w:val="000000"/>
                <w:lang w:val="en-GB" w:eastAsia="hu-HU"/>
              </w:rPr>
              <w:t>2010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CCE586E" w14:textId="77777777" w:rsidR="00B5369A" w:rsidRPr="006645DC" w:rsidRDefault="00B5369A" w:rsidP="00F521CE">
            <w:pPr>
              <w:spacing w:before="0" w:after="0"/>
              <w:jc w:val="center"/>
              <w:rPr>
                <w:rFonts w:cstheme="minorHAnsi"/>
                <w:b/>
                <w:bCs/>
                <w:color w:val="000000"/>
                <w:lang w:val="en-GB" w:eastAsia="hu-HU"/>
              </w:rPr>
            </w:pPr>
            <w:r w:rsidRPr="006645DC">
              <w:rPr>
                <w:rFonts w:cstheme="minorHAnsi"/>
                <w:b/>
                <w:bCs/>
                <w:color w:val="000000"/>
                <w:lang w:val="en-GB" w:eastAsia="hu-HU"/>
              </w:rPr>
              <w:t>2011</w:t>
            </w:r>
          </w:p>
        </w:tc>
      </w:tr>
      <w:tr w:rsidR="00B5369A" w:rsidRPr="006645DC" w14:paraId="20211C74" w14:textId="77777777" w:rsidTr="00F521CE">
        <w:trPr>
          <w:trHeight w:val="300"/>
          <w:jc w:val="center"/>
        </w:trPr>
        <w:tc>
          <w:tcPr>
            <w:tcW w:w="775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AB796CD" w14:textId="77777777" w:rsidR="00B5369A" w:rsidRPr="006645DC" w:rsidRDefault="00B5369A" w:rsidP="00F521CE">
            <w:pPr>
              <w:spacing w:before="0" w:after="0"/>
              <w:jc w:val="left"/>
              <w:rPr>
                <w:rFonts w:cstheme="minorHAnsi"/>
                <w:b/>
                <w:bCs/>
                <w:color w:val="000000"/>
                <w:lang w:val="en-GB" w:eastAsia="hu-HU"/>
              </w:rPr>
            </w:pPr>
            <w:r w:rsidRPr="006645DC">
              <w:rPr>
                <w:rFonts w:cstheme="minorHAnsi"/>
                <w:b/>
                <w:bCs/>
                <w:color w:val="000000"/>
                <w:lang w:val="en-GB" w:eastAsia="hu-HU"/>
              </w:rPr>
              <w:t>Romania</w:t>
            </w:r>
          </w:p>
        </w:tc>
      </w:tr>
      <w:tr w:rsidR="00B5369A" w:rsidRPr="006645DC" w14:paraId="2F3341EB" w14:textId="77777777" w:rsidTr="00F521CE">
        <w:trPr>
          <w:trHeight w:val="315"/>
          <w:jc w:val="center"/>
        </w:trPr>
        <w:tc>
          <w:tcPr>
            <w:tcW w:w="2950"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314D49C9"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39" w:name="_Toc376199790"/>
            <w:r w:rsidRPr="006645DC">
              <w:rPr>
                <w:rFonts w:cstheme="minorHAnsi"/>
                <w:color w:val="000000"/>
                <w:lang w:val="en-GB" w:eastAsia="hu-HU"/>
              </w:rPr>
              <w:t>All products</w:t>
            </w:r>
            <w:bookmarkEnd w:id="1639"/>
          </w:p>
        </w:tc>
        <w:tc>
          <w:tcPr>
            <w:tcW w:w="960" w:type="dxa"/>
            <w:tcBorders>
              <w:top w:val="single" w:sz="4" w:space="0" w:color="auto"/>
              <w:left w:val="nil"/>
              <w:bottom w:val="single" w:sz="12" w:space="0" w:color="auto"/>
              <w:right w:val="single" w:sz="4" w:space="0" w:color="auto"/>
            </w:tcBorders>
            <w:shd w:val="clear" w:color="auto" w:fill="auto"/>
            <w:vAlign w:val="center"/>
            <w:hideMark/>
          </w:tcPr>
          <w:p w14:paraId="7D146DF8"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40" w:name="_Toc376199791"/>
            <w:r w:rsidRPr="006645DC">
              <w:rPr>
                <w:rFonts w:cstheme="minorHAnsi"/>
                <w:color w:val="000000"/>
                <w:lang w:val="en-GB" w:eastAsia="hu-HU"/>
              </w:rPr>
              <w:t>31.5</w:t>
            </w:r>
            <w:bookmarkEnd w:id="1640"/>
          </w:p>
        </w:tc>
        <w:tc>
          <w:tcPr>
            <w:tcW w:w="960" w:type="dxa"/>
            <w:tcBorders>
              <w:top w:val="single" w:sz="4" w:space="0" w:color="auto"/>
              <w:left w:val="nil"/>
              <w:bottom w:val="single" w:sz="12" w:space="0" w:color="auto"/>
              <w:right w:val="single" w:sz="4" w:space="0" w:color="auto"/>
            </w:tcBorders>
            <w:shd w:val="clear" w:color="auto" w:fill="auto"/>
            <w:vAlign w:val="center"/>
            <w:hideMark/>
          </w:tcPr>
          <w:p w14:paraId="13CBCE04"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41" w:name="_Toc376199792"/>
            <w:r w:rsidRPr="006645DC">
              <w:rPr>
                <w:rFonts w:cstheme="minorHAnsi"/>
                <w:color w:val="000000"/>
                <w:lang w:val="en-GB" w:eastAsia="hu-HU"/>
              </w:rPr>
              <w:t>27.7</w:t>
            </w:r>
            <w:bookmarkEnd w:id="1641"/>
          </w:p>
        </w:tc>
        <w:tc>
          <w:tcPr>
            <w:tcW w:w="960" w:type="dxa"/>
            <w:tcBorders>
              <w:top w:val="single" w:sz="4" w:space="0" w:color="auto"/>
              <w:left w:val="nil"/>
              <w:bottom w:val="single" w:sz="12" w:space="0" w:color="auto"/>
              <w:right w:val="single" w:sz="4" w:space="0" w:color="auto"/>
            </w:tcBorders>
            <w:shd w:val="clear" w:color="auto" w:fill="auto"/>
            <w:vAlign w:val="center"/>
            <w:hideMark/>
          </w:tcPr>
          <w:p w14:paraId="0CAB19F1"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42" w:name="_Toc376199793"/>
            <w:r w:rsidRPr="006645DC">
              <w:rPr>
                <w:rFonts w:cstheme="minorHAnsi"/>
                <w:color w:val="000000"/>
                <w:lang w:val="en-GB" w:eastAsia="hu-HU"/>
              </w:rPr>
              <w:t>20.2</w:t>
            </w:r>
            <w:bookmarkEnd w:id="1642"/>
          </w:p>
        </w:tc>
        <w:tc>
          <w:tcPr>
            <w:tcW w:w="960" w:type="dxa"/>
            <w:tcBorders>
              <w:top w:val="single" w:sz="4" w:space="0" w:color="auto"/>
              <w:left w:val="nil"/>
              <w:bottom w:val="single" w:sz="12" w:space="0" w:color="auto"/>
              <w:right w:val="single" w:sz="4" w:space="0" w:color="auto"/>
            </w:tcBorders>
            <w:shd w:val="clear" w:color="auto" w:fill="auto"/>
            <w:vAlign w:val="center"/>
            <w:hideMark/>
          </w:tcPr>
          <w:p w14:paraId="1B0EE5A8"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43" w:name="_Toc376199794"/>
            <w:r w:rsidRPr="006645DC">
              <w:rPr>
                <w:rFonts w:cstheme="minorHAnsi"/>
                <w:color w:val="000000"/>
                <w:lang w:val="en-GB" w:eastAsia="hu-HU"/>
              </w:rPr>
              <w:t>21.7</w:t>
            </w:r>
            <w:bookmarkEnd w:id="1643"/>
          </w:p>
        </w:tc>
        <w:tc>
          <w:tcPr>
            <w:tcW w:w="960" w:type="dxa"/>
            <w:tcBorders>
              <w:top w:val="single" w:sz="4" w:space="0" w:color="auto"/>
              <w:left w:val="nil"/>
              <w:bottom w:val="single" w:sz="12" w:space="0" w:color="auto"/>
              <w:right w:val="single" w:sz="4" w:space="0" w:color="auto"/>
            </w:tcBorders>
            <w:shd w:val="clear" w:color="auto" w:fill="auto"/>
            <w:vAlign w:val="center"/>
            <w:hideMark/>
          </w:tcPr>
          <w:p w14:paraId="258D0CDD"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44" w:name="_Toc376199795"/>
            <w:r w:rsidRPr="006645DC">
              <w:rPr>
                <w:rFonts w:cstheme="minorHAnsi"/>
                <w:color w:val="000000"/>
                <w:lang w:val="en-GB" w:eastAsia="hu-HU"/>
              </w:rPr>
              <w:t>21.3</w:t>
            </w:r>
            <w:bookmarkEnd w:id="1644"/>
          </w:p>
        </w:tc>
      </w:tr>
      <w:tr w:rsidR="00B5369A" w:rsidRPr="006645DC" w14:paraId="1F734DE6" w14:textId="77777777" w:rsidTr="00F521CE">
        <w:trPr>
          <w:trHeight w:val="300"/>
          <w:jc w:val="center"/>
        </w:trPr>
        <w:tc>
          <w:tcPr>
            <w:tcW w:w="295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5C74A0B9"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45" w:name="_Toc376199796"/>
            <w:r w:rsidRPr="006645DC">
              <w:rPr>
                <w:rFonts w:cstheme="minorHAnsi"/>
                <w:color w:val="000000"/>
                <w:lang w:val="en-GB" w:eastAsia="hu-HU"/>
              </w:rPr>
              <w:t>Hard coal and derivatives</w:t>
            </w:r>
            <w:bookmarkEnd w:id="1645"/>
          </w:p>
        </w:tc>
        <w:tc>
          <w:tcPr>
            <w:tcW w:w="960" w:type="dxa"/>
            <w:tcBorders>
              <w:top w:val="single" w:sz="12" w:space="0" w:color="auto"/>
              <w:left w:val="nil"/>
              <w:bottom w:val="single" w:sz="4" w:space="0" w:color="auto"/>
              <w:right w:val="single" w:sz="4" w:space="0" w:color="auto"/>
            </w:tcBorders>
            <w:shd w:val="clear" w:color="auto" w:fill="auto"/>
            <w:vAlign w:val="center"/>
            <w:hideMark/>
          </w:tcPr>
          <w:p w14:paraId="0146B692"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46" w:name="_Toc376199797"/>
            <w:r w:rsidRPr="006645DC">
              <w:rPr>
                <w:rFonts w:cstheme="minorHAnsi"/>
                <w:color w:val="000000"/>
                <w:lang w:val="en-GB" w:eastAsia="hu-HU"/>
              </w:rPr>
              <w:t>97.4</w:t>
            </w:r>
            <w:bookmarkEnd w:id="1646"/>
          </w:p>
        </w:tc>
        <w:tc>
          <w:tcPr>
            <w:tcW w:w="960" w:type="dxa"/>
            <w:tcBorders>
              <w:top w:val="single" w:sz="12" w:space="0" w:color="auto"/>
              <w:left w:val="nil"/>
              <w:bottom w:val="single" w:sz="4" w:space="0" w:color="auto"/>
              <w:right w:val="single" w:sz="4" w:space="0" w:color="auto"/>
            </w:tcBorders>
            <w:shd w:val="clear" w:color="auto" w:fill="auto"/>
            <w:vAlign w:val="center"/>
            <w:hideMark/>
          </w:tcPr>
          <w:p w14:paraId="10D6BEF5"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47" w:name="_Toc376199798"/>
            <w:r w:rsidRPr="006645DC">
              <w:rPr>
                <w:rFonts w:cstheme="minorHAnsi"/>
                <w:color w:val="000000"/>
                <w:lang w:val="en-GB" w:eastAsia="hu-HU"/>
              </w:rPr>
              <w:t>99.5</w:t>
            </w:r>
            <w:bookmarkEnd w:id="1647"/>
          </w:p>
        </w:tc>
        <w:tc>
          <w:tcPr>
            <w:tcW w:w="960" w:type="dxa"/>
            <w:tcBorders>
              <w:top w:val="single" w:sz="12" w:space="0" w:color="auto"/>
              <w:left w:val="nil"/>
              <w:bottom w:val="single" w:sz="4" w:space="0" w:color="auto"/>
              <w:right w:val="single" w:sz="4" w:space="0" w:color="auto"/>
            </w:tcBorders>
            <w:shd w:val="clear" w:color="auto" w:fill="auto"/>
            <w:vAlign w:val="center"/>
            <w:hideMark/>
          </w:tcPr>
          <w:p w14:paraId="19686E29"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48" w:name="_Toc376199799"/>
            <w:r w:rsidRPr="006645DC">
              <w:rPr>
                <w:rFonts w:cstheme="minorHAnsi"/>
                <w:color w:val="000000"/>
                <w:lang w:val="en-GB" w:eastAsia="hu-HU"/>
              </w:rPr>
              <w:t>90.1</w:t>
            </w:r>
            <w:bookmarkEnd w:id="1648"/>
          </w:p>
        </w:tc>
        <w:tc>
          <w:tcPr>
            <w:tcW w:w="960" w:type="dxa"/>
            <w:tcBorders>
              <w:top w:val="single" w:sz="12" w:space="0" w:color="auto"/>
              <w:left w:val="nil"/>
              <w:bottom w:val="single" w:sz="4" w:space="0" w:color="auto"/>
              <w:right w:val="single" w:sz="4" w:space="0" w:color="auto"/>
            </w:tcBorders>
            <w:shd w:val="clear" w:color="auto" w:fill="auto"/>
            <w:vAlign w:val="center"/>
            <w:hideMark/>
          </w:tcPr>
          <w:p w14:paraId="5656DFDD"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49" w:name="_Toc376199800"/>
            <w:r w:rsidRPr="006645DC">
              <w:rPr>
                <w:rFonts w:cstheme="minorHAnsi"/>
                <w:color w:val="000000"/>
                <w:lang w:val="en-GB" w:eastAsia="hu-HU"/>
              </w:rPr>
              <w:t>104.6</w:t>
            </w:r>
            <w:bookmarkEnd w:id="1649"/>
          </w:p>
        </w:tc>
        <w:tc>
          <w:tcPr>
            <w:tcW w:w="960" w:type="dxa"/>
            <w:tcBorders>
              <w:top w:val="single" w:sz="12" w:space="0" w:color="auto"/>
              <w:left w:val="nil"/>
              <w:bottom w:val="single" w:sz="4" w:space="0" w:color="auto"/>
              <w:right w:val="single" w:sz="4" w:space="0" w:color="auto"/>
            </w:tcBorders>
            <w:shd w:val="clear" w:color="auto" w:fill="auto"/>
            <w:vAlign w:val="center"/>
            <w:hideMark/>
          </w:tcPr>
          <w:p w14:paraId="5DD715FC"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50" w:name="_Toc376199801"/>
            <w:r w:rsidRPr="006645DC">
              <w:rPr>
                <w:rFonts w:cstheme="minorHAnsi"/>
                <w:color w:val="000000"/>
                <w:lang w:val="en-GB" w:eastAsia="hu-HU"/>
              </w:rPr>
              <w:t>92.2</w:t>
            </w:r>
            <w:bookmarkEnd w:id="1650"/>
          </w:p>
        </w:tc>
      </w:tr>
      <w:tr w:rsidR="00B5369A" w:rsidRPr="006645DC" w14:paraId="3CD1AB9C" w14:textId="77777777" w:rsidTr="00F521CE">
        <w:trPr>
          <w:trHeight w:val="300"/>
          <w:jc w:val="center"/>
        </w:trPr>
        <w:tc>
          <w:tcPr>
            <w:tcW w:w="2950" w:type="dxa"/>
            <w:tcBorders>
              <w:top w:val="nil"/>
              <w:left w:val="single" w:sz="4" w:space="0" w:color="auto"/>
              <w:bottom w:val="single" w:sz="4" w:space="0" w:color="auto"/>
              <w:right w:val="single" w:sz="4" w:space="0" w:color="auto"/>
            </w:tcBorders>
            <w:shd w:val="clear" w:color="auto" w:fill="auto"/>
            <w:noWrap/>
            <w:vAlign w:val="center"/>
            <w:hideMark/>
          </w:tcPr>
          <w:p w14:paraId="258032DE"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51" w:name="_Toc376199802"/>
            <w:r w:rsidRPr="006645DC">
              <w:rPr>
                <w:rFonts w:cstheme="minorHAnsi"/>
                <w:color w:val="000000"/>
                <w:lang w:val="en-GB" w:eastAsia="hu-HU"/>
              </w:rPr>
              <w:t>Total petroleum products</w:t>
            </w:r>
            <w:bookmarkEnd w:id="1651"/>
          </w:p>
        </w:tc>
        <w:tc>
          <w:tcPr>
            <w:tcW w:w="960" w:type="dxa"/>
            <w:tcBorders>
              <w:top w:val="nil"/>
              <w:left w:val="nil"/>
              <w:bottom w:val="single" w:sz="4" w:space="0" w:color="auto"/>
              <w:right w:val="single" w:sz="4" w:space="0" w:color="auto"/>
            </w:tcBorders>
            <w:shd w:val="clear" w:color="auto" w:fill="auto"/>
            <w:vAlign w:val="center"/>
            <w:hideMark/>
          </w:tcPr>
          <w:p w14:paraId="422C3EF9"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52" w:name="_Toc376199803"/>
            <w:r w:rsidRPr="006645DC">
              <w:rPr>
                <w:rFonts w:cstheme="minorHAnsi"/>
                <w:color w:val="000000"/>
                <w:lang w:val="en-GB" w:eastAsia="hu-HU"/>
              </w:rPr>
              <w:t>51.2</w:t>
            </w:r>
            <w:bookmarkEnd w:id="1652"/>
          </w:p>
        </w:tc>
        <w:tc>
          <w:tcPr>
            <w:tcW w:w="960" w:type="dxa"/>
            <w:tcBorders>
              <w:top w:val="nil"/>
              <w:left w:val="nil"/>
              <w:bottom w:val="single" w:sz="4" w:space="0" w:color="auto"/>
              <w:right w:val="single" w:sz="4" w:space="0" w:color="auto"/>
            </w:tcBorders>
            <w:shd w:val="clear" w:color="auto" w:fill="auto"/>
            <w:vAlign w:val="center"/>
            <w:hideMark/>
          </w:tcPr>
          <w:p w14:paraId="3678A582"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53" w:name="_Toc376199804"/>
            <w:r w:rsidRPr="006645DC">
              <w:rPr>
                <w:rFonts w:cstheme="minorHAnsi"/>
                <w:color w:val="000000"/>
                <w:lang w:val="en-GB" w:eastAsia="hu-HU"/>
              </w:rPr>
              <w:t>51.5</w:t>
            </w:r>
            <w:bookmarkEnd w:id="1653"/>
          </w:p>
        </w:tc>
        <w:tc>
          <w:tcPr>
            <w:tcW w:w="960" w:type="dxa"/>
            <w:tcBorders>
              <w:top w:val="nil"/>
              <w:left w:val="nil"/>
              <w:bottom w:val="single" w:sz="4" w:space="0" w:color="auto"/>
              <w:right w:val="single" w:sz="4" w:space="0" w:color="auto"/>
            </w:tcBorders>
            <w:shd w:val="clear" w:color="auto" w:fill="auto"/>
            <w:vAlign w:val="center"/>
            <w:hideMark/>
          </w:tcPr>
          <w:p w14:paraId="4D7237E7"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54" w:name="_Toc376199805"/>
            <w:r w:rsidRPr="006645DC">
              <w:rPr>
                <w:rFonts w:cstheme="minorHAnsi"/>
                <w:color w:val="000000"/>
                <w:lang w:val="en-GB" w:eastAsia="hu-HU"/>
              </w:rPr>
              <w:t>51.1</w:t>
            </w:r>
            <w:bookmarkEnd w:id="1654"/>
          </w:p>
        </w:tc>
        <w:tc>
          <w:tcPr>
            <w:tcW w:w="960" w:type="dxa"/>
            <w:tcBorders>
              <w:top w:val="nil"/>
              <w:left w:val="nil"/>
              <w:bottom w:val="single" w:sz="4" w:space="0" w:color="auto"/>
              <w:right w:val="single" w:sz="4" w:space="0" w:color="auto"/>
            </w:tcBorders>
            <w:shd w:val="clear" w:color="auto" w:fill="auto"/>
            <w:vAlign w:val="center"/>
            <w:hideMark/>
          </w:tcPr>
          <w:p w14:paraId="31D7844B"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55" w:name="_Toc376199806"/>
            <w:r w:rsidRPr="006645DC">
              <w:rPr>
                <w:rFonts w:cstheme="minorHAnsi"/>
                <w:color w:val="000000"/>
                <w:lang w:val="en-GB" w:eastAsia="hu-HU"/>
              </w:rPr>
              <w:t>51.7</w:t>
            </w:r>
            <w:bookmarkEnd w:id="1655"/>
          </w:p>
        </w:tc>
        <w:tc>
          <w:tcPr>
            <w:tcW w:w="960" w:type="dxa"/>
            <w:tcBorders>
              <w:top w:val="nil"/>
              <w:left w:val="nil"/>
              <w:bottom w:val="single" w:sz="4" w:space="0" w:color="auto"/>
              <w:right w:val="single" w:sz="4" w:space="0" w:color="auto"/>
            </w:tcBorders>
            <w:shd w:val="clear" w:color="auto" w:fill="auto"/>
            <w:vAlign w:val="center"/>
            <w:hideMark/>
          </w:tcPr>
          <w:p w14:paraId="33FAEFE3"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56" w:name="_Toc376199807"/>
            <w:r w:rsidRPr="006645DC">
              <w:rPr>
                <w:rFonts w:cstheme="minorHAnsi"/>
                <w:color w:val="000000"/>
                <w:lang w:val="en-GB" w:eastAsia="hu-HU"/>
              </w:rPr>
              <w:t>46.6</w:t>
            </w:r>
            <w:bookmarkEnd w:id="1656"/>
          </w:p>
        </w:tc>
      </w:tr>
      <w:tr w:rsidR="00B5369A" w:rsidRPr="006645DC" w14:paraId="693374B9" w14:textId="77777777" w:rsidTr="00F521CE">
        <w:trPr>
          <w:trHeight w:val="300"/>
          <w:jc w:val="center"/>
        </w:trPr>
        <w:tc>
          <w:tcPr>
            <w:tcW w:w="2950" w:type="dxa"/>
            <w:tcBorders>
              <w:top w:val="nil"/>
              <w:left w:val="single" w:sz="4" w:space="0" w:color="auto"/>
              <w:bottom w:val="single" w:sz="4" w:space="0" w:color="auto"/>
              <w:right w:val="single" w:sz="4" w:space="0" w:color="auto"/>
            </w:tcBorders>
            <w:shd w:val="clear" w:color="auto" w:fill="auto"/>
            <w:noWrap/>
            <w:vAlign w:val="center"/>
            <w:hideMark/>
          </w:tcPr>
          <w:p w14:paraId="52B158D6"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57" w:name="_Toc376199808"/>
            <w:r w:rsidRPr="006645DC">
              <w:rPr>
                <w:rFonts w:cstheme="minorHAnsi"/>
                <w:color w:val="000000"/>
                <w:lang w:val="en-GB" w:eastAsia="hu-HU"/>
              </w:rPr>
              <w:t>Natural gas</w:t>
            </w:r>
            <w:bookmarkEnd w:id="1657"/>
          </w:p>
        </w:tc>
        <w:tc>
          <w:tcPr>
            <w:tcW w:w="960" w:type="dxa"/>
            <w:tcBorders>
              <w:top w:val="nil"/>
              <w:left w:val="nil"/>
              <w:bottom w:val="single" w:sz="4" w:space="0" w:color="auto"/>
              <w:right w:val="single" w:sz="4" w:space="0" w:color="auto"/>
            </w:tcBorders>
            <w:shd w:val="clear" w:color="auto" w:fill="auto"/>
            <w:vAlign w:val="center"/>
            <w:hideMark/>
          </w:tcPr>
          <w:p w14:paraId="78A9E96C"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58" w:name="_Toc376199809"/>
            <w:r w:rsidRPr="006645DC">
              <w:rPr>
                <w:rFonts w:cstheme="minorHAnsi"/>
                <w:color w:val="000000"/>
                <w:lang w:val="en-GB" w:eastAsia="hu-HU"/>
              </w:rPr>
              <w:t>29.8</w:t>
            </w:r>
            <w:bookmarkEnd w:id="1658"/>
          </w:p>
        </w:tc>
        <w:tc>
          <w:tcPr>
            <w:tcW w:w="960" w:type="dxa"/>
            <w:tcBorders>
              <w:top w:val="nil"/>
              <w:left w:val="nil"/>
              <w:bottom w:val="single" w:sz="4" w:space="0" w:color="auto"/>
              <w:right w:val="single" w:sz="4" w:space="0" w:color="auto"/>
            </w:tcBorders>
            <w:shd w:val="clear" w:color="auto" w:fill="auto"/>
            <w:vAlign w:val="center"/>
            <w:hideMark/>
          </w:tcPr>
          <w:p w14:paraId="296CD2B7"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59" w:name="_Toc376199810"/>
            <w:r w:rsidRPr="006645DC">
              <w:rPr>
                <w:rFonts w:cstheme="minorHAnsi"/>
                <w:color w:val="000000"/>
                <w:lang w:val="en-GB" w:eastAsia="hu-HU"/>
              </w:rPr>
              <w:t>28.4</w:t>
            </w:r>
            <w:bookmarkEnd w:id="1659"/>
          </w:p>
        </w:tc>
        <w:tc>
          <w:tcPr>
            <w:tcW w:w="960" w:type="dxa"/>
            <w:tcBorders>
              <w:top w:val="nil"/>
              <w:left w:val="nil"/>
              <w:bottom w:val="single" w:sz="4" w:space="0" w:color="auto"/>
              <w:right w:val="single" w:sz="4" w:space="0" w:color="auto"/>
            </w:tcBorders>
            <w:shd w:val="clear" w:color="auto" w:fill="auto"/>
            <w:vAlign w:val="center"/>
            <w:hideMark/>
          </w:tcPr>
          <w:p w14:paraId="4EDC8155"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60" w:name="_Toc376199811"/>
            <w:r w:rsidRPr="006645DC">
              <w:rPr>
                <w:rFonts w:cstheme="minorHAnsi"/>
                <w:color w:val="000000"/>
                <w:lang w:val="en-GB" w:eastAsia="hu-HU"/>
              </w:rPr>
              <w:t>15.1</w:t>
            </w:r>
            <w:bookmarkEnd w:id="1660"/>
          </w:p>
        </w:tc>
        <w:tc>
          <w:tcPr>
            <w:tcW w:w="960" w:type="dxa"/>
            <w:tcBorders>
              <w:top w:val="nil"/>
              <w:left w:val="nil"/>
              <w:bottom w:val="single" w:sz="4" w:space="0" w:color="auto"/>
              <w:right w:val="single" w:sz="4" w:space="0" w:color="auto"/>
            </w:tcBorders>
            <w:shd w:val="clear" w:color="auto" w:fill="auto"/>
            <w:vAlign w:val="center"/>
            <w:hideMark/>
          </w:tcPr>
          <w:p w14:paraId="7C5A8553"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61" w:name="_Toc376199812"/>
            <w:r w:rsidRPr="006645DC">
              <w:rPr>
                <w:rFonts w:cstheme="minorHAnsi"/>
                <w:color w:val="000000"/>
                <w:lang w:val="en-GB" w:eastAsia="hu-HU"/>
              </w:rPr>
              <w:t>16.8</w:t>
            </w:r>
            <w:bookmarkEnd w:id="1661"/>
          </w:p>
        </w:tc>
        <w:tc>
          <w:tcPr>
            <w:tcW w:w="960" w:type="dxa"/>
            <w:tcBorders>
              <w:top w:val="nil"/>
              <w:left w:val="nil"/>
              <w:bottom w:val="single" w:sz="4" w:space="0" w:color="auto"/>
              <w:right w:val="single" w:sz="4" w:space="0" w:color="auto"/>
            </w:tcBorders>
            <w:shd w:val="clear" w:color="auto" w:fill="auto"/>
            <w:vAlign w:val="center"/>
            <w:hideMark/>
          </w:tcPr>
          <w:p w14:paraId="37B9AD20"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62" w:name="_Toc376199813"/>
            <w:r w:rsidRPr="006645DC">
              <w:rPr>
                <w:rFonts w:cstheme="minorHAnsi"/>
                <w:color w:val="000000"/>
                <w:lang w:val="en-GB" w:eastAsia="hu-HU"/>
              </w:rPr>
              <w:t>22.2</w:t>
            </w:r>
            <w:bookmarkEnd w:id="1662"/>
          </w:p>
        </w:tc>
      </w:tr>
      <w:tr w:rsidR="00B5369A" w:rsidRPr="006645DC" w14:paraId="21A7ED86" w14:textId="77777777" w:rsidTr="00F521CE">
        <w:trPr>
          <w:trHeight w:val="300"/>
          <w:jc w:val="center"/>
        </w:trPr>
        <w:tc>
          <w:tcPr>
            <w:tcW w:w="7750" w:type="dxa"/>
            <w:gridSpan w:val="6"/>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611BDB6" w14:textId="77777777" w:rsidR="00B5369A" w:rsidRPr="006645DC" w:rsidRDefault="00B5369A" w:rsidP="00F521CE">
            <w:pPr>
              <w:keepNext/>
              <w:keepLines/>
              <w:spacing w:before="0" w:after="0"/>
              <w:jc w:val="left"/>
              <w:outlineLvl w:val="1"/>
              <w:rPr>
                <w:rFonts w:cstheme="minorHAnsi"/>
                <w:b/>
                <w:bCs/>
                <w:color w:val="000000"/>
                <w:lang w:val="en-GB" w:eastAsia="hu-HU"/>
              </w:rPr>
            </w:pPr>
            <w:bookmarkStart w:id="1663" w:name="_Toc376199814"/>
            <w:r w:rsidRPr="006645DC">
              <w:rPr>
                <w:rFonts w:cstheme="minorHAnsi"/>
                <w:b/>
                <w:bCs/>
                <w:color w:val="000000"/>
                <w:lang w:val="en-GB" w:eastAsia="hu-HU"/>
              </w:rPr>
              <w:t>Bulgaria</w:t>
            </w:r>
            <w:bookmarkEnd w:id="1663"/>
          </w:p>
        </w:tc>
      </w:tr>
      <w:tr w:rsidR="00B5369A" w:rsidRPr="006645DC" w14:paraId="2C2DA722" w14:textId="77777777" w:rsidTr="00F521CE">
        <w:trPr>
          <w:trHeight w:val="315"/>
          <w:jc w:val="center"/>
        </w:trPr>
        <w:tc>
          <w:tcPr>
            <w:tcW w:w="2950" w:type="dxa"/>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424FF1A4"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64" w:name="_Toc376199815"/>
            <w:r w:rsidRPr="006645DC">
              <w:rPr>
                <w:rFonts w:cstheme="minorHAnsi"/>
                <w:color w:val="000000"/>
                <w:lang w:val="en-GB" w:eastAsia="hu-HU"/>
              </w:rPr>
              <w:t>All products</w:t>
            </w:r>
            <w:bookmarkEnd w:id="1664"/>
          </w:p>
        </w:tc>
        <w:tc>
          <w:tcPr>
            <w:tcW w:w="960" w:type="dxa"/>
            <w:tcBorders>
              <w:top w:val="single" w:sz="4" w:space="0" w:color="auto"/>
              <w:left w:val="nil"/>
              <w:bottom w:val="single" w:sz="12" w:space="0" w:color="auto"/>
              <w:right w:val="single" w:sz="4" w:space="0" w:color="auto"/>
            </w:tcBorders>
            <w:shd w:val="clear" w:color="auto" w:fill="auto"/>
            <w:vAlign w:val="center"/>
            <w:hideMark/>
          </w:tcPr>
          <w:p w14:paraId="0FF5F0C1"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65" w:name="_Toc376199816"/>
            <w:r w:rsidRPr="006645DC">
              <w:rPr>
                <w:rFonts w:cstheme="minorHAnsi"/>
                <w:color w:val="000000"/>
                <w:lang w:val="en-GB" w:eastAsia="hu-HU"/>
              </w:rPr>
              <w:t>51.3</w:t>
            </w:r>
            <w:bookmarkEnd w:id="1665"/>
          </w:p>
        </w:tc>
        <w:tc>
          <w:tcPr>
            <w:tcW w:w="960" w:type="dxa"/>
            <w:tcBorders>
              <w:top w:val="single" w:sz="4" w:space="0" w:color="auto"/>
              <w:left w:val="nil"/>
              <w:bottom w:val="single" w:sz="12" w:space="0" w:color="auto"/>
              <w:right w:val="single" w:sz="4" w:space="0" w:color="auto"/>
            </w:tcBorders>
            <w:shd w:val="clear" w:color="auto" w:fill="auto"/>
            <w:vAlign w:val="center"/>
            <w:hideMark/>
          </w:tcPr>
          <w:p w14:paraId="6921DD39"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66" w:name="_Toc376199817"/>
            <w:r w:rsidRPr="006645DC">
              <w:rPr>
                <w:rFonts w:cstheme="minorHAnsi"/>
                <w:color w:val="000000"/>
                <w:lang w:val="en-GB" w:eastAsia="hu-HU"/>
              </w:rPr>
              <w:t>52.1</w:t>
            </w:r>
            <w:bookmarkEnd w:id="1666"/>
          </w:p>
        </w:tc>
        <w:tc>
          <w:tcPr>
            <w:tcW w:w="960" w:type="dxa"/>
            <w:tcBorders>
              <w:top w:val="single" w:sz="4" w:space="0" w:color="auto"/>
              <w:left w:val="nil"/>
              <w:bottom w:val="single" w:sz="12" w:space="0" w:color="auto"/>
              <w:right w:val="single" w:sz="4" w:space="0" w:color="auto"/>
            </w:tcBorders>
            <w:shd w:val="clear" w:color="auto" w:fill="auto"/>
            <w:vAlign w:val="center"/>
            <w:hideMark/>
          </w:tcPr>
          <w:p w14:paraId="5330CDFD"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67" w:name="_Toc376199818"/>
            <w:r w:rsidRPr="006645DC">
              <w:rPr>
                <w:rFonts w:cstheme="minorHAnsi"/>
                <w:color w:val="000000"/>
                <w:lang w:val="en-GB" w:eastAsia="hu-HU"/>
              </w:rPr>
              <w:t>45.3</w:t>
            </w:r>
            <w:bookmarkEnd w:id="1667"/>
          </w:p>
        </w:tc>
        <w:tc>
          <w:tcPr>
            <w:tcW w:w="960" w:type="dxa"/>
            <w:tcBorders>
              <w:top w:val="single" w:sz="4" w:space="0" w:color="auto"/>
              <w:left w:val="nil"/>
              <w:bottom w:val="single" w:sz="12" w:space="0" w:color="auto"/>
              <w:right w:val="single" w:sz="4" w:space="0" w:color="auto"/>
            </w:tcBorders>
            <w:shd w:val="clear" w:color="auto" w:fill="auto"/>
            <w:vAlign w:val="center"/>
            <w:hideMark/>
          </w:tcPr>
          <w:p w14:paraId="125B4D89"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68" w:name="_Toc376199819"/>
            <w:r w:rsidRPr="006645DC">
              <w:rPr>
                <w:rFonts w:cstheme="minorHAnsi"/>
                <w:color w:val="000000"/>
                <w:lang w:val="en-GB" w:eastAsia="hu-HU"/>
              </w:rPr>
              <w:t>40.1</w:t>
            </w:r>
            <w:bookmarkEnd w:id="1668"/>
          </w:p>
        </w:tc>
        <w:tc>
          <w:tcPr>
            <w:tcW w:w="960" w:type="dxa"/>
            <w:tcBorders>
              <w:top w:val="single" w:sz="4" w:space="0" w:color="auto"/>
              <w:left w:val="nil"/>
              <w:bottom w:val="single" w:sz="12" w:space="0" w:color="auto"/>
              <w:right w:val="single" w:sz="4" w:space="0" w:color="auto"/>
            </w:tcBorders>
            <w:shd w:val="clear" w:color="auto" w:fill="auto"/>
            <w:vAlign w:val="center"/>
            <w:hideMark/>
          </w:tcPr>
          <w:p w14:paraId="53BA4674"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69" w:name="_Toc376199820"/>
            <w:r w:rsidRPr="006645DC">
              <w:rPr>
                <w:rFonts w:cstheme="minorHAnsi"/>
                <w:color w:val="000000"/>
                <w:lang w:val="en-GB" w:eastAsia="hu-HU"/>
              </w:rPr>
              <w:t>36.6</w:t>
            </w:r>
            <w:bookmarkEnd w:id="1669"/>
          </w:p>
        </w:tc>
      </w:tr>
      <w:tr w:rsidR="00B5369A" w:rsidRPr="006645DC" w14:paraId="23F0C04A" w14:textId="77777777" w:rsidTr="00F521CE">
        <w:trPr>
          <w:trHeight w:val="300"/>
          <w:jc w:val="center"/>
        </w:trPr>
        <w:tc>
          <w:tcPr>
            <w:tcW w:w="2950" w:type="dxa"/>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6E7198C4"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70" w:name="_Toc376199821"/>
            <w:r w:rsidRPr="006645DC">
              <w:rPr>
                <w:rFonts w:cstheme="minorHAnsi"/>
                <w:color w:val="000000"/>
                <w:lang w:val="en-GB" w:eastAsia="hu-HU"/>
              </w:rPr>
              <w:t>Hard coal and derivatives</w:t>
            </w:r>
            <w:bookmarkEnd w:id="1670"/>
          </w:p>
        </w:tc>
        <w:tc>
          <w:tcPr>
            <w:tcW w:w="960" w:type="dxa"/>
            <w:tcBorders>
              <w:top w:val="single" w:sz="12" w:space="0" w:color="auto"/>
              <w:left w:val="nil"/>
              <w:bottom w:val="single" w:sz="4" w:space="0" w:color="auto"/>
              <w:right w:val="single" w:sz="4" w:space="0" w:color="auto"/>
            </w:tcBorders>
            <w:shd w:val="clear" w:color="auto" w:fill="auto"/>
            <w:vAlign w:val="center"/>
            <w:hideMark/>
          </w:tcPr>
          <w:p w14:paraId="16FE9A1B"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71" w:name="_Toc376199822"/>
            <w:r w:rsidRPr="006645DC">
              <w:rPr>
                <w:rFonts w:cstheme="minorHAnsi"/>
                <w:color w:val="000000"/>
                <w:lang w:val="en-GB" w:eastAsia="hu-HU"/>
              </w:rPr>
              <w:t>99.3</w:t>
            </w:r>
            <w:bookmarkEnd w:id="1671"/>
          </w:p>
        </w:tc>
        <w:tc>
          <w:tcPr>
            <w:tcW w:w="960" w:type="dxa"/>
            <w:tcBorders>
              <w:top w:val="single" w:sz="12" w:space="0" w:color="auto"/>
              <w:left w:val="nil"/>
              <w:bottom w:val="single" w:sz="4" w:space="0" w:color="auto"/>
              <w:right w:val="single" w:sz="4" w:space="0" w:color="auto"/>
            </w:tcBorders>
            <w:shd w:val="clear" w:color="auto" w:fill="auto"/>
            <w:vAlign w:val="center"/>
            <w:hideMark/>
          </w:tcPr>
          <w:p w14:paraId="406ABDDF"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72" w:name="_Toc376199823"/>
            <w:r w:rsidRPr="006645DC">
              <w:rPr>
                <w:rFonts w:cstheme="minorHAnsi"/>
                <w:color w:val="000000"/>
                <w:lang w:val="en-GB" w:eastAsia="hu-HU"/>
              </w:rPr>
              <w:t>113.9</w:t>
            </w:r>
            <w:bookmarkEnd w:id="1672"/>
          </w:p>
        </w:tc>
        <w:tc>
          <w:tcPr>
            <w:tcW w:w="960" w:type="dxa"/>
            <w:tcBorders>
              <w:top w:val="single" w:sz="12" w:space="0" w:color="auto"/>
              <w:left w:val="nil"/>
              <w:bottom w:val="single" w:sz="4" w:space="0" w:color="auto"/>
              <w:right w:val="single" w:sz="4" w:space="0" w:color="auto"/>
            </w:tcBorders>
            <w:shd w:val="clear" w:color="auto" w:fill="auto"/>
            <w:vAlign w:val="center"/>
            <w:hideMark/>
          </w:tcPr>
          <w:p w14:paraId="5A02F977"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73" w:name="_Toc376199824"/>
            <w:r w:rsidRPr="006645DC">
              <w:rPr>
                <w:rFonts w:cstheme="minorHAnsi"/>
                <w:color w:val="000000"/>
                <w:lang w:val="en-GB" w:eastAsia="hu-HU"/>
              </w:rPr>
              <w:t>94.0</w:t>
            </w:r>
            <w:bookmarkEnd w:id="1673"/>
          </w:p>
        </w:tc>
        <w:tc>
          <w:tcPr>
            <w:tcW w:w="960" w:type="dxa"/>
            <w:tcBorders>
              <w:top w:val="single" w:sz="12" w:space="0" w:color="auto"/>
              <w:left w:val="nil"/>
              <w:bottom w:val="single" w:sz="4" w:space="0" w:color="auto"/>
              <w:right w:val="single" w:sz="4" w:space="0" w:color="auto"/>
            </w:tcBorders>
            <w:shd w:val="clear" w:color="auto" w:fill="auto"/>
            <w:vAlign w:val="center"/>
            <w:hideMark/>
          </w:tcPr>
          <w:p w14:paraId="3F2921D2"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74" w:name="_Toc376199825"/>
            <w:r w:rsidRPr="006645DC">
              <w:rPr>
                <w:rFonts w:cstheme="minorHAnsi"/>
                <w:color w:val="000000"/>
                <w:lang w:val="en-GB" w:eastAsia="hu-HU"/>
              </w:rPr>
              <w:t>88.2</w:t>
            </w:r>
            <w:bookmarkEnd w:id="1674"/>
          </w:p>
        </w:tc>
        <w:tc>
          <w:tcPr>
            <w:tcW w:w="960" w:type="dxa"/>
            <w:tcBorders>
              <w:top w:val="single" w:sz="12" w:space="0" w:color="auto"/>
              <w:left w:val="nil"/>
              <w:bottom w:val="single" w:sz="4" w:space="0" w:color="auto"/>
              <w:right w:val="single" w:sz="4" w:space="0" w:color="auto"/>
            </w:tcBorders>
            <w:shd w:val="clear" w:color="auto" w:fill="auto"/>
            <w:vAlign w:val="center"/>
            <w:hideMark/>
          </w:tcPr>
          <w:p w14:paraId="28035C18"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75" w:name="_Toc376199826"/>
            <w:r w:rsidRPr="006645DC">
              <w:rPr>
                <w:rFonts w:cstheme="minorHAnsi"/>
                <w:color w:val="000000"/>
                <w:lang w:val="en-GB" w:eastAsia="hu-HU"/>
              </w:rPr>
              <w:t>102.7</w:t>
            </w:r>
            <w:bookmarkEnd w:id="1675"/>
          </w:p>
        </w:tc>
      </w:tr>
      <w:tr w:rsidR="00B5369A" w:rsidRPr="006645DC" w14:paraId="5B296AF1" w14:textId="77777777" w:rsidTr="00F521CE">
        <w:trPr>
          <w:trHeight w:val="300"/>
          <w:jc w:val="center"/>
        </w:trPr>
        <w:tc>
          <w:tcPr>
            <w:tcW w:w="2950" w:type="dxa"/>
            <w:tcBorders>
              <w:top w:val="nil"/>
              <w:left w:val="single" w:sz="4" w:space="0" w:color="auto"/>
              <w:bottom w:val="single" w:sz="4" w:space="0" w:color="auto"/>
              <w:right w:val="single" w:sz="4" w:space="0" w:color="auto"/>
            </w:tcBorders>
            <w:shd w:val="clear" w:color="auto" w:fill="auto"/>
            <w:noWrap/>
            <w:vAlign w:val="center"/>
            <w:hideMark/>
          </w:tcPr>
          <w:p w14:paraId="660D99DE"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76" w:name="_Toc376199827"/>
            <w:r w:rsidRPr="006645DC">
              <w:rPr>
                <w:rFonts w:cstheme="minorHAnsi"/>
                <w:color w:val="000000"/>
                <w:lang w:val="en-GB" w:eastAsia="hu-HU"/>
              </w:rPr>
              <w:t>Total petroleum products</w:t>
            </w:r>
            <w:bookmarkEnd w:id="1676"/>
          </w:p>
        </w:tc>
        <w:tc>
          <w:tcPr>
            <w:tcW w:w="960" w:type="dxa"/>
            <w:tcBorders>
              <w:top w:val="nil"/>
              <w:left w:val="nil"/>
              <w:bottom w:val="single" w:sz="4" w:space="0" w:color="auto"/>
              <w:right w:val="single" w:sz="4" w:space="0" w:color="auto"/>
            </w:tcBorders>
            <w:shd w:val="clear" w:color="auto" w:fill="auto"/>
            <w:vAlign w:val="center"/>
            <w:hideMark/>
          </w:tcPr>
          <w:p w14:paraId="32D4C253"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77" w:name="_Toc376199828"/>
            <w:r w:rsidRPr="006645DC">
              <w:rPr>
                <w:rFonts w:cstheme="minorHAnsi"/>
                <w:color w:val="000000"/>
                <w:lang w:val="en-GB" w:eastAsia="hu-HU"/>
              </w:rPr>
              <w:t>100.0</w:t>
            </w:r>
            <w:bookmarkEnd w:id="1677"/>
          </w:p>
        </w:tc>
        <w:tc>
          <w:tcPr>
            <w:tcW w:w="960" w:type="dxa"/>
            <w:tcBorders>
              <w:top w:val="nil"/>
              <w:left w:val="nil"/>
              <w:bottom w:val="single" w:sz="4" w:space="0" w:color="auto"/>
              <w:right w:val="single" w:sz="4" w:space="0" w:color="auto"/>
            </w:tcBorders>
            <w:shd w:val="clear" w:color="auto" w:fill="auto"/>
            <w:vAlign w:val="center"/>
            <w:hideMark/>
          </w:tcPr>
          <w:p w14:paraId="272FBA7A"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78" w:name="_Toc376199829"/>
            <w:r w:rsidRPr="006645DC">
              <w:rPr>
                <w:rFonts w:cstheme="minorHAnsi"/>
                <w:color w:val="000000"/>
                <w:lang w:val="en-GB" w:eastAsia="hu-HU"/>
              </w:rPr>
              <w:t>98.8</w:t>
            </w:r>
            <w:bookmarkEnd w:id="1678"/>
          </w:p>
        </w:tc>
        <w:tc>
          <w:tcPr>
            <w:tcW w:w="960" w:type="dxa"/>
            <w:tcBorders>
              <w:top w:val="nil"/>
              <w:left w:val="nil"/>
              <w:bottom w:val="single" w:sz="4" w:space="0" w:color="auto"/>
              <w:right w:val="single" w:sz="4" w:space="0" w:color="auto"/>
            </w:tcBorders>
            <w:shd w:val="clear" w:color="auto" w:fill="auto"/>
            <w:vAlign w:val="center"/>
            <w:hideMark/>
          </w:tcPr>
          <w:p w14:paraId="6D11A95E"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79" w:name="_Toc376199830"/>
            <w:r w:rsidRPr="006645DC">
              <w:rPr>
                <w:rFonts w:cstheme="minorHAnsi"/>
                <w:color w:val="000000"/>
                <w:lang w:val="en-GB" w:eastAsia="hu-HU"/>
              </w:rPr>
              <w:t>101.3</w:t>
            </w:r>
            <w:bookmarkEnd w:id="1679"/>
          </w:p>
        </w:tc>
        <w:tc>
          <w:tcPr>
            <w:tcW w:w="960" w:type="dxa"/>
            <w:tcBorders>
              <w:top w:val="nil"/>
              <w:left w:val="nil"/>
              <w:bottom w:val="single" w:sz="4" w:space="0" w:color="auto"/>
              <w:right w:val="single" w:sz="4" w:space="0" w:color="auto"/>
            </w:tcBorders>
            <w:shd w:val="clear" w:color="auto" w:fill="auto"/>
            <w:vAlign w:val="center"/>
            <w:hideMark/>
          </w:tcPr>
          <w:p w14:paraId="599B6D30"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80" w:name="_Toc376199831"/>
            <w:r w:rsidRPr="006645DC">
              <w:rPr>
                <w:rFonts w:cstheme="minorHAnsi"/>
                <w:color w:val="000000"/>
                <w:lang w:val="en-GB" w:eastAsia="hu-HU"/>
              </w:rPr>
              <w:t>100.8</w:t>
            </w:r>
            <w:bookmarkEnd w:id="1680"/>
          </w:p>
        </w:tc>
        <w:tc>
          <w:tcPr>
            <w:tcW w:w="960" w:type="dxa"/>
            <w:tcBorders>
              <w:top w:val="nil"/>
              <w:left w:val="nil"/>
              <w:bottom w:val="single" w:sz="4" w:space="0" w:color="auto"/>
              <w:right w:val="single" w:sz="4" w:space="0" w:color="auto"/>
            </w:tcBorders>
            <w:shd w:val="clear" w:color="auto" w:fill="auto"/>
            <w:vAlign w:val="center"/>
            <w:hideMark/>
          </w:tcPr>
          <w:p w14:paraId="3AB8B5F6"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81" w:name="_Toc376199832"/>
            <w:r w:rsidRPr="006645DC">
              <w:rPr>
                <w:rFonts w:cstheme="minorHAnsi"/>
                <w:color w:val="000000"/>
                <w:lang w:val="en-GB" w:eastAsia="hu-HU"/>
              </w:rPr>
              <w:t>97.6</w:t>
            </w:r>
            <w:bookmarkEnd w:id="1681"/>
          </w:p>
        </w:tc>
      </w:tr>
      <w:tr w:rsidR="00B5369A" w:rsidRPr="006645DC" w14:paraId="3A2E1EA3" w14:textId="77777777" w:rsidTr="00F521CE">
        <w:trPr>
          <w:trHeight w:val="300"/>
          <w:jc w:val="center"/>
        </w:trPr>
        <w:tc>
          <w:tcPr>
            <w:tcW w:w="2950" w:type="dxa"/>
            <w:tcBorders>
              <w:top w:val="nil"/>
              <w:left w:val="single" w:sz="4" w:space="0" w:color="auto"/>
              <w:bottom w:val="single" w:sz="4" w:space="0" w:color="auto"/>
              <w:right w:val="single" w:sz="4" w:space="0" w:color="auto"/>
            </w:tcBorders>
            <w:shd w:val="clear" w:color="auto" w:fill="auto"/>
            <w:noWrap/>
            <w:vAlign w:val="center"/>
            <w:hideMark/>
          </w:tcPr>
          <w:p w14:paraId="5EF891D1"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82" w:name="_Toc376199833"/>
            <w:r w:rsidRPr="006645DC">
              <w:rPr>
                <w:rFonts w:cstheme="minorHAnsi"/>
                <w:color w:val="000000"/>
                <w:lang w:val="en-GB" w:eastAsia="hu-HU"/>
              </w:rPr>
              <w:t>Natural gas</w:t>
            </w:r>
            <w:bookmarkEnd w:id="1682"/>
          </w:p>
        </w:tc>
        <w:tc>
          <w:tcPr>
            <w:tcW w:w="960" w:type="dxa"/>
            <w:tcBorders>
              <w:top w:val="nil"/>
              <w:left w:val="nil"/>
              <w:bottom w:val="single" w:sz="4" w:space="0" w:color="auto"/>
              <w:right w:val="single" w:sz="4" w:space="0" w:color="auto"/>
            </w:tcBorders>
            <w:shd w:val="clear" w:color="auto" w:fill="auto"/>
            <w:vAlign w:val="center"/>
            <w:hideMark/>
          </w:tcPr>
          <w:p w14:paraId="00FED8D8"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83" w:name="_Toc376199834"/>
            <w:r w:rsidRPr="006645DC">
              <w:rPr>
                <w:rFonts w:cstheme="minorHAnsi"/>
                <w:color w:val="000000"/>
                <w:lang w:val="en-GB" w:eastAsia="hu-HU"/>
              </w:rPr>
              <w:t>91.5</w:t>
            </w:r>
            <w:bookmarkEnd w:id="1683"/>
          </w:p>
        </w:tc>
        <w:tc>
          <w:tcPr>
            <w:tcW w:w="960" w:type="dxa"/>
            <w:tcBorders>
              <w:top w:val="nil"/>
              <w:left w:val="nil"/>
              <w:bottom w:val="single" w:sz="4" w:space="0" w:color="auto"/>
              <w:right w:val="single" w:sz="4" w:space="0" w:color="auto"/>
            </w:tcBorders>
            <w:shd w:val="clear" w:color="auto" w:fill="auto"/>
            <w:vAlign w:val="center"/>
            <w:hideMark/>
          </w:tcPr>
          <w:p w14:paraId="4BD188BF"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84" w:name="_Toc376199835"/>
            <w:r w:rsidRPr="006645DC">
              <w:rPr>
                <w:rFonts w:cstheme="minorHAnsi"/>
                <w:color w:val="000000"/>
                <w:lang w:val="en-GB" w:eastAsia="hu-HU"/>
              </w:rPr>
              <w:t>96.2</w:t>
            </w:r>
            <w:bookmarkEnd w:id="1684"/>
          </w:p>
        </w:tc>
        <w:tc>
          <w:tcPr>
            <w:tcW w:w="960" w:type="dxa"/>
            <w:tcBorders>
              <w:top w:val="nil"/>
              <w:left w:val="nil"/>
              <w:bottom w:val="single" w:sz="4" w:space="0" w:color="auto"/>
              <w:right w:val="single" w:sz="4" w:space="0" w:color="auto"/>
            </w:tcBorders>
            <w:shd w:val="clear" w:color="auto" w:fill="auto"/>
            <w:vAlign w:val="center"/>
            <w:hideMark/>
          </w:tcPr>
          <w:p w14:paraId="4077DCA8"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85" w:name="_Toc376199836"/>
            <w:r w:rsidRPr="006645DC">
              <w:rPr>
                <w:rFonts w:cstheme="minorHAnsi"/>
                <w:color w:val="000000"/>
                <w:lang w:val="en-GB" w:eastAsia="hu-HU"/>
              </w:rPr>
              <w:t>98.6</w:t>
            </w:r>
            <w:bookmarkEnd w:id="1685"/>
          </w:p>
        </w:tc>
        <w:tc>
          <w:tcPr>
            <w:tcW w:w="960" w:type="dxa"/>
            <w:tcBorders>
              <w:top w:val="nil"/>
              <w:left w:val="nil"/>
              <w:bottom w:val="single" w:sz="4" w:space="0" w:color="auto"/>
              <w:right w:val="single" w:sz="4" w:space="0" w:color="auto"/>
            </w:tcBorders>
            <w:shd w:val="clear" w:color="auto" w:fill="auto"/>
            <w:vAlign w:val="center"/>
            <w:hideMark/>
          </w:tcPr>
          <w:p w14:paraId="5158F318"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86" w:name="_Toc376199837"/>
            <w:r w:rsidRPr="006645DC">
              <w:rPr>
                <w:rFonts w:cstheme="minorHAnsi"/>
                <w:color w:val="000000"/>
                <w:lang w:val="en-GB" w:eastAsia="hu-HU"/>
              </w:rPr>
              <w:t>92.7</w:t>
            </w:r>
            <w:bookmarkEnd w:id="1686"/>
          </w:p>
        </w:tc>
        <w:tc>
          <w:tcPr>
            <w:tcW w:w="960" w:type="dxa"/>
            <w:tcBorders>
              <w:top w:val="nil"/>
              <w:left w:val="nil"/>
              <w:bottom w:val="single" w:sz="4" w:space="0" w:color="auto"/>
              <w:right w:val="single" w:sz="4" w:space="0" w:color="auto"/>
            </w:tcBorders>
            <w:shd w:val="clear" w:color="auto" w:fill="auto"/>
            <w:vAlign w:val="center"/>
            <w:hideMark/>
          </w:tcPr>
          <w:p w14:paraId="5C72C64B" w14:textId="77777777" w:rsidR="00B5369A" w:rsidRPr="006645DC" w:rsidRDefault="00B5369A" w:rsidP="00F521CE">
            <w:pPr>
              <w:keepNext/>
              <w:keepLines/>
              <w:spacing w:before="0" w:after="0"/>
              <w:jc w:val="right"/>
              <w:outlineLvl w:val="1"/>
              <w:rPr>
                <w:rFonts w:cstheme="minorHAnsi"/>
                <w:color w:val="000000"/>
                <w:lang w:val="en-GB" w:eastAsia="hu-HU"/>
              </w:rPr>
            </w:pPr>
            <w:bookmarkStart w:id="1687" w:name="_Toc376199838"/>
            <w:r w:rsidRPr="006645DC">
              <w:rPr>
                <w:rFonts w:cstheme="minorHAnsi"/>
                <w:color w:val="000000"/>
                <w:lang w:val="en-GB" w:eastAsia="hu-HU"/>
              </w:rPr>
              <w:t>86.1</w:t>
            </w:r>
            <w:bookmarkEnd w:id="1687"/>
          </w:p>
        </w:tc>
      </w:tr>
    </w:tbl>
    <w:p w14:paraId="165A2291" w14:textId="77777777" w:rsidR="00B5369A" w:rsidRPr="006645DC" w:rsidRDefault="00B5369A" w:rsidP="00B5369A">
      <w:pPr>
        <w:pStyle w:val="Caption"/>
        <w:rPr>
          <w:lang w:val="en-GB"/>
        </w:rPr>
      </w:pPr>
      <w:bookmarkStart w:id="1688" w:name="_Toc391150139"/>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42</w:t>
      </w:r>
      <w:r w:rsidR="005979EB" w:rsidRPr="006645DC">
        <w:rPr>
          <w:lang w:val="en-GB"/>
        </w:rPr>
        <w:fldChar w:fldCharType="end"/>
      </w:r>
      <w:r w:rsidRPr="006645DC">
        <w:rPr>
          <w:lang w:val="en-GB"/>
        </w:rPr>
        <w:t xml:space="preserve"> - Energy dependence (%)</w:t>
      </w:r>
      <w:bookmarkEnd w:id="1688"/>
    </w:p>
    <w:p w14:paraId="0AD55A2D" w14:textId="7BC49013" w:rsidR="00B5369A" w:rsidRPr="00CE723E" w:rsidRDefault="00B5369A" w:rsidP="00CE723E">
      <w:pPr>
        <w:pStyle w:val="Heading4"/>
        <w:rPr>
          <w:lang w:val="en-GB"/>
        </w:rPr>
      </w:pPr>
      <w:r w:rsidRPr="006645DC">
        <w:rPr>
          <w:lang w:val="en-GB"/>
        </w:rPr>
        <w:t>Source: Eurostat</w:t>
      </w:r>
      <w:r w:rsidRPr="006645DC">
        <w:rPr>
          <w:rStyle w:val="FootnoteReference"/>
          <w:i w:val="0"/>
          <w:lang w:val="en-GB"/>
        </w:rPr>
        <w:footnoteReference w:id="40"/>
      </w:r>
    </w:p>
    <w:p w14:paraId="35F1307D" w14:textId="77777777" w:rsidR="00B5369A" w:rsidRPr="006645DC" w:rsidRDefault="00B5369A" w:rsidP="00B5369A">
      <w:pPr>
        <w:rPr>
          <w:lang w:val="en-GB"/>
        </w:rPr>
      </w:pPr>
      <w:r w:rsidRPr="006645DC">
        <w:rPr>
          <w:lang w:val="en-GB"/>
        </w:rPr>
        <w:t xml:space="preserve">Romania has significant oil and gas reserves, substantial coal deposits and it has substantial hydroelectric power installed. However, the country imports oil and gas from </w:t>
      </w:r>
      <w:hyperlink r:id="rId120" w:tooltip="Energy in Russia" w:history="1">
        <w:r w:rsidRPr="006645DC">
          <w:rPr>
            <w:lang w:val="en-GB"/>
          </w:rPr>
          <w:t>Russia</w:t>
        </w:r>
      </w:hyperlink>
      <w:r w:rsidRPr="006645DC">
        <w:rPr>
          <w:lang w:val="en-GB"/>
        </w:rPr>
        <w:t xml:space="preserve"> and other countries.</w:t>
      </w:r>
    </w:p>
    <w:p w14:paraId="00DDF179" w14:textId="77777777" w:rsidR="00B5369A" w:rsidRPr="006645DC" w:rsidRDefault="00B5369A" w:rsidP="00B5369A">
      <w:pPr>
        <w:rPr>
          <w:lang w:val="en-GB"/>
        </w:rPr>
      </w:pPr>
      <w:r w:rsidRPr="006645DC">
        <w:rPr>
          <w:lang w:val="en-GB"/>
        </w:rPr>
        <w:t>Bulgaria is still heavily dependent on imports of natural gas, crude oil and nuclear fuel. Over the past years, first steps have been taken to reduce energy consumption and resource inefficiency in the fields of industry, transport, services and households, but the challenges of improving energy efficiency and optimising the use of resources still have to be faced.</w:t>
      </w:r>
    </w:p>
    <w:p w14:paraId="5D855C10" w14:textId="77777777" w:rsidR="00B5369A" w:rsidRPr="006645DC" w:rsidRDefault="00B5369A" w:rsidP="00F521CE">
      <w:pPr>
        <w:pStyle w:val="Heading2"/>
        <w:rPr>
          <w:lang w:val="en-GB"/>
        </w:rPr>
      </w:pPr>
      <w:bookmarkStart w:id="1689" w:name="_Toc371105804"/>
      <w:bookmarkStart w:id="1690" w:name="_Toc371284519"/>
      <w:bookmarkStart w:id="1691" w:name="_Toc376199839"/>
      <w:bookmarkStart w:id="1692" w:name="_Toc254543824"/>
      <w:bookmarkStart w:id="1693" w:name="_Toc391150199"/>
      <w:r w:rsidRPr="006645DC">
        <w:rPr>
          <w:lang w:val="en-GB"/>
        </w:rPr>
        <w:t>Renewable energy sources</w:t>
      </w:r>
      <w:bookmarkEnd w:id="1689"/>
      <w:bookmarkEnd w:id="1690"/>
      <w:bookmarkEnd w:id="1691"/>
      <w:bookmarkEnd w:id="1692"/>
      <w:bookmarkEnd w:id="16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0"/>
        <w:gridCol w:w="1003"/>
        <w:gridCol w:w="1003"/>
        <w:gridCol w:w="1003"/>
        <w:gridCol w:w="1003"/>
        <w:gridCol w:w="1003"/>
        <w:gridCol w:w="1299"/>
      </w:tblGrid>
      <w:tr w:rsidR="00B5369A" w:rsidRPr="006645DC" w14:paraId="6C23BEEB" w14:textId="77777777" w:rsidTr="00B5369A">
        <w:trPr>
          <w:jc w:val="center"/>
        </w:trPr>
        <w:tc>
          <w:tcPr>
            <w:tcW w:w="0" w:type="auto"/>
          </w:tcPr>
          <w:p w14:paraId="6029B8FD" w14:textId="77777777" w:rsidR="00B5369A" w:rsidRPr="006645DC" w:rsidRDefault="00B5369A" w:rsidP="00B5369A">
            <w:pPr>
              <w:spacing w:before="0" w:after="0" w:line="276" w:lineRule="auto"/>
              <w:jc w:val="center"/>
              <w:rPr>
                <w:lang w:val="en-GB"/>
              </w:rPr>
            </w:pPr>
          </w:p>
        </w:tc>
        <w:tc>
          <w:tcPr>
            <w:tcW w:w="0" w:type="auto"/>
          </w:tcPr>
          <w:p w14:paraId="3BAAABC9" w14:textId="77777777" w:rsidR="00B5369A" w:rsidRPr="006645DC" w:rsidRDefault="00B5369A" w:rsidP="00B5369A">
            <w:pPr>
              <w:spacing w:before="0" w:after="0" w:line="276" w:lineRule="auto"/>
              <w:jc w:val="center"/>
              <w:rPr>
                <w:b/>
                <w:lang w:val="en-GB"/>
              </w:rPr>
            </w:pPr>
            <w:r w:rsidRPr="006645DC">
              <w:rPr>
                <w:b/>
                <w:lang w:val="en-GB"/>
              </w:rPr>
              <w:t>2007</w:t>
            </w:r>
          </w:p>
        </w:tc>
        <w:tc>
          <w:tcPr>
            <w:tcW w:w="0" w:type="auto"/>
          </w:tcPr>
          <w:p w14:paraId="1D8D0AC0" w14:textId="77777777" w:rsidR="00B5369A" w:rsidRPr="006645DC" w:rsidRDefault="00B5369A" w:rsidP="00B5369A">
            <w:pPr>
              <w:spacing w:before="0" w:after="0" w:line="276" w:lineRule="auto"/>
              <w:jc w:val="center"/>
              <w:rPr>
                <w:b/>
                <w:lang w:val="en-GB"/>
              </w:rPr>
            </w:pPr>
            <w:r w:rsidRPr="006645DC">
              <w:rPr>
                <w:b/>
                <w:lang w:val="en-GB"/>
              </w:rPr>
              <w:t>2008</w:t>
            </w:r>
          </w:p>
        </w:tc>
        <w:tc>
          <w:tcPr>
            <w:tcW w:w="0" w:type="auto"/>
          </w:tcPr>
          <w:p w14:paraId="46E21B3A" w14:textId="77777777" w:rsidR="00B5369A" w:rsidRPr="006645DC" w:rsidRDefault="00B5369A" w:rsidP="00B5369A">
            <w:pPr>
              <w:spacing w:before="0" w:after="0" w:line="276" w:lineRule="auto"/>
              <w:jc w:val="center"/>
              <w:rPr>
                <w:b/>
                <w:lang w:val="en-GB"/>
              </w:rPr>
            </w:pPr>
            <w:r w:rsidRPr="006645DC">
              <w:rPr>
                <w:b/>
                <w:lang w:val="en-GB"/>
              </w:rPr>
              <w:t>2009</w:t>
            </w:r>
          </w:p>
        </w:tc>
        <w:tc>
          <w:tcPr>
            <w:tcW w:w="0" w:type="auto"/>
          </w:tcPr>
          <w:p w14:paraId="6B3B51BD" w14:textId="77777777" w:rsidR="00B5369A" w:rsidRPr="006645DC" w:rsidRDefault="00B5369A" w:rsidP="00B5369A">
            <w:pPr>
              <w:spacing w:before="0" w:after="0" w:line="276" w:lineRule="auto"/>
              <w:jc w:val="center"/>
              <w:rPr>
                <w:b/>
                <w:lang w:val="en-GB"/>
              </w:rPr>
            </w:pPr>
            <w:r w:rsidRPr="006645DC">
              <w:rPr>
                <w:b/>
                <w:lang w:val="en-GB"/>
              </w:rPr>
              <w:t>2010</w:t>
            </w:r>
          </w:p>
        </w:tc>
        <w:tc>
          <w:tcPr>
            <w:tcW w:w="0" w:type="auto"/>
          </w:tcPr>
          <w:p w14:paraId="5DBBBF69" w14:textId="77777777" w:rsidR="00B5369A" w:rsidRPr="006645DC" w:rsidRDefault="00B5369A" w:rsidP="00B5369A">
            <w:pPr>
              <w:spacing w:before="0" w:after="0" w:line="276" w:lineRule="auto"/>
              <w:jc w:val="center"/>
              <w:rPr>
                <w:b/>
                <w:lang w:val="en-GB"/>
              </w:rPr>
            </w:pPr>
            <w:r w:rsidRPr="006645DC">
              <w:rPr>
                <w:b/>
                <w:lang w:val="en-GB"/>
              </w:rPr>
              <w:t>2011</w:t>
            </w:r>
          </w:p>
        </w:tc>
        <w:tc>
          <w:tcPr>
            <w:tcW w:w="0" w:type="auto"/>
          </w:tcPr>
          <w:p w14:paraId="06AB13D0" w14:textId="77777777" w:rsidR="00B5369A" w:rsidRPr="006645DC" w:rsidRDefault="00B5369A" w:rsidP="00B5369A">
            <w:pPr>
              <w:spacing w:before="0" w:after="0" w:line="276" w:lineRule="auto"/>
              <w:jc w:val="center"/>
              <w:rPr>
                <w:b/>
                <w:lang w:val="en-GB"/>
              </w:rPr>
            </w:pPr>
            <w:r w:rsidRPr="006645DC">
              <w:rPr>
                <w:b/>
                <w:lang w:val="en-GB"/>
              </w:rPr>
              <w:t>Target 2020</w:t>
            </w:r>
          </w:p>
        </w:tc>
      </w:tr>
      <w:tr w:rsidR="00B5369A" w:rsidRPr="006645DC" w14:paraId="1FB83A14" w14:textId="77777777" w:rsidTr="00F521CE">
        <w:trPr>
          <w:jc w:val="center"/>
        </w:trPr>
        <w:tc>
          <w:tcPr>
            <w:tcW w:w="0" w:type="auto"/>
          </w:tcPr>
          <w:p w14:paraId="32602B97" w14:textId="77777777" w:rsidR="00B5369A" w:rsidRPr="006645DC" w:rsidRDefault="00B5369A" w:rsidP="00F521CE">
            <w:pPr>
              <w:spacing w:before="0" w:after="0" w:line="276" w:lineRule="auto"/>
              <w:rPr>
                <w:b/>
                <w:lang w:val="en-GB"/>
              </w:rPr>
            </w:pPr>
            <w:r w:rsidRPr="006645DC">
              <w:rPr>
                <w:b/>
                <w:lang w:val="en-GB"/>
              </w:rPr>
              <w:t>Romania</w:t>
            </w:r>
          </w:p>
        </w:tc>
        <w:tc>
          <w:tcPr>
            <w:tcW w:w="0" w:type="auto"/>
            <w:vAlign w:val="center"/>
          </w:tcPr>
          <w:p w14:paraId="2E752130" w14:textId="77777777" w:rsidR="00B5369A" w:rsidRPr="006645DC" w:rsidRDefault="00B5369A" w:rsidP="00F521CE">
            <w:pPr>
              <w:keepNext/>
              <w:keepLines/>
              <w:spacing w:before="0" w:after="0" w:line="276" w:lineRule="auto"/>
              <w:ind w:left="757" w:hanging="360"/>
              <w:jc w:val="right"/>
              <w:outlineLvl w:val="1"/>
              <w:rPr>
                <w:lang w:val="en-GB"/>
              </w:rPr>
            </w:pPr>
            <w:bookmarkStart w:id="1694" w:name="_Toc376199840"/>
            <w:r w:rsidRPr="006645DC">
              <w:rPr>
                <w:lang w:val="en-GB"/>
              </w:rPr>
              <w:t>18,4</w:t>
            </w:r>
            <w:bookmarkEnd w:id="1694"/>
          </w:p>
        </w:tc>
        <w:tc>
          <w:tcPr>
            <w:tcW w:w="0" w:type="auto"/>
            <w:vAlign w:val="center"/>
          </w:tcPr>
          <w:p w14:paraId="5E870667" w14:textId="77777777" w:rsidR="00B5369A" w:rsidRPr="006645DC" w:rsidRDefault="00B5369A" w:rsidP="00F521CE">
            <w:pPr>
              <w:keepNext/>
              <w:keepLines/>
              <w:spacing w:before="0" w:after="0" w:line="276" w:lineRule="auto"/>
              <w:ind w:left="757" w:hanging="360"/>
              <w:jc w:val="right"/>
              <w:outlineLvl w:val="1"/>
              <w:rPr>
                <w:lang w:val="en-GB"/>
              </w:rPr>
            </w:pPr>
            <w:bookmarkStart w:id="1695" w:name="_Toc376199841"/>
            <w:r w:rsidRPr="006645DC">
              <w:rPr>
                <w:lang w:val="en-GB"/>
              </w:rPr>
              <w:t>20,3</w:t>
            </w:r>
            <w:bookmarkEnd w:id="1695"/>
          </w:p>
        </w:tc>
        <w:tc>
          <w:tcPr>
            <w:tcW w:w="0" w:type="auto"/>
            <w:vAlign w:val="center"/>
          </w:tcPr>
          <w:p w14:paraId="7D0D80B2" w14:textId="77777777" w:rsidR="00B5369A" w:rsidRPr="006645DC" w:rsidRDefault="00B5369A" w:rsidP="00F521CE">
            <w:pPr>
              <w:keepNext/>
              <w:keepLines/>
              <w:spacing w:before="0" w:after="0" w:line="276" w:lineRule="auto"/>
              <w:ind w:left="757" w:hanging="360"/>
              <w:jc w:val="right"/>
              <w:outlineLvl w:val="1"/>
              <w:rPr>
                <w:lang w:val="en-GB"/>
              </w:rPr>
            </w:pPr>
            <w:bookmarkStart w:id="1696" w:name="_Toc376199842"/>
            <w:r w:rsidRPr="006645DC">
              <w:rPr>
                <w:lang w:val="en-GB"/>
              </w:rPr>
              <w:t>22,3</w:t>
            </w:r>
            <w:bookmarkEnd w:id="1696"/>
          </w:p>
        </w:tc>
        <w:tc>
          <w:tcPr>
            <w:tcW w:w="0" w:type="auto"/>
            <w:vAlign w:val="center"/>
          </w:tcPr>
          <w:p w14:paraId="0A0F205B" w14:textId="77777777" w:rsidR="00B5369A" w:rsidRPr="006645DC" w:rsidRDefault="00B5369A" w:rsidP="00F521CE">
            <w:pPr>
              <w:keepNext/>
              <w:keepLines/>
              <w:spacing w:before="0" w:after="0" w:line="276" w:lineRule="auto"/>
              <w:ind w:left="757" w:hanging="360"/>
              <w:jc w:val="right"/>
              <w:outlineLvl w:val="1"/>
              <w:rPr>
                <w:lang w:val="en-GB"/>
              </w:rPr>
            </w:pPr>
            <w:bookmarkStart w:id="1697" w:name="_Toc376199843"/>
            <w:r w:rsidRPr="006645DC">
              <w:rPr>
                <w:lang w:val="en-GB"/>
              </w:rPr>
              <w:t>23,4</w:t>
            </w:r>
            <w:bookmarkEnd w:id="1697"/>
          </w:p>
        </w:tc>
        <w:tc>
          <w:tcPr>
            <w:tcW w:w="0" w:type="auto"/>
            <w:vAlign w:val="center"/>
          </w:tcPr>
          <w:p w14:paraId="015907EC" w14:textId="77777777" w:rsidR="00B5369A" w:rsidRPr="006645DC" w:rsidRDefault="00B5369A" w:rsidP="00F521CE">
            <w:pPr>
              <w:keepNext/>
              <w:keepLines/>
              <w:spacing w:before="0" w:after="0" w:line="276" w:lineRule="auto"/>
              <w:ind w:left="757" w:hanging="360"/>
              <w:jc w:val="right"/>
              <w:outlineLvl w:val="1"/>
              <w:rPr>
                <w:lang w:val="en-GB"/>
              </w:rPr>
            </w:pPr>
            <w:bookmarkStart w:id="1698" w:name="_Toc376199844"/>
            <w:r w:rsidRPr="006645DC">
              <w:rPr>
                <w:lang w:val="en-GB"/>
              </w:rPr>
              <w:t>21,4</w:t>
            </w:r>
            <w:bookmarkEnd w:id="1698"/>
          </w:p>
        </w:tc>
        <w:tc>
          <w:tcPr>
            <w:tcW w:w="0" w:type="auto"/>
            <w:vAlign w:val="center"/>
          </w:tcPr>
          <w:p w14:paraId="4F919970" w14:textId="77777777" w:rsidR="00B5369A" w:rsidRPr="006645DC" w:rsidRDefault="00B5369A" w:rsidP="00F521CE">
            <w:pPr>
              <w:keepNext/>
              <w:keepLines/>
              <w:spacing w:before="0" w:after="0" w:line="276" w:lineRule="auto"/>
              <w:ind w:left="757" w:hanging="360"/>
              <w:jc w:val="right"/>
              <w:outlineLvl w:val="1"/>
              <w:rPr>
                <w:lang w:val="en-GB"/>
              </w:rPr>
            </w:pPr>
            <w:bookmarkStart w:id="1699" w:name="_Toc376199845"/>
            <w:r w:rsidRPr="006645DC">
              <w:rPr>
                <w:lang w:val="en-GB"/>
              </w:rPr>
              <w:t>24</w:t>
            </w:r>
            <w:bookmarkEnd w:id="1699"/>
          </w:p>
        </w:tc>
      </w:tr>
      <w:tr w:rsidR="00B5369A" w:rsidRPr="006645DC" w14:paraId="16044E0F" w14:textId="77777777" w:rsidTr="00F521CE">
        <w:trPr>
          <w:jc w:val="center"/>
        </w:trPr>
        <w:tc>
          <w:tcPr>
            <w:tcW w:w="0" w:type="auto"/>
          </w:tcPr>
          <w:p w14:paraId="7998CEC7" w14:textId="77777777" w:rsidR="00B5369A" w:rsidRPr="006645DC" w:rsidRDefault="00B5369A" w:rsidP="00F521CE">
            <w:pPr>
              <w:keepNext/>
              <w:keepLines/>
              <w:spacing w:before="0" w:after="0" w:line="276" w:lineRule="auto"/>
              <w:outlineLvl w:val="1"/>
              <w:rPr>
                <w:b/>
                <w:lang w:val="en-GB"/>
              </w:rPr>
            </w:pPr>
            <w:bookmarkStart w:id="1700" w:name="_Toc376199846"/>
            <w:r w:rsidRPr="006645DC">
              <w:rPr>
                <w:b/>
                <w:lang w:val="en-GB"/>
              </w:rPr>
              <w:t>Bulgaria</w:t>
            </w:r>
            <w:bookmarkEnd w:id="1700"/>
          </w:p>
        </w:tc>
        <w:tc>
          <w:tcPr>
            <w:tcW w:w="0" w:type="auto"/>
            <w:vAlign w:val="center"/>
          </w:tcPr>
          <w:p w14:paraId="7641AD5D" w14:textId="77777777" w:rsidR="00B5369A" w:rsidRPr="006645DC" w:rsidRDefault="00B5369A" w:rsidP="00F521CE">
            <w:pPr>
              <w:keepNext/>
              <w:keepLines/>
              <w:spacing w:before="0" w:after="0" w:line="276" w:lineRule="auto"/>
              <w:ind w:left="757" w:hanging="360"/>
              <w:jc w:val="right"/>
              <w:outlineLvl w:val="1"/>
              <w:rPr>
                <w:lang w:val="en-GB"/>
              </w:rPr>
            </w:pPr>
            <w:bookmarkStart w:id="1701" w:name="_Toc376199847"/>
            <w:r w:rsidRPr="006645DC">
              <w:rPr>
                <w:lang w:val="en-GB"/>
              </w:rPr>
              <w:t>9,0</w:t>
            </w:r>
            <w:bookmarkEnd w:id="1701"/>
          </w:p>
        </w:tc>
        <w:tc>
          <w:tcPr>
            <w:tcW w:w="0" w:type="auto"/>
            <w:vAlign w:val="center"/>
          </w:tcPr>
          <w:p w14:paraId="50A4B967" w14:textId="77777777" w:rsidR="00B5369A" w:rsidRPr="006645DC" w:rsidRDefault="00B5369A" w:rsidP="00F521CE">
            <w:pPr>
              <w:keepNext/>
              <w:keepLines/>
              <w:spacing w:before="0" w:after="0" w:line="276" w:lineRule="auto"/>
              <w:ind w:left="757" w:hanging="360"/>
              <w:jc w:val="right"/>
              <w:outlineLvl w:val="1"/>
              <w:rPr>
                <w:lang w:val="en-GB"/>
              </w:rPr>
            </w:pPr>
            <w:bookmarkStart w:id="1702" w:name="_Toc376199848"/>
            <w:r w:rsidRPr="006645DC">
              <w:rPr>
                <w:lang w:val="en-GB"/>
              </w:rPr>
              <w:t>9,5</w:t>
            </w:r>
            <w:bookmarkEnd w:id="1702"/>
          </w:p>
        </w:tc>
        <w:tc>
          <w:tcPr>
            <w:tcW w:w="0" w:type="auto"/>
            <w:vAlign w:val="center"/>
          </w:tcPr>
          <w:p w14:paraId="5A697E8E" w14:textId="77777777" w:rsidR="00B5369A" w:rsidRPr="006645DC" w:rsidRDefault="00B5369A" w:rsidP="00F521CE">
            <w:pPr>
              <w:keepNext/>
              <w:keepLines/>
              <w:spacing w:before="0" w:after="0" w:line="276" w:lineRule="auto"/>
              <w:ind w:left="757" w:hanging="360"/>
              <w:jc w:val="right"/>
              <w:outlineLvl w:val="1"/>
              <w:rPr>
                <w:lang w:val="en-GB"/>
              </w:rPr>
            </w:pPr>
            <w:bookmarkStart w:id="1703" w:name="_Toc376199849"/>
            <w:r w:rsidRPr="006645DC">
              <w:rPr>
                <w:lang w:val="en-GB"/>
              </w:rPr>
              <w:t>11,7</w:t>
            </w:r>
            <w:bookmarkEnd w:id="1703"/>
          </w:p>
        </w:tc>
        <w:tc>
          <w:tcPr>
            <w:tcW w:w="0" w:type="auto"/>
            <w:vAlign w:val="center"/>
          </w:tcPr>
          <w:p w14:paraId="1C28FB22" w14:textId="77777777" w:rsidR="00B5369A" w:rsidRPr="006645DC" w:rsidRDefault="00B5369A" w:rsidP="00F521CE">
            <w:pPr>
              <w:keepNext/>
              <w:keepLines/>
              <w:spacing w:before="0" w:after="0" w:line="276" w:lineRule="auto"/>
              <w:ind w:left="757" w:hanging="360"/>
              <w:jc w:val="right"/>
              <w:outlineLvl w:val="1"/>
              <w:rPr>
                <w:lang w:val="en-GB"/>
              </w:rPr>
            </w:pPr>
            <w:bookmarkStart w:id="1704" w:name="_Toc376199850"/>
            <w:r w:rsidRPr="006645DC">
              <w:rPr>
                <w:lang w:val="en-GB"/>
              </w:rPr>
              <w:t>13,7</w:t>
            </w:r>
            <w:bookmarkEnd w:id="1704"/>
          </w:p>
        </w:tc>
        <w:tc>
          <w:tcPr>
            <w:tcW w:w="0" w:type="auto"/>
            <w:vAlign w:val="center"/>
          </w:tcPr>
          <w:p w14:paraId="6B371041" w14:textId="77777777" w:rsidR="00B5369A" w:rsidRPr="006645DC" w:rsidRDefault="00B5369A" w:rsidP="00F521CE">
            <w:pPr>
              <w:keepNext/>
              <w:keepLines/>
              <w:spacing w:before="0" w:after="0" w:line="276" w:lineRule="auto"/>
              <w:ind w:left="757" w:hanging="360"/>
              <w:jc w:val="right"/>
              <w:outlineLvl w:val="1"/>
              <w:rPr>
                <w:lang w:val="en-GB"/>
              </w:rPr>
            </w:pPr>
            <w:bookmarkStart w:id="1705" w:name="_Toc376199851"/>
            <w:r w:rsidRPr="006645DC">
              <w:rPr>
                <w:lang w:val="en-GB"/>
              </w:rPr>
              <w:t>13,8</w:t>
            </w:r>
            <w:bookmarkEnd w:id="1705"/>
          </w:p>
        </w:tc>
        <w:tc>
          <w:tcPr>
            <w:tcW w:w="0" w:type="auto"/>
            <w:vAlign w:val="center"/>
          </w:tcPr>
          <w:p w14:paraId="3A7783B3" w14:textId="77777777" w:rsidR="00B5369A" w:rsidRPr="006645DC" w:rsidRDefault="00B5369A" w:rsidP="00F521CE">
            <w:pPr>
              <w:keepNext/>
              <w:keepLines/>
              <w:spacing w:before="0" w:after="0" w:line="276" w:lineRule="auto"/>
              <w:ind w:left="757" w:hanging="360"/>
              <w:jc w:val="right"/>
              <w:outlineLvl w:val="1"/>
              <w:rPr>
                <w:lang w:val="en-GB"/>
              </w:rPr>
            </w:pPr>
            <w:bookmarkStart w:id="1706" w:name="_Toc376199852"/>
            <w:r w:rsidRPr="006645DC">
              <w:rPr>
                <w:lang w:val="en-GB"/>
              </w:rPr>
              <w:t>16</w:t>
            </w:r>
            <w:bookmarkEnd w:id="1706"/>
          </w:p>
        </w:tc>
      </w:tr>
      <w:tr w:rsidR="00B5369A" w:rsidRPr="006645DC" w14:paraId="4B84D78C" w14:textId="77777777" w:rsidTr="00F521CE">
        <w:trPr>
          <w:jc w:val="center"/>
        </w:trPr>
        <w:tc>
          <w:tcPr>
            <w:tcW w:w="0" w:type="auto"/>
          </w:tcPr>
          <w:p w14:paraId="3E335BBB" w14:textId="77777777" w:rsidR="00B5369A" w:rsidRPr="006645DC" w:rsidRDefault="00B5369A" w:rsidP="00F521CE">
            <w:pPr>
              <w:keepNext/>
              <w:keepLines/>
              <w:spacing w:before="0" w:after="0"/>
              <w:outlineLvl w:val="1"/>
              <w:rPr>
                <w:b/>
                <w:lang w:val="en-GB"/>
              </w:rPr>
            </w:pPr>
            <w:bookmarkStart w:id="1707" w:name="_Toc376199853"/>
            <w:r w:rsidRPr="006645DC">
              <w:rPr>
                <w:b/>
                <w:lang w:val="en-GB"/>
              </w:rPr>
              <w:t>EU (27 countries)</w:t>
            </w:r>
            <w:bookmarkEnd w:id="1707"/>
          </w:p>
        </w:tc>
        <w:tc>
          <w:tcPr>
            <w:tcW w:w="0" w:type="auto"/>
            <w:vAlign w:val="center"/>
          </w:tcPr>
          <w:p w14:paraId="5352FD4F" w14:textId="77777777" w:rsidR="00B5369A" w:rsidRPr="006645DC" w:rsidRDefault="00B5369A" w:rsidP="00F521CE">
            <w:pPr>
              <w:keepNext/>
              <w:keepLines/>
              <w:spacing w:before="0" w:after="0"/>
              <w:ind w:left="757" w:hanging="360"/>
              <w:jc w:val="right"/>
              <w:outlineLvl w:val="1"/>
              <w:rPr>
                <w:lang w:val="en-GB"/>
              </w:rPr>
            </w:pPr>
            <w:bookmarkStart w:id="1708" w:name="_Toc376199854"/>
            <w:r w:rsidRPr="006645DC">
              <w:rPr>
                <w:lang w:val="en-GB"/>
              </w:rPr>
              <w:t>9,7</w:t>
            </w:r>
            <w:bookmarkEnd w:id="1708"/>
          </w:p>
        </w:tc>
        <w:tc>
          <w:tcPr>
            <w:tcW w:w="0" w:type="auto"/>
            <w:vAlign w:val="center"/>
          </w:tcPr>
          <w:p w14:paraId="31CC9A83" w14:textId="77777777" w:rsidR="00B5369A" w:rsidRPr="006645DC" w:rsidRDefault="00B5369A" w:rsidP="00F521CE">
            <w:pPr>
              <w:keepNext/>
              <w:keepLines/>
              <w:spacing w:before="0" w:after="0"/>
              <w:ind w:left="757" w:hanging="360"/>
              <w:jc w:val="right"/>
              <w:outlineLvl w:val="1"/>
              <w:rPr>
                <w:lang w:val="en-GB"/>
              </w:rPr>
            </w:pPr>
            <w:bookmarkStart w:id="1709" w:name="_Toc376199855"/>
            <w:r w:rsidRPr="006645DC">
              <w:rPr>
                <w:lang w:val="en-GB"/>
              </w:rPr>
              <w:t>10,4</w:t>
            </w:r>
            <w:bookmarkEnd w:id="1709"/>
          </w:p>
        </w:tc>
        <w:tc>
          <w:tcPr>
            <w:tcW w:w="0" w:type="auto"/>
            <w:vAlign w:val="center"/>
          </w:tcPr>
          <w:p w14:paraId="11507320" w14:textId="77777777" w:rsidR="00B5369A" w:rsidRPr="006645DC" w:rsidRDefault="00B5369A" w:rsidP="00F521CE">
            <w:pPr>
              <w:keepNext/>
              <w:keepLines/>
              <w:spacing w:before="0" w:after="0"/>
              <w:ind w:left="757" w:hanging="360"/>
              <w:jc w:val="right"/>
              <w:outlineLvl w:val="1"/>
              <w:rPr>
                <w:lang w:val="en-GB"/>
              </w:rPr>
            </w:pPr>
            <w:bookmarkStart w:id="1710" w:name="_Toc376199856"/>
            <w:r w:rsidRPr="006645DC">
              <w:rPr>
                <w:lang w:val="en-GB"/>
              </w:rPr>
              <w:t>11,6</w:t>
            </w:r>
            <w:bookmarkEnd w:id="1710"/>
          </w:p>
        </w:tc>
        <w:tc>
          <w:tcPr>
            <w:tcW w:w="0" w:type="auto"/>
            <w:vAlign w:val="center"/>
          </w:tcPr>
          <w:p w14:paraId="565D5CCE" w14:textId="77777777" w:rsidR="00B5369A" w:rsidRPr="006645DC" w:rsidRDefault="00B5369A" w:rsidP="00F521CE">
            <w:pPr>
              <w:keepNext/>
              <w:keepLines/>
              <w:spacing w:before="0" w:after="0"/>
              <w:ind w:left="757" w:hanging="360"/>
              <w:jc w:val="right"/>
              <w:outlineLvl w:val="1"/>
              <w:rPr>
                <w:lang w:val="en-GB"/>
              </w:rPr>
            </w:pPr>
            <w:bookmarkStart w:id="1711" w:name="_Toc376199857"/>
            <w:r w:rsidRPr="006645DC">
              <w:rPr>
                <w:lang w:val="en-GB"/>
              </w:rPr>
              <w:t>12,5</w:t>
            </w:r>
            <w:bookmarkEnd w:id="1711"/>
          </w:p>
        </w:tc>
        <w:tc>
          <w:tcPr>
            <w:tcW w:w="0" w:type="auto"/>
            <w:vAlign w:val="center"/>
          </w:tcPr>
          <w:p w14:paraId="56BE1DEE" w14:textId="77777777" w:rsidR="00B5369A" w:rsidRPr="006645DC" w:rsidRDefault="00B5369A" w:rsidP="00F521CE">
            <w:pPr>
              <w:keepNext/>
              <w:keepLines/>
              <w:spacing w:before="0" w:after="0"/>
              <w:ind w:left="757" w:hanging="360"/>
              <w:jc w:val="right"/>
              <w:outlineLvl w:val="1"/>
              <w:rPr>
                <w:lang w:val="en-GB"/>
              </w:rPr>
            </w:pPr>
            <w:bookmarkStart w:id="1712" w:name="_Toc376199858"/>
            <w:r w:rsidRPr="006645DC">
              <w:rPr>
                <w:lang w:val="en-GB"/>
              </w:rPr>
              <w:t>13,0</w:t>
            </w:r>
            <w:bookmarkEnd w:id="1712"/>
          </w:p>
        </w:tc>
        <w:tc>
          <w:tcPr>
            <w:tcW w:w="0" w:type="auto"/>
            <w:vAlign w:val="center"/>
          </w:tcPr>
          <w:p w14:paraId="568F1E28" w14:textId="77777777" w:rsidR="00B5369A" w:rsidRPr="006645DC" w:rsidRDefault="00B5369A" w:rsidP="00F521CE">
            <w:pPr>
              <w:keepNext/>
              <w:keepLines/>
              <w:spacing w:before="0" w:after="0"/>
              <w:ind w:left="757" w:hanging="360"/>
              <w:jc w:val="right"/>
              <w:outlineLvl w:val="1"/>
              <w:rPr>
                <w:lang w:val="en-GB"/>
              </w:rPr>
            </w:pPr>
            <w:bookmarkStart w:id="1713" w:name="_Toc376199859"/>
            <w:r w:rsidRPr="006645DC">
              <w:rPr>
                <w:lang w:val="en-GB"/>
              </w:rPr>
              <w:t>20,0</w:t>
            </w:r>
            <w:bookmarkEnd w:id="1713"/>
          </w:p>
        </w:tc>
      </w:tr>
    </w:tbl>
    <w:p w14:paraId="424DE8BB" w14:textId="77777777" w:rsidR="00B5369A" w:rsidRPr="006645DC" w:rsidRDefault="00B5369A" w:rsidP="00B5369A">
      <w:pPr>
        <w:pStyle w:val="Caption"/>
        <w:tabs>
          <w:tab w:val="center" w:pos="4680"/>
          <w:tab w:val="right" w:pos="9360"/>
        </w:tabs>
        <w:jc w:val="left"/>
        <w:rPr>
          <w:lang w:val="en-GB"/>
        </w:rPr>
      </w:pPr>
      <w:r w:rsidRPr="006645DC">
        <w:rPr>
          <w:lang w:val="en-GB"/>
        </w:rPr>
        <w:tab/>
      </w:r>
      <w:bookmarkStart w:id="1714" w:name="_Toc391150140"/>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43</w:t>
      </w:r>
      <w:r w:rsidR="005979EB" w:rsidRPr="006645DC">
        <w:rPr>
          <w:lang w:val="en-GB"/>
        </w:rPr>
        <w:fldChar w:fldCharType="end"/>
      </w:r>
      <w:r w:rsidRPr="006645DC">
        <w:rPr>
          <w:lang w:val="en-GB"/>
        </w:rPr>
        <w:t xml:space="preserve"> - Share of renewable energy in gross final energy consumption (%)</w:t>
      </w:r>
      <w:bookmarkEnd w:id="1714"/>
    </w:p>
    <w:p w14:paraId="41E623BA" w14:textId="77777777" w:rsidR="00B5369A" w:rsidRPr="006645DC" w:rsidRDefault="00B5369A" w:rsidP="00B5369A">
      <w:pPr>
        <w:pStyle w:val="Heading4"/>
        <w:rPr>
          <w:lang w:val="en-GB" w:eastAsia="ro-RO"/>
        </w:rPr>
      </w:pPr>
      <w:r w:rsidRPr="006645DC">
        <w:rPr>
          <w:lang w:val="en-GB" w:eastAsia="ro-RO"/>
        </w:rPr>
        <w:lastRenderedPageBreak/>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rPr>
        <w:t>Source: Eurostat</w:t>
      </w:r>
    </w:p>
    <w:p w14:paraId="34F56F96" w14:textId="77777777" w:rsidR="00B5369A" w:rsidRPr="006645DC" w:rsidRDefault="00B5369A" w:rsidP="00B5369A">
      <w:pPr>
        <w:rPr>
          <w:lang w:val="en-GB"/>
        </w:rPr>
      </w:pPr>
    </w:p>
    <w:tbl>
      <w:tblPr>
        <w:tblW w:w="7860" w:type="dxa"/>
        <w:jc w:val="center"/>
        <w:tblCellMar>
          <w:left w:w="70" w:type="dxa"/>
          <w:right w:w="70" w:type="dxa"/>
        </w:tblCellMar>
        <w:tblLook w:val="04A0" w:firstRow="1" w:lastRow="0" w:firstColumn="1" w:lastColumn="0" w:noHBand="0" w:noVBand="1"/>
      </w:tblPr>
      <w:tblGrid>
        <w:gridCol w:w="3060"/>
        <w:gridCol w:w="960"/>
        <w:gridCol w:w="960"/>
        <w:gridCol w:w="960"/>
        <w:gridCol w:w="960"/>
        <w:gridCol w:w="960"/>
      </w:tblGrid>
      <w:tr w:rsidR="00B5369A" w:rsidRPr="006645DC" w14:paraId="3B993EBC" w14:textId="77777777" w:rsidTr="00B5369A">
        <w:trPr>
          <w:trHeight w:val="315"/>
          <w:jc w:val="center"/>
        </w:trPr>
        <w:tc>
          <w:tcPr>
            <w:tcW w:w="306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6C69F3D" w14:textId="77777777" w:rsidR="00B5369A" w:rsidRPr="006645DC" w:rsidRDefault="00B5369A" w:rsidP="00B5369A">
            <w:pPr>
              <w:spacing w:before="0" w:after="0"/>
              <w:rPr>
                <w:rFonts w:eastAsia="Times New Roman"/>
                <w:color w:val="000000"/>
                <w:lang w:val="en-GB" w:eastAsia="hu-HU"/>
              </w:rPr>
            </w:pPr>
            <w:r w:rsidRPr="006645DC">
              <w:rPr>
                <w:rFonts w:eastAsia="Times New Roman" w:cstheme="minorHAnsi"/>
                <w:color w:val="000000"/>
                <w:lang w:val="en-GB" w:eastAsia="hu-HU"/>
              </w:rPr>
              <w:t> </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4CD7C784" w14:textId="77777777" w:rsidR="00B5369A" w:rsidRPr="006645DC" w:rsidRDefault="00B5369A" w:rsidP="00B5369A">
            <w:pPr>
              <w:spacing w:before="0" w:after="0"/>
              <w:jc w:val="center"/>
              <w:rPr>
                <w:rFonts w:eastAsia="Times New Roman"/>
                <w:b/>
                <w:bCs/>
                <w:color w:val="000000"/>
                <w:lang w:val="en-GB" w:eastAsia="hu-HU"/>
              </w:rPr>
            </w:pPr>
            <w:r w:rsidRPr="006645DC">
              <w:rPr>
                <w:rFonts w:eastAsia="Times New Roman" w:cstheme="minorHAnsi"/>
                <w:b/>
                <w:bCs/>
                <w:color w:val="000000"/>
                <w:lang w:val="en-GB" w:eastAsia="hu-HU"/>
              </w:rPr>
              <w:t>2007</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0D0E036D" w14:textId="77777777" w:rsidR="00B5369A" w:rsidRPr="006645DC" w:rsidRDefault="00B5369A" w:rsidP="00B5369A">
            <w:pPr>
              <w:spacing w:before="0" w:after="0"/>
              <w:jc w:val="center"/>
              <w:rPr>
                <w:rFonts w:eastAsia="Times New Roman"/>
                <w:b/>
                <w:bCs/>
                <w:color w:val="000000"/>
                <w:lang w:val="en-GB" w:eastAsia="hu-HU"/>
              </w:rPr>
            </w:pPr>
            <w:r w:rsidRPr="006645DC">
              <w:rPr>
                <w:rFonts w:eastAsia="Times New Roman" w:cstheme="minorHAnsi"/>
                <w:b/>
                <w:bCs/>
                <w:color w:val="000000"/>
                <w:lang w:val="en-GB" w:eastAsia="hu-HU"/>
              </w:rPr>
              <w:t>2008</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6DA6125C" w14:textId="77777777" w:rsidR="00B5369A" w:rsidRPr="006645DC" w:rsidRDefault="00B5369A" w:rsidP="00B5369A">
            <w:pPr>
              <w:spacing w:before="0" w:after="0"/>
              <w:jc w:val="center"/>
              <w:rPr>
                <w:rFonts w:eastAsia="Times New Roman"/>
                <w:b/>
                <w:bCs/>
                <w:color w:val="000000"/>
                <w:lang w:val="en-GB" w:eastAsia="hu-HU"/>
              </w:rPr>
            </w:pPr>
            <w:r w:rsidRPr="006645DC">
              <w:rPr>
                <w:rFonts w:eastAsia="Times New Roman" w:cstheme="minorHAnsi"/>
                <w:b/>
                <w:bCs/>
                <w:color w:val="000000"/>
                <w:lang w:val="en-GB" w:eastAsia="hu-HU"/>
              </w:rPr>
              <w:t>2009</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171B423E" w14:textId="77777777" w:rsidR="00B5369A" w:rsidRPr="006645DC" w:rsidRDefault="00B5369A" w:rsidP="00B5369A">
            <w:pPr>
              <w:spacing w:before="0" w:after="0"/>
              <w:jc w:val="center"/>
              <w:rPr>
                <w:rFonts w:eastAsia="Times New Roman"/>
                <w:b/>
                <w:bCs/>
                <w:color w:val="000000"/>
                <w:lang w:val="en-GB" w:eastAsia="hu-HU"/>
              </w:rPr>
            </w:pPr>
            <w:r w:rsidRPr="006645DC">
              <w:rPr>
                <w:rFonts w:eastAsia="Times New Roman" w:cstheme="minorHAnsi"/>
                <w:b/>
                <w:bCs/>
                <w:color w:val="000000"/>
                <w:lang w:val="en-GB" w:eastAsia="hu-HU"/>
              </w:rPr>
              <w:t>2010</w:t>
            </w:r>
          </w:p>
        </w:tc>
        <w:tc>
          <w:tcPr>
            <w:tcW w:w="960" w:type="dxa"/>
            <w:tcBorders>
              <w:top w:val="single" w:sz="8" w:space="0" w:color="auto"/>
              <w:left w:val="nil"/>
              <w:bottom w:val="single" w:sz="8" w:space="0" w:color="auto"/>
              <w:right w:val="single" w:sz="8" w:space="0" w:color="auto"/>
            </w:tcBorders>
            <w:shd w:val="clear" w:color="auto" w:fill="auto"/>
            <w:noWrap/>
            <w:vAlign w:val="center"/>
            <w:hideMark/>
          </w:tcPr>
          <w:p w14:paraId="0BC910E1" w14:textId="77777777" w:rsidR="00B5369A" w:rsidRPr="006645DC" w:rsidRDefault="00B5369A" w:rsidP="00B5369A">
            <w:pPr>
              <w:spacing w:before="0" w:after="0"/>
              <w:jc w:val="center"/>
              <w:rPr>
                <w:rFonts w:eastAsia="Times New Roman"/>
                <w:b/>
                <w:bCs/>
                <w:color w:val="000000"/>
                <w:lang w:val="en-GB" w:eastAsia="hu-HU"/>
              </w:rPr>
            </w:pPr>
            <w:r w:rsidRPr="006645DC">
              <w:rPr>
                <w:rFonts w:eastAsia="Times New Roman" w:cstheme="minorHAnsi"/>
                <w:b/>
                <w:bCs/>
                <w:color w:val="000000"/>
                <w:lang w:val="en-GB" w:eastAsia="hu-HU"/>
              </w:rPr>
              <w:t>2011</w:t>
            </w:r>
          </w:p>
        </w:tc>
      </w:tr>
      <w:tr w:rsidR="00B5369A" w:rsidRPr="006645DC" w14:paraId="41D216EB" w14:textId="77777777" w:rsidTr="00B5369A">
        <w:trPr>
          <w:trHeight w:val="315"/>
          <w:jc w:val="center"/>
        </w:trPr>
        <w:tc>
          <w:tcPr>
            <w:tcW w:w="78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1089894" w14:textId="77777777" w:rsidR="00B5369A" w:rsidRPr="006645DC" w:rsidRDefault="00B5369A" w:rsidP="00B5369A">
            <w:pPr>
              <w:spacing w:before="0" w:after="0"/>
              <w:rPr>
                <w:rFonts w:eastAsia="Times New Roman"/>
                <w:b/>
                <w:bCs/>
                <w:color w:val="000000"/>
                <w:lang w:val="en-GB" w:eastAsia="hu-HU"/>
              </w:rPr>
            </w:pPr>
            <w:r w:rsidRPr="006645DC">
              <w:rPr>
                <w:rFonts w:eastAsia="Times New Roman" w:cstheme="minorHAnsi"/>
                <w:b/>
                <w:bCs/>
                <w:color w:val="000000"/>
                <w:lang w:val="en-GB" w:eastAsia="hu-HU"/>
              </w:rPr>
              <w:t>Romania</w:t>
            </w:r>
          </w:p>
        </w:tc>
      </w:tr>
      <w:tr w:rsidR="00B5369A" w:rsidRPr="006645DC" w14:paraId="512E6D8F" w14:textId="77777777" w:rsidTr="00F521CE">
        <w:trPr>
          <w:trHeight w:val="315"/>
          <w:jc w:val="center"/>
        </w:trPr>
        <w:tc>
          <w:tcPr>
            <w:tcW w:w="3060" w:type="dxa"/>
            <w:tcBorders>
              <w:top w:val="nil"/>
              <w:left w:val="single" w:sz="8" w:space="0" w:color="auto"/>
              <w:bottom w:val="single" w:sz="8" w:space="0" w:color="auto"/>
              <w:right w:val="single" w:sz="8" w:space="0" w:color="auto"/>
            </w:tcBorders>
            <w:shd w:val="clear" w:color="auto" w:fill="auto"/>
            <w:noWrap/>
            <w:vAlign w:val="center"/>
            <w:hideMark/>
          </w:tcPr>
          <w:p w14:paraId="33C61535" w14:textId="77777777" w:rsidR="00B5369A" w:rsidRPr="006645DC" w:rsidRDefault="00B5369A" w:rsidP="00F521CE">
            <w:pPr>
              <w:spacing w:before="0" w:after="0"/>
              <w:jc w:val="right"/>
              <w:rPr>
                <w:rFonts w:eastAsia="Times New Roman"/>
                <w:color w:val="000000"/>
                <w:lang w:val="en-GB" w:eastAsia="hu-HU"/>
              </w:rPr>
            </w:pPr>
            <w:r w:rsidRPr="006645DC">
              <w:rPr>
                <w:rFonts w:eastAsia="Times New Roman" w:cstheme="minorHAnsi"/>
                <w:color w:val="000000"/>
                <w:lang w:val="en-GB" w:eastAsia="hu-HU"/>
              </w:rPr>
              <w:t>Solar energy</w:t>
            </w:r>
          </w:p>
        </w:tc>
        <w:tc>
          <w:tcPr>
            <w:tcW w:w="960" w:type="dxa"/>
            <w:tcBorders>
              <w:top w:val="nil"/>
              <w:left w:val="nil"/>
              <w:bottom w:val="single" w:sz="8" w:space="0" w:color="auto"/>
              <w:right w:val="single" w:sz="8" w:space="0" w:color="auto"/>
            </w:tcBorders>
            <w:shd w:val="clear" w:color="auto" w:fill="auto"/>
            <w:vAlign w:val="center"/>
            <w:hideMark/>
          </w:tcPr>
          <w:p w14:paraId="51285D68"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0</w:t>
            </w:r>
          </w:p>
        </w:tc>
        <w:tc>
          <w:tcPr>
            <w:tcW w:w="960" w:type="dxa"/>
            <w:tcBorders>
              <w:top w:val="nil"/>
              <w:left w:val="nil"/>
              <w:bottom w:val="single" w:sz="8" w:space="0" w:color="auto"/>
              <w:right w:val="single" w:sz="8" w:space="0" w:color="auto"/>
            </w:tcBorders>
            <w:shd w:val="clear" w:color="auto" w:fill="auto"/>
            <w:vAlign w:val="center"/>
            <w:hideMark/>
          </w:tcPr>
          <w:p w14:paraId="14943FBE"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0</w:t>
            </w:r>
          </w:p>
        </w:tc>
        <w:tc>
          <w:tcPr>
            <w:tcW w:w="960" w:type="dxa"/>
            <w:tcBorders>
              <w:top w:val="nil"/>
              <w:left w:val="nil"/>
              <w:bottom w:val="single" w:sz="8" w:space="0" w:color="auto"/>
              <w:right w:val="single" w:sz="8" w:space="0" w:color="auto"/>
            </w:tcBorders>
            <w:shd w:val="clear" w:color="auto" w:fill="auto"/>
            <w:vAlign w:val="center"/>
            <w:hideMark/>
          </w:tcPr>
          <w:p w14:paraId="165E1127"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0</w:t>
            </w:r>
          </w:p>
        </w:tc>
        <w:tc>
          <w:tcPr>
            <w:tcW w:w="960" w:type="dxa"/>
            <w:tcBorders>
              <w:top w:val="nil"/>
              <w:left w:val="nil"/>
              <w:bottom w:val="single" w:sz="8" w:space="0" w:color="auto"/>
              <w:right w:val="single" w:sz="8" w:space="0" w:color="auto"/>
            </w:tcBorders>
            <w:shd w:val="clear" w:color="auto" w:fill="auto"/>
            <w:vAlign w:val="center"/>
            <w:hideMark/>
          </w:tcPr>
          <w:p w14:paraId="31C4B054"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0</w:t>
            </w:r>
          </w:p>
        </w:tc>
        <w:tc>
          <w:tcPr>
            <w:tcW w:w="960" w:type="dxa"/>
            <w:tcBorders>
              <w:top w:val="nil"/>
              <w:left w:val="nil"/>
              <w:bottom w:val="single" w:sz="8" w:space="0" w:color="auto"/>
              <w:right w:val="single" w:sz="8" w:space="0" w:color="auto"/>
            </w:tcBorders>
            <w:shd w:val="clear" w:color="auto" w:fill="auto"/>
            <w:vAlign w:val="center"/>
            <w:hideMark/>
          </w:tcPr>
          <w:p w14:paraId="61AD51F7"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0</w:t>
            </w:r>
          </w:p>
        </w:tc>
      </w:tr>
      <w:tr w:rsidR="00B5369A" w:rsidRPr="006645DC" w14:paraId="6457CC78" w14:textId="77777777" w:rsidTr="00F521CE">
        <w:trPr>
          <w:trHeight w:val="315"/>
          <w:jc w:val="center"/>
        </w:trPr>
        <w:tc>
          <w:tcPr>
            <w:tcW w:w="3060" w:type="dxa"/>
            <w:tcBorders>
              <w:top w:val="nil"/>
              <w:left w:val="single" w:sz="8" w:space="0" w:color="auto"/>
              <w:bottom w:val="single" w:sz="8" w:space="0" w:color="auto"/>
              <w:right w:val="single" w:sz="8" w:space="0" w:color="auto"/>
            </w:tcBorders>
            <w:shd w:val="clear" w:color="auto" w:fill="auto"/>
            <w:noWrap/>
            <w:vAlign w:val="center"/>
            <w:hideMark/>
          </w:tcPr>
          <w:p w14:paraId="7D2DF850" w14:textId="77777777" w:rsidR="00B5369A" w:rsidRPr="006645DC" w:rsidRDefault="00B5369A" w:rsidP="00F521CE">
            <w:pPr>
              <w:spacing w:before="0" w:after="0"/>
              <w:jc w:val="right"/>
              <w:rPr>
                <w:rFonts w:eastAsia="Times New Roman"/>
                <w:color w:val="000000"/>
                <w:lang w:val="en-GB" w:eastAsia="hu-HU"/>
              </w:rPr>
            </w:pPr>
            <w:r w:rsidRPr="006645DC">
              <w:rPr>
                <w:rFonts w:eastAsia="Times New Roman" w:cstheme="minorHAnsi"/>
                <w:color w:val="000000"/>
                <w:lang w:val="en-GB" w:eastAsia="hu-HU"/>
              </w:rPr>
              <w:t>Biomass and renewable wastes</w:t>
            </w:r>
          </w:p>
        </w:tc>
        <w:tc>
          <w:tcPr>
            <w:tcW w:w="960" w:type="dxa"/>
            <w:tcBorders>
              <w:top w:val="nil"/>
              <w:left w:val="nil"/>
              <w:bottom w:val="single" w:sz="8" w:space="0" w:color="auto"/>
              <w:right w:val="single" w:sz="8" w:space="0" w:color="auto"/>
            </w:tcBorders>
            <w:shd w:val="clear" w:color="auto" w:fill="auto"/>
            <w:vAlign w:val="center"/>
            <w:hideMark/>
          </w:tcPr>
          <w:p w14:paraId="679C0E72"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3</w:t>
            </w:r>
            <w:r w:rsidR="00EB4D87" w:rsidRPr="006645DC">
              <w:rPr>
                <w:rFonts w:eastAsia="Times New Roman" w:cstheme="minorHAnsi"/>
                <w:color w:val="000000"/>
                <w:lang w:val="en-GB" w:eastAsia="hu-HU"/>
              </w:rPr>
              <w:t xml:space="preserve"> </w:t>
            </w:r>
            <w:r w:rsidRPr="006645DC">
              <w:rPr>
                <w:rFonts w:eastAsia="Times New Roman" w:cstheme="minorHAnsi"/>
                <w:color w:val="000000"/>
                <w:lang w:val="en-GB" w:eastAsia="hu-HU"/>
              </w:rPr>
              <w:t>325</w:t>
            </w:r>
          </w:p>
        </w:tc>
        <w:tc>
          <w:tcPr>
            <w:tcW w:w="960" w:type="dxa"/>
            <w:tcBorders>
              <w:top w:val="nil"/>
              <w:left w:val="nil"/>
              <w:bottom w:val="single" w:sz="8" w:space="0" w:color="auto"/>
              <w:right w:val="single" w:sz="8" w:space="0" w:color="auto"/>
            </w:tcBorders>
            <w:shd w:val="clear" w:color="auto" w:fill="auto"/>
            <w:vAlign w:val="center"/>
            <w:hideMark/>
          </w:tcPr>
          <w:p w14:paraId="68E30F24"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3</w:t>
            </w:r>
            <w:r w:rsidR="00EB4D87" w:rsidRPr="006645DC">
              <w:rPr>
                <w:rFonts w:eastAsia="Times New Roman" w:cstheme="minorHAnsi"/>
                <w:color w:val="000000"/>
                <w:lang w:val="en-GB" w:eastAsia="hu-HU"/>
              </w:rPr>
              <w:t xml:space="preserve"> </w:t>
            </w:r>
            <w:r w:rsidRPr="006645DC">
              <w:rPr>
                <w:rFonts w:eastAsia="Times New Roman" w:cstheme="minorHAnsi"/>
                <w:color w:val="000000"/>
                <w:lang w:val="en-GB" w:eastAsia="hu-HU"/>
              </w:rPr>
              <w:t>832</w:t>
            </w:r>
          </w:p>
        </w:tc>
        <w:tc>
          <w:tcPr>
            <w:tcW w:w="960" w:type="dxa"/>
            <w:tcBorders>
              <w:top w:val="nil"/>
              <w:left w:val="nil"/>
              <w:bottom w:val="single" w:sz="8" w:space="0" w:color="auto"/>
              <w:right w:val="single" w:sz="8" w:space="0" w:color="auto"/>
            </w:tcBorders>
            <w:shd w:val="clear" w:color="auto" w:fill="auto"/>
            <w:vAlign w:val="center"/>
            <w:hideMark/>
          </w:tcPr>
          <w:p w14:paraId="69C8CF36"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3</w:t>
            </w:r>
            <w:r w:rsidR="00EB4D87" w:rsidRPr="006645DC">
              <w:rPr>
                <w:rFonts w:eastAsia="Times New Roman" w:cstheme="minorHAnsi"/>
                <w:color w:val="000000"/>
                <w:lang w:val="en-GB" w:eastAsia="hu-HU"/>
              </w:rPr>
              <w:t xml:space="preserve"> </w:t>
            </w:r>
            <w:r w:rsidRPr="006645DC">
              <w:rPr>
                <w:rFonts w:eastAsia="Times New Roman" w:cstheme="minorHAnsi"/>
                <w:color w:val="000000"/>
                <w:lang w:val="en-GB" w:eastAsia="hu-HU"/>
              </w:rPr>
              <w:t>915</w:t>
            </w:r>
          </w:p>
        </w:tc>
        <w:tc>
          <w:tcPr>
            <w:tcW w:w="960" w:type="dxa"/>
            <w:tcBorders>
              <w:top w:val="nil"/>
              <w:left w:val="nil"/>
              <w:bottom w:val="single" w:sz="8" w:space="0" w:color="auto"/>
              <w:right w:val="single" w:sz="8" w:space="0" w:color="auto"/>
            </w:tcBorders>
            <w:shd w:val="clear" w:color="auto" w:fill="auto"/>
            <w:vAlign w:val="center"/>
            <w:hideMark/>
          </w:tcPr>
          <w:p w14:paraId="57C2437A"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3</w:t>
            </w:r>
            <w:r w:rsidR="00EB4D87" w:rsidRPr="006645DC">
              <w:rPr>
                <w:rFonts w:eastAsia="Times New Roman" w:cstheme="minorHAnsi"/>
                <w:color w:val="000000"/>
                <w:lang w:val="en-GB" w:eastAsia="hu-HU"/>
              </w:rPr>
              <w:t xml:space="preserve"> </w:t>
            </w:r>
            <w:r w:rsidRPr="006645DC">
              <w:rPr>
                <w:rFonts w:eastAsia="Times New Roman" w:cstheme="minorHAnsi"/>
                <w:color w:val="000000"/>
                <w:lang w:val="en-GB" w:eastAsia="hu-HU"/>
              </w:rPr>
              <w:t>949</w:t>
            </w:r>
          </w:p>
        </w:tc>
        <w:tc>
          <w:tcPr>
            <w:tcW w:w="960" w:type="dxa"/>
            <w:tcBorders>
              <w:top w:val="nil"/>
              <w:left w:val="nil"/>
              <w:bottom w:val="single" w:sz="8" w:space="0" w:color="auto"/>
              <w:right w:val="single" w:sz="8" w:space="0" w:color="auto"/>
            </w:tcBorders>
            <w:shd w:val="clear" w:color="auto" w:fill="auto"/>
            <w:vAlign w:val="center"/>
            <w:hideMark/>
          </w:tcPr>
          <w:p w14:paraId="52A378A2"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3</w:t>
            </w:r>
            <w:r w:rsidR="00EB4D87" w:rsidRPr="006645DC">
              <w:rPr>
                <w:rFonts w:eastAsia="Times New Roman" w:cstheme="minorHAnsi"/>
                <w:color w:val="000000"/>
                <w:lang w:val="en-GB" w:eastAsia="hu-HU"/>
              </w:rPr>
              <w:t xml:space="preserve"> </w:t>
            </w:r>
            <w:r w:rsidRPr="006645DC">
              <w:rPr>
                <w:rFonts w:eastAsia="Times New Roman" w:cstheme="minorHAnsi"/>
                <w:color w:val="000000"/>
                <w:lang w:val="en-GB" w:eastAsia="hu-HU"/>
              </w:rPr>
              <w:t>618</w:t>
            </w:r>
          </w:p>
        </w:tc>
      </w:tr>
      <w:tr w:rsidR="00B5369A" w:rsidRPr="006645DC" w14:paraId="40CB46A0" w14:textId="77777777" w:rsidTr="00F521CE">
        <w:trPr>
          <w:trHeight w:val="315"/>
          <w:jc w:val="center"/>
        </w:trPr>
        <w:tc>
          <w:tcPr>
            <w:tcW w:w="3060" w:type="dxa"/>
            <w:tcBorders>
              <w:top w:val="nil"/>
              <w:left w:val="single" w:sz="8" w:space="0" w:color="auto"/>
              <w:bottom w:val="single" w:sz="8" w:space="0" w:color="auto"/>
              <w:right w:val="single" w:sz="8" w:space="0" w:color="auto"/>
            </w:tcBorders>
            <w:shd w:val="clear" w:color="auto" w:fill="auto"/>
            <w:noWrap/>
            <w:vAlign w:val="center"/>
            <w:hideMark/>
          </w:tcPr>
          <w:p w14:paraId="174C0DD5" w14:textId="77777777" w:rsidR="00B5369A" w:rsidRPr="006645DC" w:rsidRDefault="00B5369A" w:rsidP="00F521CE">
            <w:pPr>
              <w:spacing w:before="0" w:after="0"/>
              <w:jc w:val="right"/>
              <w:rPr>
                <w:rFonts w:eastAsia="Times New Roman"/>
                <w:color w:val="000000"/>
                <w:lang w:val="en-GB" w:eastAsia="hu-HU"/>
              </w:rPr>
            </w:pPr>
            <w:r w:rsidRPr="006645DC">
              <w:rPr>
                <w:rFonts w:eastAsia="Times New Roman" w:cstheme="minorHAnsi"/>
                <w:color w:val="000000"/>
                <w:lang w:val="en-GB" w:eastAsia="hu-HU"/>
              </w:rPr>
              <w:t>Geothermal energy</w:t>
            </w:r>
          </w:p>
        </w:tc>
        <w:tc>
          <w:tcPr>
            <w:tcW w:w="960" w:type="dxa"/>
            <w:tcBorders>
              <w:top w:val="nil"/>
              <w:left w:val="nil"/>
              <w:bottom w:val="single" w:sz="8" w:space="0" w:color="auto"/>
              <w:right w:val="single" w:sz="8" w:space="0" w:color="auto"/>
            </w:tcBorders>
            <w:shd w:val="clear" w:color="auto" w:fill="auto"/>
            <w:vAlign w:val="center"/>
            <w:hideMark/>
          </w:tcPr>
          <w:p w14:paraId="5BBB6FFB"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20</w:t>
            </w:r>
          </w:p>
        </w:tc>
        <w:tc>
          <w:tcPr>
            <w:tcW w:w="960" w:type="dxa"/>
            <w:tcBorders>
              <w:top w:val="nil"/>
              <w:left w:val="nil"/>
              <w:bottom w:val="single" w:sz="8" w:space="0" w:color="auto"/>
              <w:right w:val="single" w:sz="8" w:space="0" w:color="auto"/>
            </w:tcBorders>
            <w:shd w:val="clear" w:color="auto" w:fill="auto"/>
            <w:vAlign w:val="center"/>
            <w:hideMark/>
          </w:tcPr>
          <w:p w14:paraId="40C3D496"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25</w:t>
            </w:r>
          </w:p>
        </w:tc>
        <w:tc>
          <w:tcPr>
            <w:tcW w:w="960" w:type="dxa"/>
            <w:tcBorders>
              <w:top w:val="nil"/>
              <w:left w:val="nil"/>
              <w:bottom w:val="single" w:sz="8" w:space="0" w:color="auto"/>
              <w:right w:val="single" w:sz="8" w:space="0" w:color="auto"/>
            </w:tcBorders>
            <w:shd w:val="clear" w:color="auto" w:fill="auto"/>
            <w:vAlign w:val="center"/>
            <w:hideMark/>
          </w:tcPr>
          <w:p w14:paraId="33BF679E"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24</w:t>
            </w:r>
          </w:p>
        </w:tc>
        <w:tc>
          <w:tcPr>
            <w:tcW w:w="960" w:type="dxa"/>
            <w:tcBorders>
              <w:top w:val="nil"/>
              <w:left w:val="nil"/>
              <w:bottom w:val="single" w:sz="8" w:space="0" w:color="auto"/>
              <w:right w:val="single" w:sz="8" w:space="0" w:color="auto"/>
            </w:tcBorders>
            <w:shd w:val="clear" w:color="auto" w:fill="auto"/>
            <w:vAlign w:val="center"/>
            <w:hideMark/>
          </w:tcPr>
          <w:p w14:paraId="50F6EC2B"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23</w:t>
            </w:r>
          </w:p>
        </w:tc>
        <w:tc>
          <w:tcPr>
            <w:tcW w:w="960" w:type="dxa"/>
            <w:tcBorders>
              <w:top w:val="nil"/>
              <w:left w:val="nil"/>
              <w:bottom w:val="single" w:sz="8" w:space="0" w:color="auto"/>
              <w:right w:val="single" w:sz="8" w:space="0" w:color="auto"/>
            </w:tcBorders>
            <w:shd w:val="clear" w:color="auto" w:fill="auto"/>
            <w:vAlign w:val="center"/>
            <w:hideMark/>
          </w:tcPr>
          <w:p w14:paraId="2BCF0A4F"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24</w:t>
            </w:r>
          </w:p>
        </w:tc>
      </w:tr>
      <w:tr w:rsidR="00B5369A" w:rsidRPr="006645DC" w14:paraId="295A21F4" w14:textId="77777777" w:rsidTr="00F521CE">
        <w:trPr>
          <w:trHeight w:val="315"/>
          <w:jc w:val="center"/>
        </w:trPr>
        <w:tc>
          <w:tcPr>
            <w:tcW w:w="3060" w:type="dxa"/>
            <w:tcBorders>
              <w:top w:val="nil"/>
              <w:left w:val="single" w:sz="8" w:space="0" w:color="auto"/>
              <w:bottom w:val="single" w:sz="8" w:space="0" w:color="auto"/>
              <w:right w:val="single" w:sz="8" w:space="0" w:color="auto"/>
            </w:tcBorders>
            <w:shd w:val="clear" w:color="auto" w:fill="auto"/>
            <w:noWrap/>
            <w:vAlign w:val="center"/>
            <w:hideMark/>
          </w:tcPr>
          <w:p w14:paraId="51613E5E" w14:textId="77777777" w:rsidR="00B5369A" w:rsidRPr="006645DC" w:rsidRDefault="00B5369A" w:rsidP="00F521CE">
            <w:pPr>
              <w:spacing w:before="0" w:after="0"/>
              <w:jc w:val="right"/>
              <w:rPr>
                <w:rFonts w:eastAsia="Times New Roman"/>
                <w:color w:val="000000"/>
                <w:lang w:val="en-GB" w:eastAsia="hu-HU"/>
              </w:rPr>
            </w:pPr>
            <w:r w:rsidRPr="006645DC">
              <w:rPr>
                <w:rFonts w:eastAsia="Times New Roman" w:cstheme="minorHAnsi"/>
                <w:color w:val="000000"/>
                <w:lang w:val="en-GB" w:eastAsia="hu-HU"/>
              </w:rPr>
              <w:t>Hydro power</w:t>
            </w:r>
          </w:p>
        </w:tc>
        <w:tc>
          <w:tcPr>
            <w:tcW w:w="960" w:type="dxa"/>
            <w:tcBorders>
              <w:top w:val="nil"/>
              <w:left w:val="nil"/>
              <w:bottom w:val="single" w:sz="8" w:space="0" w:color="auto"/>
              <w:right w:val="single" w:sz="8" w:space="0" w:color="auto"/>
            </w:tcBorders>
            <w:shd w:val="clear" w:color="auto" w:fill="auto"/>
            <w:vAlign w:val="center"/>
            <w:hideMark/>
          </w:tcPr>
          <w:p w14:paraId="1AA2789D"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1</w:t>
            </w:r>
            <w:r w:rsidR="00EB4D87" w:rsidRPr="006645DC">
              <w:rPr>
                <w:rFonts w:eastAsia="Times New Roman" w:cstheme="minorHAnsi"/>
                <w:color w:val="000000"/>
                <w:lang w:val="en-GB" w:eastAsia="hu-HU"/>
              </w:rPr>
              <w:t xml:space="preserve"> </w:t>
            </w:r>
            <w:r w:rsidRPr="006645DC">
              <w:rPr>
                <w:rFonts w:eastAsia="Times New Roman" w:cstheme="minorHAnsi"/>
                <w:color w:val="000000"/>
                <w:lang w:val="en-GB" w:eastAsia="hu-HU"/>
              </w:rPr>
              <w:t>373</w:t>
            </w:r>
          </w:p>
        </w:tc>
        <w:tc>
          <w:tcPr>
            <w:tcW w:w="960" w:type="dxa"/>
            <w:tcBorders>
              <w:top w:val="nil"/>
              <w:left w:val="nil"/>
              <w:bottom w:val="single" w:sz="8" w:space="0" w:color="auto"/>
              <w:right w:val="single" w:sz="8" w:space="0" w:color="auto"/>
            </w:tcBorders>
            <w:shd w:val="clear" w:color="auto" w:fill="auto"/>
            <w:vAlign w:val="center"/>
            <w:hideMark/>
          </w:tcPr>
          <w:p w14:paraId="65F9D80E"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1</w:t>
            </w:r>
            <w:r w:rsidR="00EB4D87" w:rsidRPr="006645DC">
              <w:rPr>
                <w:rFonts w:eastAsia="Times New Roman"/>
                <w:color w:val="000000"/>
                <w:lang w:val="en-GB" w:eastAsia="hu-HU"/>
              </w:rPr>
              <w:t xml:space="preserve"> </w:t>
            </w:r>
            <w:r w:rsidRPr="006645DC">
              <w:rPr>
                <w:rFonts w:eastAsia="Times New Roman"/>
                <w:color w:val="000000"/>
                <w:lang w:val="en-GB" w:eastAsia="hu-HU"/>
              </w:rPr>
              <w:t>479 </w:t>
            </w:r>
          </w:p>
        </w:tc>
        <w:tc>
          <w:tcPr>
            <w:tcW w:w="960" w:type="dxa"/>
            <w:tcBorders>
              <w:top w:val="nil"/>
              <w:left w:val="nil"/>
              <w:bottom w:val="single" w:sz="8" w:space="0" w:color="auto"/>
              <w:right w:val="single" w:sz="8" w:space="0" w:color="auto"/>
            </w:tcBorders>
            <w:shd w:val="clear" w:color="auto" w:fill="auto"/>
            <w:vAlign w:val="center"/>
            <w:hideMark/>
          </w:tcPr>
          <w:p w14:paraId="3CE273B1"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1</w:t>
            </w:r>
            <w:r w:rsidR="00EB4D87" w:rsidRPr="006645DC">
              <w:rPr>
                <w:rFonts w:eastAsia="Times New Roman"/>
                <w:color w:val="000000"/>
                <w:lang w:val="en-GB" w:eastAsia="hu-HU"/>
              </w:rPr>
              <w:t xml:space="preserve"> </w:t>
            </w:r>
            <w:r w:rsidRPr="006645DC">
              <w:rPr>
                <w:rFonts w:eastAsia="Times New Roman"/>
                <w:color w:val="000000"/>
                <w:lang w:val="en-GB" w:eastAsia="hu-HU"/>
              </w:rPr>
              <w:t>336 </w:t>
            </w:r>
          </w:p>
        </w:tc>
        <w:tc>
          <w:tcPr>
            <w:tcW w:w="960" w:type="dxa"/>
            <w:tcBorders>
              <w:top w:val="nil"/>
              <w:left w:val="nil"/>
              <w:bottom w:val="single" w:sz="8" w:space="0" w:color="auto"/>
              <w:right w:val="single" w:sz="8" w:space="0" w:color="auto"/>
            </w:tcBorders>
            <w:shd w:val="clear" w:color="auto" w:fill="auto"/>
            <w:vAlign w:val="center"/>
            <w:hideMark/>
          </w:tcPr>
          <w:p w14:paraId="567D28A3"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1</w:t>
            </w:r>
            <w:r w:rsidR="00EB4D87" w:rsidRPr="006645DC">
              <w:rPr>
                <w:rFonts w:eastAsia="Times New Roman"/>
                <w:color w:val="000000"/>
                <w:lang w:val="en-GB" w:eastAsia="hu-HU"/>
              </w:rPr>
              <w:t xml:space="preserve"> </w:t>
            </w:r>
            <w:r w:rsidRPr="006645DC">
              <w:rPr>
                <w:rFonts w:eastAsia="Times New Roman"/>
                <w:color w:val="000000"/>
                <w:lang w:val="en-GB" w:eastAsia="hu-HU"/>
              </w:rPr>
              <w:t>710 </w:t>
            </w:r>
          </w:p>
        </w:tc>
        <w:tc>
          <w:tcPr>
            <w:tcW w:w="960" w:type="dxa"/>
            <w:tcBorders>
              <w:top w:val="nil"/>
              <w:left w:val="nil"/>
              <w:bottom w:val="single" w:sz="8" w:space="0" w:color="auto"/>
              <w:right w:val="single" w:sz="8" w:space="0" w:color="auto"/>
            </w:tcBorders>
            <w:shd w:val="clear" w:color="auto" w:fill="auto"/>
            <w:vAlign w:val="center"/>
            <w:hideMark/>
          </w:tcPr>
          <w:p w14:paraId="1A8CDF2B"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1</w:t>
            </w:r>
            <w:r w:rsidR="00EB4D87" w:rsidRPr="006645DC">
              <w:rPr>
                <w:rFonts w:eastAsia="Times New Roman"/>
                <w:color w:val="000000"/>
                <w:lang w:val="en-GB" w:eastAsia="hu-HU"/>
              </w:rPr>
              <w:t xml:space="preserve"> </w:t>
            </w:r>
            <w:r w:rsidRPr="006645DC">
              <w:rPr>
                <w:rFonts w:eastAsia="Times New Roman"/>
                <w:color w:val="000000"/>
                <w:lang w:val="en-GB" w:eastAsia="hu-HU"/>
              </w:rPr>
              <w:t>266 </w:t>
            </w:r>
          </w:p>
        </w:tc>
      </w:tr>
      <w:tr w:rsidR="00B5369A" w:rsidRPr="006645DC" w14:paraId="0B004938" w14:textId="77777777" w:rsidTr="00F521CE">
        <w:trPr>
          <w:trHeight w:val="315"/>
          <w:jc w:val="center"/>
        </w:trPr>
        <w:tc>
          <w:tcPr>
            <w:tcW w:w="3060" w:type="dxa"/>
            <w:tcBorders>
              <w:top w:val="nil"/>
              <w:left w:val="single" w:sz="8" w:space="0" w:color="auto"/>
              <w:bottom w:val="single" w:sz="8" w:space="0" w:color="auto"/>
              <w:right w:val="single" w:sz="8" w:space="0" w:color="auto"/>
            </w:tcBorders>
            <w:shd w:val="clear" w:color="auto" w:fill="auto"/>
            <w:noWrap/>
            <w:vAlign w:val="center"/>
            <w:hideMark/>
          </w:tcPr>
          <w:p w14:paraId="01D5635D" w14:textId="77777777" w:rsidR="00B5369A" w:rsidRPr="006645DC" w:rsidRDefault="00B5369A" w:rsidP="00F521CE">
            <w:pPr>
              <w:spacing w:before="0" w:after="0"/>
              <w:jc w:val="right"/>
              <w:rPr>
                <w:rFonts w:eastAsia="Times New Roman"/>
                <w:color w:val="000000"/>
                <w:lang w:val="en-GB" w:eastAsia="hu-HU"/>
              </w:rPr>
            </w:pPr>
            <w:r w:rsidRPr="006645DC">
              <w:rPr>
                <w:rFonts w:eastAsia="Times New Roman" w:cstheme="minorHAnsi"/>
                <w:color w:val="000000"/>
                <w:lang w:val="en-GB" w:eastAsia="hu-HU"/>
              </w:rPr>
              <w:t>Wind power</w:t>
            </w:r>
          </w:p>
        </w:tc>
        <w:tc>
          <w:tcPr>
            <w:tcW w:w="960" w:type="dxa"/>
            <w:tcBorders>
              <w:top w:val="nil"/>
              <w:left w:val="nil"/>
              <w:bottom w:val="single" w:sz="8" w:space="0" w:color="auto"/>
              <w:right w:val="single" w:sz="8" w:space="0" w:color="auto"/>
            </w:tcBorders>
            <w:shd w:val="clear" w:color="auto" w:fill="auto"/>
            <w:vAlign w:val="center"/>
            <w:hideMark/>
          </w:tcPr>
          <w:p w14:paraId="72519277"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0</w:t>
            </w:r>
          </w:p>
        </w:tc>
        <w:tc>
          <w:tcPr>
            <w:tcW w:w="960" w:type="dxa"/>
            <w:tcBorders>
              <w:top w:val="nil"/>
              <w:left w:val="nil"/>
              <w:bottom w:val="single" w:sz="8" w:space="0" w:color="auto"/>
              <w:right w:val="single" w:sz="8" w:space="0" w:color="auto"/>
            </w:tcBorders>
            <w:shd w:val="clear" w:color="auto" w:fill="auto"/>
            <w:vAlign w:val="center"/>
            <w:hideMark/>
          </w:tcPr>
          <w:p w14:paraId="3E6CDB77"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0</w:t>
            </w:r>
          </w:p>
        </w:tc>
        <w:tc>
          <w:tcPr>
            <w:tcW w:w="960" w:type="dxa"/>
            <w:tcBorders>
              <w:top w:val="nil"/>
              <w:left w:val="nil"/>
              <w:bottom w:val="single" w:sz="8" w:space="0" w:color="auto"/>
              <w:right w:val="single" w:sz="8" w:space="0" w:color="auto"/>
            </w:tcBorders>
            <w:shd w:val="clear" w:color="auto" w:fill="auto"/>
            <w:vAlign w:val="center"/>
            <w:hideMark/>
          </w:tcPr>
          <w:p w14:paraId="712C34ED"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1 </w:t>
            </w:r>
          </w:p>
        </w:tc>
        <w:tc>
          <w:tcPr>
            <w:tcW w:w="960" w:type="dxa"/>
            <w:tcBorders>
              <w:top w:val="nil"/>
              <w:left w:val="nil"/>
              <w:bottom w:val="single" w:sz="8" w:space="0" w:color="auto"/>
              <w:right w:val="single" w:sz="8" w:space="0" w:color="auto"/>
            </w:tcBorders>
            <w:shd w:val="clear" w:color="auto" w:fill="auto"/>
            <w:vAlign w:val="center"/>
            <w:hideMark/>
          </w:tcPr>
          <w:p w14:paraId="47F759FD"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26 </w:t>
            </w:r>
          </w:p>
        </w:tc>
        <w:tc>
          <w:tcPr>
            <w:tcW w:w="960" w:type="dxa"/>
            <w:tcBorders>
              <w:top w:val="nil"/>
              <w:left w:val="nil"/>
              <w:bottom w:val="single" w:sz="8" w:space="0" w:color="auto"/>
              <w:right w:val="single" w:sz="8" w:space="0" w:color="auto"/>
            </w:tcBorders>
            <w:shd w:val="clear" w:color="auto" w:fill="auto"/>
            <w:vAlign w:val="center"/>
            <w:hideMark/>
          </w:tcPr>
          <w:p w14:paraId="77441C58"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120 </w:t>
            </w:r>
          </w:p>
        </w:tc>
      </w:tr>
      <w:tr w:rsidR="00B5369A" w:rsidRPr="006645DC" w14:paraId="626C80D3" w14:textId="77777777" w:rsidTr="00B5369A">
        <w:trPr>
          <w:trHeight w:val="315"/>
          <w:jc w:val="center"/>
        </w:trPr>
        <w:tc>
          <w:tcPr>
            <w:tcW w:w="78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5059687" w14:textId="77777777" w:rsidR="00B5369A" w:rsidRPr="006645DC" w:rsidRDefault="00B5369A" w:rsidP="00B5369A">
            <w:pPr>
              <w:spacing w:before="0" w:after="0"/>
              <w:jc w:val="left"/>
              <w:rPr>
                <w:rFonts w:eastAsia="Times New Roman"/>
                <w:b/>
                <w:bCs/>
                <w:color w:val="000000"/>
                <w:lang w:val="en-GB" w:eastAsia="hu-HU"/>
              </w:rPr>
            </w:pPr>
            <w:r w:rsidRPr="006645DC">
              <w:rPr>
                <w:rFonts w:eastAsia="Times New Roman" w:cstheme="minorHAnsi"/>
                <w:b/>
                <w:bCs/>
                <w:color w:val="000000"/>
                <w:lang w:val="en-GB" w:eastAsia="hu-HU"/>
              </w:rPr>
              <w:t>Bulgaria</w:t>
            </w:r>
          </w:p>
        </w:tc>
      </w:tr>
      <w:tr w:rsidR="00B5369A" w:rsidRPr="006645DC" w14:paraId="6AB67DAD" w14:textId="77777777" w:rsidTr="00F521CE">
        <w:trPr>
          <w:trHeight w:val="315"/>
          <w:jc w:val="center"/>
        </w:trPr>
        <w:tc>
          <w:tcPr>
            <w:tcW w:w="3060" w:type="dxa"/>
            <w:tcBorders>
              <w:top w:val="nil"/>
              <w:left w:val="single" w:sz="8" w:space="0" w:color="auto"/>
              <w:bottom w:val="single" w:sz="8" w:space="0" w:color="auto"/>
              <w:right w:val="single" w:sz="8" w:space="0" w:color="auto"/>
            </w:tcBorders>
            <w:shd w:val="clear" w:color="auto" w:fill="auto"/>
            <w:noWrap/>
            <w:vAlign w:val="center"/>
            <w:hideMark/>
          </w:tcPr>
          <w:p w14:paraId="7796F8F0" w14:textId="77777777" w:rsidR="00B5369A" w:rsidRPr="006645DC" w:rsidRDefault="00B5369A" w:rsidP="00F521CE">
            <w:pPr>
              <w:spacing w:before="0" w:after="0"/>
              <w:jc w:val="right"/>
              <w:rPr>
                <w:rFonts w:eastAsia="Times New Roman"/>
                <w:color w:val="000000"/>
                <w:lang w:val="en-GB" w:eastAsia="hu-HU"/>
              </w:rPr>
            </w:pPr>
            <w:r w:rsidRPr="006645DC">
              <w:rPr>
                <w:rFonts w:eastAsia="Times New Roman" w:cstheme="minorHAnsi"/>
                <w:color w:val="000000"/>
                <w:lang w:val="en-GB" w:eastAsia="hu-HU"/>
              </w:rPr>
              <w:t>Solar energy</w:t>
            </w:r>
          </w:p>
        </w:tc>
        <w:tc>
          <w:tcPr>
            <w:tcW w:w="960" w:type="dxa"/>
            <w:tcBorders>
              <w:top w:val="nil"/>
              <w:left w:val="nil"/>
              <w:bottom w:val="single" w:sz="8" w:space="0" w:color="auto"/>
              <w:right w:val="single" w:sz="8" w:space="0" w:color="auto"/>
            </w:tcBorders>
            <w:shd w:val="clear" w:color="auto" w:fill="auto"/>
            <w:vAlign w:val="center"/>
            <w:hideMark/>
          </w:tcPr>
          <w:p w14:paraId="75D90AAB"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0</w:t>
            </w:r>
          </w:p>
        </w:tc>
        <w:tc>
          <w:tcPr>
            <w:tcW w:w="960" w:type="dxa"/>
            <w:tcBorders>
              <w:top w:val="nil"/>
              <w:left w:val="nil"/>
              <w:bottom w:val="single" w:sz="8" w:space="0" w:color="auto"/>
              <w:right w:val="single" w:sz="8" w:space="0" w:color="auto"/>
            </w:tcBorders>
            <w:shd w:val="clear" w:color="auto" w:fill="auto"/>
            <w:vAlign w:val="center"/>
            <w:hideMark/>
          </w:tcPr>
          <w:p w14:paraId="227B2926"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0</w:t>
            </w:r>
          </w:p>
        </w:tc>
        <w:tc>
          <w:tcPr>
            <w:tcW w:w="960" w:type="dxa"/>
            <w:tcBorders>
              <w:top w:val="nil"/>
              <w:left w:val="nil"/>
              <w:bottom w:val="single" w:sz="8" w:space="0" w:color="auto"/>
              <w:right w:val="single" w:sz="8" w:space="0" w:color="auto"/>
            </w:tcBorders>
            <w:shd w:val="clear" w:color="auto" w:fill="auto"/>
            <w:vAlign w:val="center"/>
            <w:hideMark/>
          </w:tcPr>
          <w:p w14:paraId="69E6675A"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0</w:t>
            </w:r>
          </w:p>
        </w:tc>
        <w:tc>
          <w:tcPr>
            <w:tcW w:w="960" w:type="dxa"/>
            <w:tcBorders>
              <w:top w:val="nil"/>
              <w:left w:val="nil"/>
              <w:bottom w:val="single" w:sz="8" w:space="0" w:color="auto"/>
              <w:right w:val="single" w:sz="8" w:space="0" w:color="auto"/>
            </w:tcBorders>
            <w:shd w:val="clear" w:color="auto" w:fill="auto"/>
            <w:vAlign w:val="center"/>
            <w:hideMark/>
          </w:tcPr>
          <w:p w14:paraId="4717CBA6"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12</w:t>
            </w:r>
          </w:p>
        </w:tc>
        <w:tc>
          <w:tcPr>
            <w:tcW w:w="960" w:type="dxa"/>
            <w:tcBorders>
              <w:top w:val="nil"/>
              <w:left w:val="nil"/>
              <w:bottom w:val="single" w:sz="8" w:space="0" w:color="auto"/>
              <w:right w:val="single" w:sz="8" w:space="0" w:color="auto"/>
            </w:tcBorders>
            <w:shd w:val="clear" w:color="auto" w:fill="auto"/>
            <w:vAlign w:val="center"/>
            <w:hideMark/>
          </w:tcPr>
          <w:p w14:paraId="76EC84FB"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13</w:t>
            </w:r>
          </w:p>
        </w:tc>
      </w:tr>
      <w:tr w:rsidR="00B5369A" w:rsidRPr="006645DC" w14:paraId="6E6EAF7C" w14:textId="77777777" w:rsidTr="00F521CE">
        <w:trPr>
          <w:trHeight w:val="315"/>
          <w:jc w:val="center"/>
        </w:trPr>
        <w:tc>
          <w:tcPr>
            <w:tcW w:w="3060" w:type="dxa"/>
            <w:tcBorders>
              <w:top w:val="nil"/>
              <w:left w:val="single" w:sz="8" w:space="0" w:color="auto"/>
              <w:bottom w:val="single" w:sz="8" w:space="0" w:color="auto"/>
              <w:right w:val="single" w:sz="8" w:space="0" w:color="auto"/>
            </w:tcBorders>
            <w:shd w:val="clear" w:color="auto" w:fill="auto"/>
            <w:noWrap/>
            <w:vAlign w:val="center"/>
            <w:hideMark/>
          </w:tcPr>
          <w:p w14:paraId="760056A5" w14:textId="77777777" w:rsidR="00B5369A" w:rsidRPr="006645DC" w:rsidRDefault="00B5369A" w:rsidP="00F521CE">
            <w:pPr>
              <w:spacing w:before="0" w:after="0"/>
              <w:jc w:val="right"/>
              <w:rPr>
                <w:rFonts w:eastAsia="Times New Roman"/>
                <w:color w:val="000000"/>
                <w:lang w:val="en-GB" w:eastAsia="hu-HU"/>
              </w:rPr>
            </w:pPr>
            <w:r w:rsidRPr="006645DC">
              <w:rPr>
                <w:rFonts w:eastAsia="Times New Roman" w:cstheme="minorHAnsi"/>
                <w:color w:val="000000"/>
                <w:lang w:val="en-GB" w:eastAsia="hu-HU"/>
              </w:rPr>
              <w:t>Biomass and renewable wastes</w:t>
            </w:r>
          </w:p>
        </w:tc>
        <w:tc>
          <w:tcPr>
            <w:tcW w:w="960" w:type="dxa"/>
            <w:tcBorders>
              <w:top w:val="nil"/>
              <w:left w:val="nil"/>
              <w:bottom w:val="single" w:sz="8" w:space="0" w:color="auto"/>
              <w:right w:val="single" w:sz="8" w:space="0" w:color="auto"/>
            </w:tcBorders>
            <w:shd w:val="clear" w:color="auto" w:fill="auto"/>
            <w:vAlign w:val="center"/>
            <w:hideMark/>
          </w:tcPr>
          <w:p w14:paraId="0609015D"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712</w:t>
            </w:r>
          </w:p>
        </w:tc>
        <w:tc>
          <w:tcPr>
            <w:tcW w:w="960" w:type="dxa"/>
            <w:tcBorders>
              <w:top w:val="nil"/>
              <w:left w:val="nil"/>
              <w:bottom w:val="single" w:sz="8" w:space="0" w:color="auto"/>
              <w:right w:val="single" w:sz="8" w:space="0" w:color="auto"/>
            </w:tcBorders>
            <w:shd w:val="clear" w:color="auto" w:fill="auto"/>
            <w:vAlign w:val="center"/>
            <w:hideMark/>
          </w:tcPr>
          <w:p w14:paraId="2286055C"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734</w:t>
            </w:r>
          </w:p>
        </w:tc>
        <w:tc>
          <w:tcPr>
            <w:tcW w:w="960" w:type="dxa"/>
            <w:tcBorders>
              <w:top w:val="nil"/>
              <w:left w:val="nil"/>
              <w:bottom w:val="single" w:sz="8" w:space="0" w:color="auto"/>
              <w:right w:val="single" w:sz="8" w:space="0" w:color="auto"/>
            </w:tcBorders>
            <w:shd w:val="clear" w:color="auto" w:fill="auto"/>
            <w:vAlign w:val="center"/>
            <w:hideMark/>
          </w:tcPr>
          <w:p w14:paraId="0A885339"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796</w:t>
            </w:r>
          </w:p>
        </w:tc>
        <w:tc>
          <w:tcPr>
            <w:tcW w:w="960" w:type="dxa"/>
            <w:tcBorders>
              <w:top w:val="nil"/>
              <w:left w:val="nil"/>
              <w:bottom w:val="single" w:sz="8" w:space="0" w:color="auto"/>
              <w:right w:val="single" w:sz="8" w:space="0" w:color="auto"/>
            </w:tcBorders>
            <w:shd w:val="clear" w:color="auto" w:fill="auto"/>
            <w:vAlign w:val="center"/>
            <w:hideMark/>
          </w:tcPr>
          <w:p w14:paraId="2AED590C"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956</w:t>
            </w:r>
          </w:p>
        </w:tc>
        <w:tc>
          <w:tcPr>
            <w:tcW w:w="960" w:type="dxa"/>
            <w:tcBorders>
              <w:top w:val="nil"/>
              <w:left w:val="nil"/>
              <w:bottom w:val="single" w:sz="8" w:space="0" w:color="auto"/>
              <w:right w:val="single" w:sz="8" w:space="0" w:color="auto"/>
            </w:tcBorders>
            <w:shd w:val="clear" w:color="auto" w:fill="auto"/>
            <w:vAlign w:val="center"/>
            <w:hideMark/>
          </w:tcPr>
          <w:p w14:paraId="6E7DE2B2"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1</w:t>
            </w:r>
            <w:r w:rsidR="00EB4D87" w:rsidRPr="006645DC">
              <w:rPr>
                <w:rFonts w:eastAsia="Times New Roman" w:cstheme="minorHAnsi"/>
                <w:color w:val="000000"/>
                <w:lang w:val="en-GB" w:eastAsia="hu-HU"/>
              </w:rPr>
              <w:t xml:space="preserve"> </w:t>
            </w:r>
            <w:r w:rsidRPr="006645DC">
              <w:rPr>
                <w:rFonts w:eastAsia="Times New Roman" w:cstheme="minorHAnsi"/>
                <w:color w:val="000000"/>
                <w:lang w:val="en-GB" w:eastAsia="hu-HU"/>
              </w:rPr>
              <w:t>048</w:t>
            </w:r>
          </w:p>
        </w:tc>
      </w:tr>
      <w:tr w:rsidR="00B5369A" w:rsidRPr="006645DC" w14:paraId="5DC542AB" w14:textId="77777777" w:rsidTr="00F521CE">
        <w:trPr>
          <w:trHeight w:val="315"/>
          <w:jc w:val="center"/>
        </w:trPr>
        <w:tc>
          <w:tcPr>
            <w:tcW w:w="3060" w:type="dxa"/>
            <w:tcBorders>
              <w:top w:val="nil"/>
              <w:left w:val="single" w:sz="8" w:space="0" w:color="auto"/>
              <w:bottom w:val="single" w:sz="8" w:space="0" w:color="auto"/>
              <w:right w:val="single" w:sz="8" w:space="0" w:color="auto"/>
            </w:tcBorders>
            <w:shd w:val="clear" w:color="auto" w:fill="auto"/>
            <w:noWrap/>
            <w:vAlign w:val="center"/>
            <w:hideMark/>
          </w:tcPr>
          <w:p w14:paraId="274F2CBF" w14:textId="77777777" w:rsidR="00B5369A" w:rsidRPr="006645DC" w:rsidRDefault="00B5369A" w:rsidP="00F521CE">
            <w:pPr>
              <w:spacing w:before="0" w:after="0"/>
              <w:jc w:val="right"/>
              <w:rPr>
                <w:rFonts w:eastAsia="Times New Roman"/>
                <w:color w:val="000000"/>
                <w:lang w:val="en-GB" w:eastAsia="hu-HU"/>
              </w:rPr>
            </w:pPr>
            <w:r w:rsidRPr="006645DC">
              <w:rPr>
                <w:rFonts w:eastAsia="Times New Roman" w:cstheme="minorHAnsi"/>
                <w:color w:val="000000"/>
                <w:lang w:val="en-GB" w:eastAsia="hu-HU"/>
              </w:rPr>
              <w:t>Geothermal energy</w:t>
            </w:r>
          </w:p>
        </w:tc>
        <w:tc>
          <w:tcPr>
            <w:tcW w:w="960" w:type="dxa"/>
            <w:tcBorders>
              <w:top w:val="nil"/>
              <w:left w:val="nil"/>
              <w:bottom w:val="single" w:sz="8" w:space="0" w:color="auto"/>
              <w:right w:val="single" w:sz="8" w:space="0" w:color="auto"/>
            </w:tcBorders>
            <w:shd w:val="clear" w:color="auto" w:fill="auto"/>
            <w:vAlign w:val="center"/>
            <w:hideMark/>
          </w:tcPr>
          <w:p w14:paraId="2374693D"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33</w:t>
            </w:r>
          </w:p>
        </w:tc>
        <w:tc>
          <w:tcPr>
            <w:tcW w:w="960" w:type="dxa"/>
            <w:tcBorders>
              <w:top w:val="nil"/>
              <w:left w:val="nil"/>
              <w:bottom w:val="single" w:sz="8" w:space="0" w:color="auto"/>
              <w:right w:val="single" w:sz="8" w:space="0" w:color="auto"/>
            </w:tcBorders>
            <w:shd w:val="clear" w:color="auto" w:fill="auto"/>
            <w:vAlign w:val="center"/>
            <w:hideMark/>
          </w:tcPr>
          <w:p w14:paraId="43F6186F"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33</w:t>
            </w:r>
          </w:p>
        </w:tc>
        <w:tc>
          <w:tcPr>
            <w:tcW w:w="960" w:type="dxa"/>
            <w:tcBorders>
              <w:top w:val="nil"/>
              <w:left w:val="nil"/>
              <w:bottom w:val="single" w:sz="8" w:space="0" w:color="auto"/>
              <w:right w:val="single" w:sz="8" w:space="0" w:color="auto"/>
            </w:tcBorders>
            <w:shd w:val="clear" w:color="auto" w:fill="auto"/>
            <w:vAlign w:val="center"/>
            <w:hideMark/>
          </w:tcPr>
          <w:p w14:paraId="53143AE8"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33</w:t>
            </w:r>
          </w:p>
        </w:tc>
        <w:tc>
          <w:tcPr>
            <w:tcW w:w="960" w:type="dxa"/>
            <w:tcBorders>
              <w:top w:val="nil"/>
              <w:left w:val="nil"/>
              <w:bottom w:val="single" w:sz="8" w:space="0" w:color="auto"/>
              <w:right w:val="single" w:sz="8" w:space="0" w:color="auto"/>
            </w:tcBorders>
            <w:shd w:val="clear" w:color="auto" w:fill="auto"/>
            <w:vAlign w:val="center"/>
            <w:hideMark/>
          </w:tcPr>
          <w:p w14:paraId="4A24B54A"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33</w:t>
            </w:r>
          </w:p>
        </w:tc>
        <w:tc>
          <w:tcPr>
            <w:tcW w:w="960" w:type="dxa"/>
            <w:tcBorders>
              <w:top w:val="nil"/>
              <w:left w:val="nil"/>
              <w:bottom w:val="single" w:sz="8" w:space="0" w:color="auto"/>
              <w:right w:val="single" w:sz="8" w:space="0" w:color="auto"/>
            </w:tcBorders>
            <w:shd w:val="clear" w:color="auto" w:fill="auto"/>
            <w:vAlign w:val="center"/>
            <w:hideMark/>
          </w:tcPr>
          <w:p w14:paraId="7D4BBE02"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33</w:t>
            </w:r>
          </w:p>
        </w:tc>
      </w:tr>
      <w:tr w:rsidR="00B5369A" w:rsidRPr="006645DC" w14:paraId="67D907A9" w14:textId="77777777" w:rsidTr="00F521CE">
        <w:trPr>
          <w:trHeight w:val="315"/>
          <w:jc w:val="center"/>
        </w:trPr>
        <w:tc>
          <w:tcPr>
            <w:tcW w:w="3060" w:type="dxa"/>
            <w:tcBorders>
              <w:top w:val="nil"/>
              <w:left w:val="single" w:sz="8" w:space="0" w:color="auto"/>
              <w:bottom w:val="single" w:sz="8" w:space="0" w:color="auto"/>
              <w:right w:val="single" w:sz="8" w:space="0" w:color="auto"/>
            </w:tcBorders>
            <w:shd w:val="clear" w:color="auto" w:fill="auto"/>
            <w:noWrap/>
            <w:vAlign w:val="center"/>
            <w:hideMark/>
          </w:tcPr>
          <w:p w14:paraId="739B8258" w14:textId="77777777" w:rsidR="00B5369A" w:rsidRPr="006645DC" w:rsidRDefault="00B5369A" w:rsidP="00F521CE">
            <w:pPr>
              <w:spacing w:before="0" w:after="0"/>
              <w:jc w:val="right"/>
              <w:rPr>
                <w:rFonts w:eastAsia="Times New Roman"/>
                <w:color w:val="000000"/>
                <w:lang w:val="en-GB" w:eastAsia="hu-HU"/>
              </w:rPr>
            </w:pPr>
            <w:r w:rsidRPr="006645DC">
              <w:rPr>
                <w:rFonts w:eastAsia="Times New Roman" w:cstheme="minorHAnsi"/>
                <w:color w:val="000000"/>
                <w:lang w:val="en-GB" w:eastAsia="hu-HU"/>
              </w:rPr>
              <w:t>Hydro power</w:t>
            </w:r>
          </w:p>
        </w:tc>
        <w:tc>
          <w:tcPr>
            <w:tcW w:w="960" w:type="dxa"/>
            <w:tcBorders>
              <w:top w:val="nil"/>
              <w:left w:val="nil"/>
              <w:bottom w:val="single" w:sz="8" w:space="0" w:color="auto"/>
              <w:right w:val="single" w:sz="8" w:space="0" w:color="auto"/>
            </w:tcBorders>
            <w:shd w:val="clear" w:color="auto" w:fill="auto"/>
            <w:vAlign w:val="center"/>
            <w:hideMark/>
          </w:tcPr>
          <w:p w14:paraId="2FE45D36"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247</w:t>
            </w:r>
          </w:p>
        </w:tc>
        <w:tc>
          <w:tcPr>
            <w:tcW w:w="960" w:type="dxa"/>
            <w:tcBorders>
              <w:top w:val="nil"/>
              <w:left w:val="nil"/>
              <w:bottom w:val="single" w:sz="8" w:space="0" w:color="auto"/>
              <w:right w:val="single" w:sz="8" w:space="0" w:color="auto"/>
            </w:tcBorders>
            <w:shd w:val="clear" w:color="auto" w:fill="auto"/>
            <w:vAlign w:val="center"/>
            <w:hideMark/>
          </w:tcPr>
          <w:p w14:paraId="66D8A22D"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243</w:t>
            </w:r>
          </w:p>
        </w:tc>
        <w:tc>
          <w:tcPr>
            <w:tcW w:w="960" w:type="dxa"/>
            <w:tcBorders>
              <w:top w:val="nil"/>
              <w:left w:val="nil"/>
              <w:bottom w:val="single" w:sz="8" w:space="0" w:color="auto"/>
              <w:right w:val="single" w:sz="8" w:space="0" w:color="auto"/>
            </w:tcBorders>
            <w:shd w:val="clear" w:color="auto" w:fill="auto"/>
            <w:vAlign w:val="center"/>
            <w:hideMark/>
          </w:tcPr>
          <w:p w14:paraId="1FD29614"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298</w:t>
            </w:r>
          </w:p>
        </w:tc>
        <w:tc>
          <w:tcPr>
            <w:tcW w:w="960" w:type="dxa"/>
            <w:tcBorders>
              <w:top w:val="nil"/>
              <w:left w:val="nil"/>
              <w:bottom w:val="single" w:sz="8" w:space="0" w:color="auto"/>
              <w:right w:val="single" w:sz="8" w:space="0" w:color="auto"/>
            </w:tcBorders>
            <w:shd w:val="clear" w:color="auto" w:fill="auto"/>
            <w:vAlign w:val="center"/>
            <w:hideMark/>
          </w:tcPr>
          <w:p w14:paraId="6CD44F29"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435</w:t>
            </w:r>
          </w:p>
        </w:tc>
        <w:tc>
          <w:tcPr>
            <w:tcW w:w="960" w:type="dxa"/>
            <w:tcBorders>
              <w:top w:val="nil"/>
              <w:left w:val="nil"/>
              <w:bottom w:val="single" w:sz="8" w:space="0" w:color="auto"/>
              <w:right w:val="single" w:sz="8" w:space="0" w:color="auto"/>
            </w:tcBorders>
            <w:shd w:val="clear" w:color="auto" w:fill="auto"/>
            <w:vAlign w:val="center"/>
            <w:hideMark/>
          </w:tcPr>
          <w:p w14:paraId="27EDC631"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stheme="minorHAnsi"/>
                <w:color w:val="000000"/>
                <w:lang w:val="en-GB" w:eastAsia="hu-HU"/>
              </w:rPr>
              <w:t>251</w:t>
            </w:r>
          </w:p>
        </w:tc>
      </w:tr>
      <w:tr w:rsidR="00B5369A" w:rsidRPr="006645DC" w14:paraId="21EB3A78" w14:textId="77777777" w:rsidTr="00F521CE">
        <w:trPr>
          <w:trHeight w:val="315"/>
          <w:jc w:val="center"/>
        </w:trPr>
        <w:tc>
          <w:tcPr>
            <w:tcW w:w="3060" w:type="dxa"/>
            <w:tcBorders>
              <w:top w:val="nil"/>
              <w:left w:val="single" w:sz="8" w:space="0" w:color="auto"/>
              <w:bottom w:val="single" w:sz="8" w:space="0" w:color="auto"/>
              <w:right w:val="single" w:sz="8" w:space="0" w:color="auto"/>
            </w:tcBorders>
            <w:shd w:val="clear" w:color="auto" w:fill="auto"/>
            <w:noWrap/>
            <w:vAlign w:val="center"/>
            <w:hideMark/>
          </w:tcPr>
          <w:p w14:paraId="0C07D1A3" w14:textId="77777777" w:rsidR="00B5369A" w:rsidRPr="006645DC" w:rsidRDefault="00B5369A" w:rsidP="00F521CE">
            <w:pPr>
              <w:spacing w:before="0" w:after="0"/>
              <w:jc w:val="right"/>
              <w:rPr>
                <w:rFonts w:eastAsia="Times New Roman"/>
                <w:color w:val="000000"/>
                <w:lang w:val="en-GB" w:eastAsia="hu-HU"/>
              </w:rPr>
            </w:pPr>
            <w:r w:rsidRPr="006645DC">
              <w:rPr>
                <w:rFonts w:eastAsia="Times New Roman" w:cstheme="minorHAnsi"/>
                <w:color w:val="000000"/>
                <w:lang w:val="en-GB" w:eastAsia="hu-HU"/>
              </w:rPr>
              <w:t>Wind power</w:t>
            </w:r>
          </w:p>
        </w:tc>
        <w:tc>
          <w:tcPr>
            <w:tcW w:w="960" w:type="dxa"/>
            <w:tcBorders>
              <w:top w:val="nil"/>
              <w:left w:val="nil"/>
              <w:bottom w:val="single" w:sz="8" w:space="0" w:color="auto"/>
              <w:right w:val="single" w:sz="8" w:space="0" w:color="auto"/>
            </w:tcBorders>
            <w:shd w:val="clear" w:color="auto" w:fill="auto"/>
            <w:vAlign w:val="center"/>
            <w:hideMark/>
          </w:tcPr>
          <w:p w14:paraId="23021BA1"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4 </w:t>
            </w:r>
          </w:p>
        </w:tc>
        <w:tc>
          <w:tcPr>
            <w:tcW w:w="960" w:type="dxa"/>
            <w:tcBorders>
              <w:top w:val="nil"/>
              <w:left w:val="nil"/>
              <w:bottom w:val="single" w:sz="8" w:space="0" w:color="auto"/>
              <w:right w:val="single" w:sz="8" w:space="0" w:color="auto"/>
            </w:tcBorders>
            <w:shd w:val="clear" w:color="auto" w:fill="auto"/>
            <w:vAlign w:val="center"/>
            <w:hideMark/>
          </w:tcPr>
          <w:p w14:paraId="22EAB8EC"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10 </w:t>
            </w:r>
          </w:p>
        </w:tc>
        <w:tc>
          <w:tcPr>
            <w:tcW w:w="960" w:type="dxa"/>
            <w:tcBorders>
              <w:top w:val="nil"/>
              <w:left w:val="nil"/>
              <w:bottom w:val="single" w:sz="8" w:space="0" w:color="auto"/>
              <w:right w:val="single" w:sz="8" w:space="0" w:color="auto"/>
            </w:tcBorders>
            <w:shd w:val="clear" w:color="auto" w:fill="auto"/>
            <w:vAlign w:val="center"/>
            <w:hideMark/>
          </w:tcPr>
          <w:p w14:paraId="21C4E983"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20 </w:t>
            </w:r>
          </w:p>
        </w:tc>
        <w:tc>
          <w:tcPr>
            <w:tcW w:w="960" w:type="dxa"/>
            <w:tcBorders>
              <w:top w:val="nil"/>
              <w:left w:val="nil"/>
              <w:bottom w:val="single" w:sz="8" w:space="0" w:color="auto"/>
              <w:right w:val="single" w:sz="8" w:space="0" w:color="auto"/>
            </w:tcBorders>
            <w:shd w:val="clear" w:color="auto" w:fill="auto"/>
            <w:vAlign w:val="center"/>
            <w:hideMark/>
          </w:tcPr>
          <w:p w14:paraId="1A3F0DC6"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59 </w:t>
            </w:r>
          </w:p>
        </w:tc>
        <w:tc>
          <w:tcPr>
            <w:tcW w:w="960" w:type="dxa"/>
            <w:tcBorders>
              <w:top w:val="nil"/>
              <w:left w:val="nil"/>
              <w:bottom w:val="single" w:sz="8" w:space="0" w:color="auto"/>
              <w:right w:val="single" w:sz="8" w:space="0" w:color="auto"/>
            </w:tcBorders>
            <w:shd w:val="clear" w:color="auto" w:fill="auto"/>
            <w:vAlign w:val="center"/>
            <w:hideMark/>
          </w:tcPr>
          <w:p w14:paraId="00002DD7" w14:textId="77777777" w:rsidR="00B5369A" w:rsidRPr="006645DC" w:rsidRDefault="00B5369A" w:rsidP="00B5369A">
            <w:pPr>
              <w:spacing w:before="0" w:after="0"/>
              <w:jc w:val="right"/>
              <w:rPr>
                <w:rFonts w:eastAsia="Times New Roman"/>
                <w:color w:val="000000"/>
                <w:lang w:val="en-GB" w:eastAsia="hu-HU"/>
              </w:rPr>
            </w:pPr>
            <w:r w:rsidRPr="006645DC">
              <w:rPr>
                <w:rFonts w:eastAsia="Times New Roman"/>
                <w:color w:val="000000"/>
                <w:lang w:val="en-GB" w:eastAsia="hu-HU"/>
              </w:rPr>
              <w:t>74</w:t>
            </w:r>
          </w:p>
        </w:tc>
      </w:tr>
    </w:tbl>
    <w:p w14:paraId="582ECB43" w14:textId="77777777" w:rsidR="00B5369A" w:rsidRPr="006645DC" w:rsidRDefault="00B5369A" w:rsidP="00B5369A">
      <w:pPr>
        <w:pStyle w:val="Caption"/>
        <w:rPr>
          <w:lang w:val="en-GB"/>
        </w:rPr>
      </w:pPr>
      <w:bookmarkStart w:id="1715" w:name="_Toc391150141"/>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44</w:t>
      </w:r>
      <w:r w:rsidR="005979EB" w:rsidRPr="006645DC">
        <w:rPr>
          <w:lang w:val="en-GB"/>
        </w:rPr>
        <w:fldChar w:fldCharType="end"/>
      </w:r>
      <w:r w:rsidRPr="006645DC">
        <w:rPr>
          <w:lang w:val="en-GB"/>
        </w:rPr>
        <w:t xml:space="preserve"> – Primary production of renewable energy (1000 tonnes of oil equivalent)</w:t>
      </w:r>
      <w:bookmarkEnd w:id="1715"/>
    </w:p>
    <w:p w14:paraId="16389D6A" w14:textId="77777777" w:rsidR="00B5369A" w:rsidRPr="006645DC" w:rsidRDefault="00B5369A" w:rsidP="00B5369A">
      <w:pPr>
        <w:pStyle w:val="Heading4"/>
        <w:rPr>
          <w:lang w:val="en-GB"/>
        </w:rPr>
      </w:pPr>
      <w:r w:rsidRPr="006645DC">
        <w:rPr>
          <w:lang w:val="en-GB"/>
        </w:rPr>
        <w:tab/>
      </w:r>
      <w:r w:rsidRPr="006645DC">
        <w:rPr>
          <w:lang w:val="en-GB"/>
        </w:rPr>
        <w:tab/>
      </w:r>
      <w:r w:rsidRPr="006645DC">
        <w:rPr>
          <w:lang w:val="en-GB"/>
        </w:rPr>
        <w:tab/>
      </w:r>
      <w:r w:rsidRPr="006645DC">
        <w:rPr>
          <w:lang w:val="en-GB"/>
        </w:rPr>
        <w:tab/>
      </w:r>
      <w:r w:rsidRPr="006645DC">
        <w:rPr>
          <w:lang w:val="en-GB"/>
        </w:rPr>
        <w:tab/>
      </w:r>
      <w:r w:rsidRPr="006645DC">
        <w:rPr>
          <w:lang w:val="en-GB"/>
        </w:rPr>
        <w:tab/>
      </w:r>
      <w:r w:rsidRPr="006645DC">
        <w:rPr>
          <w:lang w:val="en-GB"/>
        </w:rPr>
        <w:tab/>
      </w:r>
      <w:r w:rsidRPr="006645DC">
        <w:rPr>
          <w:lang w:val="en-GB"/>
        </w:rPr>
        <w:tab/>
      </w:r>
      <w:r w:rsidRPr="006645DC">
        <w:rPr>
          <w:lang w:val="en-GB"/>
        </w:rPr>
        <w:tab/>
      </w:r>
      <w:r w:rsidRPr="006645DC">
        <w:rPr>
          <w:lang w:val="en-GB"/>
        </w:rPr>
        <w:tab/>
        <w:t>Source: Eurostat</w:t>
      </w:r>
    </w:p>
    <w:p w14:paraId="14FB9758" w14:textId="77777777" w:rsidR="00B5369A" w:rsidRPr="006645DC" w:rsidRDefault="00B5369A" w:rsidP="00B5369A">
      <w:pPr>
        <w:rPr>
          <w:lang w:val="en-GB"/>
        </w:rPr>
      </w:pPr>
      <w:r w:rsidRPr="006645DC">
        <w:rPr>
          <w:lang w:val="en-GB"/>
        </w:rPr>
        <w:t xml:space="preserve">The percentage of energy from renewable sources in the final gross energy consumption between 2007 and 2009 was about two times higher in Romania than in Bulgaria. In the past years, the share of renewable energy sources in gross final energy consumption is showing an increasing general trend. The share of the use of renewable energies is considerably high in both countries. The main reason for this is probably that biomass is the main source of renewable energy and is used mainly in the residential sector for heating, cooking and water heating. However, continuous efforts will have to be made in order to increase the use of renewable energies by using modern technologies. </w:t>
      </w:r>
    </w:p>
    <w:p w14:paraId="12E9C86A" w14:textId="77777777" w:rsidR="00B5369A" w:rsidRPr="006645DC" w:rsidRDefault="00B5369A" w:rsidP="00B5369A">
      <w:pPr>
        <w:rPr>
          <w:lang w:val="en-GB"/>
        </w:rPr>
      </w:pPr>
      <w:r w:rsidRPr="006645DC">
        <w:rPr>
          <w:lang w:val="en-GB"/>
        </w:rPr>
        <w:t>There are also major energy production sites using renewable energy sources close to the RO-BG cross-border region. The main hydroelectric power station (Iron Gate I and II) along the Danube is located in the cross-border region o</w:t>
      </w:r>
      <w:r w:rsidR="00EB4D87" w:rsidRPr="006645DC">
        <w:rPr>
          <w:lang w:val="en-GB"/>
        </w:rPr>
        <w:t xml:space="preserve">n the Serbian-Romanian border. </w:t>
      </w:r>
    </w:p>
    <w:p w14:paraId="2DBA3BE3" w14:textId="77777777" w:rsidR="00B5369A" w:rsidRPr="006645DC" w:rsidRDefault="00B5369A" w:rsidP="00B5369A">
      <w:pPr>
        <w:rPr>
          <w:rFonts w:cs="Arial"/>
          <w:sz w:val="24"/>
          <w:szCs w:val="24"/>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0"/>
        <w:gridCol w:w="891"/>
        <w:gridCol w:w="891"/>
        <w:gridCol w:w="891"/>
        <w:gridCol w:w="891"/>
        <w:gridCol w:w="891"/>
      </w:tblGrid>
      <w:tr w:rsidR="00B5369A" w:rsidRPr="006645DC" w14:paraId="37A11D3B" w14:textId="77777777" w:rsidTr="00B5369A">
        <w:trPr>
          <w:jc w:val="center"/>
        </w:trPr>
        <w:tc>
          <w:tcPr>
            <w:tcW w:w="0" w:type="auto"/>
          </w:tcPr>
          <w:p w14:paraId="5C9841D7" w14:textId="77777777" w:rsidR="00B5369A" w:rsidRPr="006645DC" w:rsidRDefault="00B5369A" w:rsidP="00B5369A">
            <w:pPr>
              <w:spacing w:before="0" w:after="0" w:line="276" w:lineRule="auto"/>
              <w:jc w:val="center"/>
              <w:rPr>
                <w:lang w:val="en-GB"/>
              </w:rPr>
            </w:pPr>
          </w:p>
        </w:tc>
        <w:tc>
          <w:tcPr>
            <w:tcW w:w="0" w:type="auto"/>
          </w:tcPr>
          <w:p w14:paraId="5822AECB" w14:textId="77777777" w:rsidR="00B5369A" w:rsidRPr="006645DC" w:rsidRDefault="00B5369A" w:rsidP="00B5369A">
            <w:pPr>
              <w:spacing w:before="0" w:after="0" w:line="276" w:lineRule="auto"/>
              <w:jc w:val="center"/>
              <w:rPr>
                <w:b/>
                <w:lang w:val="en-GB"/>
              </w:rPr>
            </w:pPr>
            <w:r w:rsidRPr="006645DC">
              <w:rPr>
                <w:b/>
                <w:lang w:val="en-GB"/>
              </w:rPr>
              <w:t>2007</w:t>
            </w:r>
          </w:p>
        </w:tc>
        <w:tc>
          <w:tcPr>
            <w:tcW w:w="0" w:type="auto"/>
          </w:tcPr>
          <w:p w14:paraId="45988BD8" w14:textId="77777777" w:rsidR="00B5369A" w:rsidRPr="006645DC" w:rsidRDefault="00B5369A" w:rsidP="00B5369A">
            <w:pPr>
              <w:spacing w:before="0" w:after="0" w:line="276" w:lineRule="auto"/>
              <w:jc w:val="center"/>
              <w:rPr>
                <w:b/>
                <w:lang w:val="en-GB"/>
              </w:rPr>
            </w:pPr>
            <w:r w:rsidRPr="006645DC">
              <w:rPr>
                <w:b/>
                <w:lang w:val="en-GB"/>
              </w:rPr>
              <w:t>2008</w:t>
            </w:r>
          </w:p>
        </w:tc>
        <w:tc>
          <w:tcPr>
            <w:tcW w:w="0" w:type="auto"/>
          </w:tcPr>
          <w:p w14:paraId="0839BF1B" w14:textId="77777777" w:rsidR="00B5369A" w:rsidRPr="006645DC" w:rsidRDefault="00B5369A" w:rsidP="00B5369A">
            <w:pPr>
              <w:spacing w:before="0" w:after="0" w:line="276" w:lineRule="auto"/>
              <w:jc w:val="center"/>
              <w:rPr>
                <w:b/>
                <w:lang w:val="en-GB"/>
              </w:rPr>
            </w:pPr>
            <w:r w:rsidRPr="006645DC">
              <w:rPr>
                <w:b/>
                <w:lang w:val="en-GB"/>
              </w:rPr>
              <w:t>2009</w:t>
            </w:r>
          </w:p>
        </w:tc>
        <w:tc>
          <w:tcPr>
            <w:tcW w:w="0" w:type="auto"/>
          </w:tcPr>
          <w:p w14:paraId="2A6515EC" w14:textId="77777777" w:rsidR="00B5369A" w:rsidRPr="006645DC" w:rsidRDefault="00B5369A" w:rsidP="00B5369A">
            <w:pPr>
              <w:spacing w:before="0" w:after="0" w:line="276" w:lineRule="auto"/>
              <w:jc w:val="center"/>
              <w:rPr>
                <w:b/>
                <w:lang w:val="en-GB"/>
              </w:rPr>
            </w:pPr>
            <w:r w:rsidRPr="006645DC">
              <w:rPr>
                <w:b/>
                <w:lang w:val="en-GB"/>
              </w:rPr>
              <w:t>2010</w:t>
            </w:r>
          </w:p>
        </w:tc>
        <w:tc>
          <w:tcPr>
            <w:tcW w:w="0" w:type="auto"/>
          </w:tcPr>
          <w:p w14:paraId="0306D189" w14:textId="77777777" w:rsidR="00B5369A" w:rsidRPr="006645DC" w:rsidRDefault="00B5369A" w:rsidP="00B5369A">
            <w:pPr>
              <w:spacing w:before="0" w:after="0" w:line="276" w:lineRule="auto"/>
              <w:jc w:val="center"/>
              <w:rPr>
                <w:b/>
                <w:lang w:val="en-GB"/>
              </w:rPr>
            </w:pPr>
            <w:r w:rsidRPr="006645DC">
              <w:rPr>
                <w:b/>
                <w:lang w:val="en-GB"/>
              </w:rPr>
              <w:t>2011</w:t>
            </w:r>
          </w:p>
        </w:tc>
      </w:tr>
      <w:tr w:rsidR="00B5369A" w:rsidRPr="006645DC" w14:paraId="14B5DC3C" w14:textId="77777777" w:rsidTr="00B5369A">
        <w:trPr>
          <w:jc w:val="center"/>
        </w:trPr>
        <w:tc>
          <w:tcPr>
            <w:tcW w:w="0" w:type="auto"/>
          </w:tcPr>
          <w:p w14:paraId="3AEB3D93" w14:textId="77777777" w:rsidR="00B5369A" w:rsidRPr="006645DC" w:rsidRDefault="00B5369A" w:rsidP="00F521CE">
            <w:pPr>
              <w:spacing w:before="0" w:after="0" w:line="276" w:lineRule="auto"/>
              <w:rPr>
                <w:b/>
                <w:lang w:val="en-GB"/>
              </w:rPr>
            </w:pPr>
            <w:r w:rsidRPr="006645DC">
              <w:rPr>
                <w:b/>
                <w:lang w:val="en-GB"/>
              </w:rPr>
              <w:t>Romania</w:t>
            </w:r>
          </w:p>
        </w:tc>
        <w:tc>
          <w:tcPr>
            <w:tcW w:w="0" w:type="auto"/>
          </w:tcPr>
          <w:p w14:paraId="6DA5F269" w14:textId="77777777" w:rsidR="00B5369A" w:rsidRPr="006645DC" w:rsidRDefault="00B5369A" w:rsidP="00B5369A">
            <w:pPr>
              <w:keepNext/>
              <w:keepLines/>
              <w:spacing w:before="0" w:after="0" w:line="276" w:lineRule="auto"/>
              <w:ind w:left="757" w:hanging="360"/>
              <w:jc w:val="center"/>
              <w:outlineLvl w:val="1"/>
              <w:rPr>
                <w:lang w:val="en-GB"/>
              </w:rPr>
            </w:pPr>
            <w:bookmarkStart w:id="1716" w:name="_Toc376199860"/>
            <w:r w:rsidRPr="006645DC">
              <w:rPr>
                <w:lang w:val="en-GB"/>
              </w:rPr>
              <w:t>1,7</w:t>
            </w:r>
            <w:bookmarkEnd w:id="1716"/>
          </w:p>
        </w:tc>
        <w:tc>
          <w:tcPr>
            <w:tcW w:w="0" w:type="auto"/>
          </w:tcPr>
          <w:p w14:paraId="1251A753" w14:textId="77777777" w:rsidR="00B5369A" w:rsidRPr="006645DC" w:rsidRDefault="00B5369A" w:rsidP="00B5369A">
            <w:pPr>
              <w:keepNext/>
              <w:keepLines/>
              <w:spacing w:before="0" w:after="0" w:line="276" w:lineRule="auto"/>
              <w:ind w:left="757" w:hanging="360"/>
              <w:jc w:val="center"/>
              <w:outlineLvl w:val="1"/>
              <w:rPr>
                <w:lang w:val="en-GB"/>
              </w:rPr>
            </w:pPr>
            <w:bookmarkStart w:id="1717" w:name="_Toc376199861"/>
            <w:r w:rsidRPr="006645DC">
              <w:rPr>
                <w:lang w:val="en-GB"/>
              </w:rPr>
              <w:t>1,7</w:t>
            </w:r>
            <w:bookmarkEnd w:id="1717"/>
          </w:p>
        </w:tc>
        <w:tc>
          <w:tcPr>
            <w:tcW w:w="0" w:type="auto"/>
          </w:tcPr>
          <w:p w14:paraId="618CD452" w14:textId="77777777" w:rsidR="00B5369A" w:rsidRPr="006645DC" w:rsidRDefault="00B5369A" w:rsidP="00B5369A">
            <w:pPr>
              <w:keepNext/>
              <w:keepLines/>
              <w:spacing w:before="0" w:after="0" w:line="276" w:lineRule="auto"/>
              <w:ind w:left="757" w:hanging="360"/>
              <w:jc w:val="center"/>
              <w:outlineLvl w:val="1"/>
              <w:rPr>
                <w:lang w:val="en-GB"/>
              </w:rPr>
            </w:pPr>
            <w:bookmarkStart w:id="1718" w:name="_Toc376199862"/>
            <w:r w:rsidRPr="006645DC">
              <w:rPr>
                <w:lang w:val="en-GB"/>
              </w:rPr>
              <w:t>1,5</w:t>
            </w:r>
            <w:bookmarkEnd w:id="1718"/>
          </w:p>
        </w:tc>
        <w:tc>
          <w:tcPr>
            <w:tcW w:w="0" w:type="auto"/>
          </w:tcPr>
          <w:p w14:paraId="72BA3E54" w14:textId="77777777" w:rsidR="00B5369A" w:rsidRPr="006645DC" w:rsidRDefault="00B5369A" w:rsidP="00B5369A">
            <w:pPr>
              <w:keepNext/>
              <w:keepLines/>
              <w:spacing w:before="0" w:after="0" w:line="276" w:lineRule="auto"/>
              <w:ind w:left="757" w:hanging="360"/>
              <w:jc w:val="center"/>
              <w:outlineLvl w:val="1"/>
              <w:rPr>
                <w:lang w:val="en-GB"/>
              </w:rPr>
            </w:pPr>
            <w:bookmarkStart w:id="1719" w:name="_Toc376199863"/>
            <w:r w:rsidRPr="006645DC">
              <w:rPr>
                <w:lang w:val="en-GB"/>
              </w:rPr>
              <w:t>3,2</w:t>
            </w:r>
            <w:bookmarkEnd w:id="1719"/>
          </w:p>
        </w:tc>
        <w:tc>
          <w:tcPr>
            <w:tcW w:w="0" w:type="auto"/>
          </w:tcPr>
          <w:p w14:paraId="6DF615F9" w14:textId="77777777" w:rsidR="00B5369A" w:rsidRPr="006645DC" w:rsidRDefault="00B5369A" w:rsidP="00B5369A">
            <w:pPr>
              <w:keepNext/>
              <w:keepLines/>
              <w:spacing w:before="0" w:after="0" w:line="276" w:lineRule="auto"/>
              <w:ind w:left="757" w:hanging="360"/>
              <w:jc w:val="center"/>
              <w:outlineLvl w:val="1"/>
              <w:rPr>
                <w:lang w:val="en-GB"/>
              </w:rPr>
            </w:pPr>
            <w:bookmarkStart w:id="1720" w:name="_Toc376199864"/>
            <w:r w:rsidRPr="006645DC">
              <w:rPr>
                <w:lang w:val="en-GB"/>
              </w:rPr>
              <w:t>2,1</w:t>
            </w:r>
            <w:bookmarkEnd w:id="1720"/>
          </w:p>
        </w:tc>
      </w:tr>
      <w:tr w:rsidR="00B5369A" w:rsidRPr="006645DC" w14:paraId="3781B76B" w14:textId="77777777" w:rsidTr="00B5369A">
        <w:trPr>
          <w:trHeight w:val="273"/>
          <w:jc w:val="center"/>
        </w:trPr>
        <w:tc>
          <w:tcPr>
            <w:tcW w:w="0" w:type="auto"/>
          </w:tcPr>
          <w:p w14:paraId="1FCE9721" w14:textId="77777777" w:rsidR="00B5369A" w:rsidRPr="006645DC" w:rsidRDefault="00B5369A" w:rsidP="00F521CE">
            <w:pPr>
              <w:keepNext/>
              <w:keepLines/>
              <w:spacing w:before="0" w:after="0" w:line="276" w:lineRule="auto"/>
              <w:outlineLvl w:val="1"/>
              <w:rPr>
                <w:b/>
                <w:lang w:val="en-GB"/>
              </w:rPr>
            </w:pPr>
            <w:bookmarkStart w:id="1721" w:name="_Toc376199865"/>
            <w:r w:rsidRPr="006645DC">
              <w:rPr>
                <w:b/>
                <w:lang w:val="en-GB"/>
              </w:rPr>
              <w:t>Bulgaria</w:t>
            </w:r>
            <w:bookmarkEnd w:id="1721"/>
          </w:p>
        </w:tc>
        <w:tc>
          <w:tcPr>
            <w:tcW w:w="0" w:type="auto"/>
          </w:tcPr>
          <w:p w14:paraId="5388A2B5" w14:textId="77777777" w:rsidR="00B5369A" w:rsidRPr="006645DC" w:rsidRDefault="00B5369A" w:rsidP="00B5369A">
            <w:pPr>
              <w:keepNext/>
              <w:keepLines/>
              <w:spacing w:before="0" w:after="0" w:line="276" w:lineRule="auto"/>
              <w:ind w:left="757" w:hanging="360"/>
              <w:jc w:val="center"/>
              <w:outlineLvl w:val="1"/>
              <w:rPr>
                <w:lang w:val="en-GB"/>
              </w:rPr>
            </w:pPr>
            <w:bookmarkStart w:id="1722" w:name="_Toc376199866"/>
            <w:r w:rsidRPr="006645DC">
              <w:rPr>
                <w:lang w:val="en-GB"/>
              </w:rPr>
              <w:t>0,5</w:t>
            </w:r>
            <w:bookmarkEnd w:id="1722"/>
          </w:p>
        </w:tc>
        <w:tc>
          <w:tcPr>
            <w:tcW w:w="0" w:type="auto"/>
          </w:tcPr>
          <w:p w14:paraId="3BD6CBCD" w14:textId="77777777" w:rsidR="00B5369A" w:rsidRPr="006645DC" w:rsidRDefault="00B5369A" w:rsidP="00B5369A">
            <w:pPr>
              <w:keepNext/>
              <w:keepLines/>
              <w:spacing w:before="0" w:after="0" w:line="276" w:lineRule="auto"/>
              <w:ind w:left="757" w:hanging="360"/>
              <w:jc w:val="center"/>
              <w:outlineLvl w:val="1"/>
              <w:rPr>
                <w:lang w:val="en-GB"/>
              </w:rPr>
            </w:pPr>
            <w:bookmarkStart w:id="1723" w:name="_Toc376199867"/>
            <w:r w:rsidRPr="006645DC">
              <w:rPr>
                <w:lang w:val="en-GB"/>
              </w:rPr>
              <w:t>0,5</w:t>
            </w:r>
            <w:bookmarkEnd w:id="1723"/>
          </w:p>
        </w:tc>
        <w:tc>
          <w:tcPr>
            <w:tcW w:w="0" w:type="auto"/>
          </w:tcPr>
          <w:p w14:paraId="3A554D57" w14:textId="77777777" w:rsidR="00B5369A" w:rsidRPr="006645DC" w:rsidRDefault="00B5369A" w:rsidP="00B5369A">
            <w:pPr>
              <w:keepNext/>
              <w:keepLines/>
              <w:spacing w:before="0" w:after="0" w:line="276" w:lineRule="auto"/>
              <w:ind w:left="757" w:hanging="360"/>
              <w:jc w:val="center"/>
              <w:outlineLvl w:val="1"/>
              <w:rPr>
                <w:lang w:val="en-GB"/>
              </w:rPr>
            </w:pPr>
            <w:bookmarkStart w:id="1724" w:name="_Toc376199868"/>
            <w:r w:rsidRPr="006645DC">
              <w:rPr>
                <w:lang w:val="en-GB"/>
              </w:rPr>
              <w:t>0,7</w:t>
            </w:r>
            <w:bookmarkEnd w:id="1724"/>
          </w:p>
        </w:tc>
        <w:tc>
          <w:tcPr>
            <w:tcW w:w="0" w:type="auto"/>
          </w:tcPr>
          <w:p w14:paraId="7584E296" w14:textId="77777777" w:rsidR="00B5369A" w:rsidRPr="006645DC" w:rsidRDefault="00B5369A" w:rsidP="00B5369A">
            <w:pPr>
              <w:keepNext/>
              <w:keepLines/>
              <w:spacing w:before="0" w:after="0" w:line="276" w:lineRule="auto"/>
              <w:ind w:left="757" w:hanging="360"/>
              <w:jc w:val="center"/>
              <w:outlineLvl w:val="1"/>
              <w:rPr>
                <w:lang w:val="en-GB"/>
              </w:rPr>
            </w:pPr>
            <w:bookmarkStart w:id="1725" w:name="_Toc376199869"/>
            <w:r w:rsidRPr="006645DC">
              <w:rPr>
                <w:lang w:val="en-GB"/>
              </w:rPr>
              <w:t>1,5</w:t>
            </w:r>
            <w:bookmarkEnd w:id="1725"/>
          </w:p>
        </w:tc>
        <w:tc>
          <w:tcPr>
            <w:tcW w:w="0" w:type="auto"/>
          </w:tcPr>
          <w:p w14:paraId="05F5887C" w14:textId="77777777" w:rsidR="00B5369A" w:rsidRPr="006645DC" w:rsidRDefault="00B5369A" w:rsidP="00B5369A">
            <w:pPr>
              <w:keepNext/>
              <w:keepLines/>
              <w:spacing w:before="0" w:after="0" w:line="276" w:lineRule="auto"/>
              <w:ind w:left="757" w:hanging="360"/>
              <w:jc w:val="center"/>
              <w:outlineLvl w:val="1"/>
              <w:rPr>
                <w:lang w:val="en-GB"/>
              </w:rPr>
            </w:pPr>
            <w:bookmarkStart w:id="1726" w:name="_Toc376199870"/>
            <w:r w:rsidRPr="006645DC">
              <w:rPr>
                <w:lang w:val="en-GB"/>
              </w:rPr>
              <w:t>0,4</w:t>
            </w:r>
            <w:bookmarkEnd w:id="1726"/>
          </w:p>
        </w:tc>
      </w:tr>
      <w:tr w:rsidR="00B5369A" w:rsidRPr="006645DC" w14:paraId="1FAF2753" w14:textId="77777777" w:rsidTr="00B5369A">
        <w:trPr>
          <w:jc w:val="center"/>
        </w:trPr>
        <w:tc>
          <w:tcPr>
            <w:tcW w:w="0" w:type="auto"/>
          </w:tcPr>
          <w:p w14:paraId="06664A75" w14:textId="77777777" w:rsidR="00B5369A" w:rsidRPr="006645DC" w:rsidRDefault="00B5369A" w:rsidP="00F521CE">
            <w:pPr>
              <w:keepNext/>
              <w:keepLines/>
              <w:spacing w:before="0" w:after="0"/>
              <w:outlineLvl w:val="1"/>
              <w:rPr>
                <w:b/>
                <w:lang w:val="en-GB"/>
              </w:rPr>
            </w:pPr>
            <w:bookmarkStart w:id="1727" w:name="_Toc376199871"/>
            <w:r w:rsidRPr="006645DC">
              <w:rPr>
                <w:b/>
                <w:lang w:val="en-GB"/>
              </w:rPr>
              <w:t>EU (27 countries)</w:t>
            </w:r>
            <w:bookmarkEnd w:id="1727"/>
          </w:p>
        </w:tc>
        <w:tc>
          <w:tcPr>
            <w:tcW w:w="0" w:type="auto"/>
          </w:tcPr>
          <w:p w14:paraId="1D432207" w14:textId="77777777" w:rsidR="00B5369A" w:rsidRPr="006645DC" w:rsidRDefault="00B5369A" w:rsidP="00B5369A">
            <w:pPr>
              <w:keepNext/>
              <w:keepLines/>
              <w:spacing w:before="0" w:after="0"/>
              <w:ind w:left="757" w:hanging="360"/>
              <w:jc w:val="center"/>
              <w:outlineLvl w:val="1"/>
              <w:rPr>
                <w:lang w:val="en-GB"/>
              </w:rPr>
            </w:pPr>
            <w:bookmarkStart w:id="1728" w:name="_Toc376199872"/>
            <w:r w:rsidRPr="006645DC">
              <w:rPr>
                <w:lang w:val="en-GB"/>
              </w:rPr>
              <w:t>2,5</w:t>
            </w:r>
            <w:bookmarkEnd w:id="1728"/>
          </w:p>
        </w:tc>
        <w:tc>
          <w:tcPr>
            <w:tcW w:w="0" w:type="auto"/>
          </w:tcPr>
          <w:p w14:paraId="337D30DF" w14:textId="77777777" w:rsidR="00B5369A" w:rsidRPr="006645DC" w:rsidRDefault="00B5369A" w:rsidP="00B5369A">
            <w:pPr>
              <w:keepNext/>
              <w:keepLines/>
              <w:spacing w:before="0" w:after="0"/>
              <w:ind w:left="757" w:hanging="360"/>
              <w:jc w:val="center"/>
              <w:outlineLvl w:val="1"/>
              <w:rPr>
                <w:lang w:val="en-GB"/>
              </w:rPr>
            </w:pPr>
            <w:bookmarkStart w:id="1729" w:name="_Toc376199873"/>
            <w:r w:rsidRPr="006645DC">
              <w:rPr>
                <w:lang w:val="en-GB"/>
              </w:rPr>
              <w:t>3,4</w:t>
            </w:r>
            <w:bookmarkEnd w:id="1729"/>
          </w:p>
        </w:tc>
        <w:tc>
          <w:tcPr>
            <w:tcW w:w="0" w:type="auto"/>
          </w:tcPr>
          <w:p w14:paraId="64C8BC0B" w14:textId="77777777" w:rsidR="00B5369A" w:rsidRPr="006645DC" w:rsidRDefault="00B5369A" w:rsidP="00B5369A">
            <w:pPr>
              <w:keepNext/>
              <w:keepLines/>
              <w:spacing w:before="0" w:after="0"/>
              <w:ind w:left="757" w:hanging="360"/>
              <w:jc w:val="center"/>
              <w:outlineLvl w:val="1"/>
              <w:rPr>
                <w:lang w:val="en-GB"/>
              </w:rPr>
            </w:pPr>
            <w:bookmarkStart w:id="1730" w:name="_Toc376199874"/>
            <w:r w:rsidRPr="006645DC">
              <w:rPr>
                <w:lang w:val="en-GB"/>
              </w:rPr>
              <w:t>4,2</w:t>
            </w:r>
            <w:bookmarkEnd w:id="1730"/>
          </w:p>
        </w:tc>
        <w:tc>
          <w:tcPr>
            <w:tcW w:w="0" w:type="auto"/>
          </w:tcPr>
          <w:p w14:paraId="03E2D475" w14:textId="77777777" w:rsidR="00B5369A" w:rsidRPr="006645DC" w:rsidRDefault="00B5369A" w:rsidP="00B5369A">
            <w:pPr>
              <w:keepNext/>
              <w:keepLines/>
              <w:spacing w:before="0" w:after="0"/>
              <w:ind w:left="757" w:hanging="360"/>
              <w:jc w:val="center"/>
              <w:outlineLvl w:val="1"/>
              <w:rPr>
                <w:lang w:val="en-GB"/>
              </w:rPr>
            </w:pPr>
            <w:bookmarkStart w:id="1731" w:name="_Toc376199875"/>
            <w:r w:rsidRPr="006645DC">
              <w:rPr>
                <w:lang w:val="en-GB"/>
              </w:rPr>
              <w:t>4,8</w:t>
            </w:r>
            <w:bookmarkEnd w:id="1731"/>
          </w:p>
        </w:tc>
        <w:tc>
          <w:tcPr>
            <w:tcW w:w="0" w:type="auto"/>
          </w:tcPr>
          <w:p w14:paraId="2FFD338B" w14:textId="77777777" w:rsidR="00B5369A" w:rsidRPr="006645DC" w:rsidRDefault="00B5369A" w:rsidP="00B5369A">
            <w:pPr>
              <w:keepNext/>
              <w:keepLines/>
              <w:spacing w:before="0" w:after="0"/>
              <w:ind w:left="757" w:hanging="360"/>
              <w:jc w:val="center"/>
              <w:outlineLvl w:val="1"/>
              <w:rPr>
                <w:lang w:val="en-GB"/>
              </w:rPr>
            </w:pPr>
            <w:bookmarkStart w:id="1732" w:name="_Toc376199876"/>
            <w:r w:rsidRPr="006645DC">
              <w:rPr>
                <w:lang w:val="en-GB"/>
              </w:rPr>
              <w:t>3,8</w:t>
            </w:r>
            <w:bookmarkEnd w:id="1732"/>
          </w:p>
        </w:tc>
      </w:tr>
    </w:tbl>
    <w:p w14:paraId="1D846E1A" w14:textId="77777777" w:rsidR="00B5369A" w:rsidRPr="006645DC" w:rsidRDefault="00B5369A" w:rsidP="00B5369A">
      <w:pPr>
        <w:pStyle w:val="Caption"/>
        <w:rPr>
          <w:lang w:val="en-GB"/>
        </w:rPr>
      </w:pPr>
      <w:bookmarkStart w:id="1733" w:name="_Toc391150142"/>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45</w:t>
      </w:r>
      <w:r w:rsidR="005979EB" w:rsidRPr="006645DC">
        <w:rPr>
          <w:lang w:val="en-GB"/>
        </w:rPr>
        <w:fldChar w:fldCharType="end"/>
      </w:r>
      <w:r w:rsidRPr="006645DC">
        <w:rPr>
          <w:lang w:val="en-GB"/>
        </w:rPr>
        <w:t xml:space="preserve"> - Share of renewable energy in fuel consumption of transport (%)</w:t>
      </w:r>
      <w:bookmarkEnd w:id="1733"/>
      <w:r w:rsidRPr="006645DC">
        <w:rPr>
          <w:lang w:val="en-GB"/>
        </w:rPr>
        <w:t xml:space="preserve">  </w:t>
      </w:r>
    </w:p>
    <w:p w14:paraId="7C8091D7" w14:textId="77777777" w:rsidR="00B5369A" w:rsidRPr="006645DC" w:rsidRDefault="00B5369A" w:rsidP="00B5369A">
      <w:pPr>
        <w:pStyle w:val="Heading4"/>
        <w:rPr>
          <w:lang w:val="en-GB"/>
        </w:rPr>
      </w:pPr>
      <w:r w:rsidRPr="006645DC">
        <w:rPr>
          <w:lang w:val="en-GB"/>
        </w:rPr>
        <w:lastRenderedPageBreak/>
        <w:t>Source: Eurostat</w:t>
      </w:r>
    </w:p>
    <w:p w14:paraId="6B67E05C" w14:textId="77777777" w:rsidR="00B5369A" w:rsidRPr="006645DC" w:rsidRDefault="00B5369A" w:rsidP="00B5369A">
      <w:pPr>
        <w:rPr>
          <w:lang w:val="en-GB"/>
        </w:rPr>
      </w:pPr>
      <w:r w:rsidRPr="006645DC">
        <w:rPr>
          <w:lang w:val="en-GB"/>
        </w:rPr>
        <w:t>Renewable energy sources are still not widely used in the transport sector. The share of renewable energy sources in transport fuel consumption is significantly higher in Romania than in Bulgaria.</w:t>
      </w:r>
    </w:p>
    <w:p w14:paraId="0B1721FC" w14:textId="77777777" w:rsidR="00B5369A" w:rsidRPr="006645DC" w:rsidRDefault="00AA4C82" w:rsidP="00B5369A">
      <w:pPr>
        <w:pStyle w:val="BodyText"/>
        <w:jc w:val="center"/>
        <w:rPr>
          <w:rFonts w:ascii="Calibri" w:hAnsi="Calibri" w:cs="Times New Roman"/>
          <w:b/>
          <w:lang w:val="en-GB"/>
        </w:rPr>
      </w:pPr>
      <w:r w:rsidRPr="006645DC">
        <w:rPr>
          <w:rFonts w:ascii="Calibri" w:hAnsi="Calibri" w:cs="Times New Roman"/>
          <w:b/>
          <w:noProof/>
          <w:snapToGrid/>
          <w:lang w:val="bg-BG" w:eastAsia="bg-BG"/>
        </w:rPr>
        <w:drawing>
          <wp:inline distT="0" distB="0" distL="0" distR="0" wp14:anchorId="153E44BB" wp14:editId="10DF6971">
            <wp:extent cx="5762625" cy="6172200"/>
            <wp:effectExtent l="19050" t="0" r="9525" b="0"/>
            <wp:docPr id="466"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
                    <pic:cNvPicPr>
                      <a:picLocks noChangeAspect="1" noChangeArrowheads="1"/>
                    </pic:cNvPicPr>
                  </pic:nvPicPr>
                  <pic:blipFill>
                    <a:blip r:embed="rId121"/>
                    <a:srcRect/>
                    <a:stretch>
                      <a:fillRect/>
                    </a:stretch>
                  </pic:blipFill>
                  <pic:spPr bwMode="auto">
                    <a:xfrm>
                      <a:off x="0" y="0"/>
                      <a:ext cx="5762625" cy="6172200"/>
                    </a:xfrm>
                    <a:prstGeom prst="rect">
                      <a:avLst/>
                    </a:prstGeom>
                    <a:noFill/>
                    <a:ln w="9525">
                      <a:noFill/>
                      <a:miter lim="800000"/>
                      <a:headEnd/>
                      <a:tailEnd/>
                    </a:ln>
                  </pic:spPr>
                </pic:pic>
              </a:graphicData>
            </a:graphic>
          </wp:inline>
        </w:drawing>
      </w:r>
    </w:p>
    <w:p w14:paraId="117F7E11" w14:textId="77777777" w:rsidR="00B5369A" w:rsidRPr="006645DC" w:rsidRDefault="00B5369A" w:rsidP="00B5369A">
      <w:pPr>
        <w:pStyle w:val="Caption"/>
        <w:rPr>
          <w:lang w:val="en-GB"/>
        </w:rPr>
      </w:pPr>
      <w:bookmarkStart w:id="1734" w:name="_Toc391150037"/>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33</w:t>
      </w:r>
      <w:r w:rsidR="005979EB" w:rsidRPr="006645DC">
        <w:rPr>
          <w:lang w:val="en-GB"/>
        </w:rPr>
        <w:fldChar w:fldCharType="end"/>
      </w:r>
      <w:r w:rsidRPr="006645DC">
        <w:rPr>
          <w:lang w:val="en-GB"/>
        </w:rPr>
        <w:t xml:space="preserve"> - Wind power potentials</w:t>
      </w:r>
      <w:bookmarkEnd w:id="1734"/>
      <w:r w:rsidRPr="006645DC">
        <w:rPr>
          <w:lang w:val="en-GB"/>
        </w:rPr>
        <w:t xml:space="preserve">  </w:t>
      </w:r>
    </w:p>
    <w:p w14:paraId="63140A85" w14:textId="77777777" w:rsidR="00B5369A" w:rsidRPr="006645DC" w:rsidRDefault="00B5369A" w:rsidP="00B5369A">
      <w:pPr>
        <w:pStyle w:val="Heading4"/>
        <w:rPr>
          <w:lang w:val="en-GB"/>
        </w:rPr>
      </w:pPr>
      <w:r w:rsidRPr="006645DC">
        <w:rPr>
          <w:lang w:val="en-GB"/>
        </w:rPr>
        <w:lastRenderedPageBreak/>
        <w:t>Source: ESPON</w:t>
      </w:r>
    </w:p>
    <w:p w14:paraId="12E480F0" w14:textId="77777777" w:rsidR="00B5369A" w:rsidRPr="006645DC" w:rsidRDefault="00B5369A" w:rsidP="00B5369A">
      <w:pPr>
        <w:spacing w:after="200"/>
        <w:rPr>
          <w:b/>
          <w:sz w:val="24"/>
          <w:szCs w:val="24"/>
          <w:lang w:val="en-GB"/>
        </w:rPr>
      </w:pPr>
    </w:p>
    <w:p w14:paraId="63332AE3" w14:textId="77777777" w:rsidR="00B5369A" w:rsidRPr="006645DC" w:rsidRDefault="00B5369A" w:rsidP="00B5369A">
      <w:pPr>
        <w:pStyle w:val="Heading2"/>
        <w:numPr>
          <w:ilvl w:val="0"/>
          <w:numId w:val="2"/>
        </w:numPr>
        <w:rPr>
          <w:lang w:val="en-GB"/>
        </w:rPr>
      </w:pPr>
      <w:bookmarkStart w:id="1735" w:name="_Toc371105805"/>
      <w:bookmarkStart w:id="1736" w:name="_Toc371284520"/>
      <w:bookmarkStart w:id="1737" w:name="_Toc376199877"/>
      <w:bookmarkStart w:id="1738" w:name="_Toc254543825"/>
      <w:bookmarkStart w:id="1739" w:name="_Toc391150200"/>
      <w:r w:rsidRPr="006645DC">
        <w:rPr>
          <w:lang w:val="en-GB"/>
        </w:rPr>
        <w:t>Energy poverty</w:t>
      </w:r>
      <w:bookmarkEnd w:id="1735"/>
      <w:bookmarkEnd w:id="1736"/>
      <w:bookmarkEnd w:id="1737"/>
      <w:bookmarkEnd w:id="1738"/>
      <w:bookmarkEnd w:id="1739"/>
    </w:p>
    <w:p w14:paraId="3D012D0B" w14:textId="77777777" w:rsidR="00B5369A" w:rsidRPr="006645DC" w:rsidRDefault="00B5369A" w:rsidP="00B5369A">
      <w:pPr>
        <w:rPr>
          <w:lang w:val="en-GB"/>
        </w:rPr>
      </w:pPr>
      <w:r w:rsidRPr="006645DC">
        <w:rPr>
          <w:lang w:val="en-GB"/>
        </w:rPr>
        <w:t xml:space="preserve">Energy poverty refers to the situation of persons whose well-being is negatively affected by very low consumption of </w:t>
      </w:r>
      <w:hyperlink r:id="rId122" w:tooltip="Energy" w:history="1">
        <w:r w:rsidRPr="006645DC">
          <w:rPr>
            <w:lang w:val="en-GB"/>
          </w:rPr>
          <w:t>energy</w:t>
        </w:r>
      </w:hyperlink>
      <w:r w:rsidRPr="006645DC">
        <w:rPr>
          <w:lang w:val="en-GB"/>
        </w:rPr>
        <w:t xml:space="preserve">, use of dirty or polluting fuels, and excessive time spent collecting fuel to meet basic needs. The highest shares of populations with inadequate domestic heating system are concentrated in the new EU member states, especially in Romania and Bulgaria. </w:t>
      </w:r>
    </w:p>
    <w:p w14:paraId="7129CC05" w14:textId="77777777" w:rsidR="00B5369A" w:rsidRPr="006645DC" w:rsidRDefault="00B5369A" w:rsidP="00B5369A">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0"/>
        <w:gridCol w:w="1003"/>
        <w:gridCol w:w="1003"/>
        <w:gridCol w:w="1003"/>
        <w:gridCol w:w="1003"/>
        <w:gridCol w:w="1003"/>
        <w:gridCol w:w="1003"/>
      </w:tblGrid>
      <w:tr w:rsidR="00B5369A" w:rsidRPr="006645DC" w14:paraId="206AA089" w14:textId="77777777" w:rsidTr="00AE3C16">
        <w:trPr>
          <w:jc w:val="center"/>
        </w:trPr>
        <w:tc>
          <w:tcPr>
            <w:tcW w:w="0" w:type="auto"/>
            <w:vAlign w:val="center"/>
          </w:tcPr>
          <w:p w14:paraId="6B84D187" w14:textId="77777777" w:rsidR="00B5369A" w:rsidRPr="006645DC" w:rsidRDefault="00B5369A" w:rsidP="00AE3C16">
            <w:pPr>
              <w:spacing w:before="0" w:after="0" w:line="276" w:lineRule="auto"/>
              <w:jc w:val="center"/>
              <w:rPr>
                <w:lang w:val="en-GB"/>
              </w:rPr>
            </w:pPr>
          </w:p>
        </w:tc>
        <w:tc>
          <w:tcPr>
            <w:tcW w:w="0" w:type="auto"/>
            <w:vAlign w:val="center"/>
          </w:tcPr>
          <w:p w14:paraId="61670FAB" w14:textId="77777777" w:rsidR="00B5369A" w:rsidRPr="006645DC" w:rsidRDefault="00B5369A" w:rsidP="00AE3C16">
            <w:pPr>
              <w:spacing w:before="0" w:after="0" w:line="276" w:lineRule="auto"/>
              <w:jc w:val="center"/>
              <w:rPr>
                <w:b/>
                <w:lang w:val="en-GB"/>
              </w:rPr>
            </w:pPr>
            <w:r w:rsidRPr="006645DC">
              <w:rPr>
                <w:b/>
                <w:lang w:val="en-GB"/>
              </w:rPr>
              <w:t>2007</w:t>
            </w:r>
          </w:p>
        </w:tc>
        <w:tc>
          <w:tcPr>
            <w:tcW w:w="0" w:type="auto"/>
            <w:vAlign w:val="center"/>
          </w:tcPr>
          <w:p w14:paraId="49D0F50D" w14:textId="77777777" w:rsidR="00B5369A" w:rsidRPr="006645DC" w:rsidRDefault="00B5369A" w:rsidP="00AE3C16">
            <w:pPr>
              <w:spacing w:before="0" w:after="0" w:line="276" w:lineRule="auto"/>
              <w:jc w:val="center"/>
              <w:rPr>
                <w:b/>
                <w:lang w:val="en-GB"/>
              </w:rPr>
            </w:pPr>
            <w:r w:rsidRPr="006645DC">
              <w:rPr>
                <w:b/>
                <w:lang w:val="en-GB"/>
              </w:rPr>
              <w:t>2008</w:t>
            </w:r>
          </w:p>
        </w:tc>
        <w:tc>
          <w:tcPr>
            <w:tcW w:w="0" w:type="auto"/>
            <w:vAlign w:val="center"/>
          </w:tcPr>
          <w:p w14:paraId="7055DD12" w14:textId="77777777" w:rsidR="00B5369A" w:rsidRPr="006645DC" w:rsidRDefault="00B5369A" w:rsidP="00AE3C16">
            <w:pPr>
              <w:spacing w:before="0" w:after="0" w:line="276" w:lineRule="auto"/>
              <w:jc w:val="center"/>
              <w:rPr>
                <w:b/>
                <w:lang w:val="en-GB"/>
              </w:rPr>
            </w:pPr>
            <w:r w:rsidRPr="006645DC">
              <w:rPr>
                <w:b/>
                <w:lang w:val="en-GB"/>
              </w:rPr>
              <w:t>2009</w:t>
            </w:r>
          </w:p>
        </w:tc>
        <w:tc>
          <w:tcPr>
            <w:tcW w:w="0" w:type="auto"/>
            <w:vAlign w:val="center"/>
          </w:tcPr>
          <w:p w14:paraId="290EE437" w14:textId="77777777" w:rsidR="00B5369A" w:rsidRPr="006645DC" w:rsidRDefault="00B5369A" w:rsidP="00AE3C16">
            <w:pPr>
              <w:spacing w:before="0" w:after="0" w:line="276" w:lineRule="auto"/>
              <w:jc w:val="center"/>
              <w:rPr>
                <w:b/>
                <w:lang w:val="en-GB"/>
              </w:rPr>
            </w:pPr>
            <w:r w:rsidRPr="006645DC">
              <w:rPr>
                <w:b/>
                <w:lang w:val="en-GB"/>
              </w:rPr>
              <w:t>2010</w:t>
            </w:r>
          </w:p>
        </w:tc>
        <w:tc>
          <w:tcPr>
            <w:tcW w:w="0" w:type="auto"/>
            <w:vAlign w:val="center"/>
          </w:tcPr>
          <w:p w14:paraId="3B55E261" w14:textId="77777777" w:rsidR="00B5369A" w:rsidRPr="006645DC" w:rsidRDefault="00B5369A" w:rsidP="00AE3C16">
            <w:pPr>
              <w:spacing w:before="0" w:after="0" w:line="276" w:lineRule="auto"/>
              <w:jc w:val="center"/>
              <w:rPr>
                <w:b/>
                <w:lang w:val="en-GB"/>
              </w:rPr>
            </w:pPr>
            <w:r w:rsidRPr="006645DC">
              <w:rPr>
                <w:b/>
                <w:lang w:val="en-GB"/>
              </w:rPr>
              <w:t>2011</w:t>
            </w:r>
          </w:p>
        </w:tc>
        <w:tc>
          <w:tcPr>
            <w:tcW w:w="1003" w:type="dxa"/>
            <w:vAlign w:val="center"/>
          </w:tcPr>
          <w:p w14:paraId="68DA7941" w14:textId="77777777" w:rsidR="00B5369A" w:rsidRPr="006645DC" w:rsidRDefault="00B5369A" w:rsidP="00AE3C16">
            <w:pPr>
              <w:spacing w:before="0" w:after="0" w:line="276" w:lineRule="auto"/>
              <w:jc w:val="center"/>
              <w:rPr>
                <w:b/>
                <w:lang w:val="en-GB"/>
              </w:rPr>
            </w:pPr>
            <w:r w:rsidRPr="006645DC">
              <w:rPr>
                <w:b/>
                <w:lang w:val="en-GB"/>
              </w:rPr>
              <w:t>2012</w:t>
            </w:r>
          </w:p>
        </w:tc>
      </w:tr>
      <w:tr w:rsidR="00B5369A" w:rsidRPr="006645DC" w14:paraId="19238B33" w14:textId="77777777" w:rsidTr="00AE3C16">
        <w:trPr>
          <w:jc w:val="center"/>
        </w:trPr>
        <w:tc>
          <w:tcPr>
            <w:tcW w:w="0" w:type="auto"/>
            <w:vAlign w:val="center"/>
          </w:tcPr>
          <w:p w14:paraId="359D6D27" w14:textId="77777777" w:rsidR="00B5369A" w:rsidRPr="006645DC" w:rsidRDefault="00B5369A" w:rsidP="00AE3C16">
            <w:pPr>
              <w:spacing w:before="0" w:after="0" w:line="276" w:lineRule="auto"/>
              <w:jc w:val="center"/>
              <w:rPr>
                <w:b/>
                <w:lang w:val="en-GB"/>
              </w:rPr>
            </w:pPr>
            <w:r w:rsidRPr="006645DC">
              <w:rPr>
                <w:b/>
                <w:lang w:val="en-GB"/>
              </w:rPr>
              <w:t>Romania</w:t>
            </w:r>
          </w:p>
        </w:tc>
        <w:tc>
          <w:tcPr>
            <w:tcW w:w="0" w:type="auto"/>
            <w:vAlign w:val="center"/>
          </w:tcPr>
          <w:p w14:paraId="737152A6" w14:textId="77777777" w:rsidR="00B5369A" w:rsidRPr="006645DC" w:rsidRDefault="00B5369A" w:rsidP="00AE3C16">
            <w:pPr>
              <w:keepNext/>
              <w:keepLines/>
              <w:spacing w:before="0" w:after="0" w:line="276" w:lineRule="auto"/>
              <w:ind w:left="757" w:hanging="360"/>
              <w:jc w:val="right"/>
              <w:outlineLvl w:val="1"/>
              <w:rPr>
                <w:lang w:val="en-GB"/>
              </w:rPr>
            </w:pPr>
            <w:bookmarkStart w:id="1740" w:name="_Toc376199878"/>
            <w:r w:rsidRPr="006645DC">
              <w:rPr>
                <w:lang w:val="en-GB"/>
              </w:rPr>
              <w:t>32,6</w:t>
            </w:r>
            <w:bookmarkEnd w:id="1740"/>
          </w:p>
        </w:tc>
        <w:tc>
          <w:tcPr>
            <w:tcW w:w="0" w:type="auto"/>
            <w:vAlign w:val="center"/>
          </w:tcPr>
          <w:p w14:paraId="5D7C9035" w14:textId="77777777" w:rsidR="00B5369A" w:rsidRPr="006645DC" w:rsidRDefault="00B5369A" w:rsidP="00AE3C16">
            <w:pPr>
              <w:keepNext/>
              <w:keepLines/>
              <w:spacing w:before="0" w:after="0" w:line="276" w:lineRule="auto"/>
              <w:ind w:left="757" w:hanging="360"/>
              <w:jc w:val="right"/>
              <w:outlineLvl w:val="1"/>
              <w:rPr>
                <w:lang w:val="en-GB"/>
              </w:rPr>
            </w:pPr>
            <w:bookmarkStart w:id="1741" w:name="_Toc376199879"/>
            <w:r w:rsidRPr="006645DC">
              <w:rPr>
                <w:lang w:val="en-GB"/>
              </w:rPr>
              <w:t>24,6</w:t>
            </w:r>
            <w:bookmarkEnd w:id="1741"/>
          </w:p>
        </w:tc>
        <w:tc>
          <w:tcPr>
            <w:tcW w:w="0" w:type="auto"/>
            <w:vAlign w:val="center"/>
          </w:tcPr>
          <w:p w14:paraId="0EB51C4C" w14:textId="77777777" w:rsidR="00B5369A" w:rsidRPr="006645DC" w:rsidRDefault="00B5369A" w:rsidP="00AE3C16">
            <w:pPr>
              <w:keepNext/>
              <w:keepLines/>
              <w:spacing w:before="0" w:after="0" w:line="276" w:lineRule="auto"/>
              <w:ind w:left="757" w:hanging="360"/>
              <w:jc w:val="right"/>
              <w:outlineLvl w:val="1"/>
              <w:rPr>
                <w:lang w:val="en-GB"/>
              </w:rPr>
            </w:pPr>
            <w:bookmarkStart w:id="1742" w:name="_Toc376199880"/>
            <w:r w:rsidRPr="006645DC">
              <w:rPr>
                <w:lang w:val="en-GB"/>
              </w:rPr>
              <w:t>22,0</w:t>
            </w:r>
            <w:bookmarkEnd w:id="1742"/>
          </w:p>
        </w:tc>
        <w:tc>
          <w:tcPr>
            <w:tcW w:w="0" w:type="auto"/>
            <w:vAlign w:val="center"/>
          </w:tcPr>
          <w:p w14:paraId="550B3752" w14:textId="77777777" w:rsidR="00B5369A" w:rsidRPr="006645DC" w:rsidRDefault="00B5369A" w:rsidP="00AE3C16">
            <w:pPr>
              <w:keepNext/>
              <w:keepLines/>
              <w:spacing w:before="0" w:after="0" w:line="276" w:lineRule="auto"/>
              <w:ind w:left="757" w:hanging="360"/>
              <w:jc w:val="right"/>
              <w:outlineLvl w:val="1"/>
              <w:rPr>
                <w:lang w:val="en-GB"/>
              </w:rPr>
            </w:pPr>
            <w:bookmarkStart w:id="1743" w:name="_Toc376199881"/>
            <w:r w:rsidRPr="006645DC">
              <w:rPr>
                <w:lang w:val="en-GB"/>
              </w:rPr>
              <w:t>21,0</w:t>
            </w:r>
            <w:bookmarkEnd w:id="1743"/>
          </w:p>
        </w:tc>
        <w:tc>
          <w:tcPr>
            <w:tcW w:w="0" w:type="auto"/>
            <w:vAlign w:val="center"/>
          </w:tcPr>
          <w:p w14:paraId="2A5628F8" w14:textId="77777777" w:rsidR="00B5369A" w:rsidRPr="006645DC" w:rsidRDefault="00B5369A" w:rsidP="00AE3C16">
            <w:pPr>
              <w:keepNext/>
              <w:keepLines/>
              <w:spacing w:before="0" w:after="0" w:line="276" w:lineRule="auto"/>
              <w:ind w:left="757" w:hanging="360"/>
              <w:jc w:val="right"/>
              <w:outlineLvl w:val="1"/>
              <w:rPr>
                <w:lang w:val="en-GB"/>
              </w:rPr>
            </w:pPr>
            <w:bookmarkStart w:id="1744" w:name="_Toc376199882"/>
            <w:r w:rsidRPr="006645DC">
              <w:rPr>
                <w:lang w:val="en-GB"/>
              </w:rPr>
              <w:t>15,7</w:t>
            </w:r>
            <w:bookmarkEnd w:id="1744"/>
          </w:p>
        </w:tc>
        <w:tc>
          <w:tcPr>
            <w:tcW w:w="1003" w:type="dxa"/>
            <w:vAlign w:val="center"/>
          </w:tcPr>
          <w:p w14:paraId="466E8650" w14:textId="77777777" w:rsidR="00B5369A" w:rsidRPr="006645DC" w:rsidRDefault="00B5369A" w:rsidP="00AE3C16">
            <w:pPr>
              <w:keepNext/>
              <w:keepLines/>
              <w:spacing w:before="0" w:after="0" w:line="276" w:lineRule="auto"/>
              <w:ind w:left="757" w:hanging="360"/>
              <w:jc w:val="right"/>
              <w:outlineLvl w:val="1"/>
              <w:rPr>
                <w:lang w:val="en-GB"/>
              </w:rPr>
            </w:pPr>
            <w:bookmarkStart w:id="1745" w:name="_Toc376199883"/>
            <w:r w:rsidRPr="006645DC">
              <w:rPr>
                <w:lang w:val="en-GB"/>
              </w:rPr>
              <w:t>14,6</w:t>
            </w:r>
            <w:bookmarkEnd w:id="1745"/>
          </w:p>
        </w:tc>
      </w:tr>
      <w:tr w:rsidR="00B5369A" w:rsidRPr="006645DC" w14:paraId="615188AA" w14:textId="77777777" w:rsidTr="00AE3C16">
        <w:trPr>
          <w:trHeight w:val="273"/>
          <w:jc w:val="center"/>
        </w:trPr>
        <w:tc>
          <w:tcPr>
            <w:tcW w:w="0" w:type="auto"/>
            <w:vAlign w:val="center"/>
          </w:tcPr>
          <w:p w14:paraId="039FD8BB" w14:textId="77777777" w:rsidR="00B5369A" w:rsidRPr="006645DC" w:rsidRDefault="00B5369A" w:rsidP="00AE3C16">
            <w:pPr>
              <w:keepNext/>
              <w:keepLines/>
              <w:spacing w:before="0" w:after="0" w:line="276" w:lineRule="auto"/>
              <w:jc w:val="center"/>
              <w:outlineLvl w:val="1"/>
              <w:rPr>
                <w:b/>
                <w:lang w:val="en-GB"/>
              </w:rPr>
            </w:pPr>
            <w:bookmarkStart w:id="1746" w:name="_Toc376199884"/>
            <w:r w:rsidRPr="006645DC">
              <w:rPr>
                <w:b/>
                <w:lang w:val="en-GB"/>
              </w:rPr>
              <w:t>Bulgaria</w:t>
            </w:r>
            <w:bookmarkEnd w:id="1746"/>
          </w:p>
        </w:tc>
        <w:tc>
          <w:tcPr>
            <w:tcW w:w="0" w:type="auto"/>
            <w:vAlign w:val="center"/>
          </w:tcPr>
          <w:p w14:paraId="264A3010" w14:textId="77777777" w:rsidR="00B5369A" w:rsidRPr="006645DC" w:rsidRDefault="00B5369A" w:rsidP="00AE3C16">
            <w:pPr>
              <w:keepNext/>
              <w:keepLines/>
              <w:spacing w:before="0" w:after="0" w:line="276" w:lineRule="auto"/>
              <w:ind w:left="757" w:hanging="360"/>
              <w:jc w:val="right"/>
              <w:outlineLvl w:val="1"/>
              <w:rPr>
                <w:lang w:val="en-GB"/>
              </w:rPr>
            </w:pPr>
            <w:bookmarkStart w:id="1747" w:name="_Toc376199885"/>
            <w:r w:rsidRPr="006645DC">
              <w:rPr>
                <w:lang w:val="en-GB"/>
              </w:rPr>
              <w:t>67,4</w:t>
            </w:r>
            <w:bookmarkEnd w:id="1747"/>
          </w:p>
        </w:tc>
        <w:tc>
          <w:tcPr>
            <w:tcW w:w="0" w:type="auto"/>
            <w:vAlign w:val="center"/>
          </w:tcPr>
          <w:p w14:paraId="07229D26" w14:textId="77777777" w:rsidR="00B5369A" w:rsidRPr="006645DC" w:rsidRDefault="00B5369A" w:rsidP="00AE3C16">
            <w:pPr>
              <w:keepNext/>
              <w:keepLines/>
              <w:spacing w:before="0" w:after="0" w:line="276" w:lineRule="auto"/>
              <w:ind w:left="757" w:hanging="360"/>
              <w:jc w:val="right"/>
              <w:outlineLvl w:val="1"/>
              <w:rPr>
                <w:lang w:val="en-GB"/>
              </w:rPr>
            </w:pPr>
            <w:bookmarkStart w:id="1748" w:name="_Toc376199886"/>
            <w:r w:rsidRPr="006645DC">
              <w:rPr>
                <w:lang w:val="en-GB"/>
              </w:rPr>
              <w:t>66,3</w:t>
            </w:r>
            <w:bookmarkEnd w:id="1748"/>
          </w:p>
        </w:tc>
        <w:tc>
          <w:tcPr>
            <w:tcW w:w="0" w:type="auto"/>
            <w:vAlign w:val="center"/>
          </w:tcPr>
          <w:p w14:paraId="55F36B48" w14:textId="77777777" w:rsidR="00B5369A" w:rsidRPr="006645DC" w:rsidRDefault="00B5369A" w:rsidP="00AE3C16">
            <w:pPr>
              <w:keepNext/>
              <w:keepLines/>
              <w:spacing w:before="0" w:after="0" w:line="276" w:lineRule="auto"/>
              <w:ind w:left="757" w:hanging="360"/>
              <w:jc w:val="right"/>
              <w:outlineLvl w:val="1"/>
              <w:rPr>
                <w:lang w:val="en-GB"/>
              </w:rPr>
            </w:pPr>
            <w:bookmarkStart w:id="1749" w:name="_Toc376199887"/>
            <w:r w:rsidRPr="006645DC">
              <w:rPr>
                <w:lang w:val="en-GB"/>
              </w:rPr>
              <w:t>64,2</w:t>
            </w:r>
            <w:bookmarkEnd w:id="1749"/>
          </w:p>
        </w:tc>
        <w:tc>
          <w:tcPr>
            <w:tcW w:w="0" w:type="auto"/>
            <w:vAlign w:val="center"/>
          </w:tcPr>
          <w:p w14:paraId="76679700" w14:textId="77777777" w:rsidR="00B5369A" w:rsidRPr="006645DC" w:rsidRDefault="00B5369A" w:rsidP="00AE3C16">
            <w:pPr>
              <w:keepNext/>
              <w:keepLines/>
              <w:spacing w:before="0" w:after="0" w:line="276" w:lineRule="auto"/>
              <w:ind w:left="757" w:hanging="360"/>
              <w:jc w:val="right"/>
              <w:outlineLvl w:val="1"/>
              <w:rPr>
                <w:lang w:val="en-GB"/>
              </w:rPr>
            </w:pPr>
            <w:bookmarkStart w:id="1750" w:name="_Toc376199888"/>
            <w:r w:rsidRPr="006645DC">
              <w:rPr>
                <w:lang w:val="en-GB"/>
              </w:rPr>
              <w:t>66,5</w:t>
            </w:r>
            <w:bookmarkEnd w:id="1750"/>
          </w:p>
        </w:tc>
        <w:tc>
          <w:tcPr>
            <w:tcW w:w="0" w:type="auto"/>
            <w:vAlign w:val="center"/>
          </w:tcPr>
          <w:p w14:paraId="7F18BFC6" w14:textId="77777777" w:rsidR="00B5369A" w:rsidRPr="006645DC" w:rsidRDefault="00B5369A" w:rsidP="00AE3C16">
            <w:pPr>
              <w:keepNext/>
              <w:keepLines/>
              <w:spacing w:before="0" w:after="0" w:line="276" w:lineRule="auto"/>
              <w:ind w:left="757" w:hanging="360"/>
              <w:jc w:val="right"/>
              <w:outlineLvl w:val="1"/>
              <w:rPr>
                <w:lang w:val="en-GB"/>
              </w:rPr>
            </w:pPr>
            <w:bookmarkStart w:id="1751" w:name="_Toc376199889"/>
            <w:r w:rsidRPr="006645DC">
              <w:rPr>
                <w:lang w:val="en-GB"/>
              </w:rPr>
              <w:t>46,3</w:t>
            </w:r>
            <w:bookmarkEnd w:id="1751"/>
          </w:p>
        </w:tc>
        <w:tc>
          <w:tcPr>
            <w:tcW w:w="1003" w:type="dxa"/>
            <w:vAlign w:val="center"/>
          </w:tcPr>
          <w:p w14:paraId="73821AF8" w14:textId="77777777" w:rsidR="00B5369A" w:rsidRPr="006645DC" w:rsidRDefault="00B5369A" w:rsidP="00AE3C16">
            <w:pPr>
              <w:keepNext/>
              <w:keepLines/>
              <w:spacing w:before="0" w:after="0" w:line="276" w:lineRule="auto"/>
              <w:ind w:left="757" w:hanging="360"/>
              <w:jc w:val="right"/>
              <w:outlineLvl w:val="1"/>
              <w:rPr>
                <w:lang w:val="en-GB"/>
              </w:rPr>
            </w:pPr>
            <w:bookmarkStart w:id="1752" w:name="_Toc376199890"/>
            <w:r w:rsidRPr="006645DC">
              <w:rPr>
                <w:lang w:val="en-GB"/>
              </w:rPr>
              <w:t>46,5</w:t>
            </w:r>
            <w:bookmarkEnd w:id="1752"/>
          </w:p>
        </w:tc>
      </w:tr>
      <w:tr w:rsidR="00B5369A" w:rsidRPr="006645DC" w14:paraId="5985B868" w14:textId="77777777" w:rsidTr="00AE3C16">
        <w:trPr>
          <w:jc w:val="center"/>
        </w:trPr>
        <w:tc>
          <w:tcPr>
            <w:tcW w:w="0" w:type="auto"/>
            <w:vAlign w:val="center"/>
          </w:tcPr>
          <w:p w14:paraId="0FF4C33E" w14:textId="77777777" w:rsidR="00B5369A" w:rsidRPr="006645DC" w:rsidRDefault="00B5369A" w:rsidP="00AE3C16">
            <w:pPr>
              <w:keepNext/>
              <w:keepLines/>
              <w:spacing w:before="0" w:after="0"/>
              <w:jc w:val="center"/>
              <w:outlineLvl w:val="1"/>
              <w:rPr>
                <w:b/>
                <w:lang w:val="en-GB"/>
              </w:rPr>
            </w:pPr>
            <w:bookmarkStart w:id="1753" w:name="_Toc376199891"/>
            <w:r w:rsidRPr="006645DC">
              <w:rPr>
                <w:b/>
                <w:lang w:val="en-GB"/>
              </w:rPr>
              <w:t>EU (27 countries)</w:t>
            </w:r>
            <w:bookmarkEnd w:id="1753"/>
          </w:p>
        </w:tc>
        <w:tc>
          <w:tcPr>
            <w:tcW w:w="0" w:type="auto"/>
            <w:vAlign w:val="center"/>
          </w:tcPr>
          <w:p w14:paraId="3BF2E110" w14:textId="77777777" w:rsidR="00B5369A" w:rsidRPr="006645DC" w:rsidRDefault="00B5369A" w:rsidP="00AE3C16">
            <w:pPr>
              <w:keepNext/>
              <w:keepLines/>
              <w:spacing w:before="0" w:after="0"/>
              <w:ind w:left="757" w:hanging="360"/>
              <w:jc w:val="right"/>
              <w:outlineLvl w:val="1"/>
              <w:rPr>
                <w:lang w:val="en-GB"/>
              </w:rPr>
            </w:pPr>
            <w:bookmarkStart w:id="1754" w:name="_Toc376199892"/>
            <w:r w:rsidRPr="006645DC">
              <w:rPr>
                <w:lang w:val="en-GB"/>
              </w:rPr>
              <w:t>7,4</w:t>
            </w:r>
            <w:bookmarkEnd w:id="1754"/>
          </w:p>
        </w:tc>
        <w:tc>
          <w:tcPr>
            <w:tcW w:w="0" w:type="auto"/>
            <w:vAlign w:val="center"/>
          </w:tcPr>
          <w:p w14:paraId="6FB0FDD9" w14:textId="77777777" w:rsidR="00B5369A" w:rsidRPr="006645DC" w:rsidRDefault="00B5369A" w:rsidP="00AE3C16">
            <w:pPr>
              <w:keepNext/>
              <w:keepLines/>
              <w:spacing w:before="0" w:after="0"/>
              <w:ind w:left="757" w:hanging="360"/>
              <w:jc w:val="right"/>
              <w:outlineLvl w:val="1"/>
              <w:rPr>
                <w:lang w:val="en-GB"/>
              </w:rPr>
            </w:pPr>
            <w:bookmarkStart w:id="1755" w:name="_Toc376199893"/>
            <w:r w:rsidRPr="006645DC">
              <w:rPr>
                <w:lang w:val="en-GB"/>
              </w:rPr>
              <w:t>7,3</w:t>
            </w:r>
            <w:bookmarkEnd w:id="1755"/>
          </w:p>
        </w:tc>
        <w:tc>
          <w:tcPr>
            <w:tcW w:w="0" w:type="auto"/>
            <w:vAlign w:val="center"/>
          </w:tcPr>
          <w:p w14:paraId="74076245" w14:textId="77777777" w:rsidR="00B5369A" w:rsidRPr="006645DC" w:rsidRDefault="00B5369A" w:rsidP="00AE3C16">
            <w:pPr>
              <w:keepNext/>
              <w:keepLines/>
              <w:spacing w:before="0" w:after="0"/>
              <w:ind w:left="757" w:hanging="360"/>
              <w:jc w:val="right"/>
              <w:outlineLvl w:val="1"/>
              <w:rPr>
                <w:lang w:val="en-GB"/>
              </w:rPr>
            </w:pPr>
            <w:bookmarkStart w:id="1756" w:name="_Toc376199894"/>
            <w:r w:rsidRPr="006645DC">
              <w:rPr>
                <w:lang w:val="en-GB"/>
              </w:rPr>
              <w:t>7,0</w:t>
            </w:r>
            <w:bookmarkEnd w:id="1756"/>
          </w:p>
        </w:tc>
        <w:tc>
          <w:tcPr>
            <w:tcW w:w="0" w:type="auto"/>
            <w:vAlign w:val="center"/>
          </w:tcPr>
          <w:p w14:paraId="5A51D565" w14:textId="77777777" w:rsidR="00B5369A" w:rsidRPr="006645DC" w:rsidRDefault="00B5369A" w:rsidP="00AE3C16">
            <w:pPr>
              <w:keepNext/>
              <w:keepLines/>
              <w:spacing w:before="0" w:after="0"/>
              <w:ind w:left="757" w:hanging="360"/>
              <w:jc w:val="right"/>
              <w:outlineLvl w:val="1"/>
              <w:rPr>
                <w:lang w:val="en-GB"/>
              </w:rPr>
            </w:pPr>
            <w:bookmarkStart w:id="1757" w:name="_Toc376199895"/>
            <w:r w:rsidRPr="006645DC">
              <w:rPr>
                <w:lang w:val="en-GB"/>
              </w:rPr>
              <w:t>7,2</w:t>
            </w:r>
            <w:bookmarkEnd w:id="1757"/>
          </w:p>
        </w:tc>
        <w:tc>
          <w:tcPr>
            <w:tcW w:w="0" w:type="auto"/>
            <w:vAlign w:val="center"/>
          </w:tcPr>
          <w:p w14:paraId="107465ED" w14:textId="77777777" w:rsidR="00B5369A" w:rsidRPr="006645DC" w:rsidRDefault="00B5369A" w:rsidP="00AE3C16">
            <w:pPr>
              <w:keepNext/>
              <w:keepLines/>
              <w:spacing w:before="0" w:after="0"/>
              <w:ind w:left="757" w:hanging="360"/>
              <w:jc w:val="right"/>
              <w:outlineLvl w:val="1"/>
              <w:rPr>
                <w:lang w:val="en-GB"/>
              </w:rPr>
            </w:pPr>
            <w:bookmarkStart w:id="1758" w:name="_Toc376199896"/>
            <w:r w:rsidRPr="006645DC">
              <w:rPr>
                <w:lang w:val="en-GB"/>
              </w:rPr>
              <w:t>8,3</w:t>
            </w:r>
            <w:bookmarkEnd w:id="1758"/>
          </w:p>
        </w:tc>
        <w:tc>
          <w:tcPr>
            <w:tcW w:w="1003" w:type="dxa"/>
            <w:vAlign w:val="center"/>
          </w:tcPr>
          <w:p w14:paraId="5C76ED98" w14:textId="77777777" w:rsidR="00B5369A" w:rsidRPr="006645DC" w:rsidRDefault="00B5369A" w:rsidP="00AE3C16">
            <w:pPr>
              <w:keepNext/>
              <w:keepLines/>
              <w:spacing w:before="0" w:after="0"/>
              <w:ind w:left="757" w:hanging="360"/>
              <w:jc w:val="right"/>
              <w:outlineLvl w:val="1"/>
              <w:rPr>
                <w:lang w:val="en-GB"/>
              </w:rPr>
            </w:pPr>
            <w:bookmarkStart w:id="1759" w:name="_Toc376199897"/>
            <w:r w:rsidRPr="006645DC">
              <w:rPr>
                <w:lang w:val="en-GB"/>
              </w:rPr>
              <w:t>9,5</w:t>
            </w:r>
            <w:bookmarkEnd w:id="1759"/>
          </w:p>
        </w:tc>
      </w:tr>
    </w:tbl>
    <w:p w14:paraId="7A0065F7" w14:textId="77777777" w:rsidR="00B5369A" w:rsidRPr="006645DC" w:rsidRDefault="00B5369A" w:rsidP="00B5369A">
      <w:pPr>
        <w:pStyle w:val="Caption"/>
        <w:rPr>
          <w:lang w:val="en-GB"/>
        </w:rPr>
      </w:pPr>
      <w:bookmarkStart w:id="1760" w:name="_Toc391150143"/>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46</w:t>
      </w:r>
      <w:r w:rsidR="005979EB" w:rsidRPr="006645DC">
        <w:rPr>
          <w:lang w:val="en-GB"/>
        </w:rPr>
        <w:fldChar w:fldCharType="end"/>
      </w:r>
      <w:r w:rsidR="00EB4D87" w:rsidRPr="006645DC">
        <w:rPr>
          <w:lang w:val="en-GB"/>
        </w:rPr>
        <w:t xml:space="preserve"> - </w:t>
      </w:r>
      <w:r w:rsidRPr="006645DC">
        <w:rPr>
          <w:lang w:val="en-GB"/>
        </w:rPr>
        <w:t xml:space="preserve"> Inability to keep the home adequately warm (% of the total population)</w:t>
      </w:r>
      <w:bookmarkEnd w:id="1760"/>
    </w:p>
    <w:p w14:paraId="54F3B182" w14:textId="3ED81E04" w:rsidR="00B5369A" w:rsidRDefault="00EB4D87" w:rsidP="00B5369A">
      <w:pPr>
        <w:rPr>
          <w:rFonts w:eastAsiaTheme="majorEastAsia" w:cstheme="majorBidi"/>
          <w:bCs/>
          <w:i/>
          <w:iCs/>
          <w:sz w:val="18"/>
          <w:lang w:val="en-GB"/>
        </w:rPr>
      </w:pP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00B5369A" w:rsidRPr="006645DC">
        <w:rPr>
          <w:rFonts w:eastAsiaTheme="majorEastAsia" w:cstheme="majorBidi"/>
          <w:bCs/>
          <w:i/>
          <w:iCs/>
          <w:sz w:val="18"/>
          <w:lang w:val="en-GB"/>
        </w:rPr>
        <w:t xml:space="preserve">Source: </w:t>
      </w:r>
      <w:hyperlink r:id="rId123" w:history="1">
        <w:r w:rsidR="00B5369A" w:rsidRPr="006645DC">
          <w:rPr>
            <w:rFonts w:eastAsiaTheme="majorEastAsia" w:cstheme="majorBidi"/>
            <w:bCs/>
            <w:i/>
            <w:iCs/>
            <w:sz w:val="18"/>
            <w:lang w:val="en-GB"/>
          </w:rPr>
          <w:t>Eurostat</w:t>
        </w:r>
      </w:hyperlink>
    </w:p>
    <w:p w14:paraId="040455B3" w14:textId="77777777" w:rsidR="00CE723E" w:rsidRPr="00CE723E" w:rsidRDefault="00CE723E" w:rsidP="00B5369A">
      <w:pPr>
        <w:rPr>
          <w:rFonts w:eastAsiaTheme="majorEastAsia" w:cstheme="majorBidi"/>
          <w:bCs/>
          <w:i/>
          <w:iCs/>
          <w:sz w:val="18"/>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0"/>
        <w:gridCol w:w="1003"/>
        <w:gridCol w:w="1003"/>
        <w:gridCol w:w="1003"/>
        <w:gridCol w:w="1003"/>
        <w:gridCol w:w="1003"/>
      </w:tblGrid>
      <w:tr w:rsidR="00B5369A" w:rsidRPr="006645DC" w14:paraId="2107EF23" w14:textId="77777777" w:rsidTr="00AE3C16">
        <w:trPr>
          <w:jc w:val="center"/>
        </w:trPr>
        <w:tc>
          <w:tcPr>
            <w:tcW w:w="0" w:type="auto"/>
            <w:vAlign w:val="center"/>
          </w:tcPr>
          <w:p w14:paraId="23ED9BC6" w14:textId="77777777" w:rsidR="00B5369A" w:rsidRPr="006645DC" w:rsidRDefault="00B5369A" w:rsidP="00AE3C16">
            <w:pPr>
              <w:spacing w:before="0" w:after="0" w:line="276" w:lineRule="auto"/>
              <w:jc w:val="center"/>
              <w:rPr>
                <w:lang w:val="en-GB"/>
              </w:rPr>
            </w:pPr>
          </w:p>
        </w:tc>
        <w:tc>
          <w:tcPr>
            <w:tcW w:w="0" w:type="auto"/>
            <w:vAlign w:val="center"/>
          </w:tcPr>
          <w:p w14:paraId="6D7DC2B5" w14:textId="77777777" w:rsidR="00B5369A" w:rsidRPr="006645DC" w:rsidRDefault="00B5369A" w:rsidP="00AE3C16">
            <w:pPr>
              <w:spacing w:before="0" w:after="0" w:line="276" w:lineRule="auto"/>
              <w:jc w:val="center"/>
              <w:rPr>
                <w:b/>
                <w:lang w:val="en-GB"/>
              </w:rPr>
            </w:pPr>
            <w:r w:rsidRPr="006645DC">
              <w:rPr>
                <w:b/>
                <w:lang w:val="en-GB"/>
              </w:rPr>
              <w:t>2007</w:t>
            </w:r>
          </w:p>
        </w:tc>
        <w:tc>
          <w:tcPr>
            <w:tcW w:w="0" w:type="auto"/>
            <w:vAlign w:val="center"/>
          </w:tcPr>
          <w:p w14:paraId="0CA39A69" w14:textId="77777777" w:rsidR="00B5369A" w:rsidRPr="006645DC" w:rsidRDefault="00B5369A" w:rsidP="00AE3C16">
            <w:pPr>
              <w:spacing w:before="0" w:after="0" w:line="276" w:lineRule="auto"/>
              <w:jc w:val="center"/>
              <w:rPr>
                <w:b/>
                <w:lang w:val="en-GB"/>
              </w:rPr>
            </w:pPr>
            <w:r w:rsidRPr="006645DC">
              <w:rPr>
                <w:b/>
                <w:lang w:val="en-GB"/>
              </w:rPr>
              <w:t>2008</w:t>
            </w:r>
          </w:p>
        </w:tc>
        <w:tc>
          <w:tcPr>
            <w:tcW w:w="0" w:type="auto"/>
            <w:vAlign w:val="center"/>
          </w:tcPr>
          <w:p w14:paraId="7B675CF9" w14:textId="77777777" w:rsidR="00B5369A" w:rsidRPr="006645DC" w:rsidRDefault="00B5369A" w:rsidP="00AE3C16">
            <w:pPr>
              <w:spacing w:before="0" w:after="0" w:line="276" w:lineRule="auto"/>
              <w:jc w:val="center"/>
              <w:rPr>
                <w:b/>
                <w:lang w:val="en-GB"/>
              </w:rPr>
            </w:pPr>
            <w:r w:rsidRPr="006645DC">
              <w:rPr>
                <w:b/>
                <w:lang w:val="en-GB"/>
              </w:rPr>
              <w:t>2009</w:t>
            </w:r>
          </w:p>
        </w:tc>
        <w:tc>
          <w:tcPr>
            <w:tcW w:w="0" w:type="auto"/>
            <w:vAlign w:val="center"/>
          </w:tcPr>
          <w:p w14:paraId="4766AA74" w14:textId="77777777" w:rsidR="00B5369A" w:rsidRPr="006645DC" w:rsidRDefault="00B5369A" w:rsidP="00AE3C16">
            <w:pPr>
              <w:spacing w:before="0" w:after="0" w:line="276" w:lineRule="auto"/>
              <w:jc w:val="center"/>
              <w:rPr>
                <w:b/>
                <w:lang w:val="en-GB"/>
              </w:rPr>
            </w:pPr>
            <w:r w:rsidRPr="006645DC">
              <w:rPr>
                <w:b/>
                <w:lang w:val="en-GB"/>
              </w:rPr>
              <w:t>2010</w:t>
            </w:r>
          </w:p>
        </w:tc>
        <w:tc>
          <w:tcPr>
            <w:tcW w:w="0" w:type="auto"/>
            <w:vAlign w:val="center"/>
          </w:tcPr>
          <w:p w14:paraId="48A5F07E" w14:textId="77777777" w:rsidR="00B5369A" w:rsidRPr="006645DC" w:rsidRDefault="00B5369A" w:rsidP="00AE3C16">
            <w:pPr>
              <w:spacing w:before="0" w:after="0" w:line="276" w:lineRule="auto"/>
              <w:jc w:val="center"/>
              <w:rPr>
                <w:b/>
                <w:lang w:val="en-GB"/>
              </w:rPr>
            </w:pPr>
            <w:r w:rsidRPr="006645DC">
              <w:rPr>
                <w:b/>
                <w:lang w:val="en-GB"/>
              </w:rPr>
              <w:t>2011</w:t>
            </w:r>
          </w:p>
        </w:tc>
      </w:tr>
      <w:tr w:rsidR="00B5369A" w:rsidRPr="006645DC" w14:paraId="3CAF938B" w14:textId="77777777" w:rsidTr="00AE3C16">
        <w:trPr>
          <w:jc w:val="center"/>
        </w:trPr>
        <w:tc>
          <w:tcPr>
            <w:tcW w:w="0" w:type="auto"/>
            <w:vAlign w:val="center"/>
          </w:tcPr>
          <w:p w14:paraId="486DD1A1" w14:textId="77777777" w:rsidR="00B5369A" w:rsidRPr="006645DC" w:rsidRDefault="00B5369A" w:rsidP="00AE3C16">
            <w:pPr>
              <w:spacing w:before="0" w:after="0" w:line="276" w:lineRule="auto"/>
              <w:jc w:val="center"/>
              <w:rPr>
                <w:b/>
                <w:lang w:val="en-GB"/>
              </w:rPr>
            </w:pPr>
            <w:r w:rsidRPr="006645DC">
              <w:rPr>
                <w:b/>
                <w:lang w:val="en-GB"/>
              </w:rPr>
              <w:t>Romania</w:t>
            </w:r>
          </w:p>
        </w:tc>
        <w:tc>
          <w:tcPr>
            <w:tcW w:w="0" w:type="auto"/>
            <w:vAlign w:val="center"/>
          </w:tcPr>
          <w:p w14:paraId="380FE501" w14:textId="77777777" w:rsidR="00B5369A" w:rsidRPr="006645DC" w:rsidRDefault="00B5369A" w:rsidP="00AE3C16">
            <w:pPr>
              <w:keepNext/>
              <w:keepLines/>
              <w:spacing w:before="0" w:after="0" w:line="276" w:lineRule="auto"/>
              <w:ind w:left="757" w:hanging="360"/>
              <w:jc w:val="right"/>
              <w:outlineLvl w:val="1"/>
              <w:rPr>
                <w:lang w:val="en-GB"/>
              </w:rPr>
            </w:pPr>
            <w:bookmarkStart w:id="1761" w:name="_Toc376199898"/>
            <w:r w:rsidRPr="006645DC">
              <w:rPr>
                <w:rFonts w:ascii="Arial" w:hAnsi="Arial" w:cs="Arial"/>
                <w:color w:val="000000"/>
                <w:sz w:val="20"/>
                <w:szCs w:val="20"/>
                <w:lang w:val="en-GB"/>
              </w:rPr>
              <w:t>1,09</w:t>
            </w:r>
            <w:bookmarkEnd w:id="1761"/>
          </w:p>
        </w:tc>
        <w:tc>
          <w:tcPr>
            <w:tcW w:w="0" w:type="auto"/>
            <w:vAlign w:val="center"/>
          </w:tcPr>
          <w:p w14:paraId="54D13732" w14:textId="77777777" w:rsidR="00B5369A" w:rsidRPr="006645DC" w:rsidRDefault="00B5369A" w:rsidP="00AE3C16">
            <w:pPr>
              <w:keepNext/>
              <w:keepLines/>
              <w:spacing w:before="0" w:after="0" w:line="276" w:lineRule="auto"/>
              <w:ind w:left="757" w:hanging="360"/>
              <w:jc w:val="right"/>
              <w:outlineLvl w:val="1"/>
              <w:rPr>
                <w:lang w:val="en-GB"/>
              </w:rPr>
            </w:pPr>
            <w:bookmarkStart w:id="1762" w:name="_Toc376199899"/>
            <w:r w:rsidRPr="006645DC">
              <w:rPr>
                <w:rFonts w:ascii="Arial" w:hAnsi="Arial" w:cs="Arial"/>
                <w:color w:val="000000"/>
                <w:sz w:val="20"/>
                <w:szCs w:val="20"/>
                <w:lang w:val="en-GB"/>
              </w:rPr>
              <w:t>1,15</w:t>
            </w:r>
            <w:bookmarkEnd w:id="1762"/>
          </w:p>
        </w:tc>
        <w:tc>
          <w:tcPr>
            <w:tcW w:w="0" w:type="auto"/>
            <w:vAlign w:val="center"/>
          </w:tcPr>
          <w:p w14:paraId="793F5F37" w14:textId="77777777" w:rsidR="00B5369A" w:rsidRPr="006645DC" w:rsidRDefault="00B5369A" w:rsidP="00AE3C16">
            <w:pPr>
              <w:keepNext/>
              <w:keepLines/>
              <w:spacing w:before="0" w:after="0" w:line="276" w:lineRule="auto"/>
              <w:ind w:left="757" w:hanging="360"/>
              <w:jc w:val="right"/>
              <w:outlineLvl w:val="1"/>
              <w:rPr>
                <w:lang w:val="en-GB"/>
              </w:rPr>
            </w:pPr>
            <w:bookmarkStart w:id="1763" w:name="_Toc376199900"/>
            <w:r w:rsidRPr="006645DC">
              <w:rPr>
                <w:rFonts w:ascii="Arial" w:hAnsi="Arial" w:cs="Arial"/>
                <w:color w:val="000000"/>
                <w:sz w:val="20"/>
                <w:szCs w:val="20"/>
                <w:lang w:val="en-GB"/>
              </w:rPr>
              <w:t>1,13</w:t>
            </w:r>
            <w:bookmarkEnd w:id="1763"/>
          </w:p>
        </w:tc>
        <w:tc>
          <w:tcPr>
            <w:tcW w:w="0" w:type="auto"/>
            <w:vAlign w:val="center"/>
          </w:tcPr>
          <w:p w14:paraId="0F34A9F5" w14:textId="77777777" w:rsidR="00B5369A" w:rsidRPr="006645DC" w:rsidRDefault="00B5369A" w:rsidP="00AE3C16">
            <w:pPr>
              <w:keepNext/>
              <w:keepLines/>
              <w:spacing w:before="0" w:after="0" w:line="276" w:lineRule="auto"/>
              <w:ind w:left="757" w:hanging="360"/>
              <w:jc w:val="right"/>
              <w:outlineLvl w:val="1"/>
              <w:rPr>
                <w:lang w:val="en-GB"/>
              </w:rPr>
            </w:pPr>
            <w:bookmarkStart w:id="1764" w:name="_Toc376199901"/>
            <w:r w:rsidRPr="006645DC">
              <w:rPr>
                <w:rFonts w:ascii="Arial" w:hAnsi="Arial" w:cs="Arial"/>
                <w:color w:val="000000"/>
                <w:sz w:val="20"/>
                <w:szCs w:val="20"/>
                <w:lang w:val="en-GB"/>
              </w:rPr>
              <w:t>1,11</w:t>
            </w:r>
            <w:bookmarkEnd w:id="1764"/>
          </w:p>
        </w:tc>
        <w:tc>
          <w:tcPr>
            <w:tcW w:w="0" w:type="auto"/>
            <w:vAlign w:val="center"/>
          </w:tcPr>
          <w:p w14:paraId="7268E1E9" w14:textId="77777777" w:rsidR="00B5369A" w:rsidRPr="006645DC" w:rsidRDefault="00B5369A" w:rsidP="00AE3C16">
            <w:pPr>
              <w:keepNext/>
              <w:keepLines/>
              <w:spacing w:before="0" w:after="0" w:line="276" w:lineRule="auto"/>
              <w:ind w:left="757" w:hanging="360"/>
              <w:jc w:val="right"/>
              <w:outlineLvl w:val="1"/>
              <w:rPr>
                <w:lang w:val="en-GB"/>
              </w:rPr>
            </w:pPr>
            <w:bookmarkStart w:id="1765" w:name="_Toc376199902"/>
            <w:r w:rsidRPr="006645DC">
              <w:rPr>
                <w:rFonts w:ascii="Arial" w:hAnsi="Arial" w:cs="Arial"/>
                <w:color w:val="000000"/>
                <w:sz w:val="20"/>
                <w:szCs w:val="20"/>
                <w:lang w:val="en-GB"/>
              </w:rPr>
              <w:t>1,10</w:t>
            </w:r>
            <w:bookmarkEnd w:id="1765"/>
          </w:p>
        </w:tc>
      </w:tr>
      <w:tr w:rsidR="00B5369A" w:rsidRPr="006645DC" w14:paraId="410CDB0C" w14:textId="77777777" w:rsidTr="00AE3C16">
        <w:trPr>
          <w:trHeight w:val="273"/>
          <w:jc w:val="center"/>
        </w:trPr>
        <w:tc>
          <w:tcPr>
            <w:tcW w:w="0" w:type="auto"/>
            <w:vAlign w:val="center"/>
          </w:tcPr>
          <w:p w14:paraId="36BC048D" w14:textId="77777777" w:rsidR="00B5369A" w:rsidRPr="006645DC" w:rsidRDefault="00B5369A" w:rsidP="00AE3C16">
            <w:pPr>
              <w:keepNext/>
              <w:keepLines/>
              <w:spacing w:before="0" w:after="0" w:line="276" w:lineRule="auto"/>
              <w:jc w:val="center"/>
              <w:outlineLvl w:val="1"/>
              <w:rPr>
                <w:b/>
                <w:lang w:val="en-GB"/>
              </w:rPr>
            </w:pPr>
            <w:bookmarkStart w:id="1766" w:name="_Toc376199903"/>
            <w:r w:rsidRPr="006645DC">
              <w:rPr>
                <w:b/>
                <w:lang w:val="en-GB"/>
              </w:rPr>
              <w:t>Bulgaria</w:t>
            </w:r>
            <w:bookmarkEnd w:id="1766"/>
          </w:p>
        </w:tc>
        <w:tc>
          <w:tcPr>
            <w:tcW w:w="0" w:type="auto"/>
            <w:vAlign w:val="center"/>
          </w:tcPr>
          <w:p w14:paraId="660772E2" w14:textId="77777777" w:rsidR="00B5369A" w:rsidRPr="006645DC" w:rsidRDefault="00B5369A" w:rsidP="00AE3C16">
            <w:pPr>
              <w:keepNext/>
              <w:keepLines/>
              <w:spacing w:before="0" w:after="0" w:line="276" w:lineRule="auto"/>
              <w:ind w:left="757" w:hanging="360"/>
              <w:jc w:val="right"/>
              <w:outlineLvl w:val="1"/>
              <w:rPr>
                <w:lang w:val="en-GB"/>
              </w:rPr>
            </w:pPr>
            <w:bookmarkStart w:id="1767" w:name="_Toc376199904"/>
            <w:r w:rsidRPr="006645DC">
              <w:rPr>
                <w:lang w:val="en-GB"/>
              </w:rPr>
              <w:t>0,74</w:t>
            </w:r>
            <w:bookmarkEnd w:id="1767"/>
          </w:p>
        </w:tc>
        <w:tc>
          <w:tcPr>
            <w:tcW w:w="0" w:type="auto"/>
            <w:vAlign w:val="center"/>
          </w:tcPr>
          <w:p w14:paraId="46CF23E3" w14:textId="77777777" w:rsidR="00B5369A" w:rsidRPr="006645DC" w:rsidRDefault="00B5369A" w:rsidP="00AE3C16">
            <w:pPr>
              <w:keepNext/>
              <w:keepLines/>
              <w:spacing w:before="0" w:after="0" w:line="276" w:lineRule="auto"/>
              <w:ind w:left="757" w:hanging="360"/>
              <w:jc w:val="right"/>
              <w:outlineLvl w:val="1"/>
              <w:rPr>
                <w:lang w:val="en-GB"/>
              </w:rPr>
            </w:pPr>
            <w:bookmarkStart w:id="1768" w:name="_Toc376199905"/>
            <w:r w:rsidRPr="006645DC">
              <w:rPr>
                <w:lang w:val="en-GB"/>
              </w:rPr>
              <w:t>0,73</w:t>
            </w:r>
            <w:bookmarkEnd w:id="1768"/>
          </w:p>
        </w:tc>
        <w:tc>
          <w:tcPr>
            <w:tcW w:w="0" w:type="auto"/>
            <w:vAlign w:val="center"/>
          </w:tcPr>
          <w:p w14:paraId="13A0A8DD" w14:textId="77777777" w:rsidR="00B5369A" w:rsidRPr="006645DC" w:rsidRDefault="00B5369A" w:rsidP="00AE3C16">
            <w:pPr>
              <w:keepNext/>
              <w:keepLines/>
              <w:spacing w:before="0" w:after="0" w:line="276" w:lineRule="auto"/>
              <w:ind w:left="757" w:hanging="360"/>
              <w:jc w:val="right"/>
              <w:outlineLvl w:val="1"/>
              <w:rPr>
                <w:lang w:val="en-GB"/>
              </w:rPr>
            </w:pPr>
            <w:bookmarkStart w:id="1769" w:name="_Toc376199906"/>
            <w:r w:rsidRPr="006645DC">
              <w:rPr>
                <w:lang w:val="en-GB"/>
              </w:rPr>
              <w:t>0,74</w:t>
            </w:r>
            <w:bookmarkEnd w:id="1769"/>
          </w:p>
        </w:tc>
        <w:tc>
          <w:tcPr>
            <w:tcW w:w="0" w:type="auto"/>
            <w:vAlign w:val="center"/>
          </w:tcPr>
          <w:p w14:paraId="157AE142" w14:textId="77777777" w:rsidR="00B5369A" w:rsidRPr="006645DC" w:rsidRDefault="00B5369A" w:rsidP="00AE3C16">
            <w:pPr>
              <w:keepNext/>
              <w:keepLines/>
              <w:spacing w:before="0" w:after="0" w:line="276" w:lineRule="auto"/>
              <w:ind w:left="757" w:hanging="360"/>
              <w:jc w:val="right"/>
              <w:outlineLvl w:val="1"/>
              <w:rPr>
                <w:lang w:val="en-GB"/>
              </w:rPr>
            </w:pPr>
            <w:bookmarkStart w:id="1770" w:name="_Toc376199907"/>
            <w:r w:rsidRPr="006645DC">
              <w:rPr>
                <w:lang w:val="en-GB"/>
              </w:rPr>
              <w:t>0,79</w:t>
            </w:r>
            <w:bookmarkEnd w:id="1770"/>
          </w:p>
        </w:tc>
        <w:tc>
          <w:tcPr>
            <w:tcW w:w="0" w:type="auto"/>
            <w:vAlign w:val="center"/>
          </w:tcPr>
          <w:p w14:paraId="26205295" w14:textId="77777777" w:rsidR="00B5369A" w:rsidRPr="006645DC" w:rsidRDefault="00B5369A" w:rsidP="00AE3C16">
            <w:pPr>
              <w:keepNext/>
              <w:keepLines/>
              <w:spacing w:before="0" w:after="0" w:line="276" w:lineRule="auto"/>
              <w:ind w:left="757" w:hanging="360"/>
              <w:jc w:val="right"/>
              <w:outlineLvl w:val="1"/>
              <w:rPr>
                <w:lang w:val="en-GB"/>
              </w:rPr>
            </w:pPr>
            <w:bookmarkStart w:id="1771" w:name="_Toc376199908"/>
            <w:r w:rsidRPr="006645DC">
              <w:rPr>
                <w:lang w:val="en-GB"/>
              </w:rPr>
              <w:t>0,77</w:t>
            </w:r>
            <w:bookmarkEnd w:id="1771"/>
          </w:p>
        </w:tc>
      </w:tr>
      <w:tr w:rsidR="00B5369A" w:rsidRPr="006645DC" w14:paraId="36E35082" w14:textId="77777777" w:rsidTr="00AE3C16">
        <w:trPr>
          <w:jc w:val="center"/>
        </w:trPr>
        <w:tc>
          <w:tcPr>
            <w:tcW w:w="0" w:type="auto"/>
            <w:vAlign w:val="center"/>
          </w:tcPr>
          <w:p w14:paraId="253C28B0" w14:textId="77777777" w:rsidR="00B5369A" w:rsidRPr="006645DC" w:rsidRDefault="00B5369A" w:rsidP="00AE3C16">
            <w:pPr>
              <w:keepNext/>
              <w:keepLines/>
              <w:spacing w:before="0" w:after="0"/>
              <w:jc w:val="center"/>
              <w:outlineLvl w:val="1"/>
              <w:rPr>
                <w:b/>
                <w:lang w:val="en-GB"/>
              </w:rPr>
            </w:pPr>
            <w:bookmarkStart w:id="1772" w:name="_Toc376199909"/>
            <w:r w:rsidRPr="006645DC">
              <w:rPr>
                <w:b/>
                <w:lang w:val="en-GB"/>
              </w:rPr>
              <w:t>EU (27 countries)</w:t>
            </w:r>
            <w:bookmarkEnd w:id="1772"/>
          </w:p>
        </w:tc>
        <w:tc>
          <w:tcPr>
            <w:tcW w:w="0" w:type="auto"/>
            <w:vAlign w:val="center"/>
          </w:tcPr>
          <w:p w14:paraId="0FF1ACCD" w14:textId="77777777" w:rsidR="00B5369A" w:rsidRPr="006645DC" w:rsidRDefault="00B5369A" w:rsidP="00AE3C16">
            <w:pPr>
              <w:keepNext/>
              <w:keepLines/>
              <w:spacing w:before="0" w:after="0"/>
              <w:ind w:left="757" w:hanging="360"/>
              <w:jc w:val="right"/>
              <w:outlineLvl w:val="1"/>
              <w:rPr>
                <w:lang w:val="en-GB"/>
              </w:rPr>
            </w:pPr>
            <w:bookmarkStart w:id="1773" w:name="_Toc376199910"/>
            <w:r w:rsidRPr="006645DC">
              <w:rPr>
                <w:lang w:val="en-GB"/>
              </w:rPr>
              <w:t>1,54</w:t>
            </w:r>
            <w:bookmarkEnd w:id="1773"/>
          </w:p>
        </w:tc>
        <w:tc>
          <w:tcPr>
            <w:tcW w:w="0" w:type="auto"/>
            <w:vAlign w:val="center"/>
          </w:tcPr>
          <w:p w14:paraId="457EE52D" w14:textId="77777777" w:rsidR="00B5369A" w:rsidRPr="006645DC" w:rsidRDefault="00B5369A" w:rsidP="00AE3C16">
            <w:pPr>
              <w:keepNext/>
              <w:keepLines/>
              <w:spacing w:before="0" w:after="0"/>
              <w:ind w:left="757" w:hanging="360"/>
              <w:jc w:val="right"/>
              <w:outlineLvl w:val="1"/>
              <w:rPr>
                <w:lang w:val="en-GB"/>
              </w:rPr>
            </w:pPr>
            <w:bookmarkStart w:id="1774" w:name="_Toc376199911"/>
            <w:r w:rsidRPr="006645DC">
              <w:rPr>
                <w:lang w:val="en-GB"/>
              </w:rPr>
              <w:t>1,55</w:t>
            </w:r>
            <w:bookmarkEnd w:id="1774"/>
          </w:p>
        </w:tc>
        <w:tc>
          <w:tcPr>
            <w:tcW w:w="0" w:type="auto"/>
            <w:vAlign w:val="center"/>
          </w:tcPr>
          <w:p w14:paraId="302ACBBC" w14:textId="77777777" w:rsidR="00B5369A" w:rsidRPr="006645DC" w:rsidRDefault="00B5369A" w:rsidP="00AE3C16">
            <w:pPr>
              <w:keepNext/>
              <w:keepLines/>
              <w:spacing w:before="0" w:after="0"/>
              <w:ind w:left="757" w:hanging="360"/>
              <w:jc w:val="right"/>
              <w:outlineLvl w:val="1"/>
              <w:rPr>
                <w:lang w:val="en-GB"/>
              </w:rPr>
            </w:pPr>
            <w:bookmarkStart w:id="1775" w:name="_Toc376199912"/>
            <w:r w:rsidRPr="006645DC">
              <w:rPr>
                <w:lang w:val="en-GB"/>
              </w:rPr>
              <w:t>1,50</w:t>
            </w:r>
            <w:bookmarkEnd w:id="1775"/>
          </w:p>
        </w:tc>
        <w:tc>
          <w:tcPr>
            <w:tcW w:w="0" w:type="auto"/>
            <w:vAlign w:val="center"/>
          </w:tcPr>
          <w:p w14:paraId="74D6C3B6" w14:textId="77777777" w:rsidR="00B5369A" w:rsidRPr="006645DC" w:rsidRDefault="00B5369A" w:rsidP="00AE3C16">
            <w:pPr>
              <w:keepNext/>
              <w:keepLines/>
              <w:spacing w:before="0" w:after="0"/>
              <w:ind w:left="757" w:hanging="360"/>
              <w:jc w:val="right"/>
              <w:outlineLvl w:val="1"/>
              <w:rPr>
                <w:lang w:val="en-GB"/>
              </w:rPr>
            </w:pPr>
            <w:bookmarkStart w:id="1776" w:name="_Toc376199913"/>
            <w:r w:rsidRPr="006645DC">
              <w:rPr>
                <w:lang w:val="en-GB"/>
              </w:rPr>
              <w:t>1,45</w:t>
            </w:r>
            <w:bookmarkEnd w:id="1776"/>
          </w:p>
        </w:tc>
        <w:tc>
          <w:tcPr>
            <w:tcW w:w="0" w:type="auto"/>
            <w:vAlign w:val="center"/>
          </w:tcPr>
          <w:p w14:paraId="6E1F03D7" w14:textId="77777777" w:rsidR="00B5369A" w:rsidRPr="006645DC" w:rsidRDefault="00B5369A" w:rsidP="00AE3C16">
            <w:pPr>
              <w:keepNext/>
              <w:keepLines/>
              <w:spacing w:before="0" w:after="0"/>
              <w:ind w:left="757" w:hanging="360"/>
              <w:jc w:val="right"/>
              <w:outlineLvl w:val="1"/>
              <w:rPr>
                <w:lang w:val="en-GB"/>
              </w:rPr>
            </w:pPr>
            <w:bookmarkStart w:id="1777" w:name="_Toc376199914"/>
            <w:r w:rsidRPr="006645DC">
              <w:rPr>
                <w:lang w:val="en-GB"/>
              </w:rPr>
              <w:t>1,42</w:t>
            </w:r>
            <w:bookmarkEnd w:id="1777"/>
          </w:p>
        </w:tc>
      </w:tr>
    </w:tbl>
    <w:p w14:paraId="49945960" w14:textId="77777777" w:rsidR="00B5369A" w:rsidRPr="006645DC" w:rsidRDefault="00B5369A" w:rsidP="00B5369A">
      <w:pPr>
        <w:pStyle w:val="Caption"/>
        <w:rPr>
          <w:lang w:val="en-GB"/>
        </w:rPr>
      </w:pPr>
      <w:bookmarkStart w:id="1778" w:name="_Toc391150144"/>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47</w:t>
      </w:r>
      <w:r w:rsidR="005979EB" w:rsidRPr="006645DC">
        <w:rPr>
          <w:lang w:val="en-GB"/>
        </w:rPr>
        <w:fldChar w:fldCharType="end"/>
      </w:r>
      <w:r w:rsidRPr="006645DC">
        <w:rPr>
          <w:lang w:val="en-GB"/>
        </w:rPr>
        <w:t xml:space="preserve"> – Energy consumption per dwelling at normal climate (tonnes of oil equivalent/dwelling)</w:t>
      </w:r>
      <w:bookmarkEnd w:id="1778"/>
    </w:p>
    <w:p w14:paraId="5B35A305" w14:textId="77777777" w:rsidR="00B5369A" w:rsidRPr="006645DC" w:rsidRDefault="00EB4D87" w:rsidP="00EB4D87">
      <w:pPr>
        <w:pStyle w:val="Heading4"/>
        <w:rPr>
          <w:rFonts w:eastAsiaTheme="majorEastAsia" w:cstheme="majorBidi"/>
          <w:lang w:val="en-GB"/>
        </w:rPr>
      </w:pP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Pr="006645DC">
        <w:rPr>
          <w:lang w:val="en-GB" w:eastAsia="ro-RO"/>
        </w:rPr>
        <w:tab/>
      </w:r>
      <w:r w:rsidR="00B5369A" w:rsidRPr="006645DC">
        <w:rPr>
          <w:rFonts w:eastAsiaTheme="majorEastAsia" w:cstheme="majorBidi"/>
          <w:lang w:val="en-GB"/>
        </w:rPr>
        <w:t xml:space="preserve">Source: </w:t>
      </w:r>
      <w:hyperlink r:id="rId124" w:history="1">
        <w:r w:rsidRPr="006645DC">
          <w:rPr>
            <w:rStyle w:val="Hyperlink"/>
            <w:rFonts w:eastAsiaTheme="majorEastAsia" w:cstheme="majorBidi"/>
            <w:lang w:val="en-GB"/>
          </w:rPr>
          <w:t>http://www.odyssee-indicators.org/</w:t>
        </w:r>
      </w:hyperlink>
    </w:p>
    <w:p w14:paraId="33BBED47" w14:textId="77777777" w:rsidR="00B5369A" w:rsidRPr="006645DC" w:rsidRDefault="00B5369A" w:rsidP="00B5369A">
      <w:pPr>
        <w:rPr>
          <w:lang w:val="en-GB"/>
        </w:rPr>
      </w:pPr>
      <w:r w:rsidRPr="006645DC">
        <w:rPr>
          <w:lang w:val="en-GB"/>
        </w:rPr>
        <w:t xml:space="preserve">The widespread use of wood and coal for heating is indicative for energy poverty among the population, which is the case in both countries. According to EU statistics 46,5% of Bulgaria’s population was unable to keep its home adequately warm. This is particularly worrying given that Bulgaria has one of the lowest energy consumption rates per dwelling in Europe, with only 0.77 tonnes of oil equivalent per dwelling compared to the EU average of 1,42 tonnes of oil equivalent per dwelling. Furthermore, the average Bulgarian household is spending an important proportion of its income on energy sources, including heating and electricity. This implies that despite using comparatively less energy to heat their homes, Bulgarians spend a higher proportion of their incomes on electricity than households in other EU member states. </w:t>
      </w:r>
    </w:p>
    <w:p w14:paraId="4B8A9D4D" w14:textId="77777777" w:rsidR="00B5369A" w:rsidRPr="006645DC" w:rsidRDefault="00B5369A" w:rsidP="00B5369A">
      <w:pPr>
        <w:rPr>
          <w:lang w:val="en-GB"/>
        </w:rPr>
      </w:pPr>
      <w:r w:rsidRPr="006645DC">
        <w:rPr>
          <w:lang w:val="en-GB"/>
        </w:rPr>
        <w:t xml:space="preserve">The statistics are less worrying for Romania, however still greatly below the EU average. </w:t>
      </w:r>
    </w:p>
    <w:p w14:paraId="1FC16B04" w14:textId="77777777" w:rsidR="00B5369A" w:rsidRPr="006645DC" w:rsidRDefault="00AA4C82" w:rsidP="00B5369A">
      <w:pPr>
        <w:pStyle w:val="BodyText"/>
        <w:rPr>
          <w:rFonts w:ascii="Calibri" w:hAnsi="Calibri" w:cs="Times New Roman"/>
          <w:b/>
          <w:lang w:val="en-GB"/>
        </w:rPr>
      </w:pPr>
      <w:r w:rsidRPr="006645DC">
        <w:rPr>
          <w:rFonts w:ascii="Calibri" w:hAnsi="Calibri" w:cs="Times New Roman"/>
          <w:b/>
          <w:noProof/>
          <w:snapToGrid/>
          <w:lang w:val="bg-BG" w:eastAsia="bg-BG"/>
        </w:rPr>
        <w:lastRenderedPageBreak/>
        <w:drawing>
          <wp:inline distT="0" distB="0" distL="0" distR="0" wp14:anchorId="65DCCDAB" wp14:editId="62CB0D1C">
            <wp:extent cx="5753100" cy="6010275"/>
            <wp:effectExtent l="19050" t="0" r="0" b="0"/>
            <wp:docPr id="465"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
                    <pic:cNvPicPr>
                      <a:picLocks noChangeAspect="1" noChangeArrowheads="1"/>
                    </pic:cNvPicPr>
                  </pic:nvPicPr>
                  <pic:blipFill>
                    <a:blip r:embed="rId125"/>
                    <a:srcRect/>
                    <a:stretch>
                      <a:fillRect/>
                    </a:stretch>
                  </pic:blipFill>
                  <pic:spPr bwMode="auto">
                    <a:xfrm>
                      <a:off x="0" y="0"/>
                      <a:ext cx="5753100" cy="6010275"/>
                    </a:xfrm>
                    <a:prstGeom prst="rect">
                      <a:avLst/>
                    </a:prstGeom>
                    <a:noFill/>
                    <a:ln w="9525">
                      <a:noFill/>
                      <a:miter lim="800000"/>
                      <a:headEnd/>
                      <a:tailEnd/>
                    </a:ln>
                  </pic:spPr>
                </pic:pic>
              </a:graphicData>
            </a:graphic>
          </wp:inline>
        </w:drawing>
      </w:r>
    </w:p>
    <w:p w14:paraId="5A333C56" w14:textId="77777777" w:rsidR="00B5369A" w:rsidRPr="006645DC" w:rsidRDefault="00B5369A" w:rsidP="00B5369A">
      <w:pPr>
        <w:pStyle w:val="Heading4"/>
        <w:rPr>
          <w:lang w:val="en-GB"/>
        </w:rPr>
      </w:pPr>
      <w:r w:rsidRPr="006645DC">
        <w:rPr>
          <w:lang w:val="en-GB"/>
        </w:rPr>
        <w:t>Source: ESPON</w:t>
      </w:r>
    </w:p>
    <w:p w14:paraId="7A9E9ECF" w14:textId="77777777" w:rsidR="00B5369A" w:rsidRPr="006645DC" w:rsidRDefault="00B5369A" w:rsidP="00B5369A">
      <w:pPr>
        <w:pStyle w:val="BodyText"/>
        <w:rPr>
          <w:rFonts w:ascii="Calibri" w:hAnsi="Calibri" w:cs="Times New Roman"/>
          <w:b/>
          <w:u w:val="single"/>
          <w:lang w:val="en-GB"/>
        </w:rPr>
      </w:pPr>
    </w:p>
    <w:p w14:paraId="323F56CC" w14:textId="77777777" w:rsidR="00B5369A" w:rsidRPr="006645DC" w:rsidRDefault="00B5369A" w:rsidP="00B5369A">
      <w:pPr>
        <w:spacing w:after="200"/>
        <w:rPr>
          <w:b/>
          <w:sz w:val="24"/>
          <w:szCs w:val="24"/>
          <w:u w:val="single"/>
          <w:lang w:val="en-GB"/>
        </w:rPr>
      </w:pPr>
      <w:r w:rsidRPr="006645DC">
        <w:rPr>
          <w:b/>
          <w:u w:val="single"/>
          <w:lang w:val="en-GB"/>
        </w:rPr>
        <w:br w:type="page"/>
      </w:r>
    </w:p>
    <w:p w14:paraId="42F1A3A8" w14:textId="77777777" w:rsidR="00B5369A" w:rsidRPr="006645DC" w:rsidRDefault="00B5369A" w:rsidP="00B5369A">
      <w:pPr>
        <w:pStyle w:val="Heading2"/>
        <w:numPr>
          <w:ilvl w:val="0"/>
          <w:numId w:val="2"/>
        </w:numPr>
        <w:rPr>
          <w:lang w:val="en-GB"/>
        </w:rPr>
      </w:pPr>
      <w:bookmarkStart w:id="1779" w:name="_Toc371105806"/>
      <w:bookmarkStart w:id="1780" w:name="_Toc371284521"/>
      <w:bookmarkStart w:id="1781" w:name="_Toc376199915"/>
      <w:bookmarkStart w:id="1782" w:name="_Toc254543826"/>
      <w:bookmarkStart w:id="1783" w:name="_Toc391150201"/>
      <w:r w:rsidRPr="006645DC">
        <w:rPr>
          <w:lang w:val="en-GB"/>
        </w:rPr>
        <w:lastRenderedPageBreak/>
        <w:t>Energy efficiency</w:t>
      </w:r>
      <w:bookmarkEnd w:id="1779"/>
      <w:bookmarkEnd w:id="1780"/>
      <w:bookmarkEnd w:id="1781"/>
      <w:bookmarkEnd w:id="1782"/>
      <w:bookmarkEnd w:id="1783"/>
    </w:p>
    <w:p w14:paraId="4B202BD0" w14:textId="77777777" w:rsidR="00B5369A" w:rsidRPr="006645DC" w:rsidRDefault="00B5369A" w:rsidP="00B5369A">
      <w:pPr>
        <w:rPr>
          <w:lang w:val="en-GB"/>
        </w:rPr>
      </w:pPr>
      <w:r w:rsidRPr="006645DC">
        <w:rPr>
          <w:lang w:val="en-GB"/>
        </w:rPr>
        <w:t>High energy and resource consumption leads to higher production costs and a lack of competitive advantages for economy sustainability. At the same time, energy saving is probably the most appropriate way to reach the European target of 20 % reduction in greenhouse gas emissions by 2020. Furthermore, these measures are also linked to improve air quality, especially in densely populated areas.</w:t>
      </w:r>
    </w:p>
    <w:p w14:paraId="2C3DA4DA" w14:textId="77777777" w:rsidR="00B5369A" w:rsidRPr="006645DC" w:rsidRDefault="00B5369A" w:rsidP="00B5369A">
      <w:pPr>
        <w:rPr>
          <w:lang w:val="en-GB"/>
        </w:rPr>
      </w:pPr>
      <w:r w:rsidRPr="006645DC">
        <w:rPr>
          <w:lang w:val="en-GB"/>
        </w:rPr>
        <w:t xml:space="preserve">Both in Romania and Bulgarian have adopted strategies related to energy efficiency. In her National Energy Efficiency Strategy Romania has set the objective for 2015 to reduce primary energy intensity by 40% against 2003. </w:t>
      </w:r>
    </w:p>
    <w:p w14:paraId="53EA1450" w14:textId="77777777" w:rsidR="00B5369A" w:rsidRPr="006645DC" w:rsidRDefault="00B5369A" w:rsidP="00B5369A">
      <w:pPr>
        <w:autoSpaceDE w:val="0"/>
        <w:autoSpaceDN w:val="0"/>
        <w:adjustRightInd w:val="0"/>
        <w:spacing w:before="0" w:after="0"/>
        <w:rPr>
          <w:lang w:val="en-GB"/>
        </w:rPr>
      </w:pPr>
      <w:r w:rsidRPr="006645DC">
        <w:rPr>
          <w:lang w:val="en-GB"/>
        </w:rPr>
        <w:t>The aim of Bulgaria defined in its Energy strategy till 2020 is to reduce energy intensity by 50% for 2020. The implementation of the Energy Strategy of Bulgaria 2020, regarding the improvement of energy efficiency, should lead to save more than 5 000 ktoe primary energy, compared to the baseline scenario for 2020. The National Action Plan for Energy Efficiency determines</w:t>
      </w:r>
      <w:r w:rsidRPr="006645DC">
        <w:rPr>
          <w:rStyle w:val="FootnoteReference"/>
          <w:lang w:val="en-GB"/>
        </w:rPr>
        <w:footnoteReference w:id="41"/>
      </w:r>
      <w:r w:rsidRPr="006645DC">
        <w:rPr>
          <w:lang w:val="en-GB"/>
        </w:rPr>
        <w:t xml:space="preserve"> a national target for energy savings for 2016 of more than 9% of the final energy consumption (determined by the method of the Directive), or an average of 1% per year, which means that the country should achieve through the implementation of the action plan energy savings of 627 ktoe or 7 291 GWh.</w:t>
      </w:r>
    </w:p>
    <w:p w14:paraId="561A2816" w14:textId="77777777" w:rsidR="00B5369A" w:rsidRPr="006645DC" w:rsidRDefault="00B5369A" w:rsidP="00B5369A">
      <w:pPr>
        <w:rPr>
          <w:lang w:val="en-GB"/>
        </w:rPr>
      </w:pPr>
      <w:r w:rsidRPr="006645DC">
        <w:rPr>
          <w:lang w:val="en-GB"/>
        </w:rPr>
        <w:t xml:space="preserve">National strategic documents (both in Romania and Bulgaria) underline that emphasis has to be given to innovative technologies, especially technologies for energy efficiency and renewable energy. These technologies are needed to facilitate the diversification of energy sources, to reduce energy demand and to provide methods for the use of local resources that are safe and cause less pollution of the environment. </w:t>
      </w:r>
    </w:p>
    <w:p w14:paraId="4480CAD4" w14:textId="77777777" w:rsidR="00B5369A" w:rsidRPr="006645DC" w:rsidRDefault="00B5369A" w:rsidP="00B5369A">
      <w:pPr>
        <w:rPr>
          <w:lang w:val="en-GB"/>
        </w:rPr>
      </w:pPr>
      <w:r w:rsidRPr="006645DC">
        <w:rPr>
          <w:lang w:val="en-GB"/>
        </w:rPr>
        <w:t xml:space="preserve">One of the main sectors with high energy saving potential is the building sector. Buildings are central to the EU energy efficiency policy as housing, offices, shops and other buildings account for nearly 40% of energy consumption. Although energy efficiency in buildings (both private and public owned) was already in focus in the past it is also an important element of energy strategies in Romania and in Bulgaria too. It is underline for Bulgaria that “the effect of the heightened norms of the new construction and the on-going process of renovation of existing buildings is not apparent enough yet”. </w:t>
      </w:r>
      <w:r w:rsidRPr="006645DC">
        <w:rPr>
          <w:rStyle w:val="FootnoteReference"/>
          <w:lang w:val="en-GB"/>
        </w:rPr>
        <w:footnoteReference w:id="42"/>
      </w:r>
    </w:p>
    <w:p w14:paraId="1BF20401" w14:textId="77777777" w:rsidR="004433FE" w:rsidRPr="006645DC" w:rsidRDefault="004433FE" w:rsidP="00B5369A">
      <w:pPr>
        <w:pStyle w:val="Heading2"/>
        <w:numPr>
          <w:ilvl w:val="0"/>
          <w:numId w:val="2"/>
        </w:numPr>
        <w:rPr>
          <w:lang w:val="en-GB"/>
        </w:rPr>
        <w:sectPr w:rsidR="004433FE" w:rsidRPr="006645DC" w:rsidSect="00B5369A">
          <w:pgSz w:w="12240" w:h="15840"/>
          <w:pgMar w:top="1440" w:right="1892" w:bottom="1440" w:left="1440" w:header="720" w:footer="720" w:gutter="0"/>
          <w:cols w:space="720"/>
          <w:docGrid w:linePitch="360"/>
        </w:sectPr>
      </w:pPr>
      <w:bookmarkStart w:id="1784" w:name="_Toc376199916"/>
      <w:bookmarkStart w:id="1785" w:name="_Toc371092795"/>
      <w:bookmarkStart w:id="1786" w:name="_Toc371105807"/>
      <w:bookmarkStart w:id="1787" w:name="_Toc371284522"/>
      <w:bookmarkStart w:id="1788" w:name="_Toc371084758"/>
    </w:p>
    <w:p w14:paraId="2E905DCD" w14:textId="77777777" w:rsidR="00B5369A" w:rsidRPr="006645DC" w:rsidRDefault="00B5369A" w:rsidP="00AE3C16">
      <w:pPr>
        <w:pStyle w:val="Heading2"/>
        <w:rPr>
          <w:lang w:val="en-GB"/>
        </w:rPr>
      </w:pPr>
      <w:bookmarkStart w:id="1789" w:name="_Toc254543827"/>
      <w:bookmarkStart w:id="1790" w:name="_Toc391150202"/>
      <w:r w:rsidRPr="006645DC">
        <w:rPr>
          <w:lang w:val="en-GB"/>
        </w:rPr>
        <w:lastRenderedPageBreak/>
        <w:t>SWOT and problem tree</w:t>
      </w:r>
      <w:bookmarkEnd w:id="1784"/>
      <w:bookmarkEnd w:id="1789"/>
      <w:bookmarkEnd w:id="1790"/>
    </w:p>
    <w:tbl>
      <w:tblPr>
        <w:tblW w:w="10031" w:type="dxa"/>
        <w:jc w:val="center"/>
        <w:tblLayout w:type="fixed"/>
        <w:tblCellMar>
          <w:left w:w="0" w:type="dxa"/>
          <w:right w:w="0" w:type="dxa"/>
        </w:tblCellMar>
        <w:tblLook w:val="0600" w:firstRow="0" w:lastRow="0" w:firstColumn="0" w:lastColumn="0" w:noHBand="1" w:noVBand="1"/>
      </w:tblPr>
      <w:tblGrid>
        <w:gridCol w:w="4644"/>
        <w:gridCol w:w="5387"/>
      </w:tblGrid>
      <w:tr w:rsidR="00B5369A" w:rsidRPr="006645DC" w14:paraId="76827423" w14:textId="77777777" w:rsidTr="004433FE">
        <w:trPr>
          <w:trHeight w:val="466"/>
          <w:jc w:val="center"/>
        </w:trPr>
        <w:tc>
          <w:tcPr>
            <w:tcW w:w="4644" w:type="dxa"/>
            <w:tcBorders>
              <w:top w:val="single" w:sz="8" w:space="0" w:color="000000"/>
              <w:left w:val="single" w:sz="8" w:space="0" w:color="000000"/>
              <w:bottom w:val="single" w:sz="8" w:space="0" w:color="000000"/>
              <w:right w:val="single" w:sz="8" w:space="0" w:color="000000"/>
            </w:tcBorders>
            <w:shd w:val="clear" w:color="auto" w:fill="9BBB59"/>
            <w:tcMar>
              <w:top w:w="15" w:type="dxa"/>
              <w:left w:w="108" w:type="dxa"/>
              <w:bottom w:w="0" w:type="dxa"/>
              <w:right w:w="108" w:type="dxa"/>
            </w:tcMar>
            <w:hideMark/>
          </w:tcPr>
          <w:p w14:paraId="736B473A" w14:textId="77777777" w:rsidR="00B5369A" w:rsidRPr="006645DC" w:rsidRDefault="00B5369A" w:rsidP="00B5369A">
            <w:pPr>
              <w:spacing w:before="0" w:after="0" w:line="276" w:lineRule="auto"/>
              <w:jc w:val="center"/>
              <w:rPr>
                <w:rFonts w:asciiTheme="minorHAnsi" w:eastAsia="Times New Roman" w:hAnsiTheme="minorHAnsi" w:cstheme="minorHAnsi"/>
                <w:lang w:val="en-GB" w:eastAsia="hu-HU"/>
              </w:rPr>
            </w:pPr>
            <w:r w:rsidRPr="006645DC">
              <w:rPr>
                <w:rFonts w:asciiTheme="minorHAnsi" w:hAnsiTheme="minorHAnsi" w:cstheme="minorHAnsi"/>
                <w:b/>
                <w:bCs/>
                <w:color w:val="FFFFFF"/>
                <w:kern w:val="24"/>
                <w:lang w:val="en-GB" w:eastAsia="hu-HU"/>
              </w:rPr>
              <w:t>Strengths</w:t>
            </w:r>
          </w:p>
        </w:tc>
        <w:tc>
          <w:tcPr>
            <w:tcW w:w="5387" w:type="dxa"/>
            <w:tcBorders>
              <w:top w:val="single" w:sz="8" w:space="0" w:color="000000"/>
              <w:left w:val="single" w:sz="8" w:space="0" w:color="000000"/>
              <w:bottom w:val="single" w:sz="8" w:space="0" w:color="000000"/>
              <w:right w:val="single" w:sz="8" w:space="0" w:color="000000"/>
            </w:tcBorders>
            <w:shd w:val="clear" w:color="auto" w:fill="F79646"/>
            <w:tcMar>
              <w:top w:w="15" w:type="dxa"/>
              <w:left w:w="108" w:type="dxa"/>
              <w:bottom w:w="0" w:type="dxa"/>
              <w:right w:w="108" w:type="dxa"/>
            </w:tcMar>
            <w:hideMark/>
          </w:tcPr>
          <w:p w14:paraId="75988064" w14:textId="77777777" w:rsidR="00B5369A" w:rsidRPr="006645DC" w:rsidRDefault="00B5369A" w:rsidP="00B5369A">
            <w:pPr>
              <w:spacing w:before="0" w:after="0" w:line="276" w:lineRule="auto"/>
              <w:jc w:val="center"/>
              <w:rPr>
                <w:rFonts w:asciiTheme="minorHAnsi" w:eastAsia="Times New Roman" w:hAnsiTheme="minorHAnsi" w:cstheme="minorHAnsi"/>
                <w:lang w:val="en-GB" w:eastAsia="hu-HU"/>
              </w:rPr>
            </w:pPr>
            <w:r w:rsidRPr="006645DC">
              <w:rPr>
                <w:rFonts w:asciiTheme="minorHAnsi" w:hAnsiTheme="minorHAnsi" w:cstheme="minorHAnsi"/>
                <w:b/>
                <w:bCs/>
                <w:color w:val="FFFFFF"/>
                <w:kern w:val="24"/>
                <w:lang w:val="en-GB" w:eastAsia="hu-HU"/>
              </w:rPr>
              <w:t>Weaknesses</w:t>
            </w:r>
          </w:p>
        </w:tc>
      </w:tr>
      <w:tr w:rsidR="00B5369A" w:rsidRPr="006645DC" w14:paraId="19A4CC0C" w14:textId="77777777" w:rsidTr="004433FE">
        <w:trPr>
          <w:trHeight w:val="4094"/>
          <w:jc w:val="center"/>
        </w:trPr>
        <w:tc>
          <w:tcPr>
            <w:tcW w:w="464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AE4DA4"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Available renewable energy sources (RES)</w:t>
            </w:r>
          </w:p>
          <w:p w14:paraId="0AE547DA"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The share of RES in gross final energy consumption shows an increasing tendency</w:t>
            </w:r>
          </w:p>
          <w:p w14:paraId="19021D50"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Significant oil and gas reserves in the cross-border region</w:t>
            </w:r>
          </w:p>
          <w:p w14:paraId="012B3280"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Increasing attention is given to energy efficiency</w:t>
            </w:r>
          </w:p>
          <w:p w14:paraId="713D00F5"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Nuclear power production in the cross border region</w:t>
            </w:r>
          </w:p>
        </w:tc>
        <w:tc>
          <w:tcPr>
            <w:tcW w:w="53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5ABA81"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Energy dependence</w:t>
            </w:r>
          </w:p>
          <w:p w14:paraId="4FB1C3D9"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 xml:space="preserve">Energy intensive economy </w:t>
            </w:r>
          </w:p>
          <w:p w14:paraId="71B345A1"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High level of energy poverty</w:t>
            </w:r>
          </w:p>
          <w:p w14:paraId="05831D9D"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Rare use of RES in public and freight transport</w:t>
            </w:r>
          </w:p>
          <w:p w14:paraId="1213C7B6"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Lack of incentives related to the industrial use of RES</w:t>
            </w:r>
          </w:p>
          <w:p w14:paraId="1BE14306"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Lack of professional capacity to improve energy efficiency in the industry</w:t>
            </w:r>
          </w:p>
          <w:p w14:paraId="2BD4EF9C"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Significant vulnerability in case of an economic crisis</w:t>
            </w:r>
          </w:p>
          <w:p w14:paraId="22F8F084"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SMEs’ incomplete knowledge related to the different funding schemes and programmes</w:t>
            </w:r>
          </w:p>
          <w:p w14:paraId="432FBE50" w14:textId="77777777" w:rsidR="00B5369A" w:rsidRPr="006645DC" w:rsidRDefault="00B5369A" w:rsidP="00C951D5">
            <w:pPr>
              <w:pStyle w:val="ListParagraph"/>
              <w:numPr>
                <w:ilvl w:val="0"/>
                <w:numId w:val="90"/>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Lack of use of innovative technologies related to RES and energy efficiency</w:t>
            </w:r>
          </w:p>
        </w:tc>
      </w:tr>
      <w:tr w:rsidR="00B5369A" w:rsidRPr="006645DC" w14:paraId="234C867E" w14:textId="77777777" w:rsidTr="004433FE">
        <w:trPr>
          <w:trHeight w:val="466"/>
          <w:jc w:val="center"/>
        </w:trPr>
        <w:tc>
          <w:tcPr>
            <w:tcW w:w="4644" w:type="dxa"/>
            <w:tcBorders>
              <w:top w:val="single" w:sz="8" w:space="0" w:color="000000"/>
              <w:left w:val="single" w:sz="8" w:space="0" w:color="000000"/>
              <w:bottom w:val="single" w:sz="8" w:space="0" w:color="000000"/>
              <w:right w:val="single" w:sz="8" w:space="0" w:color="000000"/>
            </w:tcBorders>
            <w:shd w:val="clear" w:color="auto" w:fill="4BACC6"/>
            <w:tcMar>
              <w:top w:w="15" w:type="dxa"/>
              <w:left w:w="108" w:type="dxa"/>
              <w:bottom w:w="0" w:type="dxa"/>
              <w:right w:w="108" w:type="dxa"/>
            </w:tcMar>
            <w:hideMark/>
          </w:tcPr>
          <w:p w14:paraId="623498B0" w14:textId="77777777" w:rsidR="00B5369A" w:rsidRPr="006645DC" w:rsidRDefault="00B5369A" w:rsidP="00B5369A">
            <w:pPr>
              <w:spacing w:before="0" w:after="0" w:line="276" w:lineRule="auto"/>
              <w:jc w:val="center"/>
              <w:rPr>
                <w:rFonts w:asciiTheme="minorHAnsi" w:eastAsia="Times New Roman" w:hAnsiTheme="minorHAnsi" w:cstheme="minorHAnsi"/>
                <w:lang w:val="en-GB" w:eastAsia="hu-HU"/>
              </w:rPr>
            </w:pPr>
            <w:r w:rsidRPr="006645DC">
              <w:rPr>
                <w:rFonts w:asciiTheme="minorHAnsi" w:hAnsiTheme="minorHAnsi" w:cstheme="minorHAnsi"/>
                <w:b/>
                <w:bCs/>
                <w:color w:val="FFFFFF" w:themeColor="background1"/>
                <w:kern w:val="24"/>
                <w:lang w:val="en-GB" w:eastAsia="hu-HU"/>
              </w:rPr>
              <w:t>Opportunities</w:t>
            </w:r>
          </w:p>
        </w:tc>
        <w:tc>
          <w:tcPr>
            <w:tcW w:w="5387" w:type="dxa"/>
            <w:tcBorders>
              <w:top w:val="single" w:sz="8" w:space="0" w:color="000000"/>
              <w:left w:val="single" w:sz="8" w:space="0" w:color="000000"/>
              <w:bottom w:val="single" w:sz="8" w:space="0" w:color="000000"/>
              <w:right w:val="single" w:sz="8" w:space="0" w:color="000000"/>
            </w:tcBorders>
            <w:shd w:val="clear" w:color="auto" w:fill="B2A1C7"/>
            <w:tcMar>
              <w:top w:w="15" w:type="dxa"/>
              <w:left w:w="108" w:type="dxa"/>
              <w:bottom w:w="0" w:type="dxa"/>
              <w:right w:w="108" w:type="dxa"/>
            </w:tcMar>
            <w:hideMark/>
          </w:tcPr>
          <w:p w14:paraId="16D277D9" w14:textId="77777777" w:rsidR="00B5369A" w:rsidRPr="006645DC" w:rsidRDefault="00B5369A" w:rsidP="00B5369A">
            <w:pPr>
              <w:spacing w:before="0" w:after="0" w:line="276" w:lineRule="auto"/>
              <w:jc w:val="center"/>
              <w:rPr>
                <w:rFonts w:asciiTheme="minorHAnsi" w:eastAsia="Times New Roman" w:hAnsiTheme="minorHAnsi" w:cstheme="minorHAnsi"/>
                <w:lang w:val="en-GB" w:eastAsia="hu-HU"/>
              </w:rPr>
            </w:pPr>
            <w:r w:rsidRPr="006645DC">
              <w:rPr>
                <w:rFonts w:asciiTheme="minorHAnsi" w:hAnsiTheme="minorHAnsi" w:cstheme="minorHAnsi"/>
                <w:b/>
                <w:bCs/>
                <w:color w:val="FFFFFF" w:themeColor="background1"/>
                <w:kern w:val="24"/>
                <w:lang w:val="en-GB" w:eastAsia="hu-HU"/>
              </w:rPr>
              <w:t>Threats</w:t>
            </w:r>
          </w:p>
        </w:tc>
      </w:tr>
      <w:tr w:rsidR="00B5369A" w:rsidRPr="006645DC" w14:paraId="3118BD3E" w14:textId="77777777" w:rsidTr="004433FE">
        <w:trPr>
          <w:trHeight w:val="3110"/>
          <w:jc w:val="center"/>
        </w:trPr>
        <w:tc>
          <w:tcPr>
            <w:tcW w:w="464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D04E43" w14:textId="77777777" w:rsidR="00B5369A" w:rsidRPr="006645DC" w:rsidRDefault="00B5369A" w:rsidP="00C951D5">
            <w:pPr>
              <w:pStyle w:val="ListParagraph"/>
              <w:numPr>
                <w:ilvl w:val="0"/>
                <w:numId w:val="91"/>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More intensive use of local renewable energy sources</w:t>
            </w:r>
          </w:p>
          <w:p w14:paraId="57574CE9" w14:textId="77777777" w:rsidR="00B5369A" w:rsidRPr="006645DC" w:rsidRDefault="00B5369A" w:rsidP="00C951D5">
            <w:pPr>
              <w:pStyle w:val="ListParagraph"/>
              <w:numPr>
                <w:ilvl w:val="0"/>
                <w:numId w:val="91"/>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Development of renewable energy projects (energy to be consumed locally)</w:t>
            </w:r>
          </w:p>
          <w:p w14:paraId="4B2E680D" w14:textId="77777777" w:rsidR="00B5369A" w:rsidRPr="006645DC" w:rsidRDefault="00B5369A" w:rsidP="00C951D5">
            <w:pPr>
              <w:pStyle w:val="ListParagraph"/>
              <w:numPr>
                <w:ilvl w:val="0"/>
                <w:numId w:val="91"/>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Development of projects for energy efficiency in buildings</w:t>
            </w:r>
          </w:p>
          <w:p w14:paraId="4E5A99A8" w14:textId="77777777" w:rsidR="00B5369A" w:rsidRPr="006645DC" w:rsidRDefault="00B5369A" w:rsidP="00C951D5">
            <w:pPr>
              <w:pStyle w:val="ListParagraph"/>
              <w:numPr>
                <w:ilvl w:val="0"/>
                <w:numId w:val="91"/>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Use of innovative technologies</w:t>
            </w:r>
          </w:p>
          <w:p w14:paraId="04C5A132" w14:textId="77777777" w:rsidR="00B5369A" w:rsidRPr="006645DC" w:rsidRDefault="00B5369A" w:rsidP="00C951D5">
            <w:pPr>
              <w:pStyle w:val="ListParagraph"/>
              <w:numPr>
                <w:ilvl w:val="0"/>
                <w:numId w:val="91"/>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Awareness raising related to RES and energy efficiency</w:t>
            </w:r>
          </w:p>
          <w:p w14:paraId="2CC5A281" w14:textId="77777777" w:rsidR="00B5369A" w:rsidRPr="006645DC" w:rsidRDefault="00B5369A" w:rsidP="00C951D5">
            <w:pPr>
              <w:pStyle w:val="ListParagraph"/>
              <w:numPr>
                <w:ilvl w:val="0"/>
                <w:numId w:val="91"/>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 xml:space="preserve">Awareness raising related to funding opportunities </w:t>
            </w:r>
          </w:p>
          <w:p w14:paraId="34F7F034" w14:textId="77777777" w:rsidR="00B5369A" w:rsidRPr="006645DC" w:rsidRDefault="00B5369A" w:rsidP="00C951D5">
            <w:pPr>
              <w:pStyle w:val="ListParagraph"/>
              <w:numPr>
                <w:ilvl w:val="0"/>
                <w:numId w:val="91"/>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 xml:space="preserve">Reduction of energy demand and use of RES and energy efficiency solutions in transportation </w:t>
            </w:r>
          </w:p>
        </w:tc>
        <w:tc>
          <w:tcPr>
            <w:tcW w:w="53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C6BD5B" w14:textId="77777777" w:rsidR="00B5369A" w:rsidRPr="006645DC" w:rsidRDefault="00B5369A" w:rsidP="00C951D5">
            <w:pPr>
              <w:pStyle w:val="ListParagraph"/>
              <w:numPr>
                <w:ilvl w:val="0"/>
                <w:numId w:val="91"/>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High energy costs lead to higher production costs</w:t>
            </w:r>
          </w:p>
          <w:p w14:paraId="315B03F5" w14:textId="77777777" w:rsidR="00B5369A" w:rsidRPr="006645DC" w:rsidRDefault="00B5369A" w:rsidP="00C951D5">
            <w:pPr>
              <w:pStyle w:val="ListParagraph"/>
              <w:numPr>
                <w:ilvl w:val="0"/>
                <w:numId w:val="91"/>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Lack of competitive advantages for sustainable economy</w:t>
            </w:r>
          </w:p>
          <w:p w14:paraId="0BB394D1" w14:textId="77777777" w:rsidR="00B5369A" w:rsidRPr="006645DC" w:rsidRDefault="00B5369A" w:rsidP="00C951D5">
            <w:pPr>
              <w:pStyle w:val="ListParagraph"/>
              <w:numPr>
                <w:ilvl w:val="0"/>
                <w:numId w:val="91"/>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Increasing poverty related to energy cost</w:t>
            </w:r>
          </w:p>
          <w:p w14:paraId="0360BBFE" w14:textId="77777777" w:rsidR="00B5369A" w:rsidRPr="006645DC" w:rsidRDefault="00B5369A" w:rsidP="00C951D5">
            <w:pPr>
              <w:pStyle w:val="ListParagraph"/>
              <w:numPr>
                <w:ilvl w:val="0"/>
                <w:numId w:val="91"/>
              </w:numPr>
              <w:spacing w:before="0" w:after="0"/>
              <w:ind w:left="357" w:hanging="357"/>
              <w:jc w:val="left"/>
              <w:rPr>
                <w:rFonts w:asciiTheme="minorHAnsi" w:hAnsiTheme="minorHAnsi" w:cstheme="minorHAnsi"/>
                <w:lang w:val="en-GB" w:eastAsia="hu-HU"/>
              </w:rPr>
            </w:pPr>
            <w:r w:rsidRPr="006645DC">
              <w:rPr>
                <w:rFonts w:asciiTheme="minorHAnsi" w:hAnsiTheme="minorHAnsi" w:cstheme="minorHAnsi"/>
                <w:kern w:val="24"/>
                <w:lang w:val="en-GB" w:eastAsia="hu-HU"/>
              </w:rPr>
              <w:t>Decreasing economic competitiveness</w:t>
            </w:r>
          </w:p>
        </w:tc>
      </w:tr>
    </w:tbl>
    <w:p w14:paraId="1D20AF52" w14:textId="77777777" w:rsidR="00B5369A" w:rsidRPr="006645DC" w:rsidRDefault="00B5369A" w:rsidP="00B5369A">
      <w:pPr>
        <w:rPr>
          <w:lang w:val="en-GB"/>
        </w:rPr>
      </w:pPr>
    </w:p>
    <w:p w14:paraId="09F28E52" w14:textId="77777777" w:rsidR="00B5369A" w:rsidRPr="006645DC" w:rsidRDefault="00B5369A" w:rsidP="00B5369A">
      <w:pPr>
        <w:rPr>
          <w:lang w:val="en-GB"/>
        </w:rPr>
      </w:pPr>
    </w:p>
    <w:p w14:paraId="394A95BD" w14:textId="77777777" w:rsidR="00B5369A" w:rsidRPr="006645DC" w:rsidRDefault="00B5369A" w:rsidP="00B5369A">
      <w:pPr>
        <w:jc w:val="center"/>
        <w:rPr>
          <w:lang w:val="en-GB"/>
        </w:rPr>
      </w:pPr>
    </w:p>
    <w:p w14:paraId="7D5F451B" w14:textId="77777777" w:rsidR="00B5369A" w:rsidRPr="006645DC" w:rsidRDefault="00AA4C82" w:rsidP="00B5369A">
      <w:pPr>
        <w:jc w:val="center"/>
        <w:rPr>
          <w:lang w:val="en-GB"/>
        </w:rPr>
      </w:pPr>
      <w:r w:rsidRPr="006645DC">
        <w:rPr>
          <w:noProof/>
          <w:lang w:val="bg-BG" w:eastAsia="bg-BG"/>
        </w:rPr>
        <w:lastRenderedPageBreak/>
        <w:drawing>
          <wp:inline distT="0" distB="0" distL="0" distR="0" wp14:anchorId="22C2CBE8" wp14:editId="261549DE">
            <wp:extent cx="6219825" cy="5591175"/>
            <wp:effectExtent l="19050" t="0" r="9525" b="0"/>
            <wp:docPr id="464"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126"/>
                    <a:srcRect/>
                    <a:stretch>
                      <a:fillRect/>
                    </a:stretch>
                  </pic:blipFill>
                  <pic:spPr bwMode="auto">
                    <a:xfrm>
                      <a:off x="0" y="0"/>
                      <a:ext cx="6219825" cy="5591175"/>
                    </a:xfrm>
                    <a:prstGeom prst="rect">
                      <a:avLst/>
                    </a:prstGeom>
                    <a:noFill/>
                    <a:ln w="9525">
                      <a:noFill/>
                      <a:miter lim="800000"/>
                      <a:headEnd/>
                      <a:tailEnd/>
                    </a:ln>
                  </pic:spPr>
                </pic:pic>
              </a:graphicData>
            </a:graphic>
          </wp:inline>
        </w:drawing>
      </w:r>
    </w:p>
    <w:p w14:paraId="4AEB07A8" w14:textId="77777777" w:rsidR="00B5369A" w:rsidRPr="006645DC" w:rsidRDefault="00B5369A" w:rsidP="00B5369A">
      <w:pPr>
        <w:pStyle w:val="Heading2"/>
        <w:numPr>
          <w:ilvl w:val="0"/>
          <w:numId w:val="0"/>
        </w:numPr>
        <w:ind w:left="757"/>
        <w:rPr>
          <w:lang w:val="en-GB"/>
        </w:rPr>
        <w:sectPr w:rsidR="00B5369A" w:rsidRPr="006645DC" w:rsidSect="00B5369A">
          <w:pgSz w:w="12240" w:h="15840"/>
          <w:pgMar w:top="1440" w:right="1892" w:bottom="1440" w:left="1440" w:header="720" w:footer="720" w:gutter="0"/>
          <w:cols w:space="720"/>
          <w:docGrid w:linePitch="360"/>
        </w:sectPr>
      </w:pPr>
    </w:p>
    <w:p w14:paraId="359192C5" w14:textId="77777777" w:rsidR="00B5369A" w:rsidRPr="006645DC" w:rsidRDefault="00B5369A" w:rsidP="00B5369A">
      <w:pPr>
        <w:pStyle w:val="Heading2"/>
        <w:numPr>
          <w:ilvl w:val="0"/>
          <w:numId w:val="2"/>
        </w:numPr>
        <w:rPr>
          <w:lang w:val="en-GB"/>
        </w:rPr>
      </w:pPr>
      <w:bookmarkStart w:id="1791" w:name="_Toc376199917"/>
      <w:bookmarkStart w:id="1792" w:name="_Toc254543828"/>
      <w:bookmarkStart w:id="1793" w:name="_Toc391150203"/>
      <w:r w:rsidRPr="006645DC">
        <w:rPr>
          <w:lang w:val="en-GB"/>
        </w:rPr>
        <w:lastRenderedPageBreak/>
        <w:t>Challenges and needs</w:t>
      </w:r>
      <w:bookmarkEnd w:id="1785"/>
      <w:bookmarkEnd w:id="1786"/>
      <w:bookmarkEnd w:id="1787"/>
      <w:bookmarkEnd w:id="1791"/>
      <w:bookmarkEnd w:id="1792"/>
      <w:bookmarkEnd w:id="1793"/>
    </w:p>
    <w:p w14:paraId="2CB86822" w14:textId="77777777" w:rsidR="00B5369A" w:rsidRPr="006645DC" w:rsidRDefault="00B5369A" w:rsidP="00C951D5">
      <w:pPr>
        <w:pStyle w:val="Heading3"/>
        <w:numPr>
          <w:ilvl w:val="0"/>
          <w:numId w:val="86"/>
        </w:numPr>
        <w:rPr>
          <w:color w:val="31849B"/>
          <w:lang w:val="en-GB"/>
        </w:rPr>
      </w:pPr>
      <w:bookmarkStart w:id="1794" w:name="_Toc371092796"/>
      <w:bookmarkStart w:id="1795" w:name="_Toc371105808"/>
      <w:bookmarkStart w:id="1796" w:name="_Toc254543829"/>
      <w:r w:rsidRPr="006645DC">
        <w:rPr>
          <w:lang w:val="en-GB"/>
        </w:rPr>
        <w:t>Territorial challenges</w:t>
      </w:r>
      <w:bookmarkEnd w:id="1788"/>
      <w:bookmarkEnd w:id="1794"/>
      <w:bookmarkEnd w:id="1795"/>
      <w:bookmarkEnd w:id="1796"/>
    </w:p>
    <w:p w14:paraId="397FAEA7" w14:textId="77777777" w:rsidR="00B5369A" w:rsidRPr="006645DC" w:rsidRDefault="00B5369A" w:rsidP="00B5369A">
      <w:pPr>
        <w:pStyle w:val="ListParagraph"/>
        <w:rPr>
          <w:lang w:val="en-GB"/>
        </w:rPr>
      </w:pPr>
      <w:r w:rsidRPr="006645DC">
        <w:rPr>
          <w:lang w:val="en-GB"/>
        </w:rPr>
        <w:t>Energy consumption in 2011 for Romania was still below the 2008 figures, however this mainly due to the economic crisis not to increasing energy efficiency. Energy efficiency should be emphasized.</w:t>
      </w:r>
    </w:p>
    <w:p w14:paraId="725C0F63" w14:textId="77777777" w:rsidR="00B5369A" w:rsidRPr="006645DC" w:rsidRDefault="00B5369A" w:rsidP="00B5369A">
      <w:pPr>
        <w:pStyle w:val="ListParagraph"/>
        <w:rPr>
          <w:lang w:val="en-GB"/>
        </w:rPr>
      </w:pPr>
      <w:r w:rsidRPr="006645DC">
        <w:rPr>
          <w:lang w:val="en-GB"/>
        </w:rPr>
        <w:t>To be less dependent on imported energy resources and reduce the harmful effect of power generation on the environment and climate change.</w:t>
      </w:r>
    </w:p>
    <w:p w14:paraId="50C7372F" w14:textId="77777777" w:rsidR="00B5369A" w:rsidRPr="006645DC" w:rsidRDefault="00B5369A" w:rsidP="00B5369A">
      <w:pPr>
        <w:pStyle w:val="ListParagraph"/>
        <w:rPr>
          <w:lang w:val="en-GB"/>
        </w:rPr>
      </w:pPr>
      <w:r w:rsidRPr="006645DC">
        <w:rPr>
          <w:lang w:val="en-GB"/>
        </w:rPr>
        <w:t xml:space="preserve">Renewable energy sources available in the cross-border region (Danube, solar energy, geothermal energy, etc.) could be exploited at a much higher intensity </w:t>
      </w:r>
    </w:p>
    <w:p w14:paraId="059CE769" w14:textId="77777777" w:rsidR="00B5369A" w:rsidRPr="006645DC" w:rsidRDefault="00B5369A" w:rsidP="00B5369A">
      <w:pPr>
        <w:pStyle w:val="ListParagraph"/>
        <w:rPr>
          <w:lang w:val="en-GB"/>
        </w:rPr>
      </w:pPr>
      <w:r w:rsidRPr="006645DC">
        <w:rPr>
          <w:lang w:val="en-GB"/>
        </w:rPr>
        <w:t>High level of energy poverty in the cross-border region</w:t>
      </w:r>
    </w:p>
    <w:p w14:paraId="6F6658BF" w14:textId="77777777" w:rsidR="00B5369A" w:rsidRPr="006645DC" w:rsidRDefault="00B5369A" w:rsidP="00B5369A">
      <w:pPr>
        <w:pStyle w:val="ListParagraph"/>
        <w:rPr>
          <w:lang w:val="en-GB"/>
        </w:rPr>
      </w:pPr>
      <w:r w:rsidRPr="006645DC">
        <w:rPr>
          <w:lang w:val="en-GB"/>
        </w:rPr>
        <w:t>More intense use of renewable energy sources that are rarely used in public and freight transport</w:t>
      </w:r>
    </w:p>
    <w:p w14:paraId="44677AAB" w14:textId="77777777" w:rsidR="00B5369A" w:rsidRPr="006645DC" w:rsidRDefault="00B5369A" w:rsidP="00B5369A">
      <w:pPr>
        <w:pStyle w:val="ListParagraph"/>
        <w:rPr>
          <w:lang w:val="en-GB"/>
        </w:rPr>
      </w:pPr>
      <w:r w:rsidRPr="006645DC">
        <w:rPr>
          <w:lang w:val="en-GB"/>
        </w:rPr>
        <w:t>Some of the key challenges to improve energy efficiency and the use of renewable energy in the industry are as follows:</w:t>
      </w:r>
    </w:p>
    <w:p w14:paraId="50D9BF85" w14:textId="77777777" w:rsidR="00B5369A" w:rsidRPr="006645DC" w:rsidRDefault="00B5369A" w:rsidP="00B5369A">
      <w:pPr>
        <w:pStyle w:val="ListParagraph"/>
        <w:numPr>
          <w:ilvl w:val="2"/>
          <w:numId w:val="13"/>
        </w:numPr>
        <w:rPr>
          <w:lang w:val="en-GB"/>
        </w:rPr>
      </w:pPr>
      <w:r w:rsidRPr="006645DC">
        <w:rPr>
          <w:lang w:val="en-GB"/>
        </w:rPr>
        <w:t>Obsolete equipment and technologies used in enterprises;</w:t>
      </w:r>
    </w:p>
    <w:p w14:paraId="4C954382" w14:textId="77777777" w:rsidR="00B5369A" w:rsidRPr="006645DC" w:rsidRDefault="00B5369A" w:rsidP="00B5369A">
      <w:pPr>
        <w:pStyle w:val="ListParagraph"/>
        <w:numPr>
          <w:ilvl w:val="2"/>
          <w:numId w:val="13"/>
        </w:numPr>
        <w:rPr>
          <w:lang w:val="en-GB"/>
        </w:rPr>
      </w:pPr>
      <w:r w:rsidRPr="006645DC">
        <w:rPr>
          <w:lang w:val="en-GB"/>
        </w:rPr>
        <w:t>Lack of incentives;</w:t>
      </w:r>
    </w:p>
    <w:p w14:paraId="154BA52D" w14:textId="77777777" w:rsidR="00B5369A" w:rsidRPr="006645DC" w:rsidRDefault="00B5369A" w:rsidP="00B5369A">
      <w:pPr>
        <w:pStyle w:val="ListParagraph"/>
        <w:numPr>
          <w:ilvl w:val="2"/>
          <w:numId w:val="13"/>
        </w:numPr>
        <w:rPr>
          <w:lang w:val="en-GB"/>
        </w:rPr>
      </w:pPr>
      <w:r w:rsidRPr="006645DC">
        <w:rPr>
          <w:lang w:val="en-GB"/>
        </w:rPr>
        <w:t>Lack of professional capacity;</w:t>
      </w:r>
    </w:p>
    <w:p w14:paraId="120C65C0" w14:textId="77777777" w:rsidR="00B5369A" w:rsidRPr="006645DC" w:rsidRDefault="00B5369A" w:rsidP="00B5369A">
      <w:pPr>
        <w:pStyle w:val="ListParagraph"/>
        <w:numPr>
          <w:ilvl w:val="2"/>
          <w:numId w:val="13"/>
        </w:numPr>
        <w:rPr>
          <w:lang w:val="en-GB"/>
        </w:rPr>
      </w:pPr>
      <w:r w:rsidRPr="006645DC">
        <w:rPr>
          <w:lang w:val="en-GB"/>
        </w:rPr>
        <w:t>Lack of interest by enterprises in the use of innovative technologies;</w:t>
      </w:r>
    </w:p>
    <w:p w14:paraId="00A82549" w14:textId="77777777" w:rsidR="00B5369A" w:rsidRPr="006645DC" w:rsidRDefault="00B5369A" w:rsidP="00B5369A">
      <w:pPr>
        <w:pStyle w:val="ListParagraph"/>
        <w:numPr>
          <w:ilvl w:val="2"/>
          <w:numId w:val="13"/>
        </w:numPr>
        <w:rPr>
          <w:lang w:val="en-GB"/>
        </w:rPr>
      </w:pPr>
      <w:r w:rsidRPr="006645DC">
        <w:rPr>
          <w:lang w:val="en-GB"/>
        </w:rPr>
        <w:t>Unawareness of SMEs of the different funding schemes and programmes;</w:t>
      </w:r>
    </w:p>
    <w:p w14:paraId="4DAB0D47" w14:textId="77777777" w:rsidR="00B5369A" w:rsidRPr="006645DC" w:rsidRDefault="00B5369A" w:rsidP="00B5369A">
      <w:pPr>
        <w:pStyle w:val="ListParagraph"/>
        <w:numPr>
          <w:ilvl w:val="2"/>
          <w:numId w:val="13"/>
        </w:numPr>
        <w:rPr>
          <w:lang w:val="en-GB"/>
        </w:rPr>
      </w:pPr>
      <w:r w:rsidRPr="006645DC">
        <w:rPr>
          <w:lang w:val="en-GB"/>
        </w:rPr>
        <w:t>Lack of capacity and difficulties in developing eligible projects for funding.</w:t>
      </w:r>
    </w:p>
    <w:p w14:paraId="362939A2" w14:textId="77777777" w:rsidR="00B5369A" w:rsidRPr="006645DC" w:rsidRDefault="00B5369A" w:rsidP="00B5369A">
      <w:pPr>
        <w:pStyle w:val="Heading3"/>
        <w:rPr>
          <w:lang w:val="en-GB"/>
        </w:rPr>
        <w:sectPr w:rsidR="00B5369A" w:rsidRPr="006645DC" w:rsidSect="00B5369A">
          <w:pgSz w:w="12240" w:h="15840"/>
          <w:pgMar w:top="1440" w:right="1440" w:bottom="1440" w:left="1440" w:header="720" w:footer="720" w:gutter="0"/>
          <w:cols w:space="720"/>
          <w:docGrid w:linePitch="360"/>
        </w:sectPr>
      </w:pPr>
      <w:bookmarkStart w:id="1797" w:name="_Toc371105809"/>
    </w:p>
    <w:p w14:paraId="6694BCD0" w14:textId="77777777" w:rsidR="00B5369A" w:rsidRPr="006645DC" w:rsidRDefault="00B5369A" w:rsidP="00B5369A">
      <w:pPr>
        <w:pStyle w:val="Heading3"/>
        <w:rPr>
          <w:lang w:val="en-GB"/>
        </w:rPr>
      </w:pPr>
      <w:bookmarkStart w:id="1798" w:name="_Toc254543830"/>
      <w:r w:rsidRPr="006645DC">
        <w:rPr>
          <w:lang w:val="en-GB"/>
        </w:rPr>
        <w:lastRenderedPageBreak/>
        <w:t>Needs</w:t>
      </w:r>
      <w:bookmarkEnd w:id="1797"/>
      <w:bookmarkEnd w:id="1798"/>
    </w:p>
    <w:tbl>
      <w:tblPr>
        <w:tblW w:w="9784" w:type="dxa"/>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558"/>
        <w:gridCol w:w="5443"/>
        <w:gridCol w:w="1197"/>
        <w:gridCol w:w="1197"/>
        <w:gridCol w:w="1389"/>
      </w:tblGrid>
      <w:tr w:rsidR="00B5369A" w:rsidRPr="006645DC" w14:paraId="5B096AD2" w14:textId="77777777" w:rsidTr="00EB4D87">
        <w:trPr>
          <w:jc w:val="center"/>
        </w:trPr>
        <w:tc>
          <w:tcPr>
            <w:tcW w:w="558" w:type="dxa"/>
            <w:vMerge w:val="restart"/>
            <w:vAlign w:val="center"/>
          </w:tcPr>
          <w:p w14:paraId="731C63E8" w14:textId="77777777" w:rsidR="00B5369A" w:rsidRPr="006645DC" w:rsidRDefault="00B5369A" w:rsidP="00EB4D87">
            <w:pPr>
              <w:spacing w:before="0" w:after="0"/>
              <w:jc w:val="center"/>
              <w:rPr>
                <w:rFonts w:asciiTheme="minorHAnsi" w:hAnsiTheme="minorHAnsi" w:cstheme="minorHAnsi"/>
                <w:b/>
                <w:lang w:val="en-GB"/>
              </w:rPr>
            </w:pPr>
            <w:r w:rsidRPr="006645DC">
              <w:rPr>
                <w:rFonts w:cstheme="minorHAnsi"/>
                <w:b/>
                <w:lang w:val="en-GB"/>
              </w:rPr>
              <w:t>No.</w:t>
            </w:r>
          </w:p>
        </w:tc>
        <w:tc>
          <w:tcPr>
            <w:tcW w:w="5443" w:type="dxa"/>
            <w:vMerge w:val="restart"/>
            <w:vAlign w:val="center"/>
          </w:tcPr>
          <w:p w14:paraId="2331AE26" w14:textId="77777777" w:rsidR="00B5369A" w:rsidRPr="006645DC" w:rsidRDefault="00B5369A" w:rsidP="00EB4D87">
            <w:pPr>
              <w:spacing w:before="0" w:after="0"/>
              <w:jc w:val="left"/>
              <w:rPr>
                <w:rFonts w:asciiTheme="minorHAnsi" w:hAnsiTheme="minorHAnsi" w:cstheme="minorHAnsi"/>
                <w:b/>
                <w:lang w:val="en-GB"/>
              </w:rPr>
            </w:pPr>
            <w:r w:rsidRPr="006645DC">
              <w:rPr>
                <w:rFonts w:cstheme="minorHAnsi"/>
                <w:b/>
                <w:lang w:val="en-GB"/>
              </w:rPr>
              <w:t>Identified need</w:t>
            </w:r>
          </w:p>
        </w:tc>
        <w:tc>
          <w:tcPr>
            <w:tcW w:w="2394" w:type="dxa"/>
            <w:gridSpan w:val="2"/>
            <w:vAlign w:val="center"/>
          </w:tcPr>
          <w:p w14:paraId="43F2ACD0" w14:textId="77777777" w:rsidR="00B5369A" w:rsidRPr="006645DC" w:rsidRDefault="00B5369A" w:rsidP="00EB4D87">
            <w:pPr>
              <w:spacing w:before="0" w:after="0"/>
              <w:jc w:val="center"/>
              <w:rPr>
                <w:rFonts w:asciiTheme="minorHAnsi" w:hAnsiTheme="minorHAnsi" w:cstheme="minorHAnsi"/>
                <w:b/>
                <w:lang w:val="en-GB"/>
              </w:rPr>
            </w:pPr>
            <w:r w:rsidRPr="006645DC">
              <w:rPr>
                <w:rFonts w:cstheme="minorHAnsi"/>
                <w:b/>
                <w:lang w:val="en-GB"/>
              </w:rPr>
              <w:t>Relevance for each national cross-border area</w:t>
            </w:r>
          </w:p>
        </w:tc>
        <w:tc>
          <w:tcPr>
            <w:tcW w:w="1389" w:type="dxa"/>
            <w:vAlign w:val="center"/>
          </w:tcPr>
          <w:p w14:paraId="4FDC8C91" w14:textId="77777777" w:rsidR="00B5369A" w:rsidRPr="006645DC" w:rsidRDefault="00B5369A" w:rsidP="00EB4D87">
            <w:pPr>
              <w:spacing w:before="0" w:after="0"/>
              <w:jc w:val="center"/>
              <w:rPr>
                <w:rFonts w:asciiTheme="minorHAnsi" w:hAnsiTheme="minorHAnsi" w:cstheme="minorHAnsi"/>
                <w:b/>
                <w:lang w:val="en-GB"/>
              </w:rPr>
            </w:pPr>
            <w:r w:rsidRPr="006645DC">
              <w:rPr>
                <w:rFonts w:cstheme="minorHAnsi"/>
                <w:b/>
                <w:lang w:val="en-GB"/>
              </w:rPr>
              <w:t>Relevance for the ERDF Thematic Objectives</w:t>
            </w:r>
          </w:p>
        </w:tc>
      </w:tr>
      <w:tr w:rsidR="00B5369A" w:rsidRPr="006645DC" w14:paraId="55981958" w14:textId="77777777" w:rsidTr="00EB4D87">
        <w:trPr>
          <w:jc w:val="center"/>
        </w:trPr>
        <w:tc>
          <w:tcPr>
            <w:tcW w:w="558" w:type="dxa"/>
            <w:vMerge/>
            <w:vAlign w:val="center"/>
          </w:tcPr>
          <w:p w14:paraId="1353D375" w14:textId="77777777" w:rsidR="00B5369A" w:rsidRPr="006645DC" w:rsidRDefault="00B5369A" w:rsidP="00EB4D87">
            <w:pPr>
              <w:spacing w:before="0" w:after="0"/>
              <w:jc w:val="center"/>
              <w:rPr>
                <w:rFonts w:asciiTheme="minorHAnsi" w:hAnsiTheme="minorHAnsi" w:cstheme="minorHAnsi"/>
                <w:lang w:val="en-GB"/>
              </w:rPr>
            </w:pPr>
          </w:p>
        </w:tc>
        <w:tc>
          <w:tcPr>
            <w:tcW w:w="5443" w:type="dxa"/>
            <w:vMerge/>
            <w:vAlign w:val="center"/>
          </w:tcPr>
          <w:p w14:paraId="11E3E8D4" w14:textId="77777777" w:rsidR="00B5369A" w:rsidRPr="006645DC" w:rsidRDefault="00B5369A" w:rsidP="00EB4D87">
            <w:pPr>
              <w:spacing w:before="0" w:after="0"/>
              <w:jc w:val="left"/>
              <w:rPr>
                <w:rFonts w:cstheme="minorHAnsi"/>
                <w:lang w:val="en-GB"/>
              </w:rPr>
            </w:pPr>
          </w:p>
        </w:tc>
        <w:tc>
          <w:tcPr>
            <w:tcW w:w="1197" w:type="dxa"/>
            <w:vAlign w:val="center"/>
          </w:tcPr>
          <w:p w14:paraId="6F67BEC4" w14:textId="77777777" w:rsidR="00B5369A" w:rsidRPr="006645DC" w:rsidRDefault="00B5369A" w:rsidP="00EB4D87">
            <w:pPr>
              <w:keepNext/>
              <w:keepLines/>
              <w:spacing w:before="0" w:after="0"/>
              <w:jc w:val="center"/>
              <w:outlineLvl w:val="1"/>
              <w:rPr>
                <w:rFonts w:cstheme="minorHAnsi"/>
                <w:b/>
                <w:lang w:val="en-GB"/>
              </w:rPr>
            </w:pPr>
            <w:bookmarkStart w:id="1799" w:name="_Toc376199918"/>
            <w:r w:rsidRPr="006645DC">
              <w:rPr>
                <w:rFonts w:cstheme="minorHAnsi"/>
                <w:b/>
                <w:lang w:val="en-GB"/>
              </w:rPr>
              <w:t>RO</w:t>
            </w:r>
            <w:bookmarkEnd w:id="1799"/>
          </w:p>
        </w:tc>
        <w:tc>
          <w:tcPr>
            <w:tcW w:w="1197" w:type="dxa"/>
            <w:vAlign w:val="center"/>
          </w:tcPr>
          <w:p w14:paraId="7A0E566B" w14:textId="77777777" w:rsidR="00B5369A" w:rsidRPr="006645DC" w:rsidRDefault="00B5369A" w:rsidP="00EB4D87">
            <w:pPr>
              <w:keepNext/>
              <w:keepLines/>
              <w:spacing w:before="0" w:after="0"/>
              <w:jc w:val="center"/>
              <w:outlineLvl w:val="1"/>
              <w:rPr>
                <w:rFonts w:cstheme="minorHAnsi"/>
                <w:b/>
                <w:lang w:val="en-GB"/>
              </w:rPr>
            </w:pPr>
            <w:bookmarkStart w:id="1800" w:name="_Toc376199919"/>
            <w:r w:rsidRPr="006645DC">
              <w:rPr>
                <w:rFonts w:cstheme="minorHAnsi"/>
                <w:b/>
                <w:lang w:val="en-GB"/>
              </w:rPr>
              <w:t>BG</w:t>
            </w:r>
            <w:bookmarkEnd w:id="1800"/>
          </w:p>
        </w:tc>
        <w:tc>
          <w:tcPr>
            <w:tcW w:w="1389" w:type="dxa"/>
            <w:vAlign w:val="center"/>
          </w:tcPr>
          <w:p w14:paraId="13163265" w14:textId="77777777" w:rsidR="00B5369A" w:rsidRPr="006645DC" w:rsidRDefault="00B5369A" w:rsidP="00EB4D87">
            <w:pPr>
              <w:keepNext/>
              <w:keepLines/>
              <w:spacing w:before="0" w:after="0"/>
              <w:jc w:val="center"/>
              <w:outlineLvl w:val="1"/>
              <w:rPr>
                <w:rFonts w:cstheme="minorHAnsi"/>
                <w:b/>
                <w:lang w:val="en-GB"/>
              </w:rPr>
            </w:pPr>
            <w:bookmarkStart w:id="1801" w:name="_Toc376199920"/>
            <w:r w:rsidRPr="006645DC">
              <w:rPr>
                <w:rFonts w:cstheme="minorHAnsi"/>
                <w:b/>
                <w:lang w:val="en-GB"/>
              </w:rPr>
              <w:t>TO 4</w:t>
            </w:r>
            <w:bookmarkEnd w:id="1801"/>
          </w:p>
        </w:tc>
      </w:tr>
      <w:tr w:rsidR="00B5369A" w:rsidRPr="006645DC" w14:paraId="6D61307D" w14:textId="77777777" w:rsidTr="00EB4D87">
        <w:trPr>
          <w:jc w:val="center"/>
        </w:trPr>
        <w:tc>
          <w:tcPr>
            <w:tcW w:w="558" w:type="dxa"/>
            <w:vAlign w:val="center"/>
          </w:tcPr>
          <w:p w14:paraId="471117D7" w14:textId="77777777" w:rsidR="00B5369A" w:rsidRPr="006645DC" w:rsidRDefault="00B5369A" w:rsidP="00EB4D87">
            <w:pPr>
              <w:spacing w:before="0" w:after="0"/>
              <w:jc w:val="center"/>
              <w:rPr>
                <w:rFonts w:asciiTheme="minorHAnsi" w:hAnsiTheme="minorHAnsi" w:cstheme="minorHAnsi"/>
                <w:lang w:val="en-GB"/>
              </w:rPr>
            </w:pPr>
            <w:r w:rsidRPr="006645DC">
              <w:rPr>
                <w:rFonts w:cstheme="minorHAnsi"/>
                <w:lang w:val="en-GB"/>
              </w:rPr>
              <w:t>1</w:t>
            </w:r>
          </w:p>
        </w:tc>
        <w:tc>
          <w:tcPr>
            <w:tcW w:w="5443" w:type="dxa"/>
            <w:vAlign w:val="center"/>
          </w:tcPr>
          <w:p w14:paraId="75CC68E5" w14:textId="77777777" w:rsidR="00B5369A" w:rsidRPr="006645DC" w:rsidRDefault="00B5369A" w:rsidP="00EB4D87">
            <w:pPr>
              <w:keepNext/>
              <w:keepLines/>
              <w:spacing w:before="0" w:after="0"/>
              <w:jc w:val="left"/>
              <w:outlineLvl w:val="1"/>
              <w:rPr>
                <w:rFonts w:cstheme="minorHAnsi"/>
                <w:lang w:val="en-GB"/>
              </w:rPr>
            </w:pPr>
            <w:bookmarkStart w:id="1802" w:name="_Toc376199921"/>
            <w:r w:rsidRPr="006645DC">
              <w:rPr>
                <w:lang w:val="en-GB"/>
              </w:rPr>
              <w:t>Identifying opportunities regarding the use of local renewable energy sources. Local energy resources should be used more efficiently and renewable energy sources should be more prominent in the national and regional energy mix</w:t>
            </w:r>
            <w:bookmarkEnd w:id="1802"/>
          </w:p>
        </w:tc>
        <w:tc>
          <w:tcPr>
            <w:tcW w:w="1197" w:type="dxa"/>
            <w:vAlign w:val="center"/>
          </w:tcPr>
          <w:p w14:paraId="3DE11892" w14:textId="77777777" w:rsidR="00B5369A" w:rsidRPr="006645DC" w:rsidRDefault="00B5369A" w:rsidP="00EB4D87">
            <w:pPr>
              <w:keepNext/>
              <w:keepLines/>
              <w:spacing w:before="0" w:after="0"/>
              <w:jc w:val="center"/>
              <w:outlineLvl w:val="1"/>
              <w:rPr>
                <w:rFonts w:cstheme="minorHAnsi"/>
                <w:lang w:val="en-GB"/>
              </w:rPr>
            </w:pPr>
            <w:bookmarkStart w:id="1803" w:name="_Toc376199922"/>
            <w:r w:rsidRPr="006645DC">
              <w:rPr>
                <w:rFonts w:cstheme="minorHAnsi"/>
                <w:lang w:val="en-GB"/>
              </w:rPr>
              <w:t>+++</w:t>
            </w:r>
            <w:bookmarkEnd w:id="1803"/>
          </w:p>
        </w:tc>
        <w:tc>
          <w:tcPr>
            <w:tcW w:w="1197" w:type="dxa"/>
            <w:vAlign w:val="center"/>
          </w:tcPr>
          <w:p w14:paraId="7F786AC8" w14:textId="77777777" w:rsidR="00B5369A" w:rsidRPr="006645DC" w:rsidRDefault="00B5369A" w:rsidP="00EB4D87">
            <w:pPr>
              <w:keepNext/>
              <w:keepLines/>
              <w:spacing w:before="0" w:after="0"/>
              <w:jc w:val="center"/>
              <w:outlineLvl w:val="1"/>
              <w:rPr>
                <w:rFonts w:cstheme="minorHAnsi"/>
                <w:lang w:val="en-GB"/>
              </w:rPr>
            </w:pPr>
            <w:bookmarkStart w:id="1804" w:name="_Toc376199923"/>
            <w:r w:rsidRPr="006645DC">
              <w:rPr>
                <w:rFonts w:cstheme="minorHAnsi"/>
                <w:lang w:val="en-GB"/>
              </w:rPr>
              <w:t>+++</w:t>
            </w:r>
            <w:bookmarkEnd w:id="1804"/>
          </w:p>
        </w:tc>
        <w:tc>
          <w:tcPr>
            <w:tcW w:w="1389" w:type="dxa"/>
            <w:vAlign w:val="center"/>
          </w:tcPr>
          <w:p w14:paraId="49A58161" w14:textId="77777777" w:rsidR="00B5369A" w:rsidRPr="006645DC" w:rsidRDefault="00B5369A" w:rsidP="00EB4D87">
            <w:pPr>
              <w:keepNext/>
              <w:keepLines/>
              <w:spacing w:before="0" w:after="0"/>
              <w:jc w:val="center"/>
              <w:outlineLvl w:val="1"/>
              <w:rPr>
                <w:rFonts w:cstheme="minorHAnsi"/>
                <w:b/>
                <w:lang w:val="en-GB"/>
              </w:rPr>
            </w:pPr>
            <w:bookmarkStart w:id="1805" w:name="_Toc376199924"/>
            <w:r w:rsidRPr="006645DC">
              <w:rPr>
                <w:rFonts w:cstheme="minorHAnsi"/>
                <w:b/>
                <w:lang w:val="en-GB"/>
              </w:rPr>
              <w:t>√</w:t>
            </w:r>
            <w:bookmarkEnd w:id="1805"/>
          </w:p>
        </w:tc>
      </w:tr>
      <w:tr w:rsidR="00B5369A" w:rsidRPr="006645DC" w14:paraId="252C18D0" w14:textId="77777777" w:rsidTr="00EB4D87">
        <w:trPr>
          <w:jc w:val="center"/>
        </w:trPr>
        <w:tc>
          <w:tcPr>
            <w:tcW w:w="558" w:type="dxa"/>
            <w:vAlign w:val="center"/>
          </w:tcPr>
          <w:p w14:paraId="448E2BD6" w14:textId="77777777" w:rsidR="00B5369A" w:rsidRPr="006645DC" w:rsidRDefault="00B5369A" w:rsidP="00EB4D87">
            <w:pPr>
              <w:keepNext/>
              <w:keepLines/>
              <w:spacing w:before="0" w:after="0"/>
              <w:jc w:val="center"/>
              <w:outlineLvl w:val="1"/>
              <w:rPr>
                <w:rFonts w:asciiTheme="minorHAnsi" w:hAnsiTheme="minorHAnsi" w:cstheme="minorHAnsi"/>
                <w:lang w:val="en-GB"/>
              </w:rPr>
            </w:pPr>
            <w:bookmarkStart w:id="1806" w:name="_Toc376199925"/>
            <w:r w:rsidRPr="006645DC">
              <w:rPr>
                <w:rFonts w:cstheme="minorHAnsi"/>
                <w:lang w:val="en-GB"/>
              </w:rPr>
              <w:t>2</w:t>
            </w:r>
            <w:bookmarkEnd w:id="1806"/>
          </w:p>
        </w:tc>
        <w:tc>
          <w:tcPr>
            <w:tcW w:w="5443" w:type="dxa"/>
            <w:vAlign w:val="center"/>
          </w:tcPr>
          <w:p w14:paraId="1D349779" w14:textId="77777777" w:rsidR="00B5369A" w:rsidRPr="006645DC" w:rsidRDefault="00B5369A" w:rsidP="00EB4D87">
            <w:pPr>
              <w:keepNext/>
              <w:keepLines/>
              <w:spacing w:before="0" w:after="0"/>
              <w:jc w:val="left"/>
              <w:outlineLvl w:val="1"/>
              <w:rPr>
                <w:rFonts w:cstheme="minorHAnsi"/>
                <w:lang w:val="en-GB"/>
              </w:rPr>
            </w:pPr>
            <w:bookmarkStart w:id="1807" w:name="_Toc376199926"/>
            <w:r w:rsidRPr="006645DC">
              <w:rPr>
                <w:lang w:val="en-GB"/>
              </w:rPr>
              <w:t>Development of renewable energy projects where the produced heat or electricity is used close to its generation, thus there is no need for energy transportation</w:t>
            </w:r>
            <w:bookmarkEnd w:id="1807"/>
          </w:p>
        </w:tc>
        <w:tc>
          <w:tcPr>
            <w:tcW w:w="1197" w:type="dxa"/>
            <w:vAlign w:val="center"/>
          </w:tcPr>
          <w:p w14:paraId="05A3B190" w14:textId="77777777" w:rsidR="00B5369A" w:rsidRPr="006645DC" w:rsidRDefault="00B5369A" w:rsidP="00EB4D87">
            <w:pPr>
              <w:keepNext/>
              <w:keepLines/>
              <w:spacing w:before="0" w:after="0"/>
              <w:jc w:val="center"/>
              <w:outlineLvl w:val="1"/>
              <w:rPr>
                <w:rFonts w:cstheme="minorHAnsi"/>
                <w:lang w:val="en-GB"/>
              </w:rPr>
            </w:pPr>
            <w:bookmarkStart w:id="1808" w:name="_Toc376199927"/>
            <w:r w:rsidRPr="006645DC">
              <w:rPr>
                <w:rFonts w:cstheme="minorHAnsi"/>
                <w:lang w:val="en-GB"/>
              </w:rPr>
              <w:t>++</w:t>
            </w:r>
            <w:bookmarkEnd w:id="1808"/>
          </w:p>
        </w:tc>
        <w:tc>
          <w:tcPr>
            <w:tcW w:w="1197" w:type="dxa"/>
            <w:vAlign w:val="center"/>
          </w:tcPr>
          <w:p w14:paraId="73DF820E" w14:textId="77777777" w:rsidR="00B5369A" w:rsidRPr="006645DC" w:rsidRDefault="00B5369A" w:rsidP="00EB4D87">
            <w:pPr>
              <w:keepNext/>
              <w:keepLines/>
              <w:spacing w:before="0" w:after="0"/>
              <w:jc w:val="center"/>
              <w:outlineLvl w:val="1"/>
              <w:rPr>
                <w:rFonts w:cstheme="minorHAnsi"/>
                <w:lang w:val="en-GB"/>
              </w:rPr>
            </w:pPr>
            <w:bookmarkStart w:id="1809" w:name="_Toc376199928"/>
            <w:r w:rsidRPr="006645DC">
              <w:rPr>
                <w:rFonts w:cstheme="minorHAnsi"/>
                <w:lang w:val="en-GB"/>
              </w:rPr>
              <w:t>+++</w:t>
            </w:r>
            <w:bookmarkEnd w:id="1809"/>
          </w:p>
        </w:tc>
        <w:tc>
          <w:tcPr>
            <w:tcW w:w="1389" w:type="dxa"/>
            <w:vAlign w:val="center"/>
          </w:tcPr>
          <w:p w14:paraId="608D3B62" w14:textId="77777777" w:rsidR="00B5369A" w:rsidRPr="006645DC" w:rsidRDefault="00B5369A" w:rsidP="00EB4D87">
            <w:pPr>
              <w:keepNext/>
              <w:keepLines/>
              <w:spacing w:before="0" w:after="0"/>
              <w:jc w:val="center"/>
              <w:outlineLvl w:val="1"/>
              <w:rPr>
                <w:rFonts w:cstheme="minorHAnsi"/>
                <w:b/>
                <w:lang w:val="en-GB"/>
              </w:rPr>
            </w:pPr>
            <w:bookmarkStart w:id="1810" w:name="_Toc376199929"/>
            <w:r w:rsidRPr="006645DC">
              <w:rPr>
                <w:rFonts w:cstheme="minorHAnsi"/>
                <w:b/>
                <w:lang w:val="en-GB"/>
              </w:rPr>
              <w:t>√</w:t>
            </w:r>
            <w:bookmarkEnd w:id="1810"/>
          </w:p>
        </w:tc>
      </w:tr>
      <w:tr w:rsidR="00B5369A" w:rsidRPr="006645DC" w14:paraId="58B35E01" w14:textId="77777777" w:rsidTr="00EB4D87">
        <w:trPr>
          <w:jc w:val="center"/>
        </w:trPr>
        <w:tc>
          <w:tcPr>
            <w:tcW w:w="558" w:type="dxa"/>
            <w:vAlign w:val="center"/>
          </w:tcPr>
          <w:p w14:paraId="27C0A0DB" w14:textId="77777777" w:rsidR="00B5369A" w:rsidRPr="006645DC" w:rsidRDefault="00B5369A" w:rsidP="00EB4D87">
            <w:pPr>
              <w:keepNext/>
              <w:keepLines/>
              <w:spacing w:before="0" w:after="0"/>
              <w:jc w:val="center"/>
              <w:outlineLvl w:val="1"/>
              <w:rPr>
                <w:rFonts w:asciiTheme="minorHAnsi" w:hAnsiTheme="minorHAnsi" w:cstheme="minorHAnsi"/>
                <w:lang w:val="en-GB"/>
              </w:rPr>
            </w:pPr>
            <w:bookmarkStart w:id="1811" w:name="_Toc376199930"/>
            <w:r w:rsidRPr="006645DC">
              <w:rPr>
                <w:rFonts w:cstheme="minorHAnsi"/>
                <w:lang w:val="en-GB"/>
              </w:rPr>
              <w:t>3</w:t>
            </w:r>
            <w:bookmarkEnd w:id="1811"/>
          </w:p>
        </w:tc>
        <w:tc>
          <w:tcPr>
            <w:tcW w:w="5443" w:type="dxa"/>
            <w:vAlign w:val="center"/>
          </w:tcPr>
          <w:p w14:paraId="23E7BB5D" w14:textId="77777777" w:rsidR="00B5369A" w:rsidRPr="006645DC" w:rsidRDefault="00B5369A" w:rsidP="00EB4D87">
            <w:pPr>
              <w:keepNext/>
              <w:keepLines/>
              <w:spacing w:before="0" w:after="0"/>
              <w:jc w:val="left"/>
              <w:outlineLvl w:val="1"/>
              <w:rPr>
                <w:rFonts w:cstheme="minorHAnsi"/>
                <w:lang w:val="en-GB"/>
              </w:rPr>
            </w:pPr>
            <w:bookmarkStart w:id="1812" w:name="_Toc376199931"/>
            <w:r w:rsidRPr="006645DC">
              <w:rPr>
                <w:lang w:val="en-GB"/>
              </w:rPr>
              <w:t>Lowering vulnerability to peak energy demand due to climate change</w:t>
            </w:r>
            <w:bookmarkEnd w:id="1812"/>
          </w:p>
        </w:tc>
        <w:tc>
          <w:tcPr>
            <w:tcW w:w="1197" w:type="dxa"/>
            <w:vAlign w:val="center"/>
          </w:tcPr>
          <w:p w14:paraId="0C0BB568" w14:textId="77777777" w:rsidR="00B5369A" w:rsidRPr="006645DC" w:rsidRDefault="00B5369A" w:rsidP="00EB4D87">
            <w:pPr>
              <w:keepNext/>
              <w:keepLines/>
              <w:spacing w:before="0" w:after="0"/>
              <w:jc w:val="center"/>
              <w:outlineLvl w:val="1"/>
              <w:rPr>
                <w:rFonts w:cstheme="minorHAnsi"/>
                <w:lang w:val="en-GB"/>
              </w:rPr>
            </w:pPr>
            <w:bookmarkStart w:id="1813" w:name="_Toc376199932"/>
            <w:r w:rsidRPr="006645DC">
              <w:rPr>
                <w:rFonts w:cstheme="minorHAnsi"/>
                <w:lang w:val="en-GB"/>
              </w:rPr>
              <w:t>+++</w:t>
            </w:r>
            <w:bookmarkEnd w:id="1813"/>
          </w:p>
        </w:tc>
        <w:tc>
          <w:tcPr>
            <w:tcW w:w="1197" w:type="dxa"/>
            <w:vAlign w:val="center"/>
          </w:tcPr>
          <w:p w14:paraId="383B095C" w14:textId="77777777" w:rsidR="00B5369A" w:rsidRPr="006645DC" w:rsidRDefault="00B5369A" w:rsidP="00EB4D87">
            <w:pPr>
              <w:keepNext/>
              <w:keepLines/>
              <w:spacing w:before="0" w:after="0"/>
              <w:jc w:val="center"/>
              <w:outlineLvl w:val="1"/>
              <w:rPr>
                <w:rFonts w:cstheme="minorHAnsi"/>
                <w:lang w:val="en-GB"/>
              </w:rPr>
            </w:pPr>
            <w:bookmarkStart w:id="1814" w:name="_Toc376199933"/>
            <w:r w:rsidRPr="006645DC">
              <w:rPr>
                <w:rFonts w:cstheme="minorHAnsi"/>
                <w:lang w:val="en-GB"/>
              </w:rPr>
              <w:t>+++</w:t>
            </w:r>
            <w:bookmarkEnd w:id="1814"/>
          </w:p>
        </w:tc>
        <w:tc>
          <w:tcPr>
            <w:tcW w:w="1389" w:type="dxa"/>
            <w:vAlign w:val="center"/>
          </w:tcPr>
          <w:p w14:paraId="4BE2D933" w14:textId="77777777" w:rsidR="00B5369A" w:rsidRPr="006645DC" w:rsidRDefault="00B5369A" w:rsidP="00EB4D87">
            <w:pPr>
              <w:keepNext/>
              <w:keepLines/>
              <w:spacing w:before="0" w:after="0"/>
              <w:jc w:val="center"/>
              <w:outlineLvl w:val="1"/>
              <w:rPr>
                <w:rFonts w:cstheme="minorHAnsi"/>
                <w:b/>
                <w:lang w:val="en-GB"/>
              </w:rPr>
            </w:pPr>
            <w:bookmarkStart w:id="1815" w:name="_Toc376199934"/>
            <w:r w:rsidRPr="006645DC">
              <w:rPr>
                <w:rFonts w:cstheme="minorHAnsi"/>
                <w:b/>
                <w:lang w:val="en-GB"/>
              </w:rPr>
              <w:t>√</w:t>
            </w:r>
            <w:bookmarkEnd w:id="1815"/>
          </w:p>
        </w:tc>
      </w:tr>
      <w:tr w:rsidR="00B5369A" w:rsidRPr="006645DC" w14:paraId="09B77291" w14:textId="77777777" w:rsidTr="00EB4D87">
        <w:trPr>
          <w:jc w:val="center"/>
        </w:trPr>
        <w:tc>
          <w:tcPr>
            <w:tcW w:w="558" w:type="dxa"/>
            <w:vAlign w:val="center"/>
          </w:tcPr>
          <w:p w14:paraId="742A3C74" w14:textId="77777777" w:rsidR="00B5369A" w:rsidRPr="006645DC" w:rsidRDefault="00B5369A" w:rsidP="00EB4D87">
            <w:pPr>
              <w:keepNext/>
              <w:keepLines/>
              <w:spacing w:before="0" w:after="0"/>
              <w:jc w:val="center"/>
              <w:outlineLvl w:val="1"/>
              <w:rPr>
                <w:rFonts w:asciiTheme="minorHAnsi" w:hAnsiTheme="minorHAnsi" w:cstheme="minorHAnsi"/>
                <w:lang w:val="en-GB"/>
              </w:rPr>
            </w:pPr>
            <w:bookmarkStart w:id="1816" w:name="_Toc376199935"/>
            <w:r w:rsidRPr="006645DC">
              <w:rPr>
                <w:rFonts w:cstheme="minorHAnsi"/>
                <w:lang w:val="en-GB"/>
              </w:rPr>
              <w:t>4</w:t>
            </w:r>
            <w:bookmarkEnd w:id="1816"/>
          </w:p>
        </w:tc>
        <w:tc>
          <w:tcPr>
            <w:tcW w:w="5443" w:type="dxa"/>
            <w:vAlign w:val="center"/>
          </w:tcPr>
          <w:p w14:paraId="135E2428" w14:textId="77777777" w:rsidR="00B5369A" w:rsidRPr="006645DC" w:rsidRDefault="00B5369A" w:rsidP="00EB4D87">
            <w:pPr>
              <w:keepNext/>
              <w:keepLines/>
              <w:spacing w:before="0" w:after="0"/>
              <w:jc w:val="left"/>
              <w:outlineLvl w:val="1"/>
              <w:rPr>
                <w:rFonts w:cstheme="minorHAnsi"/>
                <w:lang w:val="en-GB"/>
              </w:rPr>
            </w:pPr>
            <w:bookmarkStart w:id="1817" w:name="_Toc376199936"/>
            <w:r w:rsidRPr="006645DC">
              <w:rPr>
                <w:lang w:val="en-GB"/>
              </w:rPr>
              <w:t>Increase of energy efficiency in households and public buildings through the development of energy renovation best practice projects</w:t>
            </w:r>
            <w:bookmarkEnd w:id="1817"/>
          </w:p>
        </w:tc>
        <w:tc>
          <w:tcPr>
            <w:tcW w:w="1197" w:type="dxa"/>
            <w:vAlign w:val="center"/>
          </w:tcPr>
          <w:p w14:paraId="1D9DC94E" w14:textId="77777777" w:rsidR="00B5369A" w:rsidRPr="006645DC" w:rsidRDefault="00B5369A" w:rsidP="00EB4D87">
            <w:pPr>
              <w:keepNext/>
              <w:keepLines/>
              <w:spacing w:before="0" w:after="0"/>
              <w:jc w:val="center"/>
              <w:outlineLvl w:val="1"/>
              <w:rPr>
                <w:rFonts w:cstheme="minorHAnsi"/>
                <w:lang w:val="en-GB"/>
              </w:rPr>
            </w:pPr>
            <w:bookmarkStart w:id="1818" w:name="_Toc376199937"/>
            <w:r w:rsidRPr="006645DC">
              <w:rPr>
                <w:rFonts w:cstheme="minorHAnsi"/>
                <w:lang w:val="en-GB"/>
              </w:rPr>
              <w:t>+++</w:t>
            </w:r>
            <w:bookmarkEnd w:id="1818"/>
          </w:p>
        </w:tc>
        <w:tc>
          <w:tcPr>
            <w:tcW w:w="1197" w:type="dxa"/>
            <w:vAlign w:val="center"/>
          </w:tcPr>
          <w:p w14:paraId="494086B5" w14:textId="77777777" w:rsidR="00B5369A" w:rsidRPr="006645DC" w:rsidRDefault="00B5369A" w:rsidP="00EB4D87">
            <w:pPr>
              <w:keepNext/>
              <w:keepLines/>
              <w:spacing w:before="0" w:after="0"/>
              <w:jc w:val="center"/>
              <w:outlineLvl w:val="1"/>
              <w:rPr>
                <w:rFonts w:cstheme="minorHAnsi"/>
                <w:lang w:val="en-GB"/>
              </w:rPr>
            </w:pPr>
            <w:bookmarkStart w:id="1819" w:name="_Toc376199938"/>
            <w:r w:rsidRPr="006645DC">
              <w:rPr>
                <w:rFonts w:cstheme="minorHAnsi"/>
                <w:lang w:val="en-GB"/>
              </w:rPr>
              <w:t>++</w:t>
            </w:r>
            <w:bookmarkEnd w:id="1819"/>
          </w:p>
        </w:tc>
        <w:tc>
          <w:tcPr>
            <w:tcW w:w="1389" w:type="dxa"/>
            <w:vAlign w:val="center"/>
          </w:tcPr>
          <w:p w14:paraId="4B7CB1A2" w14:textId="77777777" w:rsidR="00B5369A" w:rsidRPr="006645DC" w:rsidRDefault="00B5369A" w:rsidP="00EB4D87">
            <w:pPr>
              <w:keepNext/>
              <w:keepLines/>
              <w:spacing w:before="0" w:after="0"/>
              <w:jc w:val="center"/>
              <w:outlineLvl w:val="1"/>
              <w:rPr>
                <w:rFonts w:cstheme="minorHAnsi"/>
                <w:b/>
                <w:lang w:val="en-GB"/>
              </w:rPr>
            </w:pPr>
            <w:bookmarkStart w:id="1820" w:name="_Toc376199939"/>
            <w:r w:rsidRPr="006645DC">
              <w:rPr>
                <w:rFonts w:cstheme="minorHAnsi"/>
                <w:b/>
                <w:lang w:val="en-GB"/>
              </w:rPr>
              <w:t>√</w:t>
            </w:r>
            <w:bookmarkEnd w:id="1820"/>
          </w:p>
        </w:tc>
      </w:tr>
      <w:tr w:rsidR="00B5369A" w:rsidRPr="006645DC" w14:paraId="71165891" w14:textId="77777777" w:rsidTr="00EB4D87">
        <w:trPr>
          <w:jc w:val="center"/>
        </w:trPr>
        <w:tc>
          <w:tcPr>
            <w:tcW w:w="558" w:type="dxa"/>
            <w:vAlign w:val="center"/>
          </w:tcPr>
          <w:p w14:paraId="5DB2C891" w14:textId="77777777" w:rsidR="00B5369A" w:rsidRPr="006645DC" w:rsidRDefault="00B5369A" w:rsidP="00EB4D87">
            <w:pPr>
              <w:keepNext/>
              <w:keepLines/>
              <w:spacing w:before="0" w:after="0"/>
              <w:jc w:val="center"/>
              <w:outlineLvl w:val="1"/>
              <w:rPr>
                <w:rFonts w:asciiTheme="minorHAnsi" w:hAnsiTheme="minorHAnsi" w:cstheme="minorHAnsi"/>
                <w:lang w:val="en-GB"/>
              </w:rPr>
            </w:pPr>
            <w:bookmarkStart w:id="1821" w:name="_Toc376199940"/>
            <w:r w:rsidRPr="006645DC">
              <w:rPr>
                <w:rFonts w:cstheme="minorHAnsi"/>
                <w:lang w:val="en-GB"/>
              </w:rPr>
              <w:t>5</w:t>
            </w:r>
            <w:bookmarkEnd w:id="1821"/>
          </w:p>
        </w:tc>
        <w:tc>
          <w:tcPr>
            <w:tcW w:w="5443" w:type="dxa"/>
            <w:vAlign w:val="center"/>
          </w:tcPr>
          <w:p w14:paraId="2EC53CBE" w14:textId="77777777" w:rsidR="00B5369A" w:rsidRPr="006645DC" w:rsidRDefault="00B5369A" w:rsidP="00EB4D87">
            <w:pPr>
              <w:keepNext/>
              <w:keepLines/>
              <w:spacing w:before="0" w:after="0"/>
              <w:jc w:val="left"/>
              <w:outlineLvl w:val="1"/>
              <w:rPr>
                <w:rFonts w:cstheme="minorHAnsi"/>
                <w:lang w:val="en-GB"/>
              </w:rPr>
            </w:pPr>
            <w:bookmarkStart w:id="1822" w:name="_Toc376199941"/>
            <w:r w:rsidRPr="006645DC">
              <w:rPr>
                <w:lang w:val="en-GB"/>
              </w:rPr>
              <w:t>Development of local public transport with a focus to increase energy efficiency and the use of renewable energies</w:t>
            </w:r>
            <w:bookmarkEnd w:id="1822"/>
          </w:p>
        </w:tc>
        <w:tc>
          <w:tcPr>
            <w:tcW w:w="1197" w:type="dxa"/>
            <w:vAlign w:val="center"/>
          </w:tcPr>
          <w:p w14:paraId="5FB8053C" w14:textId="77777777" w:rsidR="00B5369A" w:rsidRPr="006645DC" w:rsidRDefault="00B5369A" w:rsidP="00EB4D87">
            <w:pPr>
              <w:keepNext/>
              <w:keepLines/>
              <w:spacing w:before="0" w:after="0"/>
              <w:jc w:val="center"/>
              <w:outlineLvl w:val="1"/>
              <w:rPr>
                <w:rFonts w:cstheme="minorHAnsi"/>
                <w:lang w:val="en-GB"/>
              </w:rPr>
            </w:pPr>
            <w:bookmarkStart w:id="1823" w:name="_Toc376199942"/>
            <w:r w:rsidRPr="006645DC">
              <w:rPr>
                <w:rFonts w:cstheme="minorHAnsi"/>
                <w:lang w:val="en-GB"/>
              </w:rPr>
              <w:t>++</w:t>
            </w:r>
            <w:bookmarkEnd w:id="1823"/>
          </w:p>
        </w:tc>
        <w:tc>
          <w:tcPr>
            <w:tcW w:w="1197" w:type="dxa"/>
            <w:vAlign w:val="center"/>
          </w:tcPr>
          <w:p w14:paraId="31ADC230" w14:textId="77777777" w:rsidR="00B5369A" w:rsidRPr="006645DC" w:rsidRDefault="00B5369A" w:rsidP="00EB4D87">
            <w:pPr>
              <w:keepNext/>
              <w:keepLines/>
              <w:spacing w:before="0" w:after="0"/>
              <w:jc w:val="center"/>
              <w:outlineLvl w:val="1"/>
              <w:rPr>
                <w:rFonts w:cstheme="minorHAnsi"/>
                <w:lang w:val="en-GB"/>
              </w:rPr>
            </w:pPr>
            <w:bookmarkStart w:id="1824" w:name="_Toc376199943"/>
            <w:r w:rsidRPr="006645DC">
              <w:rPr>
                <w:rFonts w:cstheme="minorHAnsi"/>
                <w:lang w:val="en-GB"/>
              </w:rPr>
              <w:t>++</w:t>
            </w:r>
            <w:bookmarkEnd w:id="1824"/>
          </w:p>
        </w:tc>
        <w:tc>
          <w:tcPr>
            <w:tcW w:w="1389" w:type="dxa"/>
            <w:vAlign w:val="center"/>
          </w:tcPr>
          <w:p w14:paraId="71FF7AC9" w14:textId="77777777" w:rsidR="00B5369A" w:rsidRPr="006645DC" w:rsidRDefault="00B5369A" w:rsidP="00EB4D87">
            <w:pPr>
              <w:keepNext/>
              <w:keepLines/>
              <w:spacing w:before="0" w:after="0"/>
              <w:jc w:val="center"/>
              <w:outlineLvl w:val="1"/>
              <w:rPr>
                <w:rFonts w:cstheme="minorHAnsi"/>
                <w:b/>
                <w:lang w:val="en-GB"/>
              </w:rPr>
            </w:pPr>
            <w:bookmarkStart w:id="1825" w:name="_Toc376199944"/>
            <w:r w:rsidRPr="006645DC">
              <w:rPr>
                <w:rFonts w:cstheme="minorHAnsi"/>
                <w:b/>
                <w:lang w:val="en-GB"/>
              </w:rPr>
              <w:t>√</w:t>
            </w:r>
            <w:bookmarkEnd w:id="1825"/>
          </w:p>
        </w:tc>
      </w:tr>
      <w:tr w:rsidR="00B5369A" w:rsidRPr="006645DC" w14:paraId="3A9A4F65" w14:textId="77777777" w:rsidTr="00EB4D87">
        <w:trPr>
          <w:jc w:val="center"/>
        </w:trPr>
        <w:tc>
          <w:tcPr>
            <w:tcW w:w="558" w:type="dxa"/>
            <w:vAlign w:val="center"/>
          </w:tcPr>
          <w:p w14:paraId="0150B415" w14:textId="77777777" w:rsidR="00B5369A" w:rsidRPr="006645DC" w:rsidRDefault="00B5369A" w:rsidP="00EB4D87">
            <w:pPr>
              <w:keepNext/>
              <w:keepLines/>
              <w:spacing w:before="0" w:after="0"/>
              <w:jc w:val="center"/>
              <w:outlineLvl w:val="1"/>
              <w:rPr>
                <w:rFonts w:asciiTheme="minorHAnsi" w:hAnsiTheme="minorHAnsi" w:cstheme="minorHAnsi"/>
                <w:lang w:val="en-GB"/>
              </w:rPr>
            </w:pPr>
            <w:bookmarkStart w:id="1826" w:name="_Toc376199945"/>
            <w:r w:rsidRPr="006645DC">
              <w:rPr>
                <w:rFonts w:cstheme="minorHAnsi"/>
                <w:lang w:val="en-GB"/>
              </w:rPr>
              <w:t>6</w:t>
            </w:r>
            <w:bookmarkEnd w:id="1826"/>
          </w:p>
        </w:tc>
        <w:tc>
          <w:tcPr>
            <w:tcW w:w="5443" w:type="dxa"/>
            <w:vAlign w:val="center"/>
          </w:tcPr>
          <w:p w14:paraId="1019316B" w14:textId="77777777" w:rsidR="00B5369A" w:rsidRPr="006645DC" w:rsidRDefault="00B5369A" w:rsidP="00EB4D87">
            <w:pPr>
              <w:keepNext/>
              <w:keepLines/>
              <w:autoSpaceDE w:val="0"/>
              <w:autoSpaceDN w:val="0"/>
              <w:adjustRightInd w:val="0"/>
              <w:spacing w:before="0" w:after="0" w:line="280" w:lineRule="auto"/>
              <w:jc w:val="left"/>
              <w:outlineLvl w:val="1"/>
              <w:rPr>
                <w:rFonts w:cstheme="minorHAnsi"/>
                <w:lang w:val="en-GB"/>
              </w:rPr>
            </w:pPr>
            <w:bookmarkStart w:id="1827" w:name="_Toc376199946"/>
            <w:r w:rsidRPr="006645DC">
              <w:rPr>
                <w:lang w:val="en-GB"/>
              </w:rPr>
              <w:t>The support of energy efficiency measures in the industrial sector (manufacturing processes, use of waste energy, etc.)</w:t>
            </w:r>
            <w:bookmarkEnd w:id="1827"/>
          </w:p>
        </w:tc>
        <w:tc>
          <w:tcPr>
            <w:tcW w:w="1197" w:type="dxa"/>
            <w:vAlign w:val="center"/>
          </w:tcPr>
          <w:p w14:paraId="31899AA8" w14:textId="77777777" w:rsidR="00B5369A" w:rsidRPr="006645DC" w:rsidRDefault="00B5369A" w:rsidP="00EB4D87">
            <w:pPr>
              <w:keepNext/>
              <w:keepLines/>
              <w:spacing w:before="0" w:after="0"/>
              <w:jc w:val="center"/>
              <w:outlineLvl w:val="1"/>
              <w:rPr>
                <w:rFonts w:cstheme="minorHAnsi"/>
                <w:lang w:val="en-GB"/>
              </w:rPr>
            </w:pPr>
            <w:bookmarkStart w:id="1828" w:name="_Toc376199947"/>
            <w:r w:rsidRPr="006645DC">
              <w:rPr>
                <w:rFonts w:cstheme="minorHAnsi"/>
                <w:lang w:val="en-GB"/>
              </w:rPr>
              <w:t>+++</w:t>
            </w:r>
            <w:bookmarkEnd w:id="1828"/>
          </w:p>
        </w:tc>
        <w:tc>
          <w:tcPr>
            <w:tcW w:w="1197" w:type="dxa"/>
            <w:vAlign w:val="center"/>
          </w:tcPr>
          <w:p w14:paraId="06FEFAA3" w14:textId="77777777" w:rsidR="00B5369A" w:rsidRPr="006645DC" w:rsidRDefault="00B5369A" w:rsidP="00EB4D87">
            <w:pPr>
              <w:keepNext/>
              <w:keepLines/>
              <w:spacing w:before="0" w:after="0"/>
              <w:jc w:val="center"/>
              <w:outlineLvl w:val="1"/>
              <w:rPr>
                <w:rFonts w:cstheme="minorHAnsi"/>
                <w:lang w:val="en-GB"/>
              </w:rPr>
            </w:pPr>
            <w:bookmarkStart w:id="1829" w:name="_Toc376199948"/>
            <w:r w:rsidRPr="006645DC">
              <w:rPr>
                <w:rFonts w:cstheme="minorHAnsi"/>
                <w:lang w:val="en-GB"/>
              </w:rPr>
              <w:t>+++</w:t>
            </w:r>
            <w:bookmarkEnd w:id="1829"/>
          </w:p>
        </w:tc>
        <w:tc>
          <w:tcPr>
            <w:tcW w:w="1389" w:type="dxa"/>
            <w:vAlign w:val="center"/>
          </w:tcPr>
          <w:p w14:paraId="7EE1E1A4" w14:textId="77777777" w:rsidR="00B5369A" w:rsidRPr="006645DC" w:rsidRDefault="00B5369A" w:rsidP="00EB4D87">
            <w:pPr>
              <w:keepNext/>
              <w:keepLines/>
              <w:spacing w:before="0" w:after="0"/>
              <w:jc w:val="center"/>
              <w:outlineLvl w:val="1"/>
              <w:rPr>
                <w:rFonts w:cstheme="minorHAnsi"/>
                <w:b/>
                <w:lang w:val="en-GB"/>
              </w:rPr>
            </w:pPr>
            <w:bookmarkStart w:id="1830" w:name="_Toc376199949"/>
            <w:r w:rsidRPr="006645DC">
              <w:rPr>
                <w:rFonts w:cstheme="minorHAnsi"/>
                <w:b/>
                <w:lang w:val="en-GB"/>
              </w:rPr>
              <w:t>√</w:t>
            </w:r>
            <w:bookmarkEnd w:id="1830"/>
          </w:p>
        </w:tc>
      </w:tr>
      <w:tr w:rsidR="00B5369A" w:rsidRPr="006645DC" w14:paraId="144F572C" w14:textId="77777777" w:rsidTr="00EB4D87">
        <w:trPr>
          <w:jc w:val="center"/>
        </w:trPr>
        <w:tc>
          <w:tcPr>
            <w:tcW w:w="558" w:type="dxa"/>
            <w:vAlign w:val="center"/>
          </w:tcPr>
          <w:p w14:paraId="4CE4ACD5" w14:textId="77777777" w:rsidR="00B5369A" w:rsidRPr="006645DC" w:rsidRDefault="00B5369A" w:rsidP="00EB4D87">
            <w:pPr>
              <w:keepNext/>
              <w:keepLines/>
              <w:spacing w:before="0" w:after="0"/>
              <w:jc w:val="center"/>
              <w:outlineLvl w:val="1"/>
              <w:rPr>
                <w:rFonts w:cstheme="minorHAnsi"/>
                <w:lang w:val="en-GB"/>
              </w:rPr>
            </w:pPr>
            <w:bookmarkStart w:id="1831" w:name="_Toc376199950"/>
            <w:r w:rsidRPr="006645DC">
              <w:rPr>
                <w:rFonts w:cstheme="minorHAnsi"/>
                <w:lang w:val="en-GB"/>
              </w:rPr>
              <w:t>7</w:t>
            </w:r>
            <w:bookmarkEnd w:id="1831"/>
          </w:p>
        </w:tc>
        <w:tc>
          <w:tcPr>
            <w:tcW w:w="5443" w:type="dxa"/>
            <w:vAlign w:val="center"/>
          </w:tcPr>
          <w:p w14:paraId="7BC74ABB" w14:textId="77777777" w:rsidR="00B5369A" w:rsidRPr="006645DC" w:rsidRDefault="00B5369A" w:rsidP="00EB4D87">
            <w:pPr>
              <w:keepNext/>
              <w:keepLines/>
              <w:widowControl w:val="0"/>
              <w:autoSpaceDE w:val="0"/>
              <w:autoSpaceDN w:val="0"/>
              <w:adjustRightInd w:val="0"/>
              <w:spacing w:before="0" w:after="0"/>
              <w:jc w:val="left"/>
              <w:outlineLvl w:val="1"/>
              <w:rPr>
                <w:rFonts w:cs="LucidaSansUnicode"/>
                <w:szCs w:val="20"/>
                <w:lang w:val="en-GB"/>
              </w:rPr>
            </w:pPr>
            <w:bookmarkStart w:id="1832" w:name="_Toc376199951"/>
            <w:r w:rsidRPr="006645DC">
              <w:rPr>
                <w:rFonts w:cs="LucidaSansUnicode"/>
                <w:szCs w:val="20"/>
                <w:lang w:val="en-GB"/>
              </w:rPr>
              <w:t>Lowering the region’s dependency on non-EU countries for its energy supply</w:t>
            </w:r>
            <w:bookmarkEnd w:id="1832"/>
          </w:p>
        </w:tc>
        <w:tc>
          <w:tcPr>
            <w:tcW w:w="1197" w:type="dxa"/>
            <w:vAlign w:val="center"/>
          </w:tcPr>
          <w:p w14:paraId="278AE298" w14:textId="77777777" w:rsidR="00B5369A" w:rsidRPr="006645DC" w:rsidRDefault="00B5369A" w:rsidP="00EB4D87">
            <w:pPr>
              <w:keepNext/>
              <w:keepLines/>
              <w:spacing w:before="0" w:after="0"/>
              <w:jc w:val="center"/>
              <w:outlineLvl w:val="1"/>
              <w:rPr>
                <w:rFonts w:cstheme="minorHAnsi"/>
                <w:lang w:val="en-GB"/>
              </w:rPr>
            </w:pPr>
            <w:bookmarkStart w:id="1833" w:name="_Toc376199952"/>
            <w:r w:rsidRPr="006645DC">
              <w:rPr>
                <w:rFonts w:cstheme="minorHAnsi"/>
                <w:lang w:val="en-GB"/>
              </w:rPr>
              <w:t>++</w:t>
            </w:r>
            <w:bookmarkEnd w:id="1833"/>
          </w:p>
        </w:tc>
        <w:tc>
          <w:tcPr>
            <w:tcW w:w="1197" w:type="dxa"/>
            <w:vAlign w:val="center"/>
          </w:tcPr>
          <w:p w14:paraId="1623A209" w14:textId="77777777" w:rsidR="00B5369A" w:rsidRPr="006645DC" w:rsidRDefault="00B5369A" w:rsidP="00EB4D87">
            <w:pPr>
              <w:keepNext/>
              <w:keepLines/>
              <w:spacing w:before="0" w:after="0"/>
              <w:jc w:val="center"/>
              <w:outlineLvl w:val="1"/>
              <w:rPr>
                <w:rFonts w:cstheme="minorHAnsi"/>
                <w:lang w:val="en-GB"/>
              </w:rPr>
            </w:pPr>
            <w:bookmarkStart w:id="1834" w:name="_Toc376199953"/>
            <w:r w:rsidRPr="006645DC">
              <w:rPr>
                <w:rFonts w:cstheme="minorHAnsi"/>
                <w:lang w:val="en-GB"/>
              </w:rPr>
              <w:t>+++</w:t>
            </w:r>
            <w:bookmarkEnd w:id="1834"/>
          </w:p>
        </w:tc>
        <w:tc>
          <w:tcPr>
            <w:tcW w:w="1389" w:type="dxa"/>
            <w:vAlign w:val="center"/>
          </w:tcPr>
          <w:p w14:paraId="700BEB50" w14:textId="77777777" w:rsidR="00B5369A" w:rsidRPr="006645DC" w:rsidRDefault="00B5369A" w:rsidP="00EB4D87">
            <w:pPr>
              <w:keepNext/>
              <w:keepLines/>
              <w:spacing w:before="0" w:after="0"/>
              <w:jc w:val="center"/>
              <w:outlineLvl w:val="1"/>
              <w:rPr>
                <w:rFonts w:cstheme="minorHAnsi"/>
                <w:b/>
                <w:lang w:val="en-GB"/>
              </w:rPr>
            </w:pPr>
            <w:bookmarkStart w:id="1835" w:name="_Toc376199954"/>
            <w:r w:rsidRPr="006645DC">
              <w:rPr>
                <w:rFonts w:cstheme="minorHAnsi"/>
                <w:b/>
                <w:lang w:val="en-GB"/>
              </w:rPr>
              <w:t>√</w:t>
            </w:r>
            <w:bookmarkEnd w:id="1835"/>
          </w:p>
        </w:tc>
      </w:tr>
    </w:tbl>
    <w:p w14:paraId="42CFF73F" w14:textId="77777777" w:rsidR="00B5369A" w:rsidRPr="006645DC" w:rsidRDefault="00B5369A" w:rsidP="00B5369A">
      <w:pPr>
        <w:spacing w:before="0" w:after="0"/>
        <w:rPr>
          <w:b/>
          <w:lang w:val="en-GB"/>
        </w:rPr>
      </w:pPr>
      <w:r w:rsidRPr="006645DC">
        <w:rPr>
          <w:b/>
          <w:lang w:val="en-GB"/>
        </w:rPr>
        <w:t>Table key:</w:t>
      </w:r>
    </w:p>
    <w:tbl>
      <w:tblPr>
        <w:tblW w:w="0" w:type="auto"/>
        <w:jc w:val="center"/>
        <w:tblLook w:val="04A0" w:firstRow="1" w:lastRow="0" w:firstColumn="1" w:lastColumn="0" w:noHBand="0" w:noVBand="1"/>
      </w:tblPr>
      <w:tblGrid>
        <w:gridCol w:w="3192"/>
        <w:gridCol w:w="3192"/>
        <w:gridCol w:w="3192"/>
      </w:tblGrid>
      <w:tr w:rsidR="00B5369A" w:rsidRPr="006645DC" w14:paraId="384561B1" w14:textId="77777777" w:rsidTr="00B5369A">
        <w:trPr>
          <w:trHeight w:val="283"/>
          <w:jc w:val="center"/>
        </w:trPr>
        <w:tc>
          <w:tcPr>
            <w:tcW w:w="3192" w:type="dxa"/>
            <w:vAlign w:val="center"/>
          </w:tcPr>
          <w:p w14:paraId="3F4CF192" w14:textId="30A7811C" w:rsidR="00B5369A" w:rsidRPr="006645DC" w:rsidRDefault="00982AD8" w:rsidP="00B5369A">
            <w:pPr>
              <w:spacing w:before="0" w:after="0"/>
              <w:jc w:val="center"/>
              <w:rPr>
                <w:b/>
                <w:lang w:val="en-GB"/>
              </w:rPr>
            </w:pPr>
            <w:r w:rsidRPr="006645DC">
              <w:rPr>
                <w:b/>
                <w:noProof/>
                <w:lang w:val="bg-BG" w:eastAsia="bg-BG"/>
              </w:rPr>
              <mc:AlternateContent>
                <mc:Choice Requires="wps">
                  <w:drawing>
                    <wp:anchor distT="0" distB="0" distL="114300" distR="114300" simplePos="0" relativeHeight="251714560" behindDoc="0" locked="0" layoutInCell="1" allowOverlap="1" wp14:anchorId="19BF812C" wp14:editId="55942DA2">
                      <wp:simplePos x="0" y="0"/>
                      <wp:positionH relativeFrom="column">
                        <wp:posOffset>132715</wp:posOffset>
                      </wp:positionH>
                      <wp:positionV relativeFrom="paragraph">
                        <wp:posOffset>123190</wp:posOffset>
                      </wp:positionV>
                      <wp:extent cx="5848350" cy="232410"/>
                      <wp:effectExtent l="0" t="0" r="0" b="53340"/>
                      <wp:wrapNone/>
                      <wp:docPr id="490" name="Right Arrow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848350" cy="232410"/>
                              </a:xfrm>
                              <a:prstGeom prst="rightArrow">
                                <a:avLst>
                                  <a:gd name="adj1" fmla="val 50000"/>
                                  <a:gd name="adj2" fmla="val 49978"/>
                                </a:avLst>
                              </a:prstGeom>
                              <a:gradFill rotWithShape="1">
                                <a:gsLst>
                                  <a:gs pos="0">
                                    <a:srgbClr val="FF0000"/>
                                  </a:gs>
                                  <a:gs pos="74001">
                                    <a:srgbClr val="C2D1ED"/>
                                  </a:gs>
                                  <a:gs pos="100000">
                                    <a:srgbClr val="E1E8F5"/>
                                  </a:gs>
                                </a:gsLst>
                                <a:lin ang="10800000" scaled="1"/>
                              </a:gradFill>
                              <a:ln>
                                <a:noFill/>
                              </a:ln>
                              <a:effectLst>
                                <a:outerShdw dist="50800" dir="5400000" algn="ctr" rotWithShape="0">
                                  <a:srgbClr val="808080"/>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14:paraId="00A295FB" w14:textId="77777777" w:rsidR="00F14D1E" w:rsidRDefault="00F14D1E" w:rsidP="00B5369A">
                                  <w:pPr>
                                    <w:jc w:val="center"/>
                                  </w:pPr>
                                  <w:r w:rsidRPr="00B5369A">
                                    <w:rPr>
                                      <w:color w:val="000000"/>
                                    </w:rPr>
                                    <w:t>ImportaceImportance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Right Arrow 138" o:spid="_x0000_s1031" type="#_x0000_t13" style="position:absolute;left:0;text-align:left;margin-left:10.45pt;margin-top:9.7pt;width:460.5pt;height:18.3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" adj="21171" fillcolor="red" stroked="f" strokeweight="2pt">
                      <v:fill color2="#e1e8f5" rotate="t" angle="270" colors="0 red;48497f #c2d1ed;1 #e1e8f5" focus="100%" type="gradient"/>
                      <v:shadow on="t" offset="0,4pt"/>
                      <v:path arrowok="t"/>
                      <v:textbox>
                        <w:txbxContent>
                          <w:p w14:paraId="00A295FB" w14:textId="77777777" w:rsidR="00F14D1E" w:rsidRDefault="00F14D1E" w:rsidP="00B5369A">
                            <w:pPr>
                              <w:jc w:val="center"/>
                            </w:pPr>
                            <w:r w:rsidRPr="00B5369A">
                              <w:rPr>
                                <w:color w:val="000000"/>
                              </w:rPr>
                              <w:t>ImportaceImportance</w:t>
                            </w:r>
                          </w:p>
                        </w:txbxContent>
                      </v:textbox>
                    </v:shape>
                  </w:pict>
                </mc:Fallback>
              </mc:AlternateContent>
            </w:r>
            <w:r w:rsidR="00B5369A" w:rsidRPr="006645DC">
              <w:rPr>
                <w:b/>
                <w:lang w:val="en-GB"/>
              </w:rPr>
              <w:t>+</w:t>
            </w:r>
          </w:p>
        </w:tc>
        <w:tc>
          <w:tcPr>
            <w:tcW w:w="3192" w:type="dxa"/>
            <w:vAlign w:val="center"/>
          </w:tcPr>
          <w:p w14:paraId="05DC4509" w14:textId="77777777" w:rsidR="00B5369A" w:rsidRPr="006645DC" w:rsidRDefault="00B5369A" w:rsidP="00B5369A">
            <w:pPr>
              <w:keepNext/>
              <w:keepLines/>
              <w:spacing w:before="0" w:after="0"/>
              <w:jc w:val="center"/>
              <w:outlineLvl w:val="5"/>
              <w:rPr>
                <w:b/>
                <w:lang w:val="en-GB"/>
              </w:rPr>
            </w:pPr>
            <w:r w:rsidRPr="006645DC">
              <w:rPr>
                <w:b/>
                <w:lang w:val="en-GB"/>
              </w:rPr>
              <w:t>++</w:t>
            </w:r>
          </w:p>
        </w:tc>
        <w:tc>
          <w:tcPr>
            <w:tcW w:w="3192" w:type="dxa"/>
            <w:vAlign w:val="center"/>
          </w:tcPr>
          <w:p w14:paraId="6E511952" w14:textId="77777777" w:rsidR="00B5369A" w:rsidRPr="006645DC" w:rsidRDefault="00B5369A" w:rsidP="00B5369A">
            <w:pPr>
              <w:keepNext/>
              <w:keepLines/>
              <w:spacing w:before="0" w:after="0"/>
              <w:jc w:val="center"/>
              <w:outlineLvl w:val="5"/>
              <w:rPr>
                <w:b/>
                <w:lang w:val="en-GB"/>
              </w:rPr>
            </w:pPr>
            <w:r w:rsidRPr="006645DC">
              <w:rPr>
                <w:b/>
                <w:lang w:val="en-GB"/>
              </w:rPr>
              <w:t>+++</w:t>
            </w:r>
          </w:p>
        </w:tc>
      </w:tr>
    </w:tbl>
    <w:p w14:paraId="58C1835D" w14:textId="77777777" w:rsidR="00B5369A" w:rsidRPr="006645DC" w:rsidRDefault="00B5369A" w:rsidP="00B5369A">
      <w:pPr>
        <w:spacing w:before="0" w:after="0"/>
        <w:rPr>
          <w:b/>
          <w:lang w:val="en-GB"/>
        </w:rPr>
      </w:pPr>
    </w:p>
    <w:p w14:paraId="12D96C3E" w14:textId="77777777" w:rsidR="00B5369A" w:rsidRPr="006645DC" w:rsidRDefault="00B5369A" w:rsidP="00B5369A">
      <w:pPr>
        <w:spacing w:before="0" w:after="0"/>
        <w:jc w:val="center"/>
        <w:rPr>
          <w:i/>
          <w:lang w:val="en-GB"/>
        </w:rPr>
      </w:pPr>
      <w:r w:rsidRPr="006645DC">
        <w:rPr>
          <w:i/>
          <w:lang w:val="en-GB"/>
        </w:rPr>
        <w:t>Degree of need territorial relevance</w:t>
      </w:r>
    </w:p>
    <w:p w14:paraId="3A1A37C1" w14:textId="77777777" w:rsidR="00B5369A" w:rsidRPr="006645DC" w:rsidRDefault="00B5369A" w:rsidP="00B5369A">
      <w:pPr>
        <w:spacing w:before="0" w:after="0"/>
        <w:rPr>
          <w:b/>
          <w:i/>
          <w:lang w:val="en-GB"/>
        </w:rPr>
      </w:pPr>
      <w:r w:rsidRPr="006645DC">
        <w:rPr>
          <w:b/>
          <w:i/>
          <w:lang w:val="en-GB"/>
        </w:rPr>
        <w:t>TO4 – Supporting the shift towards a low-carbon economy in all sectors</w:t>
      </w:r>
    </w:p>
    <w:p w14:paraId="1AD9A78E" w14:textId="77777777" w:rsidR="00B5369A" w:rsidRPr="006645DC" w:rsidRDefault="00B5369A" w:rsidP="00B5369A">
      <w:pPr>
        <w:rPr>
          <w:lang w:val="en-GB"/>
        </w:rPr>
      </w:pPr>
    </w:p>
    <w:p w14:paraId="2AFDAE28" w14:textId="77777777" w:rsidR="00B06992" w:rsidRPr="006645DC" w:rsidRDefault="00B06992" w:rsidP="00B06992">
      <w:pPr>
        <w:rPr>
          <w:lang w:val="en-GB"/>
        </w:rPr>
      </w:pPr>
    </w:p>
    <w:p w14:paraId="610EF784" w14:textId="77777777" w:rsidR="003B5C36" w:rsidRPr="006645DC" w:rsidRDefault="003B5C36" w:rsidP="00B06992">
      <w:pPr>
        <w:rPr>
          <w:lang w:val="en-GB"/>
        </w:rPr>
        <w:sectPr w:rsidR="003B5C36" w:rsidRPr="006645DC" w:rsidSect="00CC50F4">
          <w:pgSz w:w="12240" w:h="15840"/>
          <w:pgMar w:top="1440" w:right="1440" w:bottom="1440" w:left="1440" w:header="720" w:footer="720" w:gutter="0"/>
          <w:cols w:space="720"/>
          <w:docGrid w:linePitch="360"/>
        </w:sectPr>
      </w:pPr>
    </w:p>
    <w:p w14:paraId="163A6BA1" w14:textId="77777777" w:rsidR="003531E5" w:rsidRPr="006645DC" w:rsidRDefault="003531E5" w:rsidP="00F652BA">
      <w:pPr>
        <w:pStyle w:val="Heading1"/>
        <w:rPr>
          <w:lang w:val="en-GB"/>
        </w:rPr>
      </w:pPr>
      <w:bookmarkStart w:id="1836" w:name="_Toc376199955"/>
      <w:bookmarkStart w:id="1837" w:name="_Toc254543831"/>
      <w:bookmarkStart w:id="1838" w:name="_Toc391150204"/>
      <w:r w:rsidRPr="006645DC">
        <w:rPr>
          <w:lang w:val="en-GB"/>
        </w:rPr>
        <w:lastRenderedPageBreak/>
        <w:t>Environment</w:t>
      </w:r>
      <w:bookmarkEnd w:id="1836"/>
      <w:bookmarkEnd w:id="1837"/>
      <w:bookmarkEnd w:id="1838"/>
    </w:p>
    <w:p w14:paraId="5A3FCFCF" w14:textId="77777777" w:rsidR="00AA4C82" w:rsidRPr="006645DC" w:rsidRDefault="00AA4C82" w:rsidP="00C951D5">
      <w:pPr>
        <w:pStyle w:val="Heading2"/>
        <w:numPr>
          <w:ilvl w:val="0"/>
          <w:numId w:val="87"/>
        </w:numPr>
        <w:rPr>
          <w:rFonts w:ascii="Arial" w:eastAsia="Arial" w:hAnsi="Arial"/>
          <w:sz w:val="24"/>
          <w:lang w:val="en-GB"/>
        </w:rPr>
      </w:pPr>
      <w:bookmarkStart w:id="1839" w:name="_Toc376199956"/>
      <w:bookmarkStart w:id="1840" w:name="_Toc254543832"/>
      <w:bookmarkStart w:id="1841" w:name="_Toc391150205"/>
      <w:r w:rsidRPr="006645DC">
        <w:rPr>
          <w:lang w:val="en-GB"/>
        </w:rPr>
        <w:t>Relief</w:t>
      </w:r>
      <w:bookmarkEnd w:id="1839"/>
      <w:bookmarkEnd w:id="1840"/>
      <w:bookmarkEnd w:id="1841"/>
      <w:r w:rsidRPr="006645DC">
        <w:rPr>
          <w:lang w:val="en-GB"/>
        </w:rPr>
        <w:t xml:space="preserve"> </w:t>
      </w:r>
    </w:p>
    <w:p w14:paraId="5D142D9C" w14:textId="77777777" w:rsidR="00AA4C82" w:rsidRPr="006645DC" w:rsidRDefault="00AA4C82" w:rsidP="00AA4C82">
      <w:pPr>
        <w:rPr>
          <w:lang w:val="en-GB" w:eastAsia="hu-HU"/>
        </w:rPr>
      </w:pPr>
      <w:r w:rsidRPr="006645DC">
        <w:rPr>
          <w:lang w:val="en-GB" w:eastAsia="hu-HU"/>
        </w:rPr>
        <w:t>The Danube River is both the borderline between Romania and Bulgaria and the main environmental feature in the region. Two distinct sections of the Danube River can be identified in the Romanian-Bulgarian cross-border region: the first one between Gura Văii (north of Drobeta Turnu Severin) and Călăraşi, the second one between Călăraşi and Pătlăgeanca.</w:t>
      </w:r>
    </w:p>
    <w:p w14:paraId="6A26ABB6" w14:textId="77777777" w:rsidR="00AA4C82" w:rsidRPr="006645DC" w:rsidRDefault="00AA4C82" w:rsidP="00AA4C82">
      <w:pPr>
        <w:rPr>
          <w:lang w:val="en-GB" w:eastAsia="hu-HU"/>
        </w:rPr>
      </w:pPr>
      <w:r w:rsidRPr="006645DC">
        <w:rPr>
          <w:lang w:val="en-GB" w:eastAsia="hu-HU"/>
        </w:rPr>
        <w:t>The Gura Văii-Călăraşi section has a length of 566 km, collecting the waters of several tributary streams, from Bulgaria (Timok, Ogosta, Iskăr, Vit, Iantra) and from Romania (Jiu, Olt Argeş). These streams contribute to the increase of the water flow of the Danube by approximately 600 m</w:t>
      </w:r>
      <w:r w:rsidRPr="006645DC">
        <w:rPr>
          <w:vertAlign w:val="superscript"/>
          <w:lang w:val="en-GB" w:eastAsia="hu-HU"/>
        </w:rPr>
        <w:t>3</w:t>
      </w:r>
      <w:r w:rsidRPr="006645DC">
        <w:rPr>
          <w:lang w:val="en-GB" w:eastAsia="hu-HU"/>
        </w:rPr>
        <w:t>/s between the Danube Gorge (Defileul Dunării) and Olteniţa. There are several significant islands along this sector Belene (41.1 km</w:t>
      </w:r>
      <w:r w:rsidRPr="006645DC">
        <w:rPr>
          <w:vertAlign w:val="superscript"/>
          <w:lang w:val="en-GB" w:eastAsia="hu-HU"/>
        </w:rPr>
        <w:t>2</w:t>
      </w:r>
      <w:r w:rsidRPr="006645DC">
        <w:rPr>
          <w:lang w:val="en-GB" w:eastAsia="hu-HU"/>
        </w:rPr>
        <w:t>), Kozlodui (6.1 km</w:t>
      </w:r>
      <w:r w:rsidRPr="006645DC">
        <w:rPr>
          <w:vertAlign w:val="superscript"/>
          <w:lang w:val="en-GB" w:eastAsia="hu-HU"/>
        </w:rPr>
        <w:t>2</w:t>
      </w:r>
      <w:r w:rsidRPr="006645DC">
        <w:rPr>
          <w:lang w:val="en-GB" w:eastAsia="hu-HU"/>
        </w:rPr>
        <w:t>), and the Island of Vardim (5.0 km</w:t>
      </w:r>
      <w:r w:rsidRPr="006645DC">
        <w:rPr>
          <w:vertAlign w:val="superscript"/>
          <w:lang w:val="en-GB" w:eastAsia="hu-HU"/>
        </w:rPr>
        <w:t>2</w:t>
      </w:r>
      <w:r w:rsidRPr="006645DC">
        <w:rPr>
          <w:lang w:val="en-GB" w:eastAsia="hu-HU"/>
        </w:rPr>
        <w:t xml:space="preserve">) that are part of Bulgaria. </w:t>
      </w:r>
    </w:p>
    <w:p w14:paraId="6896507D" w14:textId="77777777" w:rsidR="00AA4C82" w:rsidRPr="006645DC" w:rsidRDefault="00AA4C82" w:rsidP="00AA4C82">
      <w:pPr>
        <w:rPr>
          <w:lang w:val="en-GB" w:eastAsia="hu-HU"/>
        </w:rPr>
      </w:pPr>
      <w:r w:rsidRPr="006645DC">
        <w:rPr>
          <w:lang w:val="en-GB" w:eastAsia="hu-HU"/>
        </w:rPr>
        <w:t xml:space="preserve">The Călăraşi-Pătlăgeanca Danube section has a length of 374 km where both riverbanks belong to Romania. Along this section, the Dobrogea Plateau is situated between the Danube valley in the west and the Black Sea in the north and east. The area can be characterised by the presence of several ponds. </w:t>
      </w:r>
    </w:p>
    <w:p w14:paraId="699AB069" w14:textId="77777777" w:rsidR="00AA4C82" w:rsidRPr="006645DC" w:rsidRDefault="00AA4C82" w:rsidP="00AE3C16">
      <w:pPr>
        <w:rPr>
          <w:lang w:val="en-GB" w:eastAsia="hu-HU"/>
        </w:rPr>
      </w:pPr>
      <w:r w:rsidRPr="006645DC">
        <w:rPr>
          <w:lang w:val="en-GB" w:eastAsia="hu-HU"/>
        </w:rPr>
        <w:t xml:space="preserve">Nearly all forms of relief mark the cross-border territory: hills, plateaus, valleys, plains, and floodplains, lakes. Most of the eligible area in Romania is situated in the so-called Romanian Plain. This consists, from West to East, of the plain of Oltenia, the </w:t>
      </w:r>
      <w:hyperlink r:id="rId127" w:history="1">
        <w:r w:rsidRPr="006645DC">
          <w:rPr>
            <w:lang w:val="en-GB" w:eastAsia="hu-HU"/>
          </w:rPr>
          <w:t>Olt-Argeş Plain</w:t>
        </w:r>
      </w:hyperlink>
      <w:r w:rsidRPr="006645DC">
        <w:rPr>
          <w:lang w:val="en-GB" w:eastAsia="hu-HU"/>
        </w:rPr>
        <w:t xml:space="preserve">, the Bărăgan Plain, the </w:t>
      </w:r>
      <w:hyperlink r:id="rId128" w:history="1">
        <w:r w:rsidRPr="006645DC">
          <w:rPr>
            <w:lang w:val="en-GB" w:eastAsia="hu-HU"/>
          </w:rPr>
          <w:t>Eastern Plain</w:t>
        </w:r>
      </w:hyperlink>
      <w:r w:rsidRPr="006645DC">
        <w:rPr>
          <w:lang w:val="en-GB"/>
        </w:rPr>
        <w:t>,</w:t>
      </w:r>
      <w:r w:rsidRPr="006645DC">
        <w:rPr>
          <w:lang w:val="en-GB" w:eastAsia="hu-HU"/>
        </w:rPr>
        <w:t xml:space="preserve"> and the Danube Valley. There are several lakes on the Romanian side of the cross-border region. The Bulgarian side of the cross-border area, with its own river network (20 major tributary streams of the Danube) belongs to the Black Sea drainage area. The high density of the river network is the main hydrographical characteristic of the area.  </w:t>
      </w:r>
    </w:p>
    <w:p w14:paraId="6E6EA6A6" w14:textId="77777777" w:rsidR="00AA4C82" w:rsidRPr="006645DC" w:rsidRDefault="00AA4C82" w:rsidP="00AA4C82">
      <w:pPr>
        <w:rPr>
          <w:lang w:val="en-GB" w:eastAsia="hu-HU"/>
        </w:rPr>
      </w:pPr>
      <w:r w:rsidRPr="006645DC">
        <w:rPr>
          <w:lang w:val="en-GB" w:eastAsia="hu-HU"/>
        </w:rPr>
        <w:t xml:space="preserve">The climate is temperate-continental with very hot summers, small amounts of precipitation, and cold winters marked by irregular intervals with strong snowstorms and frequent warming. Some particular influences marked the territory, respectively: Mediterranean influence in Mehedinti and Dolj counties, marine influences in Constanta and Dobric counties with strong contrasts between winter and summer temperatures. In the south-eastern part, some northern influences can be felt, cold air coming from the northeast to the southwest, strong winds, bringing very cold winters. </w:t>
      </w:r>
    </w:p>
    <w:p w14:paraId="25FC2DD6" w14:textId="77777777" w:rsidR="00AA4C82" w:rsidRPr="006645DC" w:rsidRDefault="00AA4C82" w:rsidP="00AA4C82">
      <w:pPr>
        <w:rPr>
          <w:lang w:val="en-GB" w:eastAsia="hu-HU"/>
        </w:rPr>
      </w:pPr>
      <w:r w:rsidRPr="006645DC">
        <w:rPr>
          <w:lang w:val="en-GB" w:eastAsia="hu-HU"/>
        </w:rPr>
        <w:t xml:space="preserve">The activities related to irrigation in the Danube floodplain, carried out before 1989, caused major changes in the vegetation. The fauna in the area has continental and steppe species (voles, shrews, and other small rodents, bats, toads, snakes, etc.). There are large varieties of birds and fishes: over 200 species of birds in the lake areas, islands and forests close to the Danube. The presence of big games is important from the hunting tourism’s point of view. </w:t>
      </w:r>
    </w:p>
    <w:p w14:paraId="56772436" w14:textId="77777777" w:rsidR="00AA4C82" w:rsidRPr="006645DC" w:rsidRDefault="00AA4C82" w:rsidP="00AA4C82">
      <w:pPr>
        <w:rPr>
          <w:lang w:val="en-GB" w:eastAsia="hu-HU"/>
        </w:rPr>
      </w:pPr>
      <w:r w:rsidRPr="006645DC">
        <w:rPr>
          <w:lang w:val="en-GB" w:eastAsia="hu-HU"/>
        </w:rPr>
        <w:t xml:space="preserve">The flora and fauna have specific and diverse features according to the climate and relief forms. The southern elements have a great effect on Mehedinti on the Romanian side. Several Mediterranean plants and animal species are present in the programme area such as fig tree, almond, and horned viper. </w:t>
      </w:r>
      <w:r w:rsidRPr="006645DC">
        <w:rPr>
          <w:lang w:val="en-GB" w:eastAsia="hu-HU"/>
        </w:rPr>
        <w:lastRenderedPageBreak/>
        <w:t>There are also several species of scorpion, lizard, and newt in the Romanian s</w:t>
      </w:r>
      <w:r w:rsidR="00AE3C16" w:rsidRPr="006645DC">
        <w:rPr>
          <w:lang w:val="en-GB" w:eastAsia="hu-HU"/>
        </w:rPr>
        <w:t xml:space="preserve">ide of the cross-border area. </w:t>
      </w:r>
      <w:r w:rsidRPr="006645DC">
        <w:rPr>
          <w:lang w:val="en-GB" w:eastAsia="hu-HU"/>
        </w:rPr>
        <w:t xml:space="preserve">Some species of the Mediterranean flora have spread in the Danube gorge, i.e., Oriental hornbeam </w:t>
      </w:r>
      <w:r w:rsidRPr="006645DC">
        <w:rPr>
          <w:i/>
          <w:lang w:val="en-GB" w:eastAsia="hu-HU"/>
        </w:rPr>
        <w:t>(</w:t>
      </w:r>
      <w:r w:rsidRPr="006645DC">
        <w:rPr>
          <w:i/>
          <w:iCs/>
          <w:lang w:val="en-GB"/>
        </w:rPr>
        <w:t>Carpinus orientalis)</w:t>
      </w:r>
      <w:r w:rsidRPr="006645DC">
        <w:rPr>
          <w:lang w:val="en-GB" w:eastAsia="hu-HU"/>
        </w:rPr>
        <w:t xml:space="preserve">, Turkish hazel </w:t>
      </w:r>
      <w:r w:rsidRPr="006645DC">
        <w:rPr>
          <w:i/>
          <w:lang w:val="en-GB" w:eastAsia="hu-HU"/>
        </w:rPr>
        <w:t>(</w:t>
      </w:r>
      <w:r w:rsidRPr="006645DC">
        <w:rPr>
          <w:i/>
          <w:iCs/>
          <w:lang w:val="en-GB"/>
        </w:rPr>
        <w:t>Corylus colurna)</w:t>
      </w:r>
      <w:r w:rsidRPr="006645DC">
        <w:rPr>
          <w:lang w:val="en-GB" w:eastAsia="hu-HU"/>
        </w:rPr>
        <w:t>. The forests cover a remarkable part of the territory, thus the sustainable management of forests is a crucial issue. Forests are very important for the erosion protection of agriculture lands, as well as for the biodiversity conservation. Two municipalities (</w:t>
      </w:r>
      <w:r w:rsidRPr="006645DC">
        <w:rPr>
          <w:rFonts w:cs="Arial"/>
          <w:lang w:val="en-GB" w:eastAsia="bg-BG"/>
        </w:rPr>
        <w:t>General Toshevo and Krushari</w:t>
      </w:r>
      <w:r w:rsidRPr="006645DC">
        <w:rPr>
          <w:lang w:val="en-GB" w:eastAsia="hu-HU"/>
        </w:rPr>
        <w:t xml:space="preserve">) on the Bulgarian side of the cross-border region could provide a good example with their Multifunctional Forest Management Plans. The Romanian cross-border regions, e.g., Dolj and Olt have rich fields with the specific vegetation of steppe and forest steppe areas, however tree vegetation is relatively small. The forests consist of only few species. The most typical ones are: Euro-American poplar </w:t>
      </w:r>
      <w:r w:rsidRPr="006645DC">
        <w:rPr>
          <w:i/>
          <w:iCs/>
          <w:lang w:val="en-GB"/>
        </w:rPr>
        <w:t>(Populus)</w:t>
      </w:r>
      <w:r w:rsidRPr="006645DC">
        <w:rPr>
          <w:lang w:val="en-GB" w:eastAsia="hu-HU"/>
        </w:rPr>
        <w:t xml:space="preserve">, pedunculate oak or English oak </w:t>
      </w:r>
      <w:r w:rsidRPr="006645DC">
        <w:rPr>
          <w:i/>
          <w:lang w:val="en-GB" w:eastAsia="hu-HU"/>
        </w:rPr>
        <w:t>(</w:t>
      </w:r>
      <w:r w:rsidRPr="006645DC">
        <w:rPr>
          <w:bCs/>
          <w:i/>
          <w:iCs/>
          <w:lang w:val="en-GB"/>
        </w:rPr>
        <w:t>Quercus robur)</w:t>
      </w:r>
      <w:r w:rsidRPr="006645DC">
        <w:rPr>
          <w:lang w:val="en-GB" w:eastAsia="hu-HU"/>
        </w:rPr>
        <w:t xml:space="preserve">, white willow </w:t>
      </w:r>
      <w:r w:rsidRPr="006645DC">
        <w:rPr>
          <w:i/>
          <w:lang w:val="en-GB" w:eastAsia="hu-HU"/>
        </w:rPr>
        <w:t>(</w:t>
      </w:r>
      <w:r w:rsidRPr="006645DC">
        <w:rPr>
          <w:bCs/>
          <w:i/>
          <w:iCs/>
          <w:lang w:val="en-GB"/>
        </w:rPr>
        <w:t>Salix alba)</w:t>
      </w:r>
      <w:r w:rsidRPr="006645DC">
        <w:rPr>
          <w:lang w:val="en-GB" w:eastAsia="hu-HU"/>
        </w:rPr>
        <w:t xml:space="preserve">, Narrow-leafed Ash </w:t>
      </w:r>
      <w:r w:rsidRPr="006645DC">
        <w:rPr>
          <w:i/>
          <w:lang w:val="en-GB" w:eastAsia="hu-HU"/>
        </w:rPr>
        <w:t>(</w:t>
      </w:r>
      <w:r w:rsidRPr="006645DC">
        <w:rPr>
          <w:i/>
          <w:iCs/>
          <w:lang w:val="en-GB"/>
        </w:rPr>
        <w:t>Fraxinus angustifolia)</w:t>
      </w:r>
      <w:r w:rsidRPr="006645DC">
        <w:rPr>
          <w:lang w:val="en-GB" w:eastAsia="hu-HU"/>
        </w:rPr>
        <w:t xml:space="preserve">, elm </w:t>
      </w:r>
      <w:r w:rsidRPr="006645DC">
        <w:rPr>
          <w:i/>
          <w:iCs/>
          <w:lang w:val="en-GB"/>
        </w:rPr>
        <w:t>(Ulmus)</w:t>
      </w:r>
      <w:r w:rsidRPr="006645DC">
        <w:rPr>
          <w:lang w:val="en-GB" w:eastAsia="hu-HU"/>
        </w:rPr>
        <w:t xml:space="preserve">, linden </w:t>
      </w:r>
      <w:r w:rsidRPr="006645DC">
        <w:rPr>
          <w:i/>
          <w:iCs/>
          <w:lang w:val="en-GB"/>
        </w:rPr>
        <w:t>(Tilia)</w:t>
      </w:r>
      <w:r w:rsidRPr="006645DC">
        <w:rPr>
          <w:lang w:val="en-GB" w:eastAsia="hu-HU"/>
        </w:rPr>
        <w:t xml:space="preserve">, Tatar Maple </w:t>
      </w:r>
      <w:r w:rsidRPr="006645DC">
        <w:rPr>
          <w:i/>
          <w:lang w:val="en-GB" w:eastAsia="hu-HU"/>
        </w:rPr>
        <w:t>(</w:t>
      </w:r>
      <w:r w:rsidRPr="006645DC">
        <w:rPr>
          <w:bCs/>
          <w:i/>
          <w:iCs/>
          <w:lang w:val="en-GB"/>
        </w:rPr>
        <w:t>Acer tataricum)</w:t>
      </w:r>
      <w:r w:rsidRPr="006645DC">
        <w:rPr>
          <w:lang w:val="en-GB" w:eastAsia="hu-HU"/>
        </w:rPr>
        <w:t xml:space="preserve">. Nearby the Danube, the vegetation is particularly rich. </w:t>
      </w:r>
    </w:p>
    <w:p w14:paraId="33B511AC" w14:textId="77777777" w:rsidR="00AA4C82" w:rsidRPr="006645DC" w:rsidRDefault="00AA4C82" w:rsidP="00AE3C16">
      <w:pPr>
        <w:pStyle w:val="Heading2"/>
        <w:rPr>
          <w:lang w:val="en-GB"/>
        </w:rPr>
      </w:pPr>
      <w:bookmarkStart w:id="1842" w:name="_Toc371107211"/>
      <w:bookmarkStart w:id="1843" w:name="_Toc376199957"/>
      <w:bookmarkStart w:id="1844" w:name="_Toc254543833"/>
      <w:bookmarkStart w:id="1845" w:name="_Toc391150206"/>
      <w:r w:rsidRPr="006645DC">
        <w:rPr>
          <w:lang w:val="en-GB"/>
        </w:rPr>
        <w:t>Mineral and energy resources</w:t>
      </w:r>
      <w:bookmarkEnd w:id="1842"/>
      <w:bookmarkEnd w:id="1843"/>
      <w:bookmarkEnd w:id="1844"/>
      <w:bookmarkEnd w:id="1845"/>
      <w:r w:rsidRPr="006645DC">
        <w:rPr>
          <w:lang w:val="en-GB"/>
        </w:rPr>
        <w:t xml:space="preserve"> </w:t>
      </w:r>
    </w:p>
    <w:p w14:paraId="4473B618" w14:textId="77777777" w:rsidR="00AA4C82" w:rsidRPr="006645DC" w:rsidRDefault="00AA4C82" w:rsidP="00AE3C16">
      <w:pPr>
        <w:rPr>
          <w:lang w:val="en-GB" w:eastAsia="hu-HU"/>
        </w:rPr>
      </w:pPr>
      <w:r w:rsidRPr="006645DC">
        <w:rPr>
          <w:lang w:val="en-GB" w:eastAsia="hu-HU"/>
        </w:rPr>
        <w:t xml:space="preserve">On the Romanian side of the border coal, marble, limestone, stone, and siderite is to be found. Coal mining is carried out mainly on the surface, but also underground, in the mining areas of Livezile, Zegujani, Husnicioara. The production output has substantially diminished in the past period. Stone and sand is produced in the Mala I and Mala II quarries in an integrated system by companies providing also construction services. There are underground crude oil reserves in Dolj county at Melinesti, Bradesti, Almaj, Simnicu de Sus, Ghercesti, Pielesti, Cosoveni, Malu Mare, and Cârcea. Crude oil production exists also in the counties of Mehedinti, Olt, Constanta, and Teleorman. There are bentonite, chrome ore, asbestos, limestone to be found in Mehedinti County. Natural gas reserves can be found at Isalnita, Ghercesti, Simnicu de Sus, Pielesti, and Cosoveni.  </w:t>
      </w:r>
    </w:p>
    <w:p w14:paraId="261DA2EB" w14:textId="77777777" w:rsidR="00AA4C82" w:rsidRPr="006645DC" w:rsidRDefault="00AA4C82" w:rsidP="00AE3C16">
      <w:pPr>
        <w:rPr>
          <w:lang w:val="en-GB" w:eastAsia="hu-HU"/>
        </w:rPr>
      </w:pPr>
      <w:r w:rsidRPr="006645DC">
        <w:rPr>
          <w:lang w:val="en-GB" w:eastAsia="hu-HU"/>
        </w:rPr>
        <w:t xml:space="preserve">The Bulgarian cross-border region is rather poor in energy resources. There are insignificant sources of crude oil near Shabla (Dobrich District) and Dolni Dubnik (Pleven District). There is a considerable black coalfield near Balchik and Kavarna (6000-7000 kcal/kg) but exploitation is difficult due to its depth (1500-2700 m) and due to the five different water horizons that exist in the region. There is also a gas field with limited potential near Vratsa. </w:t>
      </w:r>
    </w:p>
    <w:p w14:paraId="59FFCFEF" w14:textId="77777777" w:rsidR="00AA4C82" w:rsidRPr="006645DC" w:rsidRDefault="00AA4C82" w:rsidP="00AE3C16">
      <w:pPr>
        <w:rPr>
          <w:lang w:val="en-GB" w:eastAsia="hu-HU"/>
        </w:rPr>
      </w:pPr>
      <w:r w:rsidRPr="006645DC">
        <w:rPr>
          <w:lang w:val="en-GB" w:eastAsia="hu-HU"/>
        </w:rPr>
        <w:t xml:space="preserve">The region is rather rich in minerals. 88% of Bulgaria’s gypsum resources are found in the district of Vidin. High-quality limestone can be found near Ruse and Vratsa. The main fields of kaolin in Bulgaria are situated near the village of Senovo, Ruse District, with one of the biggest quarries and plants of the Balkans producing kaolin, limestone, dolomite, silica sand, feldspar, and chamotte. </w:t>
      </w:r>
    </w:p>
    <w:p w14:paraId="45D8F75D" w14:textId="77777777" w:rsidR="00AA4C82" w:rsidRPr="006645DC" w:rsidRDefault="00AA4C82" w:rsidP="00AA4C82">
      <w:pPr>
        <w:rPr>
          <w:lang w:val="en-GB" w:eastAsia="hu-HU"/>
        </w:rPr>
      </w:pPr>
      <w:r w:rsidRPr="006645DC">
        <w:rPr>
          <w:lang w:val="en-GB" w:eastAsia="hu-HU"/>
        </w:rPr>
        <w:t xml:space="preserve">There is a considerable shale gas resource in the county of Dobrudja along the southern Romanian Black Sea coast. The exploitation of these gas fields has been approved by the Romanian government. </w:t>
      </w:r>
    </w:p>
    <w:p w14:paraId="2F968812" w14:textId="77777777" w:rsidR="00AA4C82" w:rsidRPr="006645DC" w:rsidRDefault="00AA4C82" w:rsidP="00AE3C16">
      <w:pPr>
        <w:pStyle w:val="Heading2"/>
        <w:rPr>
          <w:lang w:val="en-GB"/>
        </w:rPr>
      </w:pPr>
      <w:bookmarkStart w:id="1846" w:name="_Toc371107212"/>
      <w:bookmarkStart w:id="1847" w:name="_Toc376199958"/>
      <w:bookmarkStart w:id="1848" w:name="_Toc254543834"/>
      <w:bookmarkStart w:id="1849" w:name="_Toc391150207"/>
      <w:r w:rsidRPr="006645DC">
        <w:rPr>
          <w:lang w:val="en-GB"/>
        </w:rPr>
        <w:t>Agricultural land resources</w:t>
      </w:r>
      <w:bookmarkEnd w:id="1846"/>
      <w:bookmarkEnd w:id="1847"/>
      <w:bookmarkEnd w:id="1848"/>
      <w:bookmarkEnd w:id="1849"/>
    </w:p>
    <w:p w14:paraId="3CEEF9D9" w14:textId="77777777" w:rsidR="00A5593F" w:rsidRPr="006645DC" w:rsidRDefault="00AA4C82" w:rsidP="00CC50F4">
      <w:pPr>
        <w:rPr>
          <w:lang w:val="en-GB"/>
        </w:rPr>
      </w:pPr>
      <w:r w:rsidRPr="006645DC">
        <w:rPr>
          <w:lang w:val="en-GB"/>
        </w:rPr>
        <w:t>The Romanian side of the cross-border region represents 28% of all arable lands in Romania</w:t>
      </w:r>
      <w:r w:rsidRPr="006645DC">
        <w:rPr>
          <w:lang w:val="en-GB" w:eastAsia="hu-HU"/>
        </w:rPr>
        <w:t xml:space="preserve">. </w:t>
      </w:r>
      <w:r w:rsidRPr="006645DC">
        <w:rPr>
          <w:lang w:val="en-GB"/>
        </w:rPr>
        <w:t xml:space="preserve">The agricultural potential is a significant one, both in terms of arable land, average production per hectare, </w:t>
      </w:r>
      <w:r w:rsidRPr="006645DC">
        <w:rPr>
          <w:lang w:val="en-GB"/>
        </w:rPr>
        <w:lastRenderedPageBreak/>
        <w:t xml:space="preserve">especially for wheat, barley and two-row barley, maize and sunflower, but also in terms of average production of fruit. </w:t>
      </w:r>
      <w:r w:rsidRPr="006645DC">
        <w:rPr>
          <w:lang w:val="en-GB" w:eastAsia="hu-HU"/>
        </w:rPr>
        <w:t>Out of 3 932 thousand hectares in the Romanian area, 78.21% were agricultural lands, 10.77% forests and other forest lands, and 4.02% waters and lakes. 19.22% of the waters and lakes located in Romania were in these 7 counties of the cross-border region (822.7 thousand hectares).</w:t>
      </w:r>
    </w:p>
    <w:p w14:paraId="36F3D578" w14:textId="77777777" w:rsidR="00A5593F" w:rsidRPr="006645DC" w:rsidRDefault="00A5593F" w:rsidP="00CC50F4">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75"/>
        <w:gridCol w:w="2375"/>
      </w:tblGrid>
      <w:tr w:rsidR="00CC50F4" w:rsidRPr="006645DC" w14:paraId="1E79A84D" w14:textId="77777777" w:rsidTr="001F5314">
        <w:trPr>
          <w:jc w:val="center"/>
        </w:trPr>
        <w:tc>
          <w:tcPr>
            <w:tcW w:w="7125" w:type="dxa"/>
            <w:gridSpan w:val="3"/>
            <w:shd w:val="clear" w:color="auto" w:fill="76923C" w:themeFill="accent3" w:themeFillShade="BF"/>
            <w:vAlign w:val="center"/>
          </w:tcPr>
          <w:p w14:paraId="43513C0D" w14:textId="77777777" w:rsidR="00CC50F4" w:rsidRPr="006645DC" w:rsidRDefault="00CC50F4" w:rsidP="00393E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color w:val="FFFFFF"/>
                <w:lang w:val="en-GB"/>
              </w:rPr>
            </w:pPr>
            <w:r w:rsidRPr="006645DC">
              <w:rPr>
                <w:rFonts w:eastAsia="Arial" w:cs="Calibri"/>
                <w:b/>
                <w:color w:val="FFFFFF"/>
                <w:lang w:val="en-GB"/>
              </w:rPr>
              <w:t>Annual forest feelings, Romania (1000m</w:t>
            </w:r>
            <w:r w:rsidRPr="006645DC">
              <w:rPr>
                <w:rFonts w:eastAsia="Arial" w:cs="Calibri"/>
                <w:b/>
                <w:color w:val="FFFFFF"/>
                <w:vertAlign w:val="superscript"/>
                <w:lang w:val="en-GB"/>
              </w:rPr>
              <w:t>3</w:t>
            </w:r>
            <w:r w:rsidRPr="006645DC">
              <w:rPr>
                <w:rFonts w:eastAsia="Arial" w:cs="Calibri"/>
                <w:b/>
                <w:color w:val="FFFFFF"/>
                <w:lang w:val="en-GB"/>
              </w:rPr>
              <w:t>)</w:t>
            </w:r>
          </w:p>
        </w:tc>
      </w:tr>
      <w:tr w:rsidR="00CC50F4" w:rsidRPr="006645DC" w14:paraId="37EC77C0" w14:textId="77777777" w:rsidTr="00393EB7">
        <w:trPr>
          <w:jc w:val="center"/>
        </w:trPr>
        <w:tc>
          <w:tcPr>
            <w:tcW w:w="2375" w:type="dxa"/>
            <w:shd w:val="clear" w:color="auto" w:fill="auto"/>
            <w:vAlign w:val="center"/>
          </w:tcPr>
          <w:p w14:paraId="3C3A42D4" w14:textId="77777777" w:rsidR="00CC50F4" w:rsidRPr="006645DC" w:rsidRDefault="00CC50F4" w:rsidP="00393E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left"/>
              <w:rPr>
                <w:rFonts w:eastAsia="Arial" w:cs="Calibri"/>
                <w:b/>
                <w:lang w:val="en-GB"/>
              </w:rPr>
            </w:pPr>
            <w:r w:rsidRPr="006645DC">
              <w:rPr>
                <w:rFonts w:eastAsia="Arial" w:cs="Calibri"/>
                <w:b/>
                <w:lang w:val="en-GB"/>
              </w:rPr>
              <w:t>County</w:t>
            </w:r>
          </w:p>
        </w:tc>
        <w:tc>
          <w:tcPr>
            <w:tcW w:w="2375" w:type="dxa"/>
            <w:shd w:val="clear" w:color="auto" w:fill="auto"/>
            <w:vAlign w:val="center"/>
          </w:tcPr>
          <w:p w14:paraId="222282FA"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b/>
                <w:lang w:val="en-GB"/>
              </w:rPr>
            </w:pPr>
            <w:bookmarkStart w:id="1850" w:name="_Toc376199959"/>
            <w:r w:rsidRPr="006645DC">
              <w:rPr>
                <w:rFonts w:eastAsia="Arial" w:cs="Calibri"/>
                <w:b/>
                <w:lang w:val="en-GB"/>
              </w:rPr>
              <w:t>2009</w:t>
            </w:r>
            <w:bookmarkEnd w:id="1850"/>
          </w:p>
        </w:tc>
        <w:tc>
          <w:tcPr>
            <w:tcW w:w="2375" w:type="dxa"/>
            <w:shd w:val="clear" w:color="auto" w:fill="auto"/>
            <w:vAlign w:val="center"/>
          </w:tcPr>
          <w:p w14:paraId="210780FF" w14:textId="77777777" w:rsidR="00CC50F4" w:rsidRPr="006645DC" w:rsidRDefault="00CC50F4" w:rsidP="00393E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lang w:val="en-GB"/>
              </w:rPr>
            </w:pPr>
            <w:r w:rsidRPr="006645DC">
              <w:rPr>
                <w:rFonts w:eastAsia="Arial" w:cs="Calibri"/>
                <w:b/>
                <w:lang w:val="en-GB"/>
              </w:rPr>
              <w:t>2010</w:t>
            </w:r>
          </w:p>
        </w:tc>
      </w:tr>
      <w:tr w:rsidR="00CC50F4" w:rsidRPr="006645DC" w14:paraId="2781B8AF" w14:textId="77777777" w:rsidTr="00393EB7">
        <w:trPr>
          <w:jc w:val="center"/>
        </w:trPr>
        <w:tc>
          <w:tcPr>
            <w:tcW w:w="2375" w:type="dxa"/>
            <w:shd w:val="clear" w:color="auto" w:fill="auto"/>
            <w:vAlign w:val="center"/>
          </w:tcPr>
          <w:p w14:paraId="05BAD4AC" w14:textId="77777777" w:rsidR="00CC50F4" w:rsidRPr="006645DC" w:rsidRDefault="00CC50F4" w:rsidP="00393E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left"/>
              <w:rPr>
                <w:rFonts w:eastAsia="Arial" w:cs="Calibri"/>
                <w:lang w:val="en-GB"/>
              </w:rPr>
            </w:pPr>
            <w:r w:rsidRPr="006645DC">
              <w:rPr>
                <w:rFonts w:eastAsia="Arial" w:cs="Calibri"/>
                <w:lang w:val="en-GB"/>
              </w:rPr>
              <w:t>Mehedinti</w:t>
            </w:r>
          </w:p>
        </w:tc>
        <w:tc>
          <w:tcPr>
            <w:tcW w:w="2375" w:type="dxa"/>
            <w:shd w:val="clear" w:color="auto" w:fill="auto"/>
            <w:vAlign w:val="center"/>
          </w:tcPr>
          <w:p w14:paraId="6B7D8EBE"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51" w:name="_Toc376199960"/>
            <w:r w:rsidRPr="006645DC">
              <w:rPr>
                <w:rFonts w:eastAsia="Arial" w:cs="Calibri"/>
                <w:lang w:val="en-GB"/>
              </w:rPr>
              <w:t>131,1</w:t>
            </w:r>
            <w:bookmarkEnd w:id="1851"/>
          </w:p>
        </w:tc>
        <w:tc>
          <w:tcPr>
            <w:tcW w:w="2375" w:type="dxa"/>
            <w:shd w:val="clear" w:color="auto" w:fill="auto"/>
            <w:vAlign w:val="center"/>
          </w:tcPr>
          <w:p w14:paraId="4AD9FB12"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52" w:name="_Toc376199961"/>
            <w:r w:rsidRPr="006645DC">
              <w:rPr>
                <w:rFonts w:eastAsia="Arial" w:cs="Calibri"/>
                <w:lang w:val="en-GB"/>
              </w:rPr>
              <w:t>159</w:t>
            </w:r>
            <w:bookmarkEnd w:id="1852"/>
          </w:p>
        </w:tc>
      </w:tr>
      <w:tr w:rsidR="00CC50F4" w:rsidRPr="006645DC" w14:paraId="59A4069B" w14:textId="77777777" w:rsidTr="00393EB7">
        <w:trPr>
          <w:jc w:val="center"/>
        </w:trPr>
        <w:tc>
          <w:tcPr>
            <w:tcW w:w="2375" w:type="dxa"/>
            <w:shd w:val="clear" w:color="auto" w:fill="auto"/>
            <w:vAlign w:val="center"/>
          </w:tcPr>
          <w:p w14:paraId="3696CE91"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left"/>
              <w:outlineLvl w:val="1"/>
              <w:rPr>
                <w:rFonts w:eastAsia="Arial" w:cs="Calibri"/>
                <w:lang w:val="en-GB"/>
              </w:rPr>
            </w:pPr>
            <w:bookmarkStart w:id="1853" w:name="_Toc376199962"/>
            <w:r w:rsidRPr="006645DC">
              <w:rPr>
                <w:rFonts w:eastAsia="Arial" w:cs="Calibri"/>
                <w:lang w:val="en-GB"/>
              </w:rPr>
              <w:t>Dolj</w:t>
            </w:r>
            <w:bookmarkEnd w:id="1853"/>
          </w:p>
        </w:tc>
        <w:tc>
          <w:tcPr>
            <w:tcW w:w="2375" w:type="dxa"/>
            <w:shd w:val="clear" w:color="auto" w:fill="auto"/>
            <w:vAlign w:val="center"/>
          </w:tcPr>
          <w:p w14:paraId="527F64F8"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54" w:name="_Toc376199963"/>
            <w:r w:rsidRPr="006645DC">
              <w:rPr>
                <w:rFonts w:eastAsia="Arial" w:cs="Calibri"/>
                <w:lang w:val="en-GB"/>
              </w:rPr>
              <w:t>124,6</w:t>
            </w:r>
            <w:bookmarkEnd w:id="1854"/>
          </w:p>
        </w:tc>
        <w:tc>
          <w:tcPr>
            <w:tcW w:w="2375" w:type="dxa"/>
            <w:shd w:val="clear" w:color="auto" w:fill="auto"/>
            <w:vAlign w:val="center"/>
          </w:tcPr>
          <w:p w14:paraId="7C516531"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55" w:name="_Toc376199964"/>
            <w:r w:rsidRPr="006645DC">
              <w:rPr>
                <w:rFonts w:eastAsia="Arial" w:cs="Calibri"/>
                <w:lang w:val="en-GB"/>
              </w:rPr>
              <w:t>164,1</w:t>
            </w:r>
            <w:bookmarkEnd w:id="1855"/>
          </w:p>
        </w:tc>
      </w:tr>
      <w:tr w:rsidR="00CC50F4" w:rsidRPr="006645DC" w14:paraId="36B073E9" w14:textId="77777777" w:rsidTr="00393EB7">
        <w:trPr>
          <w:jc w:val="center"/>
        </w:trPr>
        <w:tc>
          <w:tcPr>
            <w:tcW w:w="2375" w:type="dxa"/>
            <w:shd w:val="clear" w:color="auto" w:fill="auto"/>
            <w:vAlign w:val="center"/>
          </w:tcPr>
          <w:p w14:paraId="049E4141"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left"/>
              <w:outlineLvl w:val="1"/>
              <w:rPr>
                <w:rFonts w:eastAsia="Arial" w:cs="Calibri"/>
                <w:lang w:val="en-GB"/>
              </w:rPr>
            </w:pPr>
            <w:bookmarkStart w:id="1856" w:name="_Toc376199965"/>
            <w:r w:rsidRPr="006645DC">
              <w:rPr>
                <w:rFonts w:eastAsia="Arial" w:cs="Calibri"/>
                <w:lang w:val="en-GB"/>
              </w:rPr>
              <w:t>Olt</w:t>
            </w:r>
            <w:bookmarkEnd w:id="1856"/>
          </w:p>
        </w:tc>
        <w:tc>
          <w:tcPr>
            <w:tcW w:w="2375" w:type="dxa"/>
            <w:shd w:val="clear" w:color="auto" w:fill="auto"/>
            <w:vAlign w:val="center"/>
          </w:tcPr>
          <w:p w14:paraId="4639FF07"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57" w:name="_Toc376199966"/>
            <w:r w:rsidRPr="006645DC">
              <w:rPr>
                <w:rFonts w:eastAsia="Arial" w:cs="Calibri"/>
                <w:lang w:val="en-GB"/>
              </w:rPr>
              <w:t>65,5</w:t>
            </w:r>
            <w:bookmarkEnd w:id="1857"/>
          </w:p>
        </w:tc>
        <w:tc>
          <w:tcPr>
            <w:tcW w:w="2375" w:type="dxa"/>
            <w:shd w:val="clear" w:color="auto" w:fill="auto"/>
            <w:vAlign w:val="center"/>
          </w:tcPr>
          <w:p w14:paraId="39F99406"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58" w:name="_Toc376199967"/>
            <w:r w:rsidRPr="006645DC">
              <w:rPr>
                <w:rFonts w:eastAsia="Arial" w:cs="Calibri"/>
                <w:lang w:val="en-GB"/>
              </w:rPr>
              <w:t>81,2</w:t>
            </w:r>
            <w:bookmarkEnd w:id="1858"/>
          </w:p>
        </w:tc>
      </w:tr>
      <w:tr w:rsidR="00CC50F4" w:rsidRPr="006645DC" w14:paraId="35993972" w14:textId="77777777" w:rsidTr="00393EB7">
        <w:trPr>
          <w:jc w:val="center"/>
        </w:trPr>
        <w:tc>
          <w:tcPr>
            <w:tcW w:w="2375" w:type="dxa"/>
            <w:shd w:val="clear" w:color="auto" w:fill="auto"/>
            <w:vAlign w:val="center"/>
          </w:tcPr>
          <w:p w14:paraId="2A5B814C"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left"/>
              <w:outlineLvl w:val="1"/>
              <w:rPr>
                <w:rFonts w:eastAsia="Arial" w:cs="Calibri"/>
                <w:lang w:val="en-GB"/>
              </w:rPr>
            </w:pPr>
            <w:bookmarkStart w:id="1859" w:name="_Toc376199968"/>
            <w:r w:rsidRPr="006645DC">
              <w:rPr>
                <w:rFonts w:eastAsia="Arial" w:cs="Calibri"/>
                <w:lang w:val="en-GB"/>
              </w:rPr>
              <w:t>Teleorman</w:t>
            </w:r>
            <w:bookmarkEnd w:id="1859"/>
          </w:p>
        </w:tc>
        <w:tc>
          <w:tcPr>
            <w:tcW w:w="2375" w:type="dxa"/>
            <w:shd w:val="clear" w:color="auto" w:fill="auto"/>
            <w:vAlign w:val="center"/>
          </w:tcPr>
          <w:p w14:paraId="137BF74F"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60" w:name="_Toc376199969"/>
            <w:r w:rsidRPr="006645DC">
              <w:rPr>
                <w:rFonts w:eastAsia="Arial" w:cs="Calibri"/>
                <w:lang w:val="en-GB"/>
              </w:rPr>
              <w:t>50,8</w:t>
            </w:r>
            <w:bookmarkEnd w:id="1860"/>
          </w:p>
        </w:tc>
        <w:tc>
          <w:tcPr>
            <w:tcW w:w="2375" w:type="dxa"/>
            <w:shd w:val="clear" w:color="auto" w:fill="auto"/>
            <w:vAlign w:val="center"/>
          </w:tcPr>
          <w:p w14:paraId="15CB5C1B"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61" w:name="_Toc376199970"/>
            <w:r w:rsidRPr="006645DC">
              <w:rPr>
                <w:rFonts w:eastAsia="Arial" w:cs="Calibri"/>
                <w:lang w:val="en-GB"/>
              </w:rPr>
              <w:t>52,4</w:t>
            </w:r>
            <w:bookmarkEnd w:id="1861"/>
          </w:p>
        </w:tc>
      </w:tr>
      <w:tr w:rsidR="00CC50F4" w:rsidRPr="006645DC" w14:paraId="4D2A0509" w14:textId="77777777" w:rsidTr="00393EB7">
        <w:trPr>
          <w:jc w:val="center"/>
        </w:trPr>
        <w:tc>
          <w:tcPr>
            <w:tcW w:w="2375" w:type="dxa"/>
            <w:shd w:val="clear" w:color="auto" w:fill="auto"/>
            <w:vAlign w:val="center"/>
          </w:tcPr>
          <w:p w14:paraId="523DA8BF"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left"/>
              <w:outlineLvl w:val="1"/>
              <w:rPr>
                <w:rFonts w:eastAsia="Arial" w:cs="Calibri"/>
                <w:lang w:val="en-GB"/>
              </w:rPr>
            </w:pPr>
            <w:bookmarkStart w:id="1862" w:name="_Toc376199971"/>
            <w:r w:rsidRPr="006645DC">
              <w:rPr>
                <w:rFonts w:eastAsia="Arial" w:cs="Calibri"/>
                <w:lang w:val="en-GB"/>
              </w:rPr>
              <w:t>Giurgiu</w:t>
            </w:r>
            <w:bookmarkEnd w:id="1862"/>
          </w:p>
        </w:tc>
        <w:tc>
          <w:tcPr>
            <w:tcW w:w="2375" w:type="dxa"/>
            <w:shd w:val="clear" w:color="auto" w:fill="auto"/>
            <w:vAlign w:val="center"/>
          </w:tcPr>
          <w:p w14:paraId="227F9B87"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63" w:name="_Toc376199972"/>
            <w:r w:rsidRPr="006645DC">
              <w:rPr>
                <w:rFonts w:eastAsia="Arial" w:cs="Calibri"/>
                <w:lang w:val="en-GB"/>
              </w:rPr>
              <w:t>109,2</w:t>
            </w:r>
            <w:bookmarkEnd w:id="1863"/>
          </w:p>
        </w:tc>
        <w:tc>
          <w:tcPr>
            <w:tcW w:w="2375" w:type="dxa"/>
            <w:shd w:val="clear" w:color="auto" w:fill="auto"/>
            <w:vAlign w:val="center"/>
          </w:tcPr>
          <w:p w14:paraId="147E525A"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64" w:name="_Toc376199973"/>
            <w:r w:rsidRPr="006645DC">
              <w:rPr>
                <w:rFonts w:eastAsia="Arial" w:cs="Calibri"/>
                <w:lang w:val="en-GB"/>
              </w:rPr>
              <w:t>111,6</w:t>
            </w:r>
            <w:bookmarkEnd w:id="1864"/>
          </w:p>
        </w:tc>
      </w:tr>
      <w:tr w:rsidR="00CC50F4" w:rsidRPr="006645DC" w14:paraId="3FDB3D20" w14:textId="77777777" w:rsidTr="00393EB7">
        <w:trPr>
          <w:jc w:val="center"/>
        </w:trPr>
        <w:tc>
          <w:tcPr>
            <w:tcW w:w="2375" w:type="dxa"/>
            <w:shd w:val="clear" w:color="auto" w:fill="auto"/>
            <w:vAlign w:val="center"/>
          </w:tcPr>
          <w:p w14:paraId="601008E7"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left"/>
              <w:outlineLvl w:val="1"/>
              <w:rPr>
                <w:rFonts w:eastAsia="Arial" w:cs="Calibri"/>
                <w:lang w:val="en-GB"/>
              </w:rPr>
            </w:pPr>
            <w:bookmarkStart w:id="1865" w:name="_Toc376199974"/>
            <w:r w:rsidRPr="006645DC">
              <w:rPr>
                <w:rFonts w:eastAsia="Arial" w:cs="Calibri"/>
                <w:lang w:val="en-GB"/>
              </w:rPr>
              <w:t>Călăraşi</w:t>
            </w:r>
            <w:bookmarkEnd w:id="1865"/>
          </w:p>
        </w:tc>
        <w:tc>
          <w:tcPr>
            <w:tcW w:w="2375" w:type="dxa"/>
            <w:shd w:val="clear" w:color="auto" w:fill="auto"/>
            <w:vAlign w:val="center"/>
          </w:tcPr>
          <w:p w14:paraId="62326F91"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66" w:name="_Toc376199975"/>
            <w:r w:rsidRPr="006645DC">
              <w:rPr>
                <w:rFonts w:eastAsia="Arial" w:cs="Calibri"/>
                <w:lang w:val="en-GB"/>
              </w:rPr>
              <w:t>125,8</w:t>
            </w:r>
            <w:bookmarkEnd w:id="1866"/>
          </w:p>
        </w:tc>
        <w:tc>
          <w:tcPr>
            <w:tcW w:w="2375" w:type="dxa"/>
            <w:shd w:val="clear" w:color="auto" w:fill="auto"/>
            <w:vAlign w:val="center"/>
          </w:tcPr>
          <w:p w14:paraId="43EEEBDC"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67" w:name="_Toc376199976"/>
            <w:r w:rsidRPr="006645DC">
              <w:rPr>
                <w:rFonts w:eastAsia="Arial" w:cs="Calibri"/>
                <w:lang w:val="en-GB"/>
              </w:rPr>
              <w:t>110,6</w:t>
            </w:r>
            <w:bookmarkEnd w:id="1867"/>
          </w:p>
        </w:tc>
      </w:tr>
      <w:tr w:rsidR="00CC50F4" w:rsidRPr="006645DC" w14:paraId="7A7062C7" w14:textId="77777777" w:rsidTr="00393EB7">
        <w:trPr>
          <w:jc w:val="center"/>
        </w:trPr>
        <w:tc>
          <w:tcPr>
            <w:tcW w:w="2375" w:type="dxa"/>
            <w:shd w:val="clear" w:color="auto" w:fill="auto"/>
            <w:vAlign w:val="center"/>
          </w:tcPr>
          <w:p w14:paraId="58C4C52C"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left"/>
              <w:outlineLvl w:val="1"/>
              <w:rPr>
                <w:rFonts w:eastAsia="Arial" w:cs="Calibri"/>
                <w:lang w:val="en-GB"/>
              </w:rPr>
            </w:pPr>
            <w:bookmarkStart w:id="1868" w:name="_Toc376199977"/>
            <w:r w:rsidRPr="006645DC">
              <w:rPr>
                <w:rFonts w:eastAsia="Arial" w:cs="Calibri"/>
                <w:lang w:val="en-GB"/>
              </w:rPr>
              <w:t>Constanta</w:t>
            </w:r>
            <w:bookmarkEnd w:id="1868"/>
          </w:p>
        </w:tc>
        <w:tc>
          <w:tcPr>
            <w:tcW w:w="2375" w:type="dxa"/>
            <w:shd w:val="clear" w:color="auto" w:fill="auto"/>
            <w:vAlign w:val="center"/>
          </w:tcPr>
          <w:p w14:paraId="0FCD0CF1"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69" w:name="_Toc376199978"/>
            <w:r w:rsidRPr="006645DC">
              <w:rPr>
                <w:rFonts w:eastAsia="Arial" w:cs="Calibri"/>
                <w:lang w:val="en-GB"/>
              </w:rPr>
              <w:t>59,7</w:t>
            </w:r>
            <w:bookmarkEnd w:id="1869"/>
          </w:p>
        </w:tc>
        <w:tc>
          <w:tcPr>
            <w:tcW w:w="2375" w:type="dxa"/>
            <w:shd w:val="clear" w:color="auto" w:fill="auto"/>
            <w:vAlign w:val="center"/>
          </w:tcPr>
          <w:p w14:paraId="487638DD"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right"/>
              <w:outlineLvl w:val="1"/>
              <w:rPr>
                <w:rFonts w:eastAsia="Arial" w:cs="Calibri"/>
                <w:lang w:val="en-GB"/>
              </w:rPr>
            </w:pPr>
            <w:bookmarkStart w:id="1870" w:name="_Toc376199979"/>
            <w:r w:rsidRPr="006645DC">
              <w:rPr>
                <w:rFonts w:eastAsia="Arial" w:cs="Calibri"/>
                <w:lang w:val="en-GB"/>
              </w:rPr>
              <w:t>52,9</w:t>
            </w:r>
            <w:bookmarkEnd w:id="1870"/>
          </w:p>
        </w:tc>
      </w:tr>
    </w:tbl>
    <w:p w14:paraId="448A6D18" w14:textId="77777777" w:rsidR="00850E00" w:rsidRPr="006645DC" w:rsidRDefault="00850E00" w:rsidP="00850E00">
      <w:pPr>
        <w:pStyle w:val="Caption"/>
        <w:rPr>
          <w:lang w:val="en-GB"/>
        </w:rPr>
      </w:pPr>
      <w:bookmarkStart w:id="1871" w:name="_Toc391150145"/>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48</w:t>
      </w:r>
      <w:r w:rsidR="005979EB" w:rsidRPr="006645DC">
        <w:rPr>
          <w:lang w:val="en-GB"/>
        </w:rPr>
        <w:fldChar w:fldCharType="end"/>
      </w:r>
      <w:r w:rsidRPr="006645DC">
        <w:rPr>
          <w:lang w:val="en-GB"/>
        </w:rPr>
        <w:t xml:space="preserve"> - Annual forest feelings, Romania (1000m3)</w:t>
      </w:r>
      <w:bookmarkEnd w:id="1871"/>
    </w:p>
    <w:p w14:paraId="0D8814DA" w14:textId="77777777" w:rsidR="00CC50F4" w:rsidRPr="006645DC" w:rsidRDefault="00CC50F4" w:rsidP="00CC50F4">
      <w:pPr>
        <w:spacing w:before="0"/>
        <w:jc w:val="right"/>
        <w:rPr>
          <w:lang w:val="en-GB"/>
        </w:rPr>
      </w:pPr>
      <w:r w:rsidRPr="006645DC">
        <w:rPr>
          <w:rFonts w:eastAsia="Times New Roman"/>
          <w:bCs/>
          <w:i/>
          <w:iCs/>
          <w:sz w:val="18"/>
          <w:lang w:val="en-GB"/>
        </w:rPr>
        <w:t>Source: National Institute of Statistics, Romania</w:t>
      </w:r>
    </w:p>
    <w:p w14:paraId="3894AE96" w14:textId="77777777" w:rsidR="00CC50F4" w:rsidRPr="006645DC" w:rsidRDefault="00AA4C82" w:rsidP="00AE3C16">
      <w:pPr>
        <w:rPr>
          <w:lang w:val="en-GB"/>
        </w:rPr>
      </w:pPr>
      <w:r w:rsidRPr="006645DC">
        <w:rPr>
          <w:lang w:val="en-GB"/>
        </w:rPr>
        <w:t>The Bulgarian side of the cross-border region represents 52% of all arable lands in Bulgaria. The region is specific for its vineyards, representing more than 20% of the total vineyard fields in Bulgaria. The district of Dobrich is occupying first place in the country in terms of agricultural land with 375350 ha, out of which more than 88% are used. This high rate of use of the agricultural land puts the district first in the country. On the other hand, the district of Vidin occupies second place in the country in terms of amount of non-used agricultural land. The unused agricultural land in the district represents 7.7% of all unused agricultural land in Bulgaria and the highest rate of unused land within the district with 21.7%.</w:t>
      </w:r>
      <w:r w:rsidRPr="006645DC">
        <w:rPr>
          <w:rStyle w:val="FootnoteReference"/>
          <w:lang w:val="en-GB"/>
        </w:rPr>
        <w:footnoteReference w:id="43"/>
      </w:r>
    </w:p>
    <w:p w14:paraId="3AFA7D98" w14:textId="77777777" w:rsidR="00CC50F4" w:rsidRPr="006645DC" w:rsidRDefault="00AA4C82" w:rsidP="00CC50F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81" w:lineRule="auto"/>
        <w:jc w:val="center"/>
        <w:rPr>
          <w:rFonts w:ascii="Arial" w:eastAsia="Arial" w:hAnsi="Arial"/>
          <w:b/>
          <w:color w:val="31849B"/>
          <w:sz w:val="24"/>
          <w:lang w:val="en-GB"/>
        </w:rPr>
      </w:pPr>
      <w:r w:rsidRPr="006645DC">
        <w:rPr>
          <w:rFonts w:ascii="Arial" w:eastAsia="Arial" w:hAnsi="Arial"/>
          <w:b/>
          <w:noProof/>
          <w:color w:val="31849B"/>
          <w:sz w:val="24"/>
          <w:lang w:val="bg-BG" w:eastAsia="bg-BG"/>
        </w:rPr>
        <w:lastRenderedPageBreak/>
        <w:drawing>
          <wp:inline distT="0" distB="0" distL="0" distR="0" wp14:anchorId="62CB3F50" wp14:editId="2A48C119">
            <wp:extent cx="5629275" cy="5191125"/>
            <wp:effectExtent l="19050" t="0" r="9525" b="0"/>
            <wp:docPr id="91"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29"/>
                    <a:srcRect/>
                    <a:stretch>
                      <a:fillRect/>
                    </a:stretch>
                  </pic:blipFill>
                  <pic:spPr bwMode="auto">
                    <a:xfrm>
                      <a:off x="0" y="0"/>
                      <a:ext cx="5629275" cy="5191125"/>
                    </a:xfrm>
                    <a:prstGeom prst="rect">
                      <a:avLst/>
                    </a:prstGeom>
                    <a:noFill/>
                    <a:ln w="9525">
                      <a:noFill/>
                      <a:miter lim="800000"/>
                      <a:headEnd/>
                      <a:tailEnd/>
                    </a:ln>
                  </pic:spPr>
                </pic:pic>
              </a:graphicData>
            </a:graphic>
          </wp:inline>
        </w:drawing>
      </w:r>
    </w:p>
    <w:p w14:paraId="36B10689" w14:textId="77777777" w:rsidR="00CC50F4" w:rsidRPr="006645DC" w:rsidRDefault="00850E00" w:rsidP="00850E00">
      <w:pPr>
        <w:pStyle w:val="Caption"/>
        <w:rPr>
          <w:lang w:val="en-GB"/>
        </w:rPr>
      </w:pPr>
      <w:bookmarkStart w:id="1872" w:name="_Toc391150038"/>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34</w:t>
      </w:r>
      <w:r w:rsidR="005979EB" w:rsidRPr="006645DC">
        <w:rPr>
          <w:lang w:val="en-GB"/>
        </w:rPr>
        <w:fldChar w:fldCharType="end"/>
      </w:r>
      <w:r w:rsidRPr="006645DC">
        <w:rPr>
          <w:lang w:val="en-GB"/>
        </w:rPr>
        <w:t xml:space="preserve"> - </w:t>
      </w:r>
      <w:r w:rsidR="00CC50F4" w:rsidRPr="006645DC">
        <w:rPr>
          <w:lang w:val="en-GB"/>
        </w:rPr>
        <w:t>Structure of the agricultural real estate</w:t>
      </w:r>
      <w:bookmarkEnd w:id="1872"/>
    </w:p>
    <w:p w14:paraId="40549933" w14:textId="77777777" w:rsidR="00CC50F4" w:rsidRPr="006645DC" w:rsidRDefault="00CC50F4" w:rsidP="00CC50F4">
      <w:pPr>
        <w:pStyle w:val="Heading4"/>
        <w:rPr>
          <w:lang w:val="en-GB"/>
        </w:rPr>
      </w:pPr>
      <w:r w:rsidRPr="006645DC">
        <w:rPr>
          <w:lang w:val="en-GB"/>
        </w:rPr>
        <w:t>Data source: EVOLUTION</w:t>
      </w:r>
    </w:p>
    <w:p w14:paraId="088614CB" w14:textId="77777777" w:rsidR="00CC50F4" w:rsidRPr="006645DC" w:rsidRDefault="00CC50F4" w:rsidP="00CC50F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rPr>
          <w:rFonts w:ascii="Arial" w:eastAsia="Arial" w:hAnsi="Arial"/>
          <w:b/>
          <w:color w:val="31849B"/>
          <w:sz w:val="24"/>
          <w:lang w:val="en-GB"/>
        </w:rPr>
      </w:pPr>
    </w:p>
    <w:p w14:paraId="1AD86C5E" w14:textId="77777777" w:rsidR="00CC50F4" w:rsidRPr="006645DC" w:rsidRDefault="00CC50F4" w:rsidP="00AE3C16">
      <w:pPr>
        <w:pStyle w:val="Heading2"/>
        <w:rPr>
          <w:lang w:val="en-GB"/>
        </w:rPr>
      </w:pPr>
      <w:bookmarkStart w:id="1873" w:name="_Toc371107213"/>
      <w:bookmarkStart w:id="1874" w:name="_Toc376199980"/>
      <w:bookmarkStart w:id="1875" w:name="_Toc254543835"/>
      <w:bookmarkStart w:id="1876" w:name="_Toc391150208"/>
      <w:r w:rsidRPr="006645DC">
        <w:rPr>
          <w:lang w:val="en-GB"/>
        </w:rPr>
        <w:t>Protected areas</w:t>
      </w:r>
      <w:bookmarkEnd w:id="1873"/>
      <w:bookmarkEnd w:id="1874"/>
      <w:bookmarkEnd w:id="1875"/>
      <w:bookmarkEnd w:id="1876"/>
    </w:p>
    <w:p w14:paraId="7BC20399" w14:textId="77777777" w:rsidR="00CC50F4" w:rsidRPr="006645DC" w:rsidRDefault="00CC50F4" w:rsidP="00CC50F4">
      <w:pPr>
        <w:rPr>
          <w:lang w:val="en-GB" w:eastAsia="hu-HU"/>
        </w:rPr>
      </w:pPr>
      <w:r w:rsidRPr="006645DC">
        <w:rPr>
          <w:lang w:val="en-GB" w:eastAsia="hu-HU"/>
        </w:rPr>
        <w:t>The cross-border region is characterised by an exceptional biological diversity and by valuable natural and cultural landscapes. There are several natural parks and protected areas along the Danube in the cross-border area. The most important ones are the following at NUTS level 3:</w:t>
      </w:r>
    </w:p>
    <w:p w14:paraId="5D11004A" w14:textId="77777777" w:rsidR="00CC50F4" w:rsidRPr="006645DC" w:rsidRDefault="00CC50F4" w:rsidP="00CC50F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81" w:lineRule="auto"/>
        <w:rPr>
          <w:rFonts w:ascii="Arial" w:eastAsia="Arial" w:hAnsi="Arial"/>
          <w:sz w:val="24"/>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728"/>
        <w:gridCol w:w="1859"/>
        <w:gridCol w:w="3983"/>
        <w:gridCol w:w="1628"/>
      </w:tblGrid>
      <w:tr w:rsidR="00CC50F4" w:rsidRPr="006645DC" w14:paraId="3A74FC00" w14:textId="77777777" w:rsidTr="00393EB7">
        <w:trPr>
          <w:jc w:val="center"/>
        </w:trPr>
        <w:tc>
          <w:tcPr>
            <w:tcW w:w="1728" w:type="dxa"/>
            <w:tcBorders>
              <w:top w:val="single" w:sz="4" w:space="0" w:color="auto"/>
              <w:left w:val="single" w:sz="4" w:space="0" w:color="auto"/>
              <w:bottom w:val="single" w:sz="4" w:space="0" w:color="auto"/>
              <w:right w:val="single" w:sz="4" w:space="0" w:color="auto"/>
            </w:tcBorders>
            <w:shd w:val="clear" w:color="auto" w:fill="76923C"/>
            <w:vAlign w:val="center"/>
          </w:tcPr>
          <w:p w14:paraId="7044EC86"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hAnsi="Calibri" w:cs="Calibri"/>
                <w:b/>
                <w:color w:val="FFFFFF"/>
                <w:sz w:val="22"/>
                <w:szCs w:val="22"/>
                <w:lang w:val="en-GB"/>
              </w:rPr>
            </w:pPr>
            <w:r w:rsidRPr="006645DC">
              <w:rPr>
                <w:rFonts w:ascii="Calibri" w:hAnsi="Calibri" w:cs="Calibri"/>
                <w:b/>
                <w:color w:val="FFFFFF"/>
                <w:sz w:val="22"/>
                <w:szCs w:val="22"/>
                <w:lang w:val="en-GB"/>
              </w:rPr>
              <w:lastRenderedPageBreak/>
              <w:t>Country</w:t>
            </w:r>
          </w:p>
        </w:tc>
        <w:tc>
          <w:tcPr>
            <w:tcW w:w="1859" w:type="dxa"/>
            <w:tcBorders>
              <w:top w:val="single" w:sz="4" w:space="0" w:color="auto"/>
              <w:left w:val="single" w:sz="4" w:space="0" w:color="auto"/>
              <w:bottom w:val="single" w:sz="4" w:space="0" w:color="auto"/>
              <w:right w:val="single" w:sz="4" w:space="0" w:color="auto"/>
            </w:tcBorders>
            <w:shd w:val="clear" w:color="auto" w:fill="76923C"/>
            <w:vAlign w:val="center"/>
          </w:tcPr>
          <w:p w14:paraId="1F32C220"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hAnsi="Calibri" w:cs="Calibri"/>
                <w:b/>
                <w:color w:val="FFFFFF"/>
                <w:sz w:val="22"/>
                <w:szCs w:val="22"/>
                <w:lang w:val="en-GB"/>
              </w:rPr>
            </w:pPr>
            <w:r w:rsidRPr="006645DC">
              <w:rPr>
                <w:rFonts w:ascii="Calibri" w:hAnsi="Calibri" w:cs="Calibri"/>
                <w:b/>
                <w:color w:val="FFFFFF"/>
                <w:sz w:val="22"/>
                <w:szCs w:val="22"/>
                <w:lang w:val="en-GB"/>
              </w:rPr>
              <w:t>District/County</w:t>
            </w:r>
          </w:p>
        </w:tc>
        <w:tc>
          <w:tcPr>
            <w:tcW w:w="3983" w:type="dxa"/>
            <w:tcBorders>
              <w:top w:val="single" w:sz="4" w:space="0" w:color="auto"/>
              <w:left w:val="single" w:sz="4" w:space="0" w:color="auto"/>
              <w:bottom w:val="single" w:sz="4" w:space="0" w:color="auto"/>
              <w:right w:val="single" w:sz="4" w:space="0" w:color="auto"/>
            </w:tcBorders>
            <w:shd w:val="clear" w:color="auto" w:fill="76923C"/>
            <w:vAlign w:val="center"/>
          </w:tcPr>
          <w:p w14:paraId="794DF966"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hAnsi="Calibri" w:cs="Calibri"/>
                <w:b/>
                <w:color w:val="FFFFFF"/>
                <w:sz w:val="22"/>
                <w:szCs w:val="22"/>
                <w:lang w:val="en-GB"/>
              </w:rPr>
            </w:pPr>
            <w:r w:rsidRPr="006645DC">
              <w:rPr>
                <w:rFonts w:ascii="Calibri" w:hAnsi="Calibri" w:cs="Calibri"/>
                <w:b/>
                <w:color w:val="FFFFFF"/>
                <w:sz w:val="22"/>
                <w:szCs w:val="22"/>
                <w:lang w:val="en-GB"/>
              </w:rPr>
              <w:t>Protected area</w:t>
            </w:r>
          </w:p>
        </w:tc>
        <w:tc>
          <w:tcPr>
            <w:tcW w:w="1628" w:type="dxa"/>
            <w:tcBorders>
              <w:top w:val="single" w:sz="4" w:space="0" w:color="auto"/>
              <w:left w:val="single" w:sz="4" w:space="0" w:color="auto"/>
              <w:bottom w:val="single" w:sz="4" w:space="0" w:color="auto"/>
              <w:right w:val="single" w:sz="4" w:space="0" w:color="auto"/>
            </w:tcBorders>
            <w:shd w:val="clear" w:color="auto" w:fill="76923C"/>
            <w:vAlign w:val="center"/>
          </w:tcPr>
          <w:p w14:paraId="3F65AB9A"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hAnsi="Calibri" w:cs="Calibri"/>
                <w:b/>
                <w:color w:val="FFFFFF"/>
                <w:sz w:val="22"/>
                <w:szCs w:val="22"/>
                <w:lang w:val="en-GB"/>
              </w:rPr>
            </w:pPr>
            <w:r w:rsidRPr="006645DC">
              <w:rPr>
                <w:rFonts w:ascii="Calibri" w:hAnsi="Calibri" w:cs="Calibri"/>
                <w:b/>
                <w:color w:val="FFFFFF"/>
                <w:sz w:val="22"/>
                <w:szCs w:val="22"/>
                <w:lang w:val="en-GB"/>
              </w:rPr>
              <w:t>Area</w:t>
            </w:r>
          </w:p>
        </w:tc>
      </w:tr>
      <w:tr w:rsidR="00CC50F4" w:rsidRPr="006645DC" w14:paraId="513FDC1E" w14:textId="77777777" w:rsidTr="00FD1769">
        <w:trPr>
          <w:jc w:val="center"/>
        </w:trPr>
        <w:tc>
          <w:tcPr>
            <w:tcW w:w="1728" w:type="dxa"/>
            <w:vMerge w:val="restart"/>
            <w:vAlign w:val="center"/>
          </w:tcPr>
          <w:p w14:paraId="34F469A9"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hAnsi="Calibri" w:cs="Calibri"/>
                <w:b/>
                <w:sz w:val="22"/>
                <w:szCs w:val="22"/>
                <w:lang w:val="en-GB"/>
              </w:rPr>
            </w:pPr>
            <w:r w:rsidRPr="006645DC">
              <w:rPr>
                <w:rFonts w:ascii="Calibri" w:hAnsi="Calibri" w:cs="Calibri"/>
                <w:b/>
                <w:sz w:val="22"/>
                <w:szCs w:val="22"/>
                <w:lang w:val="en-GB"/>
              </w:rPr>
              <w:t>Bulgaria</w:t>
            </w:r>
          </w:p>
        </w:tc>
        <w:tc>
          <w:tcPr>
            <w:tcW w:w="1859" w:type="dxa"/>
            <w:vAlign w:val="center"/>
          </w:tcPr>
          <w:p w14:paraId="1F86542F"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hAnsi="Calibri" w:cs="Calibri"/>
                <w:sz w:val="22"/>
                <w:szCs w:val="22"/>
                <w:lang w:val="en-GB"/>
              </w:rPr>
            </w:pPr>
            <w:bookmarkStart w:id="1877" w:name="_Toc376199981"/>
            <w:r w:rsidRPr="006645DC">
              <w:rPr>
                <w:rFonts w:ascii="Calibri" w:hAnsi="Calibri" w:cs="Calibri"/>
                <w:sz w:val="22"/>
                <w:szCs w:val="22"/>
                <w:lang w:val="en-GB"/>
              </w:rPr>
              <w:t>Vidin</w:t>
            </w:r>
            <w:bookmarkEnd w:id="1877"/>
          </w:p>
        </w:tc>
        <w:tc>
          <w:tcPr>
            <w:tcW w:w="3983" w:type="dxa"/>
            <w:vAlign w:val="center"/>
          </w:tcPr>
          <w:p w14:paraId="7F58561A"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hAnsi="Calibri" w:cs="Calibri"/>
                <w:sz w:val="22"/>
                <w:szCs w:val="22"/>
                <w:lang w:val="en-GB"/>
              </w:rPr>
            </w:pPr>
            <w:bookmarkStart w:id="1878" w:name="_Toc376199982"/>
            <w:r w:rsidRPr="006645DC">
              <w:rPr>
                <w:rFonts w:ascii="Calibri" w:hAnsi="Calibri" w:cs="Calibri"/>
                <w:sz w:val="22"/>
                <w:szCs w:val="22"/>
                <w:lang w:val="en-GB"/>
              </w:rPr>
              <w:t>Chuprene Forest Reserve</w:t>
            </w:r>
            <w:bookmarkEnd w:id="1878"/>
          </w:p>
        </w:tc>
        <w:tc>
          <w:tcPr>
            <w:tcW w:w="1628" w:type="dxa"/>
            <w:vAlign w:val="center"/>
          </w:tcPr>
          <w:p w14:paraId="7AEC2B23"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879" w:name="_Toc376199983"/>
            <w:r w:rsidRPr="006645DC">
              <w:rPr>
                <w:rFonts w:ascii="Calibri" w:hAnsi="Calibri" w:cs="Calibri"/>
                <w:sz w:val="22"/>
                <w:szCs w:val="22"/>
                <w:lang w:val="en-GB"/>
              </w:rPr>
              <w:t>1 439 ha</w:t>
            </w:r>
            <w:bookmarkEnd w:id="1879"/>
          </w:p>
        </w:tc>
      </w:tr>
      <w:tr w:rsidR="00CC50F4" w:rsidRPr="006645DC" w14:paraId="43C570AF" w14:textId="77777777" w:rsidTr="00FD1769">
        <w:trPr>
          <w:jc w:val="center"/>
        </w:trPr>
        <w:tc>
          <w:tcPr>
            <w:tcW w:w="1728" w:type="dxa"/>
            <w:vMerge/>
            <w:vAlign w:val="center"/>
          </w:tcPr>
          <w:p w14:paraId="19EC5539"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vAlign w:val="center"/>
          </w:tcPr>
          <w:p w14:paraId="1A8E3BE2"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hAnsi="Calibri" w:cs="Calibri"/>
                <w:sz w:val="22"/>
                <w:szCs w:val="22"/>
                <w:lang w:val="en-GB"/>
              </w:rPr>
            </w:pPr>
            <w:bookmarkStart w:id="1880" w:name="_Toc376199984"/>
            <w:r w:rsidRPr="006645DC">
              <w:rPr>
                <w:rFonts w:ascii="Calibri" w:hAnsi="Calibri" w:cs="Calibri"/>
                <w:sz w:val="22"/>
                <w:szCs w:val="22"/>
                <w:lang w:val="en-GB"/>
              </w:rPr>
              <w:t>Montana</w:t>
            </w:r>
            <w:bookmarkEnd w:id="1880"/>
          </w:p>
        </w:tc>
        <w:tc>
          <w:tcPr>
            <w:tcW w:w="3983" w:type="dxa"/>
            <w:vAlign w:val="center"/>
          </w:tcPr>
          <w:p w14:paraId="5D9C0E36" w14:textId="77777777" w:rsidR="00CC50F4" w:rsidRPr="002448E1"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hAnsi="Calibri" w:cs="Calibri"/>
                <w:sz w:val="22"/>
                <w:szCs w:val="22"/>
                <w:lang w:val="it-IT"/>
              </w:rPr>
            </w:pPr>
            <w:bookmarkStart w:id="1881" w:name="_Toc376199985"/>
            <w:r w:rsidRPr="002448E1">
              <w:rPr>
                <w:rFonts w:ascii="Calibri" w:hAnsi="Calibri" w:cs="Calibri"/>
                <w:sz w:val="22"/>
                <w:szCs w:val="22"/>
                <w:lang w:val="it-IT"/>
              </w:rPr>
              <w:t>Gornata Koria Reserve</w:t>
            </w:r>
            <w:bookmarkEnd w:id="1881"/>
            <w:r w:rsidRPr="002448E1">
              <w:rPr>
                <w:rFonts w:ascii="Calibri" w:hAnsi="Calibri" w:cs="Calibri"/>
                <w:sz w:val="22"/>
                <w:szCs w:val="22"/>
                <w:lang w:val="it-IT"/>
              </w:rPr>
              <w:t xml:space="preserve"> </w:t>
            </w:r>
          </w:p>
          <w:p w14:paraId="46DA27E6" w14:textId="77777777" w:rsidR="00CC50F4" w:rsidRPr="002448E1"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hAnsi="Calibri" w:cs="Calibri"/>
                <w:sz w:val="22"/>
                <w:szCs w:val="22"/>
                <w:lang w:val="it-IT"/>
              </w:rPr>
            </w:pPr>
            <w:r w:rsidRPr="002448E1">
              <w:rPr>
                <w:rFonts w:ascii="Calibri" w:hAnsi="Calibri" w:cs="Calibri"/>
                <w:sz w:val="22"/>
                <w:szCs w:val="22"/>
                <w:lang w:val="it-IT"/>
              </w:rPr>
              <w:t>Ibisha Nature Reserve</w:t>
            </w:r>
          </w:p>
        </w:tc>
        <w:tc>
          <w:tcPr>
            <w:tcW w:w="1628" w:type="dxa"/>
            <w:vAlign w:val="center"/>
          </w:tcPr>
          <w:p w14:paraId="3A398D2E"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882" w:name="_Toc376199986"/>
            <w:r w:rsidRPr="006645DC">
              <w:rPr>
                <w:rFonts w:ascii="Calibri" w:hAnsi="Calibri" w:cs="Calibri"/>
                <w:sz w:val="22"/>
                <w:szCs w:val="22"/>
                <w:lang w:val="en-GB"/>
              </w:rPr>
              <w:t>161 ha</w:t>
            </w:r>
            <w:bookmarkEnd w:id="1882"/>
          </w:p>
          <w:p w14:paraId="4CE9E365"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rPr>
                <w:rFonts w:ascii="Calibri" w:hAnsi="Calibri" w:cs="Calibri"/>
                <w:sz w:val="22"/>
                <w:szCs w:val="22"/>
                <w:lang w:val="en-GB"/>
              </w:rPr>
            </w:pPr>
            <w:r w:rsidRPr="006645DC">
              <w:rPr>
                <w:rFonts w:ascii="Calibri" w:hAnsi="Calibri" w:cs="Calibri"/>
                <w:sz w:val="22"/>
                <w:szCs w:val="22"/>
                <w:lang w:val="en-GB"/>
              </w:rPr>
              <w:t>34 ha</w:t>
            </w:r>
          </w:p>
        </w:tc>
      </w:tr>
      <w:tr w:rsidR="00CC50F4" w:rsidRPr="006645DC" w14:paraId="3F75F48F" w14:textId="77777777" w:rsidTr="00FD1769">
        <w:trPr>
          <w:jc w:val="center"/>
        </w:trPr>
        <w:tc>
          <w:tcPr>
            <w:tcW w:w="1728" w:type="dxa"/>
            <w:vMerge/>
            <w:vAlign w:val="center"/>
          </w:tcPr>
          <w:p w14:paraId="0880BEFF"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vAlign w:val="center"/>
          </w:tcPr>
          <w:p w14:paraId="4E2BF2CF"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hAnsi="Calibri" w:cs="Calibri"/>
                <w:sz w:val="22"/>
                <w:szCs w:val="22"/>
                <w:lang w:val="en-GB"/>
              </w:rPr>
            </w:pPr>
            <w:bookmarkStart w:id="1883" w:name="_Toc376199987"/>
            <w:r w:rsidRPr="006645DC">
              <w:rPr>
                <w:rFonts w:ascii="Calibri" w:hAnsi="Calibri" w:cs="Calibri"/>
                <w:sz w:val="22"/>
                <w:szCs w:val="22"/>
                <w:lang w:val="en-GB"/>
              </w:rPr>
              <w:t>Vratsa</w:t>
            </w:r>
            <w:bookmarkEnd w:id="1883"/>
          </w:p>
        </w:tc>
        <w:tc>
          <w:tcPr>
            <w:tcW w:w="3983" w:type="dxa"/>
            <w:vAlign w:val="center"/>
          </w:tcPr>
          <w:p w14:paraId="070ED58E" w14:textId="77777777" w:rsidR="00CC50F4" w:rsidRPr="002448E1" w:rsidRDefault="00AE6879"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hAnsi="Calibri" w:cs="Calibri"/>
                <w:sz w:val="22"/>
                <w:szCs w:val="22"/>
                <w:lang w:val="de-DE"/>
              </w:rPr>
            </w:pPr>
            <w:bookmarkStart w:id="1884" w:name="_Toc376199988"/>
            <w:r w:rsidRPr="002448E1">
              <w:rPr>
                <w:rFonts w:ascii="Calibri" w:hAnsi="Calibri" w:cs="Calibri"/>
                <w:sz w:val="22"/>
                <w:szCs w:val="22"/>
                <w:lang w:val="de-DE"/>
              </w:rPr>
              <w:t>Vrachanski Balkan Natural Park</w:t>
            </w:r>
            <w:bookmarkEnd w:id="1884"/>
            <w:r w:rsidRPr="002448E1">
              <w:rPr>
                <w:rFonts w:ascii="Calibri" w:hAnsi="Calibri" w:cs="Calibri"/>
                <w:sz w:val="22"/>
                <w:szCs w:val="22"/>
                <w:lang w:val="de-DE"/>
              </w:rPr>
              <w:t xml:space="preserve"> </w:t>
            </w:r>
          </w:p>
          <w:p w14:paraId="5F2360B5" w14:textId="77777777" w:rsidR="00CC50F4" w:rsidRPr="002448E1" w:rsidRDefault="00AE6879"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hAnsi="Calibri" w:cs="Calibri"/>
                <w:sz w:val="22"/>
                <w:szCs w:val="22"/>
                <w:lang w:val="de-DE"/>
              </w:rPr>
            </w:pPr>
            <w:r w:rsidRPr="002448E1">
              <w:rPr>
                <w:rFonts w:ascii="Calibri" w:hAnsi="Calibri" w:cs="Calibri"/>
                <w:sz w:val="22"/>
                <w:szCs w:val="22"/>
                <w:lang w:val="de-DE"/>
              </w:rPr>
              <w:t>Vrachanski Reserve</w:t>
            </w:r>
          </w:p>
        </w:tc>
        <w:tc>
          <w:tcPr>
            <w:tcW w:w="1628" w:type="dxa"/>
            <w:vAlign w:val="center"/>
          </w:tcPr>
          <w:p w14:paraId="6B41DB77"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885" w:name="_Toc376199989"/>
            <w:r w:rsidRPr="006645DC">
              <w:rPr>
                <w:rFonts w:ascii="Calibri" w:hAnsi="Calibri" w:cs="Calibri"/>
                <w:sz w:val="22"/>
                <w:szCs w:val="22"/>
                <w:lang w:val="en-GB"/>
              </w:rPr>
              <w:t>28 844 ha</w:t>
            </w:r>
            <w:bookmarkEnd w:id="1885"/>
          </w:p>
          <w:p w14:paraId="588D4AA8"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rPr>
                <w:rFonts w:ascii="Calibri" w:hAnsi="Calibri" w:cs="Calibri"/>
                <w:sz w:val="22"/>
                <w:szCs w:val="22"/>
                <w:lang w:val="en-GB"/>
              </w:rPr>
            </w:pPr>
            <w:r w:rsidRPr="006645DC">
              <w:rPr>
                <w:rFonts w:ascii="Calibri" w:hAnsi="Calibri" w:cs="Calibri"/>
                <w:sz w:val="22"/>
                <w:szCs w:val="22"/>
                <w:lang w:val="en-GB"/>
              </w:rPr>
              <w:t>1 453 ha</w:t>
            </w:r>
          </w:p>
        </w:tc>
      </w:tr>
      <w:tr w:rsidR="00CC50F4" w:rsidRPr="006645DC" w14:paraId="13F77524" w14:textId="77777777" w:rsidTr="00FD1769">
        <w:trPr>
          <w:trHeight w:val="350"/>
          <w:jc w:val="center"/>
        </w:trPr>
        <w:tc>
          <w:tcPr>
            <w:tcW w:w="1728" w:type="dxa"/>
            <w:vMerge/>
            <w:vAlign w:val="center"/>
          </w:tcPr>
          <w:p w14:paraId="2B33F083"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vAlign w:val="center"/>
          </w:tcPr>
          <w:p w14:paraId="029E8DE9"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886" w:name="_Toc376199990"/>
            <w:r w:rsidRPr="006645DC">
              <w:rPr>
                <w:rFonts w:ascii="Calibri" w:eastAsia="Arial" w:hAnsi="Calibri" w:cs="Calibri"/>
                <w:sz w:val="22"/>
                <w:szCs w:val="22"/>
                <w:lang w:val="en-GB"/>
              </w:rPr>
              <w:t>Pleven</w:t>
            </w:r>
            <w:bookmarkEnd w:id="1886"/>
          </w:p>
        </w:tc>
        <w:tc>
          <w:tcPr>
            <w:tcW w:w="3983" w:type="dxa"/>
            <w:vAlign w:val="center"/>
          </w:tcPr>
          <w:p w14:paraId="17B6DF97" w14:textId="77777777" w:rsidR="00CC50F4" w:rsidRPr="002448E1"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it-IT"/>
              </w:rPr>
            </w:pPr>
            <w:bookmarkStart w:id="1887" w:name="_Toc376199991"/>
            <w:r w:rsidRPr="002448E1">
              <w:rPr>
                <w:rFonts w:ascii="Calibri" w:eastAsia="Arial" w:hAnsi="Calibri" w:cs="Calibri"/>
                <w:sz w:val="22"/>
                <w:szCs w:val="22"/>
                <w:lang w:val="it-IT"/>
              </w:rPr>
              <w:t xml:space="preserve">Milka </w:t>
            </w:r>
            <w:r w:rsidRPr="002448E1">
              <w:rPr>
                <w:rFonts w:ascii="Calibri" w:hAnsi="Calibri" w:cs="Calibri"/>
                <w:sz w:val="22"/>
                <w:szCs w:val="22"/>
                <w:lang w:val="it-IT"/>
              </w:rPr>
              <w:t>Reserve</w:t>
            </w:r>
            <w:bookmarkEnd w:id="1887"/>
          </w:p>
          <w:p w14:paraId="5DAC6352" w14:textId="77777777" w:rsidR="00CC50F4" w:rsidRPr="002448E1"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eastAsia="Arial" w:hAnsi="Calibri" w:cs="Calibri"/>
                <w:sz w:val="22"/>
                <w:szCs w:val="22"/>
                <w:lang w:val="it-IT"/>
              </w:rPr>
            </w:pPr>
            <w:r w:rsidRPr="002448E1">
              <w:rPr>
                <w:rFonts w:ascii="Calibri" w:eastAsia="Arial" w:hAnsi="Calibri" w:cs="Calibri"/>
                <w:sz w:val="22"/>
                <w:szCs w:val="22"/>
                <w:lang w:val="it-IT"/>
              </w:rPr>
              <w:t xml:space="preserve">Pepcihcki Blata Nature </w:t>
            </w:r>
            <w:r w:rsidRPr="002448E1">
              <w:rPr>
                <w:rFonts w:ascii="Calibri" w:hAnsi="Calibri" w:cs="Calibri"/>
                <w:sz w:val="22"/>
                <w:szCs w:val="22"/>
                <w:lang w:val="it-IT"/>
              </w:rPr>
              <w:t>Reserve</w:t>
            </w:r>
          </w:p>
        </w:tc>
        <w:tc>
          <w:tcPr>
            <w:tcW w:w="1628" w:type="dxa"/>
            <w:vAlign w:val="center"/>
          </w:tcPr>
          <w:p w14:paraId="396B2BDD"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888" w:name="_Toc376199992"/>
            <w:r w:rsidRPr="006645DC">
              <w:rPr>
                <w:rFonts w:ascii="Calibri" w:hAnsi="Calibri" w:cs="Calibri"/>
                <w:sz w:val="22"/>
                <w:szCs w:val="22"/>
                <w:lang w:val="en-GB"/>
              </w:rPr>
              <w:t>30 ha</w:t>
            </w:r>
            <w:bookmarkEnd w:id="1888"/>
          </w:p>
          <w:p w14:paraId="5F7E866A"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rPr>
                <w:rFonts w:ascii="Calibri" w:hAnsi="Calibri" w:cs="Calibri"/>
                <w:sz w:val="22"/>
                <w:szCs w:val="22"/>
                <w:lang w:val="en-GB"/>
              </w:rPr>
            </w:pPr>
            <w:r w:rsidRPr="006645DC">
              <w:rPr>
                <w:rFonts w:ascii="Calibri" w:hAnsi="Calibri" w:cs="Calibri"/>
                <w:sz w:val="22"/>
                <w:szCs w:val="22"/>
                <w:lang w:val="en-GB"/>
              </w:rPr>
              <w:t>385 ha</w:t>
            </w:r>
          </w:p>
        </w:tc>
      </w:tr>
      <w:tr w:rsidR="00CC50F4" w:rsidRPr="006645DC" w14:paraId="3C6F14F7" w14:textId="77777777" w:rsidTr="00FD1769">
        <w:trPr>
          <w:jc w:val="center"/>
        </w:trPr>
        <w:tc>
          <w:tcPr>
            <w:tcW w:w="1728" w:type="dxa"/>
            <w:vMerge/>
            <w:vAlign w:val="center"/>
          </w:tcPr>
          <w:p w14:paraId="17559762"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vAlign w:val="center"/>
          </w:tcPr>
          <w:p w14:paraId="499D5202"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889" w:name="_Toc376199993"/>
            <w:r w:rsidRPr="006645DC">
              <w:rPr>
                <w:rFonts w:ascii="Calibri" w:eastAsia="Arial" w:hAnsi="Calibri" w:cs="Calibri"/>
                <w:sz w:val="22"/>
                <w:szCs w:val="22"/>
                <w:lang w:val="en-GB"/>
              </w:rPr>
              <w:t>Veliko Târnovo</w:t>
            </w:r>
            <w:bookmarkEnd w:id="1889"/>
          </w:p>
        </w:tc>
        <w:tc>
          <w:tcPr>
            <w:tcW w:w="3983" w:type="dxa"/>
            <w:vAlign w:val="center"/>
          </w:tcPr>
          <w:p w14:paraId="335FF48A" w14:textId="77777777" w:rsidR="00CC50F4" w:rsidRPr="002448E1"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it-IT"/>
              </w:rPr>
            </w:pPr>
            <w:bookmarkStart w:id="1890" w:name="_Toc376199994"/>
            <w:r w:rsidRPr="002448E1">
              <w:rPr>
                <w:rFonts w:ascii="Calibri" w:eastAsia="Arial" w:hAnsi="Calibri" w:cs="Calibri"/>
                <w:sz w:val="22"/>
                <w:szCs w:val="22"/>
                <w:lang w:val="it-IT"/>
              </w:rPr>
              <w:t>Persina Natural Park</w:t>
            </w:r>
            <w:bookmarkEnd w:id="1890"/>
          </w:p>
          <w:p w14:paraId="0335157F" w14:textId="77777777" w:rsidR="00CC50F4" w:rsidRPr="002448E1"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eastAsia="Arial" w:hAnsi="Calibri" w:cs="Calibri"/>
                <w:sz w:val="22"/>
                <w:szCs w:val="22"/>
                <w:lang w:val="it-IT"/>
              </w:rPr>
            </w:pPr>
            <w:r w:rsidRPr="002448E1">
              <w:rPr>
                <w:rFonts w:ascii="Calibri" w:eastAsia="Arial" w:hAnsi="Calibri" w:cs="Calibri"/>
                <w:sz w:val="22"/>
                <w:szCs w:val="22"/>
                <w:lang w:val="it-IT"/>
              </w:rPr>
              <w:t xml:space="preserve">Persinski blata </w:t>
            </w:r>
          </w:p>
          <w:p w14:paraId="268667EE" w14:textId="77777777" w:rsidR="00CC50F4" w:rsidRPr="002448E1"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eastAsia="Arial" w:hAnsi="Calibri" w:cs="Calibri"/>
                <w:sz w:val="22"/>
                <w:szCs w:val="22"/>
                <w:lang w:val="it-IT"/>
              </w:rPr>
            </w:pPr>
            <w:r w:rsidRPr="002448E1">
              <w:rPr>
                <w:rFonts w:ascii="Calibri" w:eastAsia="Arial" w:hAnsi="Calibri" w:cs="Calibri"/>
                <w:sz w:val="22"/>
                <w:szCs w:val="22"/>
                <w:lang w:val="it-IT"/>
              </w:rPr>
              <w:t xml:space="preserve">Byala Krava </w:t>
            </w:r>
            <w:r w:rsidRPr="002448E1">
              <w:rPr>
                <w:rFonts w:ascii="Calibri" w:hAnsi="Calibri" w:cs="Calibri"/>
                <w:sz w:val="22"/>
                <w:szCs w:val="22"/>
                <w:lang w:val="it-IT"/>
              </w:rPr>
              <w:t>Reserve</w:t>
            </w:r>
          </w:p>
          <w:p w14:paraId="0D4DD12F"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eastAsia="Arial" w:hAnsi="Calibri" w:cs="Calibri"/>
                <w:sz w:val="22"/>
                <w:szCs w:val="22"/>
                <w:lang w:val="en-GB"/>
              </w:rPr>
            </w:pPr>
            <w:r w:rsidRPr="006645DC">
              <w:rPr>
                <w:rFonts w:ascii="Calibri" w:eastAsia="Arial" w:hAnsi="Calibri" w:cs="Calibri"/>
                <w:sz w:val="22"/>
                <w:szCs w:val="22"/>
                <w:lang w:val="en-GB"/>
              </w:rPr>
              <w:t xml:space="preserve">Savchov Chair Nature </w:t>
            </w:r>
            <w:r w:rsidRPr="006645DC">
              <w:rPr>
                <w:rFonts w:ascii="Calibri" w:hAnsi="Calibri" w:cs="Calibri"/>
                <w:sz w:val="22"/>
                <w:szCs w:val="22"/>
                <w:lang w:val="en-GB"/>
              </w:rPr>
              <w:t>Reserve</w:t>
            </w:r>
          </w:p>
        </w:tc>
        <w:tc>
          <w:tcPr>
            <w:tcW w:w="1628" w:type="dxa"/>
            <w:vAlign w:val="center"/>
          </w:tcPr>
          <w:p w14:paraId="7D5EB9A2"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891" w:name="_Toc376199995"/>
            <w:r w:rsidRPr="006645DC">
              <w:rPr>
                <w:rFonts w:ascii="Calibri" w:hAnsi="Calibri" w:cs="Calibri"/>
                <w:sz w:val="22"/>
                <w:szCs w:val="22"/>
                <w:lang w:val="en-GB"/>
              </w:rPr>
              <w:t>21 ha</w:t>
            </w:r>
            <w:bookmarkEnd w:id="1891"/>
          </w:p>
          <w:p w14:paraId="36047995"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rPr>
                <w:rFonts w:ascii="Calibri" w:hAnsi="Calibri" w:cs="Calibri"/>
                <w:sz w:val="22"/>
                <w:szCs w:val="22"/>
                <w:lang w:val="en-GB"/>
              </w:rPr>
            </w:pPr>
            <w:r w:rsidRPr="006645DC">
              <w:rPr>
                <w:rFonts w:ascii="Calibri" w:hAnsi="Calibri" w:cs="Calibri"/>
                <w:sz w:val="22"/>
                <w:szCs w:val="22"/>
                <w:lang w:val="en-GB"/>
              </w:rPr>
              <w:t>390 ha</w:t>
            </w:r>
          </w:p>
          <w:p w14:paraId="64B91B2C"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rPr>
                <w:rFonts w:ascii="Calibri" w:hAnsi="Calibri" w:cs="Calibri"/>
                <w:sz w:val="22"/>
                <w:szCs w:val="22"/>
                <w:lang w:val="en-GB"/>
              </w:rPr>
            </w:pPr>
            <w:r w:rsidRPr="006645DC">
              <w:rPr>
                <w:rFonts w:ascii="Calibri" w:hAnsi="Calibri" w:cs="Calibri"/>
                <w:sz w:val="22"/>
                <w:szCs w:val="22"/>
                <w:lang w:val="en-GB"/>
              </w:rPr>
              <w:t>93 ha</w:t>
            </w:r>
          </w:p>
          <w:p w14:paraId="2C546338"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rPr>
                <w:rFonts w:ascii="Calibri" w:hAnsi="Calibri" w:cs="Calibri"/>
                <w:sz w:val="22"/>
                <w:szCs w:val="22"/>
                <w:lang w:val="en-GB"/>
              </w:rPr>
            </w:pPr>
            <w:r w:rsidRPr="006645DC">
              <w:rPr>
                <w:rFonts w:ascii="Calibri" w:hAnsi="Calibri" w:cs="Calibri"/>
                <w:sz w:val="22"/>
                <w:szCs w:val="22"/>
                <w:lang w:val="en-GB"/>
              </w:rPr>
              <w:t>103 ha</w:t>
            </w:r>
          </w:p>
        </w:tc>
      </w:tr>
      <w:tr w:rsidR="00CC50F4" w:rsidRPr="006645DC" w14:paraId="748C53BE" w14:textId="77777777" w:rsidTr="00FD1769">
        <w:trPr>
          <w:jc w:val="center"/>
        </w:trPr>
        <w:tc>
          <w:tcPr>
            <w:tcW w:w="1728" w:type="dxa"/>
            <w:vMerge/>
            <w:vAlign w:val="center"/>
          </w:tcPr>
          <w:p w14:paraId="0C84155C"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vAlign w:val="center"/>
          </w:tcPr>
          <w:p w14:paraId="423424CB"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892" w:name="_Toc376199996"/>
            <w:r w:rsidRPr="006645DC">
              <w:rPr>
                <w:rFonts w:ascii="Calibri" w:eastAsia="Arial" w:hAnsi="Calibri" w:cs="Calibri"/>
                <w:sz w:val="22"/>
                <w:szCs w:val="22"/>
                <w:lang w:val="en-GB"/>
              </w:rPr>
              <w:t>Ruse</w:t>
            </w:r>
            <w:bookmarkEnd w:id="1892"/>
          </w:p>
        </w:tc>
        <w:tc>
          <w:tcPr>
            <w:tcW w:w="3983" w:type="dxa"/>
            <w:vAlign w:val="center"/>
          </w:tcPr>
          <w:p w14:paraId="65744654"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893" w:name="_Toc376199997"/>
            <w:r w:rsidRPr="006645DC">
              <w:rPr>
                <w:rFonts w:ascii="Calibri" w:eastAsia="Arial" w:hAnsi="Calibri" w:cs="Calibri"/>
                <w:sz w:val="22"/>
                <w:szCs w:val="22"/>
                <w:lang w:val="en-GB"/>
              </w:rPr>
              <w:t>Rusenski Lom</w:t>
            </w:r>
            <w:bookmarkEnd w:id="1893"/>
            <w:r w:rsidRPr="006645DC">
              <w:rPr>
                <w:rFonts w:ascii="Calibri" w:eastAsia="Arial" w:hAnsi="Calibri" w:cs="Calibri"/>
                <w:sz w:val="22"/>
                <w:szCs w:val="22"/>
                <w:lang w:val="en-GB"/>
              </w:rPr>
              <w:t xml:space="preserve"> </w:t>
            </w:r>
          </w:p>
        </w:tc>
        <w:tc>
          <w:tcPr>
            <w:tcW w:w="1628" w:type="dxa"/>
            <w:vAlign w:val="center"/>
          </w:tcPr>
          <w:p w14:paraId="38BAE267"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894" w:name="_Toc376199998"/>
            <w:r w:rsidRPr="006645DC">
              <w:rPr>
                <w:rFonts w:ascii="Calibri" w:hAnsi="Calibri" w:cs="Calibri"/>
                <w:sz w:val="22"/>
                <w:szCs w:val="22"/>
                <w:lang w:val="en-GB"/>
              </w:rPr>
              <w:t>3 260 ha</w:t>
            </w:r>
            <w:bookmarkEnd w:id="1894"/>
          </w:p>
        </w:tc>
      </w:tr>
      <w:tr w:rsidR="00CC50F4" w:rsidRPr="006645DC" w14:paraId="0DB087AE" w14:textId="77777777" w:rsidTr="00FD1769">
        <w:trPr>
          <w:jc w:val="center"/>
        </w:trPr>
        <w:tc>
          <w:tcPr>
            <w:tcW w:w="1728" w:type="dxa"/>
            <w:vMerge/>
            <w:vAlign w:val="center"/>
          </w:tcPr>
          <w:p w14:paraId="4675A76B"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vAlign w:val="center"/>
          </w:tcPr>
          <w:p w14:paraId="2AA49667"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895" w:name="_Toc376199999"/>
            <w:r w:rsidRPr="006645DC">
              <w:rPr>
                <w:rFonts w:ascii="Calibri" w:eastAsia="Arial" w:hAnsi="Calibri" w:cs="Calibri"/>
                <w:sz w:val="22"/>
                <w:szCs w:val="22"/>
                <w:lang w:val="en-GB"/>
              </w:rPr>
              <w:t>Silistra</w:t>
            </w:r>
            <w:bookmarkEnd w:id="1895"/>
          </w:p>
        </w:tc>
        <w:tc>
          <w:tcPr>
            <w:tcW w:w="3983" w:type="dxa"/>
            <w:vAlign w:val="center"/>
          </w:tcPr>
          <w:p w14:paraId="072AC1CB"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896" w:name="_Toc376200000"/>
            <w:r w:rsidRPr="006645DC">
              <w:rPr>
                <w:rFonts w:ascii="Calibri" w:eastAsia="Arial" w:hAnsi="Calibri" w:cs="Calibri"/>
                <w:sz w:val="22"/>
                <w:szCs w:val="22"/>
                <w:lang w:val="en-GB"/>
              </w:rPr>
              <w:t xml:space="preserve">Srebarna Nature </w:t>
            </w:r>
            <w:r w:rsidRPr="006645DC">
              <w:rPr>
                <w:rFonts w:ascii="Calibri" w:hAnsi="Calibri" w:cs="Calibri"/>
                <w:sz w:val="22"/>
                <w:szCs w:val="22"/>
                <w:lang w:val="en-GB"/>
              </w:rPr>
              <w:t>Reserve</w:t>
            </w:r>
            <w:bookmarkEnd w:id="1896"/>
          </w:p>
        </w:tc>
        <w:tc>
          <w:tcPr>
            <w:tcW w:w="1628" w:type="dxa"/>
            <w:vAlign w:val="center"/>
          </w:tcPr>
          <w:p w14:paraId="0E592A18"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897" w:name="_Toc376200001"/>
            <w:r w:rsidRPr="006645DC">
              <w:rPr>
                <w:rFonts w:ascii="Calibri" w:hAnsi="Calibri" w:cs="Calibri"/>
                <w:sz w:val="22"/>
                <w:szCs w:val="22"/>
                <w:lang w:val="en-GB"/>
              </w:rPr>
              <w:t>1 140 ha</w:t>
            </w:r>
            <w:bookmarkEnd w:id="1897"/>
          </w:p>
        </w:tc>
      </w:tr>
      <w:tr w:rsidR="00CC50F4" w:rsidRPr="006645DC" w14:paraId="4241C983" w14:textId="77777777" w:rsidTr="00FD1769">
        <w:trPr>
          <w:jc w:val="center"/>
        </w:trPr>
        <w:tc>
          <w:tcPr>
            <w:tcW w:w="1728" w:type="dxa"/>
            <w:vMerge/>
            <w:vAlign w:val="center"/>
          </w:tcPr>
          <w:p w14:paraId="4851D116"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vAlign w:val="center"/>
          </w:tcPr>
          <w:p w14:paraId="05CF1FA6"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898" w:name="_Toc376200002"/>
            <w:r w:rsidRPr="006645DC">
              <w:rPr>
                <w:rFonts w:ascii="Calibri" w:eastAsia="Arial" w:hAnsi="Calibri" w:cs="Calibri"/>
                <w:sz w:val="22"/>
                <w:szCs w:val="22"/>
                <w:lang w:val="en-GB"/>
              </w:rPr>
              <w:t>Dobrich</w:t>
            </w:r>
            <w:bookmarkEnd w:id="1898"/>
          </w:p>
        </w:tc>
        <w:tc>
          <w:tcPr>
            <w:tcW w:w="3983" w:type="dxa"/>
            <w:vAlign w:val="center"/>
          </w:tcPr>
          <w:p w14:paraId="75FDD0EF" w14:textId="77777777" w:rsidR="00FD1769" w:rsidRPr="002448E1"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it-IT"/>
              </w:rPr>
            </w:pPr>
            <w:bookmarkStart w:id="1899" w:name="_Toc376200003"/>
            <w:r w:rsidRPr="002448E1">
              <w:rPr>
                <w:rFonts w:ascii="Calibri" w:eastAsia="Arial" w:hAnsi="Calibri" w:cs="Calibri"/>
                <w:sz w:val="22"/>
                <w:szCs w:val="22"/>
                <w:lang w:val="it-IT"/>
              </w:rPr>
              <w:t xml:space="preserve">Baltata </w:t>
            </w:r>
            <w:r w:rsidRPr="002448E1">
              <w:rPr>
                <w:rFonts w:ascii="Calibri" w:hAnsi="Calibri" w:cs="Calibri"/>
                <w:sz w:val="22"/>
                <w:szCs w:val="22"/>
                <w:lang w:val="it-IT"/>
              </w:rPr>
              <w:t>Reserve</w:t>
            </w:r>
            <w:bookmarkEnd w:id="1899"/>
          </w:p>
          <w:p w14:paraId="2545526B" w14:textId="77777777" w:rsidR="00CC50F4" w:rsidRPr="002448E1"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it-IT"/>
              </w:rPr>
            </w:pPr>
            <w:bookmarkStart w:id="1900" w:name="_Toc376200004"/>
            <w:r w:rsidRPr="002448E1">
              <w:rPr>
                <w:rFonts w:ascii="Calibri" w:eastAsia="Arial" w:hAnsi="Calibri" w:cs="Calibri"/>
                <w:sz w:val="22"/>
                <w:szCs w:val="22"/>
                <w:lang w:val="it-IT"/>
              </w:rPr>
              <w:t xml:space="preserve">Kaliakra </w:t>
            </w:r>
            <w:r w:rsidRPr="002448E1">
              <w:rPr>
                <w:rFonts w:ascii="Calibri" w:hAnsi="Calibri" w:cs="Calibri"/>
                <w:sz w:val="22"/>
                <w:szCs w:val="22"/>
                <w:lang w:val="it-IT"/>
              </w:rPr>
              <w:t>Reserve</w:t>
            </w:r>
            <w:bookmarkEnd w:id="1900"/>
          </w:p>
          <w:p w14:paraId="6F77946E" w14:textId="77777777" w:rsidR="00CC50F4" w:rsidRPr="002448E1"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eastAsia="Arial" w:hAnsi="Calibri" w:cs="Calibri"/>
                <w:sz w:val="22"/>
                <w:szCs w:val="22"/>
                <w:lang w:val="it-IT"/>
              </w:rPr>
            </w:pPr>
            <w:r w:rsidRPr="002448E1">
              <w:rPr>
                <w:rFonts w:ascii="Calibri" w:eastAsia="Arial" w:hAnsi="Calibri" w:cs="Calibri"/>
                <w:sz w:val="22"/>
                <w:szCs w:val="22"/>
                <w:lang w:val="it-IT"/>
              </w:rPr>
              <w:t>Zlatni Pyasatsi  Natural Park</w:t>
            </w:r>
          </w:p>
        </w:tc>
        <w:tc>
          <w:tcPr>
            <w:tcW w:w="1628" w:type="dxa"/>
            <w:vAlign w:val="center"/>
          </w:tcPr>
          <w:p w14:paraId="59863DB0"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901" w:name="_Toc376200005"/>
            <w:r w:rsidRPr="006645DC">
              <w:rPr>
                <w:rFonts w:ascii="Calibri" w:hAnsi="Calibri" w:cs="Calibri"/>
                <w:sz w:val="22"/>
                <w:szCs w:val="22"/>
                <w:lang w:val="en-GB"/>
              </w:rPr>
              <w:t>205.6 ha</w:t>
            </w:r>
            <w:bookmarkEnd w:id="1901"/>
          </w:p>
          <w:p w14:paraId="0DF9815A"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rPr>
                <w:rFonts w:ascii="Calibri" w:hAnsi="Calibri" w:cs="Calibri"/>
                <w:sz w:val="22"/>
                <w:szCs w:val="22"/>
                <w:lang w:val="en-GB"/>
              </w:rPr>
            </w:pPr>
            <w:r w:rsidRPr="006645DC">
              <w:rPr>
                <w:rFonts w:ascii="Calibri" w:hAnsi="Calibri" w:cs="Calibri"/>
                <w:sz w:val="22"/>
                <w:szCs w:val="22"/>
                <w:lang w:val="en-GB"/>
              </w:rPr>
              <w:t>713 ha</w:t>
            </w:r>
          </w:p>
          <w:p w14:paraId="37E40933"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rPr>
                <w:rFonts w:ascii="Calibri" w:hAnsi="Calibri" w:cs="Calibri"/>
                <w:sz w:val="22"/>
                <w:szCs w:val="22"/>
                <w:lang w:val="en-GB"/>
              </w:rPr>
            </w:pPr>
            <w:r w:rsidRPr="006645DC">
              <w:rPr>
                <w:rFonts w:ascii="Calibri" w:hAnsi="Calibri" w:cs="Calibri"/>
                <w:sz w:val="22"/>
                <w:szCs w:val="22"/>
                <w:lang w:val="en-GB"/>
              </w:rPr>
              <w:t>1 320 ha</w:t>
            </w:r>
          </w:p>
        </w:tc>
      </w:tr>
      <w:tr w:rsidR="00CC50F4" w:rsidRPr="006645DC" w14:paraId="72855751" w14:textId="77777777" w:rsidTr="00FD1769">
        <w:trPr>
          <w:trHeight w:val="806"/>
          <w:jc w:val="center"/>
        </w:trPr>
        <w:tc>
          <w:tcPr>
            <w:tcW w:w="1728" w:type="dxa"/>
            <w:vMerge w:val="restart"/>
            <w:vAlign w:val="center"/>
          </w:tcPr>
          <w:p w14:paraId="70DC7437"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outlineLvl w:val="1"/>
              <w:rPr>
                <w:rFonts w:ascii="Calibri" w:eastAsia="Arial" w:hAnsi="Calibri" w:cs="Calibri"/>
                <w:sz w:val="22"/>
                <w:szCs w:val="22"/>
                <w:lang w:val="en-GB"/>
              </w:rPr>
            </w:pPr>
            <w:bookmarkStart w:id="1902" w:name="_Toc376200006"/>
            <w:r w:rsidRPr="006645DC">
              <w:rPr>
                <w:rFonts w:ascii="Calibri" w:eastAsia="Arial" w:hAnsi="Calibri" w:cs="Calibri"/>
                <w:b/>
                <w:sz w:val="22"/>
                <w:szCs w:val="22"/>
                <w:lang w:val="en-GB"/>
              </w:rPr>
              <w:t>Romania</w:t>
            </w:r>
            <w:bookmarkEnd w:id="1902"/>
          </w:p>
        </w:tc>
        <w:tc>
          <w:tcPr>
            <w:tcW w:w="1859" w:type="dxa"/>
            <w:vAlign w:val="center"/>
          </w:tcPr>
          <w:p w14:paraId="546342B6"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03" w:name="_Toc376200007"/>
            <w:r w:rsidRPr="006645DC">
              <w:rPr>
                <w:rFonts w:ascii="Calibri" w:eastAsia="Arial" w:hAnsi="Calibri" w:cs="Calibri"/>
                <w:sz w:val="22"/>
                <w:szCs w:val="22"/>
                <w:lang w:val="en-GB"/>
              </w:rPr>
              <w:t>Mehedinţi</w:t>
            </w:r>
            <w:bookmarkEnd w:id="1903"/>
          </w:p>
        </w:tc>
        <w:tc>
          <w:tcPr>
            <w:tcW w:w="3983" w:type="dxa"/>
            <w:vAlign w:val="center"/>
          </w:tcPr>
          <w:p w14:paraId="7F032D22"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04" w:name="_Toc376200008"/>
            <w:r w:rsidRPr="006645DC">
              <w:rPr>
                <w:rFonts w:ascii="Calibri" w:eastAsia="Arial" w:hAnsi="Calibri" w:cs="Calibri"/>
                <w:sz w:val="22"/>
                <w:szCs w:val="22"/>
                <w:lang w:val="en-GB"/>
              </w:rPr>
              <w:t>Mehedinţi Plateau Geopark</w:t>
            </w:r>
            <w:bookmarkEnd w:id="1904"/>
          </w:p>
          <w:p w14:paraId="37E77C92"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eastAsia="Arial" w:hAnsi="Calibri" w:cs="Calibri"/>
                <w:sz w:val="22"/>
                <w:szCs w:val="22"/>
                <w:lang w:val="en-GB"/>
              </w:rPr>
            </w:pPr>
            <w:r w:rsidRPr="006645DC">
              <w:rPr>
                <w:rFonts w:ascii="Calibri" w:eastAsia="Arial" w:hAnsi="Calibri" w:cs="Calibri"/>
                <w:sz w:val="22"/>
                <w:szCs w:val="22"/>
                <w:lang w:val="en-GB"/>
              </w:rPr>
              <w:t>Domogled Valea – Cernei Natural Park</w:t>
            </w:r>
          </w:p>
          <w:p w14:paraId="46A2B366"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eastAsia="Arial" w:hAnsi="Calibri" w:cs="Calibri"/>
                <w:sz w:val="22"/>
                <w:szCs w:val="22"/>
                <w:lang w:val="en-GB"/>
              </w:rPr>
            </w:pPr>
            <w:r w:rsidRPr="006645DC">
              <w:rPr>
                <w:rFonts w:ascii="Calibri" w:eastAsia="Arial" w:hAnsi="Calibri" w:cs="Calibri"/>
                <w:sz w:val="22"/>
                <w:szCs w:val="22"/>
                <w:lang w:val="en-GB"/>
              </w:rPr>
              <w:t xml:space="preserve">Iron Gates Natural Park </w:t>
            </w:r>
          </w:p>
        </w:tc>
        <w:tc>
          <w:tcPr>
            <w:tcW w:w="1628" w:type="dxa"/>
            <w:vAlign w:val="center"/>
          </w:tcPr>
          <w:p w14:paraId="6AC91908"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905" w:name="_Toc376200009"/>
            <w:r w:rsidRPr="006645DC">
              <w:rPr>
                <w:rFonts w:ascii="Calibri" w:hAnsi="Calibri" w:cs="Calibri"/>
                <w:sz w:val="22"/>
                <w:szCs w:val="22"/>
                <w:lang w:val="en-GB"/>
              </w:rPr>
              <w:t>106 000 ha</w:t>
            </w:r>
            <w:bookmarkEnd w:id="1905"/>
          </w:p>
          <w:p w14:paraId="3FD244F6"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rPr>
                <w:rFonts w:ascii="Calibri" w:hAnsi="Calibri" w:cs="Calibri"/>
                <w:sz w:val="22"/>
                <w:szCs w:val="22"/>
                <w:lang w:val="en-GB"/>
              </w:rPr>
            </w:pPr>
            <w:r w:rsidRPr="006645DC">
              <w:rPr>
                <w:rFonts w:ascii="Calibri" w:hAnsi="Calibri" w:cs="Calibri"/>
                <w:sz w:val="22"/>
                <w:szCs w:val="22"/>
                <w:lang w:val="en-GB"/>
              </w:rPr>
              <w:t>61.211 ha</w:t>
            </w:r>
          </w:p>
          <w:p w14:paraId="00AC715B"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rPr>
                <w:rFonts w:ascii="Calibri" w:hAnsi="Calibri" w:cs="Calibri"/>
                <w:sz w:val="22"/>
                <w:szCs w:val="22"/>
                <w:lang w:val="en-GB"/>
              </w:rPr>
            </w:pPr>
            <w:r w:rsidRPr="006645DC">
              <w:rPr>
                <w:rFonts w:ascii="Calibri" w:hAnsi="Calibri" w:cs="Calibri"/>
                <w:sz w:val="22"/>
                <w:szCs w:val="22"/>
                <w:lang w:val="en-GB"/>
              </w:rPr>
              <w:t>115.655 ha</w:t>
            </w:r>
          </w:p>
        </w:tc>
      </w:tr>
      <w:tr w:rsidR="00CC50F4" w:rsidRPr="006645DC" w14:paraId="2FE2589A" w14:textId="77777777" w:rsidTr="00FD1769">
        <w:trPr>
          <w:jc w:val="center"/>
        </w:trPr>
        <w:tc>
          <w:tcPr>
            <w:tcW w:w="1728" w:type="dxa"/>
            <w:vMerge/>
            <w:vAlign w:val="center"/>
          </w:tcPr>
          <w:p w14:paraId="0073C587"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vAlign w:val="center"/>
          </w:tcPr>
          <w:p w14:paraId="746D77E0"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06" w:name="_Toc376200010"/>
            <w:r w:rsidRPr="006645DC">
              <w:rPr>
                <w:rFonts w:ascii="Calibri" w:eastAsia="Arial" w:hAnsi="Calibri" w:cs="Calibri"/>
                <w:sz w:val="22"/>
                <w:szCs w:val="22"/>
                <w:lang w:val="en-GB"/>
              </w:rPr>
              <w:t>Dolj</w:t>
            </w:r>
            <w:bookmarkEnd w:id="1906"/>
          </w:p>
        </w:tc>
        <w:tc>
          <w:tcPr>
            <w:tcW w:w="3983" w:type="dxa"/>
            <w:vAlign w:val="center"/>
          </w:tcPr>
          <w:p w14:paraId="269CB02F"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07" w:name="_Toc376200011"/>
            <w:r w:rsidRPr="006645DC">
              <w:rPr>
                <w:rFonts w:ascii="Calibri" w:eastAsia="Arial" w:hAnsi="Calibri" w:cs="Calibri"/>
                <w:sz w:val="22"/>
                <w:szCs w:val="22"/>
                <w:lang w:val="en-GB"/>
              </w:rPr>
              <w:t>Total protected areas</w:t>
            </w:r>
            <w:bookmarkEnd w:id="1907"/>
          </w:p>
        </w:tc>
        <w:tc>
          <w:tcPr>
            <w:tcW w:w="1628" w:type="dxa"/>
            <w:vAlign w:val="center"/>
          </w:tcPr>
          <w:p w14:paraId="641FB7FD"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908" w:name="_Toc376200012"/>
            <w:r w:rsidRPr="006645DC">
              <w:rPr>
                <w:rFonts w:ascii="Calibri" w:hAnsi="Calibri" w:cs="Calibri"/>
                <w:sz w:val="22"/>
                <w:szCs w:val="22"/>
                <w:lang w:val="en-GB"/>
              </w:rPr>
              <w:t>3 687 ha</w:t>
            </w:r>
            <w:bookmarkEnd w:id="1908"/>
          </w:p>
        </w:tc>
      </w:tr>
      <w:tr w:rsidR="00CC50F4" w:rsidRPr="006645DC" w14:paraId="60FC9DA0" w14:textId="77777777" w:rsidTr="00FD1769">
        <w:trPr>
          <w:jc w:val="center"/>
        </w:trPr>
        <w:tc>
          <w:tcPr>
            <w:tcW w:w="1728" w:type="dxa"/>
            <w:vMerge/>
            <w:vAlign w:val="center"/>
          </w:tcPr>
          <w:p w14:paraId="196DD0CF"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vAlign w:val="center"/>
          </w:tcPr>
          <w:p w14:paraId="24F045E8"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09" w:name="_Toc376200013"/>
            <w:r w:rsidRPr="006645DC">
              <w:rPr>
                <w:rFonts w:ascii="Calibri" w:eastAsia="Arial" w:hAnsi="Calibri" w:cs="Calibri"/>
                <w:sz w:val="22"/>
                <w:szCs w:val="22"/>
                <w:lang w:val="en-GB"/>
              </w:rPr>
              <w:t>Olt</w:t>
            </w:r>
            <w:bookmarkEnd w:id="1909"/>
          </w:p>
        </w:tc>
        <w:tc>
          <w:tcPr>
            <w:tcW w:w="3983" w:type="dxa"/>
            <w:vAlign w:val="center"/>
          </w:tcPr>
          <w:p w14:paraId="30B68B4E" w14:textId="77777777" w:rsidR="00CC50F4" w:rsidRPr="002448E1"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it-IT"/>
              </w:rPr>
            </w:pPr>
            <w:bookmarkStart w:id="1910" w:name="_Toc376200014"/>
            <w:r w:rsidRPr="002448E1">
              <w:rPr>
                <w:rFonts w:ascii="Calibri" w:eastAsia="Arial" w:hAnsi="Calibri" w:cs="Calibri"/>
                <w:sz w:val="22"/>
                <w:szCs w:val="22"/>
                <w:lang w:val="it-IT"/>
              </w:rPr>
              <w:t xml:space="preserve">Valea Olteţului Nature </w:t>
            </w:r>
            <w:r w:rsidRPr="002448E1">
              <w:rPr>
                <w:rFonts w:ascii="Calibri" w:hAnsi="Calibri" w:cs="Calibri"/>
                <w:sz w:val="22"/>
                <w:szCs w:val="22"/>
                <w:lang w:val="it-IT"/>
              </w:rPr>
              <w:t>Reserve</w:t>
            </w:r>
            <w:bookmarkEnd w:id="1910"/>
          </w:p>
          <w:p w14:paraId="660B07C0" w14:textId="77777777" w:rsidR="00CC50F4" w:rsidRPr="002448E1"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eastAsia="Arial" w:hAnsi="Calibri" w:cs="Calibri"/>
                <w:sz w:val="22"/>
                <w:szCs w:val="22"/>
                <w:lang w:val="it-IT"/>
              </w:rPr>
            </w:pPr>
            <w:r w:rsidRPr="002448E1">
              <w:rPr>
                <w:rFonts w:ascii="Calibri" w:eastAsia="Arial" w:hAnsi="Calibri" w:cs="Calibri"/>
                <w:sz w:val="22"/>
                <w:szCs w:val="22"/>
                <w:lang w:val="it-IT"/>
              </w:rPr>
              <w:t>Braniştea Catârilor</w:t>
            </w:r>
          </w:p>
        </w:tc>
        <w:tc>
          <w:tcPr>
            <w:tcW w:w="1628" w:type="dxa"/>
            <w:vAlign w:val="center"/>
          </w:tcPr>
          <w:p w14:paraId="5035377A"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911" w:name="_Toc376200015"/>
            <w:r w:rsidRPr="006645DC">
              <w:rPr>
                <w:rFonts w:ascii="Calibri" w:hAnsi="Calibri" w:cs="Calibri"/>
                <w:sz w:val="22"/>
                <w:szCs w:val="22"/>
                <w:lang w:val="en-GB"/>
              </w:rPr>
              <w:t>900 ha</w:t>
            </w:r>
            <w:bookmarkEnd w:id="1911"/>
          </w:p>
          <w:p w14:paraId="249E1E49"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rPr>
                <w:rFonts w:ascii="Calibri" w:hAnsi="Calibri" w:cs="Calibri"/>
                <w:sz w:val="22"/>
                <w:szCs w:val="22"/>
                <w:lang w:val="en-GB"/>
              </w:rPr>
            </w:pPr>
            <w:r w:rsidRPr="006645DC">
              <w:rPr>
                <w:rFonts w:ascii="Calibri" w:hAnsi="Calibri" w:cs="Calibri"/>
                <w:sz w:val="22"/>
                <w:szCs w:val="22"/>
                <w:lang w:val="en-GB"/>
              </w:rPr>
              <w:t>300 ha</w:t>
            </w:r>
          </w:p>
        </w:tc>
      </w:tr>
      <w:tr w:rsidR="00CC50F4" w:rsidRPr="006645DC" w14:paraId="3F797391" w14:textId="77777777" w:rsidTr="00FD1769">
        <w:trPr>
          <w:jc w:val="center"/>
        </w:trPr>
        <w:tc>
          <w:tcPr>
            <w:tcW w:w="1728" w:type="dxa"/>
            <w:vMerge/>
            <w:vAlign w:val="center"/>
          </w:tcPr>
          <w:p w14:paraId="5637EB6D"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vAlign w:val="center"/>
          </w:tcPr>
          <w:p w14:paraId="3A4F8871"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12" w:name="_Toc376200016"/>
            <w:r w:rsidRPr="006645DC">
              <w:rPr>
                <w:rFonts w:ascii="Calibri" w:eastAsia="Arial" w:hAnsi="Calibri" w:cs="Calibri"/>
                <w:sz w:val="22"/>
                <w:szCs w:val="22"/>
                <w:lang w:val="en-GB"/>
              </w:rPr>
              <w:t>Giurgiu</w:t>
            </w:r>
            <w:bookmarkEnd w:id="1912"/>
          </w:p>
        </w:tc>
        <w:tc>
          <w:tcPr>
            <w:tcW w:w="3983" w:type="dxa"/>
            <w:vAlign w:val="center"/>
          </w:tcPr>
          <w:p w14:paraId="18323AB5"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13" w:name="_Toc376200017"/>
            <w:r w:rsidRPr="006645DC">
              <w:rPr>
                <w:rFonts w:ascii="Calibri" w:eastAsia="Arial" w:hAnsi="Calibri" w:cs="Calibri"/>
                <w:sz w:val="22"/>
                <w:szCs w:val="22"/>
                <w:lang w:val="en-GB"/>
              </w:rPr>
              <w:t>Comana Natural Park</w:t>
            </w:r>
            <w:bookmarkEnd w:id="1913"/>
          </w:p>
        </w:tc>
        <w:tc>
          <w:tcPr>
            <w:tcW w:w="1628" w:type="dxa"/>
            <w:vAlign w:val="center"/>
          </w:tcPr>
          <w:p w14:paraId="5A02FB8F"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914" w:name="_Toc376200018"/>
            <w:r w:rsidRPr="006645DC">
              <w:rPr>
                <w:rFonts w:ascii="Calibri" w:hAnsi="Calibri" w:cs="Calibri"/>
                <w:sz w:val="22"/>
                <w:szCs w:val="22"/>
                <w:lang w:val="en-GB"/>
              </w:rPr>
              <w:t>24 963 ha</w:t>
            </w:r>
            <w:bookmarkEnd w:id="1914"/>
          </w:p>
        </w:tc>
      </w:tr>
      <w:tr w:rsidR="00CC50F4" w:rsidRPr="006645DC" w14:paraId="322A0909" w14:textId="77777777" w:rsidTr="00FD1769">
        <w:trPr>
          <w:jc w:val="center"/>
        </w:trPr>
        <w:tc>
          <w:tcPr>
            <w:tcW w:w="1728" w:type="dxa"/>
            <w:vMerge/>
            <w:vAlign w:val="center"/>
          </w:tcPr>
          <w:p w14:paraId="31535A9E"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vAlign w:val="center"/>
          </w:tcPr>
          <w:p w14:paraId="65C82A2D"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15" w:name="_Toc376200019"/>
            <w:r w:rsidRPr="006645DC">
              <w:rPr>
                <w:rFonts w:ascii="Calibri" w:eastAsia="Arial" w:hAnsi="Calibri" w:cs="Calibri"/>
                <w:sz w:val="22"/>
                <w:szCs w:val="22"/>
                <w:lang w:val="en-GB"/>
              </w:rPr>
              <w:t>Călăraşi</w:t>
            </w:r>
            <w:bookmarkEnd w:id="1915"/>
          </w:p>
        </w:tc>
        <w:tc>
          <w:tcPr>
            <w:tcW w:w="3983" w:type="dxa"/>
            <w:vAlign w:val="center"/>
          </w:tcPr>
          <w:p w14:paraId="4B06E4D3"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16" w:name="_Toc376200020"/>
            <w:r w:rsidRPr="006645DC">
              <w:rPr>
                <w:rFonts w:ascii="Calibri" w:eastAsia="Arial" w:hAnsi="Calibri" w:cs="Calibri"/>
                <w:sz w:val="22"/>
                <w:szCs w:val="22"/>
                <w:lang w:val="en-GB"/>
              </w:rPr>
              <w:t>Total protected areas</w:t>
            </w:r>
            <w:bookmarkEnd w:id="1916"/>
          </w:p>
        </w:tc>
        <w:tc>
          <w:tcPr>
            <w:tcW w:w="1628" w:type="dxa"/>
            <w:vAlign w:val="center"/>
          </w:tcPr>
          <w:p w14:paraId="628562BE"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right"/>
              <w:outlineLvl w:val="1"/>
              <w:rPr>
                <w:rFonts w:ascii="Calibri" w:hAnsi="Calibri" w:cs="Calibri"/>
                <w:sz w:val="22"/>
                <w:szCs w:val="22"/>
                <w:lang w:val="en-GB"/>
              </w:rPr>
            </w:pPr>
            <w:bookmarkStart w:id="1917" w:name="_Toc376200021"/>
            <w:r w:rsidRPr="006645DC">
              <w:rPr>
                <w:rFonts w:ascii="Calibri" w:hAnsi="Calibri" w:cs="Calibri"/>
                <w:sz w:val="22"/>
                <w:szCs w:val="22"/>
                <w:lang w:val="en-GB"/>
              </w:rPr>
              <w:t>34 009 ha</w:t>
            </w:r>
            <w:bookmarkEnd w:id="1917"/>
          </w:p>
        </w:tc>
      </w:tr>
      <w:tr w:rsidR="00CC50F4" w:rsidRPr="006645DC" w14:paraId="73592267" w14:textId="77777777" w:rsidTr="00FD1769">
        <w:trPr>
          <w:jc w:val="center"/>
        </w:trPr>
        <w:tc>
          <w:tcPr>
            <w:tcW w:w="1728" w:type="dxa"/>
            <w:vMerge/>
            <w:tcBorders>
              <w:bottom w:val="single" w:sz="4" w:space="0" w:color="auto"/>
            </w:tcBorders>
            <w:vAlign w:val="center"/>
          </w:tcPr>
          <w:p w14:paraId="11A97B55"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center"/>
              <w:rPr>
                <w:rFonts w:ascii="Calibri" w:eastAsia="Arial" w:hAnsi="Calibri" w:cs="Calibri"/>
                <w:sz w:val="22"/>
                <w:szCs w:val="22"/>
                <w:lang w:val="en-GB"/>
              </w:rPr>
            </w:pPr>
          </w:p>
        </w:tc>
        <w:tc>
          <w:tcPr>
            <w:tcW w:w="1859" w:type="dxa"/>
            <w:tcBorders>
              <w:top w:val="single" w:sz="4" w:space="0" w:color="auto"/>
              <w:bottom w:val="single" w:sz="4" w:space="0" w:color="auto"/>
              <w:right w:val="single" w:sz="4" w:space="0" w:color="auto"/>
            </w:tcBorders>
            <w:vAlign w:val="center"/>
          </w:tcPr>
          <w:p w14:paraId="2DED3649"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18" w:name="_Toc376200022"/>
            <w:r w:rsidRPr="006645DC">
              <w:rPr>
                <w:rFonts w:ascii="Calibri" w:eastAsia="Arial" w:hAnsi="Calibri" w:cs="Calibri"/>
                <w:sz w:val="22"/>
                <w:szCs w:val="22"/>
                <w:lang w:val="en-GB"/>
              </w:rPr>
              <w:t>Constanţa</w:t>
            </w:r>
            <w:bookmarkEnd w:id="1918"/>
          </w:p>
        </w:tc>
        <w:tc>
          <w:tcPr>
            <w:tcW w:w="3983" w:type="dxa"/>
            <w:tcBorders>
              <w:top w:val="single" w:sz="4" w:space="0" w:color="auto"/>
              <w:left w:val="single" w:sz="4" w:space="0" w:color="auto"/>
              <w:bottom w:val="single" w:sz="4" w:space="0" w:color="auto"/>
              <w:right w:val="single" w:sz="4" w:space="0" w:color="auto"/>
            </w:tcBorders>
            <w:vAlign w:val="center"/>
          </w:tcPr>
          <w:p w14:paraId="00485029"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19" w:name="_Toc376200023"/>
            <w:r w:rsidRPr="006645DC">
              <w:rPr>
                <w:rFonts w:ascii="Calibri" w:eastAsia="Arial" w:hAnsi="Calibri" w:cs="Calibri"/>
                <w:sz w:val="22"/>
                <w:szCs w:val="22"/>
                <w:lang w:val="en-GB"/>
              </w:rPr>
              <w:t>Grindul Chituc,</w:t>
            </w:r>
            <w:bookmarkEnd w:id="1919"/>
            <w:r w:rsidRPr="006645DC">
              <w:rPr>
                <w:rFonts w:ascii="Calibri" w:eastAsia="Arial" w:hAnsi="Calibri" w:cs="Calibri"/>
                <w:sz w:val="22"/>
                <w:szCs w:val="22"/>
                <w:lang w:val="en-GB"/>
              </w:rPr>
              <w:t xml:space="preserve"> </w:t>
            </w:r>
          </w:p>
          <w:p w14:paraId="7137ECDD"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eastAsia="Arial" w:hAnsi="Calibri" w:cs="Calibri"/>
                <w:sz w:val="22"/>
                <w:szCs w:val="22"/>
                <w:lang w:val="en-GB"/>
              </w:rPr>
            </w:pPr>
            <w:r w:rsidRPr="006645DC">
              <w:rPr>
                <w:rFonts w:ascii="Calibri" w:eastAsia="Arial" w:hAnsi="Calibri" w:cs="Calibri"/>
                <w:sz w:val="22"/>
                <w:szCs w:val="22"/>
                <w:lang w:val="en-GB"/>
              </w:rPr>
              <w:t xml:space="preserve">Grindul Lupilor, </w:t>
            </w:r>
          </w:p>
          <w:p w14:paraId="0986CE6E"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eastAsia="Arial" w:hAnsi="Calibri" w:cs="Calibri"/>
                <w:sz w:val="22"/>
                <w:szCs w:val="22"/>
                <w:lang w:val="en-GB"/>
              </w:rPr>
            </w:pPr>
            <w:r w:rsidRPr="006645DC">
              <w:rPr>
                <w:rFonts w:ascii="Calibri" w:eastAsia="Arial" w:hAnsi="Calibri" w:cs="Calibri"/>
                <w:sz w:val="22"/>
                <w:szCs w:val="22"/>
                <w:lang w:val="en-GB"/>
              </w:rPr>
              <w:t xml:space="preserve">Corbu – Nuntaşi – Histria </w:t>
            </w:r>
          </w:p>
          <w:p w14:paraId="13AA024B" w14:textId="77777777" w:rsidR="00CC50F4" w:rsidRPr="006645DC" w:rsidRDefault="00CC50F4" w:rsidP="00FD1769">
            <w:pPr>
              <w:pStyle w:val="NormalWeb"/>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rPr>
                <w:rFonts w:ascii="Calibri" w:hAnsi="Calibri" w:cs="Calibri"/>
                <w:sz w:val="22"/>
                <w:szCs w:val="22"/>
                <w:lang w:val="en-GB"/>
              </w:rPr>
            </w:pPr>
            <w:r w:rsidRPr="006645DC">
              <w:rPr>
                <w:rFonts w:ascii="Calibri" w:eastAsia="Arial" w:hAnsi="Calibri" w:cs="Calibri"/>
                <w:sz w:val="22"/>
                <w:szCs w:val="22"/>
                <w:lang w:val="en-GB"/>
              </w:rPr>
              <w:t>Histria –Grindul Săcele</w:t>
            </w:r>
          </w:p>
        </w:tc>
        <w:tc>
          <w:tcPr>
            <w:tcW w:w="1628" w:type="dxa"/>
            <w:tcBorders>
              <w:top w:val="single" w:sz="4" w:space="0" w:color="auto"/>
              <w:left w:val="single" w:sz="4" w:space="0" w:color="auto"/>
              <w:bottom w:val="single" w:sz="4" w:space="0" w:color="auto"/>
              <w:right w:val="single" w:sz="4" w:space="0" w:color="auto"/>
            </w:tcBorders>
            <w:vAlign w:val="center"/>
          </w:tcPr>
          <w:p w14:paraId="7C26B0CA" w14:textId="77777777" w:rsidR="00CC50F4" w:rsidRPr="006645DC" w:rsidRDefault="00CC50F4" w:rsidP="00FD1769">
            <w:pPr>
              <w:pStyle w:val="NormalWeb"/>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beforeAutospacing="0" w:after="0" w:afterAutospacing="0"/>
              <w:jc w:val="left"/>
              <w:outlineLvl w:val="1"/>
              <w:rPr>
                <w:rFonts w:ascii="Calibri" w:eastAsia="Arial" w:hAnsi="Calibri" w:cs="Calibri"/>
                <w:sz w:val="22"/>
                <w:szCs w:val="22"/>
                <w:lang w:val="en-GB"/>
              </w:rPr>
            </w:pPr>
            <w:bookmarkStart w:id="1920" w:name="_Toc376200024"/>
            <w:r w:rsidRPr="006645DC">
              <w:rPr>
                <w:rFonts w:ascii="Calibri" w:eastAsia="Arial" w:hAnsi="Calibri" w:cs="Calibri"/>
                <w:sz w:val="22"/>
                <w:szCs w:val="22"/>
                <w:lang w:val="en-GB"/>
              </w:rPr>
              <w:t>Areas of strict protection included in the Danube Delta Biosphere Reserve</w:t>
            </w:r>
            <w:bookmarkEnd w:id="1920"/>
          </w:p>
        </w:tc>
      </w:tr>
    </w:tbl>
    <w:p w14:paraId="3D89AE59" w14:textId="77777777" w:rsidR="00850E00" w:rsidRPr="006645DC" w:rsidRDefault="00850E00" w:rsidP="00850E00">
      <w:pPr>
        <w:pStyle w:val="Caption"/>
        <w:rPr>
          <w:lang w:val="en-GB"/>
        </w:rPr>
      </w:pPr>
      <w:bookmarkStart w:id="1921" w:name="_Toc391150146"/>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49</w:t>
      </w:r>
      <w:r w:rsidR="005979EB" w:rsidRPr="006645DC">
        <w:rPr>
          <w:lang w:val="en-GB"/>
        </w:rPr>
        <w:fldChar w:fldCharType="end"/>
      </w:r>
      <w:r w:rsidRPr="006645DC">
        <w:rPr>
          <w:lang w:val="en-GB"/>
        </w:rPr>
        <w:t xml:space="preserve"> - </w:t>
      </w:r>
      <w:r w:rsidR="00CC50F4" w:rsidRPr="006645DC">
        <w:rPr>
          <w:lang w:val="en-GB"/>
        </w:rPr>
        <w:t>Main protected areas in the cross-border region</w:t>
      </w:r>
      <w:bookmarkEnd w:id="1921"/>
    </w:p>
    <w:p w14:paraId="65F25995" w14:textId="77777777" w:rsidR="00CC50F4" w:rsidRPr="006645DC" w:rsidRDefault="00CC50F4" w:rsidP="00CC50F4">
      <w:pPr>
        <w:pStyle w:val="Heading4"/>
        <w:rPr>
          <w:lang w:val="en-GB"/>
        </w:rPr>
      </w:pPr>
      <w:r w:rsidRPr="006645DC">
        <w:rPr>
          <w:lang w:val="en-GB"/>
        </w:rPr>
        <w:t>source: Romania-Bulgaria Cross-Border Area territorial analysis, August 2013</w:t>
      </w:r>
    </w:p>
    <w:p w14:paraId="1D638D63" w14:textId="77777777" w:rsidR="00AA4C82" w:rsidRPr="006645DC" w:rsidRDefault="00AA4C82" w:rsidP="00AA4C82">
      <w:pPr>
        <w:rPr>
          <w:lang w:val="en-GB"/>
        </w:rPr>
      </w:pPr>
      <w:r w:rsidRPr="006645DC">
        <w:rPr>
          <w:lang w:val="en-GB"/>
        </w:rPr>
        <w:t xml:space="preserve">There are several popular natural touristic destinations in the Bulgarian cross-border area, the most important ones are situated in the western part of the region: the “Rocks of Belogradchik” with its third-century castle, the Magura Cave, the Ledenika Cave, and the stone formations of Ritlite. Srebarna Lake is a natural attraction located in the central and eastern side of the Bulgarian area and is a nature reserve on the list of UNESCO Natural and Cultural World Heritage Sites. </w:t>
      </w:r>
    </w:p>
    <w:p w14:paraId="0F33C3CB" w14:textId="77777777" w:rsidR="00AA4C82" w:rsidRPr="006645DC" w:rsidRDefault="00AA4C82" w:rsidP="00AA4C82">
      <w:pPr>
        <w:rPr>
          <w:lang w:val="en-GB"/>
        </w:rPr>
      </w:pPr>
      <w:r w:rsidRPr="006645DC">
        <w:rPr>
          <w:lang w:val="en-GB"/>
        </w:rPr>
        <w:t xml:space="preserve">There are several NATURA 2000 sites in the Romanian cross-border area. Natural-interest habitats are distributed in a relatively uniform manner in the Romanian counties, having a bigger territorial incidence </w:t>
      </w:r>
      <w:r w:rsidRPr="006645DC">
        <w:rPr>
          <w:lang w:val="en-GB"/>
        </w:rPr>
        <w:lastRenderedPageBreak/>
        <w:t xml:space="preserve">in counties with higher variety of relief, climate, and hydrology. In Mehedinţi, 10 Natura 2000 sites were created, 7 out of these spread to neighbouring counties Gorj, Caras Severin, and Dolj. There are 7 Natura 2000 sites in Dolj. </w:t>
      </w:r>
    </w:p>
    <w:p w14:paraId="4FEAF865" w14:textId="77777777" w:rsidR="00AA4C82" w:rsidRPr="006645DC" w:rsidRDefault="00AA4C82" w:rsidP="00AA4C82">
      <w:pPr>
        <w:rPr>
          <w:lang w:val="en-GB"/>
        </w:rPr>
      </w:pPr>
      <w:r w:rsidRPr="006645DC">
        <w:rPr>
          <w:lang w:val="en-GB"/>
        </w:rPr>
        <w:t xml:space="preserve">As for Bulgaria, there are a total of 102 protected zones included in NATURA 2000 network located in the cross-border region. The distribution of the sites varies from 10 in the Ruse district to 15 in the Dobrich district, spreading also to the neighbouring district of Varna. </w:t>
      </w:r>
    </w:p>
    <w:p w14:paraId="044816A2" w14:textId="77777777" w:rsidR="00850E00" w:rsidRPr="006645DC" w:rsidRDefault="00850E00" w:rsidP="00CC50F4">
      <w:pPr>
        <w:rPr>
          <w:lang w:val="en-GB"/>
        </w:rPr>
      </w:pPr>
    </w:p>
    <w:p w14:paraId="5C98F375" w14:textId="77777777" w:rsidR="0076358C" w:rsidRPr="006645DC" w:rsidRDefault="00AA4C82" w:rsidP="0066340C">
      <w:pPr>
        <w:jc w:val="center"/>
        <w:rPr>
          <w:lang w:val="en-GB"/>
        </w:rPr>
      </w:pPr>
      <w:r w:rsidRPr="006645DC">
        <w:rPr>
          <w:noProof/>
          <w:lang w:val="bg-BG" w:eastAsia="bg-BG"/>
        </w:rPr>
        <w:drawing>
          <wp:inline distT="0" distB="0" distL="0" distR="0" wp14:anchorId="4424982D" wp14:editId="4AEEC3C0">
            <wp:extent cx="5943600" cy="3743325"/>
            <wp:effectExtent l="19050" t="0" r="0" b="0"/>
            <wp:docPr id="92" name="Picture 245" descr="Description: C:\Documents and Settings\Office\Local Settings\Temporary Internet Files\Content.Word\harti 29 11 20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Description: C:\Documents and Settings\Office\Local Settings\Temporary Internet Files\Content.Word\harti 29 11 20136.jpg"/>
                    <pic:cNvPicPr>
                      <a:picLocks noChangeAspect="1" noChangeArrowheads="1"/>
                    </pic:cNvPicPr>
                  </pic:nvPicPr>
                  <pic:blipFill>
                    <a:blip r:embed="rId130"/>
                    <a:srcRect/>
                    <a:stretch>
                      <a:fillRect/>
                    </a:stretch>
                  </pic:blipFill>
                  <pic:spPr bwMode="auto">
                    <a:xfrm>
                      <a:off x="0" y="0"/>
                      <a:ext cx="5943600" cy="3743325"/>
                    </a:xfrm>
                    <a:prstGeom prst="rect">
                      <a:avLst/>
                    </a:prstGeom>
                    <a:noFill/>
                    <a:ln w="9525">
                      <a:noFill/>
                      <a:miter lim="800000"/>
                      <a:headEnd/>
                      <a:tailEnd/>
                    </a:ln>
                  </pic:spPr>
                </pic:pic>
              </a:graphicData>
            </a:graphic>
          </wp:inline>
        </w:drawing>
      </w:r>
    </w:p>
    <w:p w14:paraId="72C0A897" w14:textId="77777777" w:rsidR="00843768" w:rsidRPr="006645DC" w:rsidRDefault="00843768" w:rsidP="00843768">
      <w:pPr>
        <w:pStyle w:val="Caption"/>
        <w:rPr>
          <w:lang w:val="en-GB"/>
        </w:rPr>
      </w:pPr>
      <w:bookmarkStart w:id="1922" w:name="_Toc391150039"/>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35</w:t>
      </w:r>
      <w:r w:rsidR="005979EB" w:rsidRPr="006645DC">
        <w:rPr>
          <w:lang w:val="en-GB"/>
        </w:rPr>
        <w:fldChar w:fldCharType="end"/>
      </w:r>
      <w:r w:rsidRPr="006645DC">
        <w:rPr>
          <w:lang w:val="en-GB"/>
        </w:rPr>
        <w:t xml:space="preserve"> - Natura 2000 areas in the Romania-Bulgaria cross-border area</w:t>
      </w:r>
      <w:bookmarkEnd w:id="1922"/>
    </w:p>
    <w:p w14:paraId="6410A7EF" w14:textId="77777777" w:rsidR="00843768" w:rsidRPr="006645DC" w:rsidRDefault="00843768" w:rsidP="00843768">
      <w:pPr>
        <w:pStyle w:val="Heading4"/>
        <w:rPr>
          <w:lang w:val="en-GB"/>
        </w:rPr>
      </w:pPr>
      <w:r w:rsidRPr="006645DC">
        <w:rPr>
          <w:lang w:val="en-GB"/>
        </w:rPr>
        <w:t>Source: European Commission (2009)</w:t>
      </w:r>
      <w:r w:rsidR="00BB78A4" w:rsidRPr="006645DC">
        <w:rPr>
          <w:lang w:val="en-GB"/>
        </w:rPr>
        <w:t xml:space="preserve">, Détente Consultants </w:t>
      </w:r>
    </w:p>
    <w:p w14:paraId="2ACA284B" w14:textId="35586A20" w:rsidR="007E7141" w:rsidRPr="006645DC" w:rsidRDefault="00AA4C82" w:rsidP="00AA4C82">
      <w:pPr>
        <w:rPr>
          <w:lang w:val="en-GB"/>
        </w:rPr>
      </w:pPr>
      <w:bookmarkStart w:id="1923" w:name="_Toc371107214"/>
      <w:r w:rsidRPr="006645DC">
        <w:rPr>
          <w:lang w:val="en-GB"/>
        </w:rPr>
        <w:t xml:space="preserve">Due to the economic pressure and the lack of natural resource management, protected areas are exposed to great risks because of illegal exploitations, tourism, constructions, and poaching. These activities cause irreversible damage in the natural environment of the cross-border region. Because of these serious problems and issues related to climate change, all the protected areas, including future Natura 2000 areas, are facing major challenges of natural environment conservation. However, several </w:t>
      </w:r>
      <w:r w:rsidRPr="006645DC">
        <w:rPr>
          <w:lang w:val="en-GB"/>
        </w:rPr>
        <w:lastRenderedPageBreak/>
        <w:t>guidances exist related the management and protection of Natura 2000 sites</w:t>
      </w:r>
      <w:r w:rsidRPr="006645DC">
        <w:rPr>
          <w:rStyle w:val="FootnoteReference"/>
          <w:lang w:val="en-GB"/>
        </w:rPr>
        <w:footnoteReference w:id="44"/>
      </w:r>
      <w:r w:rsidRPr="006645DC">
        <w:rPr>
          <w:lang w:val="en-GB"/>
        </w:rPr>
        <w:t>, which lay down the most important requirements of conservation measures and planning.</w:t>
      </w:r>
    </w:p>
    <w:p w14:paraId="28788E01" w14:textId="77777777" w:rsidR="00CC50F4" w:rsidRPr="006645DC" w:rsidRDefault="00CC50F4" w:rsidP="00CC50F4">
      <w:pPr>
        <w:pStyle w:val="Heading2"/>
        <w:rPr>
          <w:lang w:val="en-GB"/>
        </w:rPr>
      </w:pPr>
      <w:bookmarkStart w:id="1924" w:name="_Toc376200025"/>
      <w:bookmarkStart w:id="1925" w:name="_Toc254543836"/>
      <w:bookmarkStart w:id="1926" w:name="_Toc391150209"/>
      <w:r w:rsidRPr="006645DC">
        <w:rPr>
          <w:lang w:val="en-GB"/>
        </w:rPr>
        <w:t>Quality of the environment</w:t>
      </w:r>
      <w:bookmarkEnd w:id="1923"/>
      <w:bookmarkEnd w:id="1924"/>
      <w:bookmarkEnd w:id="1925"/>
      <w:bookmarkEnd w:id="1926"/>
    </w:p>
    <w:p w14:paraId="33EC7E27" w14:textId="77777777" w:rsidR="00AA4C82" w:rsidRPr="006645DC" w:rsidRDefault="00AA4C82" w:rsidP="00AA4C82">
      <w:pPr>
        <w:rPr>
          <w:lang w:val="en-GB"/>
        </w:rPr>
      </w:pPr>
      <w:r w:rsidRPr="006645DC">
        <w:rPr>
          <w:lang w:val="en-GB"/>
        </w:rPr>
        <w:t xml:space="preserve">The emission of harmful substances in the air comes from different sources, such as industrial areas (e.g., power plants, cement factories), transportation, and households. The nitrogen dioxide pollution is mainly due to the out-dated vehicle stock. Furthermore, there is considerable pollution in some important touristic areas, which are also developed industrial areas: Ruse, Pleven, and Vratsa. Other smaller municipalities with already developed tourism and with potential for future development (Belogradchik, Varshets, Berkovitsa, Kozlodui, Pordim, Dve Mogili, Ivanovo, etc.) have better air quality values. </w:t>
      </w:r>
    </w:p>
    <w:p w14:paraId="12B06414" w14:textId="77777777" w:rsidR="00AA4C82" w:rsidRPr="006645DC" w:rsidRDefault="00AA4C82" w:rsidP="00AA4C82">
      <w:pPr>
        <w:rPr>
          <w:lang w:val="en-GB"/>
        </w:rPr>
      </w:pPr>
      <w:r w:rsidRPr="006645DC">
        <w:rPr>
          <w:lang w:val="en-GB"/>
        </w:rPr>
        <w:t>Based on the reports of the Agency for Environmental Protection, air quality in the counties of Mehedinţi, Olt, Călăraşi has improved over the last years, due to technological modernisation and the reduction of the production capacities. The Agencies for Environmental Protection of Giurgiu and Călăraşi monitor the air quality through a system purchased within the PHARE Project CBC RO/BG 1999 „Joint monitoring system for the quality of air within the Romanian and Bulgarian boundary towns on the Lower Danube”. According to the Agency for Environmental Protection in Constanţa, the level of different types of allergens in the air is often above the authorised threshold. This is caused by traffic-generated pollution, industrial activities and operation of gross merchandise, as well as by the desertification tendencies recorded in the area.</w:t>
      </w:r>
    </w:p>
    <w:p w14:paraId="13FC18CD" w14:textId="77777777" w:rsidR="00AA4C82" w:rsidRPr="006645DC" w:rsidRDefault="00AA4C82" w:rsidP="00AA4C82">
      <w:pPr>
        <w:rPr>
          <w:lang w:val="en-GB"/>
        </w:rPr>
      </w:pPr>
      <w:r w:rsidRPr="006645DC">
        <w:rPr>
          <w:lang w:val="en-GB"/>
        </w:rPr>
        <w:t>On the territory of the Giurgiu county there were 44 potentially contaminated sites discovered (oil and energy industries), adding up to a rather large area of approximately 901445.31 m</w:t>
      </w:r>
      <w:r w:rsidRPr="006645DC">
        <w:rPr>
          <w:position w:val="6"/>
          <w:vertAlign w:val="superscript"/>
          <w:lang w:val="en-GB"/>
        </w:rPr>
        <w:t>2</w:t>
      </w:r>
      <w:r w:rsidRPr="006645DC">
        <w:rPr>
          <w:lang w:val="en-GB"/>
        </w:rPr>
        <w:t>, for which the necessary investigations have still not been made to be able to get to the stages of remedy / ecologic reconstruction.</w:t>
      </w:r>
    </w:p>
    <w:p w14:paraId="49503987" w14:textId="77777777" w:rsidR="00AA4C82" w:rsidRPr="006645DC" w:rsidRDefault="00AA4C82" w:rsidP="00AA4C82">
      <w:pPr>
        <w:rPr>
          <w:lang w:val="en-GB"/>
        </w:rPr>
      </w:pPr>
      <w:r w:rsidRPr="006645DC">
        <w:rPr>
          <w:lang w:val="en-GB"/>
        </w:rPr>
        <w:t>According to ESPON, between 1990 and 2010, greenhouse gas emissions decreased by more than 50% in Romania. A substantial decrease was also true for Bulgaria for the same period. In 2008, at NUTS level 3, all the counties, except Constanţa, were in the group of the least polluters in Europe.</w:t>
      </w:r>
    </w:p>
    <w:p w14:paraId="25BBCDB5" w14:textId="77777777" w:rsidR="00AA4C82" w:rsidRPr="006645DC" w:rsidRDefault="00AA4C82" w:rsidP="00AA4C82">
      <w:pPr>
        <w:rPr>
          <w:lang w:val="en-GB"/>
        </w:rPr>
      </w:pPr>
      <w:r w:rsidRPr="006645DC">
        <w:rPr>
          <w:lang w:val="en-GB"/>
        </w:rPr>
        <w:t>Currently, the programme area in the Bulgarian side, particularly in Veliko Tarnovo and Gorna Oryahovitsa, has serious environmental problems</w:t>
      </w:r>
      <w:r w:rsidRPr="006645DC">
        <w:rPr>
          <w:b/>
          <w:lang w:val="en-GB"/>
        </w:rPr>
        <w:t xml:space="preserve"> </w:t>
      </w:r>
      <w:r w:rsidRPr="006645DC">
        <w:rPr>
          <w:lang w:val="en-GB"/>
        </w:rPr>
        <w:t>because of the rate of air and water pollution and soil contamination.</w:t>
      </w:r>
      <w:r w:rsidRPr="006645DC">
        <w:rPr>
          <w:rStyle w:val="FootnoteReference"/>
          <w:lang w:val="en-GB"/>
        </w:rPr>
        <w:footnoteReference w:id="45"/>
      </w:r>
      <w:r w:rsidRPr="006645DC">
        <w:rPr>
          <w:lang w:val="en-GB"/>
        </w:rPr>
        <w:t xml:space="preserve">  </w:t>
      </w:r>
    </w:p>
    <w:p w14:paraId="6E0AB75A" w14:textId="4E878855" w:rsidR="00AA4C82" w:rsidRPr="006645DC" w:rsidRDefault="00AA4C82" w:rsidP="00AA4C82">
      <w:pPr>
        <w:rPr>
          <w:lang w:val="en-GB"/>
        </w:rPr>
      </w:pPr>
      <w:r w:rsidRPr="006645DC">
        <w:rPr>
          <w:lang w:val="en-GB"/>
        </w:rPr>
        <w:t xml:space="preserve">The districts of Vidin and Vratsa have measured in 2012 the highest levels in the country for fine dust particles. In total 34% of the population within the Danube environment-monitoring area on the </w:t>
      </w:r>
      <w:r w:rsidRPr="006645DC">
        <w:rPr>
          <w:lang w:val="en-GB"/>
        </w:rPr>
        <w:lastRenderedPageBreak/>
        <w:t xml:space="preserve">Bulgarian territory is affected by this pollution, measured with average daily norm of </w:t>
      </w:r>
      <w:r w:rsidRPr="006645DC">
        <w:rPr>
          <w:rFonts w:eastAsia="Times New Roman"/>
          <w:sz w:val="24"/>
          <w:szCs w:val="20"/>
          <w:lang w:val="en-GB"/>
        </w:rPr>
        <w:t xml:space="preserve">50 </w:t>
      </w:r>
      <w:r w:rsidRPr="006645DC">
        <w:rPr>
          <w:rFonts w:eastAsia="SymbolMT"/>
          <w:sz w:val="24"/>
          <w:szCs w:val="20"/>
          <w:lang w:val="en-GB"/>
        </w:rPr>
        <w:t>μ</w:t>
      </w:r>
      <w:r w:rsidRPr="006645DC">
        <w:rPr>
          <w:rFonts w:eastAsia="Times New Roman"/>
          <w:sz w:val="24"/>
          <w:szCs w:val="20"/>
          <w:lang w:val="en-GB"/>
        </w:rPr>
        <w:t>g/m</w:t>
      </w:r>
      <w:r w:rsidRPr="006645DC">
        <w:rPr>
          <w:rFonts w:eastAsia="Times New Roman"/>
          <w:sz w:val="24"/>
          <w:szCs w:val="13"/>
          <w:lang w:val="en-GB"/>
        </w:rPr>
        <w:t>3</w:t>
      </w:r>
      <w:r w:rsidRPr="006645DC">
        <w:rPr>
          <w:rFonts w:eastAsia="Times New Roman"/>
          <w:sz w:val="13"/>
          <w:szCs w:val="13"/>
          <w:lang w:val="en-GB"/>
        </w:rPr>
        <w:t xml:space="preserve"> </w:t>
      </w:r>
      <w:r w:rsidRPr="006645DC">
        <w:rPr>
          <w:rFonts w:eastAsia="Times New Roman" w:cs="Arial"/>
          <w:szCs w:val="13"/>
          <w:lang w:val="en-GB"/>
        </w:rPr>
        <w:t>being</w:t>
      </w:r>
      <w:r w:rsidRPr="006645DC">
        <w:rPr>
          <w:rFonts w:eastAsia="Times New Roman" w:cs="Arial"/>
          <w:sz w:val="24"/>
          <w:szCs w:val="13"/>
          <w:lang w:val="en-GB"/>
        </w:rPr>
        <w:t xml:space="preserve"> </w:t>
      </w:r>
      <w:r w:rsidRPr="006645DC">
        <w:rPr>
          <w:rFonts w:eastAsia="Times New Roman" w:cs="Arial"/>
          <w:szCs w:val="13"/>
          <w:lang w:val="en-GB"/>
        </w:rPr>
        <w:t xml:space="preserve">surpassed more than 35 days per year. </w:t>
      </w:r>
      <w:r w:rsidRPr="006645DC">
        <w:rPr>
          <w:lang w:val="en-GB"/>
        </w:rPr>
        <w:t xml:space="preserve">The reasons for the levels of fine dust particles that are registered over the admissible limit are emissions caused by the transport, the industrial and the housing sectors, and the poor maintenance of the roads. </w:t>
      </w:r>
      <w:r w:rsidRPr="006645DC">
        <w:rPr>
          <w:rFonts w:eastAsia="Times New Roman" w:cs="Arial"/>
          <w:szCs w:val="13"/>
          <w:lang w:val="en-GB"/>
        </w:rPr>
        <w:t>With regards to emissions of SO</w:t>
      </w:r>
      <w:r w:rsidRPr="006645DC">
        <w:rPr>
          <w:rFonts w:eastAsia="Times New Roman" w:cs="Arial"/>
          <w:szCs w:val="13"/>
          <w:vertAlign w:val="subscript"/>
          <w:lang w:val="en-GB"/>
        </w:rPr>
        <w:t>2</w:t>
      </w:r>
      <w:r w:rsidRPr="006645DC">
        <w:rPr>
          <w:rFonts w:eastAsia="Times New Roman" w:cs="Arial"/>
          <w:szCs w:val="13"/>
          <w:lang w:val="en-GB"/>
        </w:rPr>
        <w:t>, NO</w:t>
      </w:r>
      <w:r w:rsidRPr="006645DC">
        <w:rPr>
          <w:rFonts w:eastAsia="Times New Roman" w:cs="Arial"/>
          <w:szCs w:val="13"/>
          <w:vertAlign w:val="subscript"/>
          <w:lang w:val="en-GB"/>
        </w:rPr>
        <w:t>2</w:t>
      </w:r>
      <w:r w:rsidRPr="006645DC">
        <w:rPr>
          <w:rFonts w:eastAsia="Times New Roman" w:cs="Arial"/>
          <w:szCs w:val="13"/>
          <w:lang w:val="en-GB"/>
        </w:rPr>
        <w:t xml:space="preserve"> and ozone, there are no pollution levels registered above the admissible norms. </w:t>
      </w:r>
      <w:r w:rsidRPr="006645DC">
        <w:rPr>
          <w:lang w:val="en-GB"/>
        </w:rPr>
        <w:t>The loss of biodiversity continues to be the biggest environmental problem in all districts and in the country in spite of the listed Natura 2000 sites</w:t>
      </w:r>
      <w:r w:rsidRPr="006645DC">
        <w:rPr>
          <w:rStyle w:val="FootnoteReference"/>
          <w:rFonts w:asciiTheme="majorHAnsi" w:hAnsiTheme="majorHAnsi"/>
          <w:lang w:val="en-GB"/>
        </w:rPr>
        <w:footnoteReference w:id="46"/>
      </w:r>
      <w:r w:rsidR="00CE723E">
        <w:rPr>
          <w:lang w:val="en-GB"/>
        </w:rPr>
        <w:t xml:space="preserve">. </w:t>
      </w:r>
    </w:p>
    <w:p w14:paraId="2C28F607" w14:textId="77777777" w:rsidR="00AA4C82" w:rsidRPr="006645DC" w:rsidRDefault="00AA4C82" w:rsidP="00AA4C82">
      <w:pPr>
        <w:jc w:val="center"/>
        <w:rPr>
          <w:lang w:val="en-GB"/>
        </w:rPr>
      </w:pPr>
      <w:r w:rsidRPr="006645DC">
        <w:rPr>
          <w:noProof/>
          <w:lang w:val="bg-BG" w:eastAsia="bg-BG"/>
        </w:rPr>
        <w:drawing>
          <wp:inline distT="0" distB="0" distL="0" distR="0" wp14:anchorId="44D86894" wp14:editId="3D30C8B6">
            <wp:extent cx="5943600" cy="3781425"/>
            <wp:effectExtent l="19050" t="0" r="0" b="0"/>
            <wp:docPr id="37" name="Picture 246" descr="C:\Documents and Settings\Office\Local Settings\Temporary Internet Files\Content.Word\harti 29 11 20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C:\Documents and Settings\Office\Local Settings\Temporary Internet Files\Content.Word\harti 29 11 20139.jpg"/>
                    <pic:cNvPicPr>
                      <a:picLocks noChangeAspect="1" noChangeArrowheads="1"/>
                    </pic:cNvPicPr>
                  </pic:nvPicPr>
                  <pic:blipFill>
                    <a:blip r:embed="rId131"/>
                    <a:srcRect/>
                    <a:stretch>
                      <a:fillRect/>
                    </a:stretch>
                  </pic:blipFill>
                  <pic:spPr bwMode="auto">
                    <a:xfrm>
                      <a:off x="0" y="0"/>
                      <a:ext cx="5943600" cy="3781425"/>
                    </a:xfrm>
                    <a:prstGeom prst="rect">
                      <a:avLst/>
                    </a:prstGeom>
                    <a:noFill/>
                    <a:ln w="9525">
                      <a:noFill/>
                      <a:miter lim="800000"/>
                      <a:headEnd/>
                      <a:tailEnd/>
                    </a:ln>
                  </pic:spPr>
                </pic:pic>
              </a:graphicData>
            </a:graphic>
          </wp:inline>
        </w:drawing>
      </w:r>
    </w:p>
    <w:p w14:paraId="3A73279C" w14:textId="77777777" w:rsidR="00AA4C82" w:rsidRPr="006645DC" w:rsidRDefault="00AA4C82" w:rsidP="00AA4C82">
      <w:pPr>
        <w:pStyle w:val="Caption"/>
        <w:rPr>
          <w:lang w:val="en-GB"/>
        </w:rPr>
      </w:pPr>
      <w:bookmarkStart w:id="1927" w:name="_Toc391150040"/>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36</w:t>
      </w:r>
      <w:r w:rsidR="005979EB" w:rsidRPr="006645DC">
        <w:rPr>
          <w:lang w:val="en-GB"/>
        </w:rPr>
        <w:fldChar w:fldCharType="end"/>
      </w:r>
      <w:r w:rsidRPr="006645DC">
        <w:rPr>
          <w:lang w:val="en-GB"/>
        </w:rPr>
        <w:t xml:space="preserve"> - Greenhouse gas emissions at regional level</w:t>
      </w:r>
      <w:bookmarkEnd w:id="1927"/>
    </w:p>
    <w:p w14:paraId="6EC366EF" w14:textId="77777777" w:rsidR="00AA4C82" w:rsidRPr="006645DC" w:rsidRDefault="00AA4C82" w:rsidP="00AA4C82">
      <w:pPr>
        <w:pStyle w:val="Heading4"/>
        <w:rPr>
          <w:lang w:val="en-GB"/>
        </w:rPr>
      </w:pPr>
      <w:r w:rsidRPr="006645DC">
        <w:rPr>
          <w:lang w:val="en-GB"/>
        </w:rPr>
        <w:t xml:space="preserve">Source: ESPON SIESTA Project, Détente Consultants </w:t>
      </w:r>
    </w:p>
    <w:p w14:paraId="5950C1CE" w14:textId="77777777" w:rsidR="00AA4C82" w:rsidRPr="006645DC" w:rsidRDefault="00AA4C82" w:rsidP="00AA4C82">
      <w:pPr>
        <w:rPr>
          <w:lang w:val="en-GB"/>
        </w:rPr>
      </w:pPr>
    </w:p>
    <w:p w14:paraId="0A27D3BB" w14:textId="77777777" w:rsidR="00AA4C82" w:rsidRPr="006645DC" w:rsidRDefault="00AA4C82" w:rsidP="00AA4C82">
      <w:pPr>
        <w:pStyle w:val="Heading2"/>
        <w:rPr>
          <w:lang w:val="en-GB"/>
        </w:rPr>
      </w:pPr>
      <w:bookmarkStart w:id="1928" w:name="_Toc376200026"/>
      <w:bookmarkStart w:id="1929" w:name="_Toc254543837"/>
      <w:bookmarkStart w:id="1930" w:name="_Toc391150210"/>
      <w:r w:rsidRPr="006645DC">
        <w:rPr>
          <w:lang w:val="en-GB"/>
        </w:rPr>
        <w:lastRenderedPageBreak/>
        <w:t>Waste Water</w:t>
      </w:r>
      <w:bookmarkEnd w:id="1928"/>
      <w:bookmarkEnd w:id="1929"/>
      <w:bookmarkEnd w:id="1930"/>
    </w:p>
    <w:p w14:paraId="34F262E2" w14:textId="77777777" w:rsidR="00AA4C82" w:rsidRPr="006645DC" w:rsidRDefault="00AA4C82" w:rsidP="00AA4C82">
      <w:pPr>
        <w:spacing w:before="0" w:after="0"/>
        <w:rPr>
          <w:lang w:val="en-GB"/>
        </w:rPr>
      </w:pPr>
      <w:r w:rsidRPr="006645DC">
        <w:rPr>
          <w:lang w:val="en-GB"/>
        </w:rPr>
        <w:t>The percentage of the population connected to urban wastewater treatment is considerably below the EU average in the cross-border region. The situation is to some extent better from this perspective in Bulgarian area then in the Romanian area. Both governments are aware of the situation and national level strategies were developed to improve the situation. The development of wastewater management was also integrated into sectorial development programmes: “By promoting integrated water and wastewater systems, in a regional approach, Romania aims to maximize cost-efficiency gains from scale economies in order to optimize the overall investment costs and the operational costs induced by such investments. To achieve this, communities in clearly defined geographical areas (e.g. by river basin) are encouraged to group together and to develop a joint long-term investment programme for water sector development (Master plans for water and wastewater). Priority investments at regional level aim to provide the population with adequate water and wastewater utilities, at the required quality and at acceptable tariffs.”</w:t>
      </w:r>
      <w:r w:rsidRPr="006645DC">
        <w:rPr>
          <w:rStyle w:val="FootnoteReference"/>
          <w:lang w:val="en-GB"/>
        </w:rPr>
        <w:footnoteReference w:id="47"/>
      </w:r>
    </w:p>
    <w:p w14:paraId="51C8498C" w14:textId="77777777" w:rsidR="00AA4C82" w:rsidRPr="006645DC" w:rsidRDefault="00AA4C82" w:rsidP="00AA4C82">
      <w:pPr>
        <w:spacing w:before="0" w:after="0"/>
        <w:rPr>
          <w:lang w:val="en-GB"/>
        </w:rPr>
      </w:pPr>
    </w:p>
    <w:tbl>
      <w:tblPr>
        <w:tblW w:w="9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5" w:type="dxa"/>
          <w:right w:w="5" w:type="dxa"/>
        </w:tblCellMar>
        <w:tblLook w:val="0000" w:firstRow="0" w:lastRow="0" w:firstColumn="0" w:lastColumn="0" w:noHBand="0" w:noVBand="0"/>
      </w:tblPr>
      <w:tblGrid>
        <w:gridCol w:w="1510"/>
        <w:gridCol w:w="1417"/>
        <w:gridCol w:w="1134"/>
        <w:gridCol w:w="1418"/>
        <w:gridCol w:w="850"/>
        <w:gridCol w:w="1418"/>
        <w:gridCol w:w="1984"/>
      </w:tblGrid>
      <w:tr w:rsidR="00CC50F4" w:rsidRPr="006645DC" w14:paraId="099C7C59" w14:textId="77777777" w:rsidTr="00393EB7">
        <w:trPr>
          <w:jc w:val="center"/>
        </w:trPr>
        <w:tc>
          <w:tcPr>
            <w:tcW w:w="9731" w:type="dxa"/>
            <w:gridSpan w:val="7"/>
            <w:tcBorders>
              <w:top w:val="single" w:sz="4" w:space="0" w:color="auto"/>
              <w:left w:val="single" w:sz="4" w:space="0" w:color="auto"/>
              <w:right w:val="single" w:sz="4" w:space="0" w:color="auto"/>
            </w:tcBorders>
            <w:shd w:val="clear" w:color="auto" w:fill="76923C"/>
            <w:vAlign w:val="center"/>
          </w:tcPr>
          <w:p w14:paraId="0BBA6AB6"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r w:rsidRPr="006645DC">
              <w:rPr>
                <w:rFonts w:eastAsia="Arial" w:cs="Calibri"/>
                <w:b/>
                <w:color w:val="FFFFFF"/>
                <w:sz w:val="20"/>
                <w:szCs w:val="20"/>
                <w:lang w:val="en-GB"/>
              </w:rPr>
              <w:t>Bulgarian cross-border region</w:t>
            </w:r>
          </w:p>
        </w:tc>
      </w:tr>
      <w:tr w:rsidR="00CC50F4" w:rsidRPr="006645DC" w14:paraId="0906EAA7" w14:textId="77777777" w:rsidTr="00393EB7">
        <w:trPr>
          <w:jc w:val="center"/>
        </w:trPr>
        <w:tc>
          <w:tcPr>
            <w:tcW w:w="1510" w:type="dxa"/>
            <w:vMerge w:val="restart"/>
            <w:tcBorders>
              <w:top w:val="single" w:sz="4" w:space="0" w:color="auto"/>
              <w:left w:val="single" w:sz="4" w:space="0" w:color="auto"/>
              <w:right w:val="single" w:sz="4" w:space="0" w:color="auto"/>
            </w:tcBorders>
            <w:shd w:val="clear" w:color="auto" w:fill="76923C"/>
            <w:vAlign w:val="center"/>
          </w:tcPr>
          <w:p w14:paraId="535B0699"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r w:rsidRPr="006645DC">
              <w:rPr>
                <w:rFonts w:eastAsia="Arial" w:cs="Calibri"/>
                <w:b/>
                <w:color w:val="FFFFFF"/>
                <w:sz w:val="20"/>
                <w:szCs w:val="20"/>
                <w:lang w:val="en-GB"/>
              </w:rPr>
              <w:t>District</w:t>
            </w:r>
          </w:p>
        </w:tc>
        <w:tc>
          <w:tcPr>
            <w:tcW w:w="1417" w:type="dxa"/>
            <w:vMerge w:val="restart"/>
            <w:tcBorders>
              <w:top w:val="single" w:sz="4" w:space="0" w:color="auto"/>
              <w:left w:val="single" w:sz="4" w:space="0" w:color="auto"/>
              <w:right w:val="single" w:sz="4" w:space="0" w:color="auto"/>
            </w:tcBorders>
            <w:shd w:val="clear" w:color="auto" w:fill="76923C"/>
            <w:vAlign w:val="center"/>
          </w:tcPr>
          <w:p w14:paraId="6618F21F" w14:textId="77777777" w:rsidR="00CC50F4" w:rsidRPr="006645DC" w:rsidRDefault="00CC50F4" w:rsidP="00FD1769">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b/>
                <w:color w:val="FFFFFF"/>
                <w:sz w:val="20"/>
                <w:szCs w:val="20"/>
                <w:lang w:val="en-GB"/>
              </w:rPr>
            </w:pPr>
            <w:bookmarkStart w:id="1931" w:name="_Toc376200027"/>
            <w:r w:rsidRPr="006645DC">
              <w:rPr>
                <w:rFonts w:eastAsia="Arial" w:cs="Calibri"/>
                <w:b/>
                <w:color w:val="FFFFFF"/>
                <w:sz w:val="20"/>
                <w:szCs w:val="20"/>
                <w:lang w:val="en-GB"/>
              </w:rPr>
              <w:t>Population connected to public water supply</w:t>
            </w:r>
            <w:bookmarkEnd w:id="1931"/>
          </w:p>
        </w:tc>
        <w:tc>
          <w:tcPr>
            <w:tcW w:w="1134" w:type="dxa"/>
            <w:vMerge w:val="restart"/>
            <w:tcBorders>
              <w:top w:val="single" w:sz="4" w:space="0" w:color="auto"/>
              <w:left w:val="single" w:sz="4" w:space="0" w:color="auto"/>
              <w:right w:val="single" w:sz="4" w:space="0" w:color="auto"/>
            </w:tcBorders>
            <w:shd w:val="clear" w:color="auto" w:fill="76923C"/>
            <w:vAlign w:val="center"/>
          </w:tcPr>
          <w:p w14:paraId="660D8798"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r w:rsidRPr="006645DC">
              <w:rPr>
                <w:rFonts w:eastAsia="Arial" w:cs="Calibri"/>
                <w:b/>
                <w:color w:val="FFFFFF"/>
                <w:sz w:val="20"/>
                <w:szCs w:val="20"/>
                <w:lang w:val="en-GB"/>
              </w:rPr>
              <w:t>Population with water supply regime</w:t>
            </w:r>
          </w:p>
        </w:tc>
        <w:tc>
          <w:tcPr>
            <w:tcW w:w="1418" w:type="dxa"/>
            <w:vMerge w:val="restart"/>
            <w:tcBorders>
              <w:top w:val="single" w:sz="4" w:space="0" w:color="auto"/>
              <w:left w:val="single" w:sz="4" w:space="0" w:color="auto"/>
              <w:right w:val="single" w:sz="4" w:space="0" w:color="auto"/>
            </w:tcBorders>
            <w:shd w:val="clear" w:color="auto" w:fill="76923C"/>
            <w:vAlign w:val="center"/>
          </w:tcPr>
          <w:p w14:paraId="3017C77C"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r w:rsidRPr="006645DC">
              <w:rPr>
                <w:rFonts w:eastAsia="Arial" w:cs="Calibri"/>
                <w:b/>
                <w:color w:val="FFFFFF"/>
                <w:sz w:val="20"/>
                <w:szCs w:val="20"/>
                <w:lang w:val="en-GB"/>
              </w:rPr>
              <w:t>Population connected to urban wastewater collecting system</w:t>
            </w:r>
          </w:p>
        </w:tc>
        <w:tc>
          <w:tcPr>
            <w:tcW w:w="2268" w:type="dxa"/>
            <w:gridSpan w:val="2"/>
            <w:tcBorders>
              <w:top w:val="single" w:sz="4" w:space="0" w:color="auto"/>
              <w:left w:val="single" w:sz="4" w:space="0" w:color="auto"/>
              <w:bottom w:val="single" w:sz="4" w:space="0" w:color="auto"/>
              <w:right w:val="single" w:sz="4" w:space="0" w:color="auto"/>
            </w:tcBorders>
            <w:shd w:val="clear" w:color="auto" w:fill="76923C"/>
            <w:vAlign w:val="center"/>
          </w:tcPr>
          <w:p w14:paraId="1B4C9DCA"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r w:rsidRPr="006645DC">
              <w:rPr>
                <w:rFonts w:eastAsia="Arial" w:cs="Calibri"/>
                <w:b/>
                <w:color w:val="FFFFFF"/>
                <w:sz w:val="20"/>
                <w:szCs w:val="20"/>
                <w:lang w:val="en-GB"/>
              </w:rPr>
              <w:t>Wastewater treatment plants</w:t>
            </w:r>
          </w:p>
        </w:tc>
        <w:tc>
          <w:tcPr>
            <w:tcW w:w="1984" w:type="dxa"/>
            <w:vMerge w:val="restart"/>
            <w:tcBorders>
              <w:top w:val="single" w:sz="4" w:space="0" w:color="auto"/>
              <w:left w:val="single" w:sz="4" w:space="0" w:color="auto"/>
              <w:right w:val="single" w:sz="4" w:space="0" w:color="auto"/>
            </w:tcBorders>
            <w:shd w:val="clear" w:color="auto" w:fill="76923C"/>
            <w:vAlign w:val="center"/>
          </w:tcPr>
          <w:p w14:paraId="654E1BA2"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r w:rsidRPr="006645DC">
              <w:rPr>
                <w:rFonts w:eastAsia="Arial" w:cs="Calibri"/>
                <w:b/>
                <w:color w:val="FFFFFF"/>
                <w:sz w:val="20"/>
                <w:szCs w:val="20"/>
                <w:lang w:val="en-GB"/>
              </w:rPr>
              <w:t>Population</w:t>
            </w:r>
          </w:p>
          <w:p w14:paraId="0086FA1C"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r w:rsidRPr="006645DC">
              <w:rPr>
                <w:rFonts w:eastAsia="Arial" w:cs="Calibri"/>
                <w:b/>
                <w:color w:val="FFFFFF"/>
                <w:sz w:val="20"/>
                <w:szCs w:val="20"/>
                <w:lang w:val="en-GB"/>
              </w:rPr>
              <w:t>connected to</w:t>
            </w:r>
          </w:p>
          <w:p w14:paraId="5535B8FF"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r w:rsidRPr="006645DC">
              <w:rPr>
                <w:rFonts w:eastAsia="Arial" w:cs="Calibri"/>
                <w:b/>
                <w:color w:val="FFFFFF"/>
                <w:sz w:val="20"/>
                <w:szCs w:val="20"/>
                <w:lang w:val="en-GB"/>
              </w:rPr>
              <w:t>urban wastewater collecting system without treatment</w:t>
            </w:r>
          </w:p>
        </w:tc>
      </w:tr>
      <w:tr w:rsidR="00CC50F4" w:rsidRPr="006645DC" w14:paraId="40F632FE" w14:textId="77777777" w:rsidTr="00393EB7">
        <w:trPr>
          <w:jc w:val="center"/>
        </w:trPr>
        <w:tc>
          <w:tcPr>
            <w:tcW w:w="1510" w:type="dxa"/>
            <w:vMerge/>
            <w:tcBorders>
              <w:left w:val="single" w:sz="4" w:space="0" w:color="auto"/>
              <w:bottom w:val="single" w:sz="4" w:space="0" w:color="auto"/>
              <w:right w:val="single" w:sz="4" w:space="0" w:color="auto"/>
            </w:tcBorders>
            <w:shd w:val="clear" w:color="auto" w:fill="76923C"/>
            <w:vAlign w:val="center"/>
          </w:tcPr>
          <w:p w14:paraId="6964C9B4"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p>
        </w:tc>
        <w:tc>
          <w:tcPr>
            <w:tcW w:w="1417" w:type="dxa"/>
            <w:vMerge/>
            <w:tcBorders>
              <w:left w:val="single" w:sz="4" w:space="0" w:color="auto"/>
              <w:bottom w:val="single" w:sz="4" w:space="0" w:color="auto"/>
              <w:right w:val="single" w:sz="4" w:space="0" w:color="auto"/>
            </w:tcBorders>
            <w:shd w:val="clear" w:color="auto" w:fill="76923C"/>
            <w:vAlign w:val="center"/>
          </w:tcPr>
          <w:p w14:paraId="5A9AF1B4"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p>
        </w:tc>
        <w:tc>
          <w:tcPr>
            <w:tcW w:w="1134" w:type="dxa"/>
            <w:vMerge/>
            <w:tcBorders>
              <w:left w:val="single" w:sz="4" w:space="0" w:color="auto"/>
              <w:bottom w:val="single" w:sz="4" w:space="0" w:color="auto"/>
              <w:right w:val="single" w:sz="4" w:space="0" w:color="auto"/>
            </w:tcBorders>
            <w:shd w:val="clear" w:color="auto" w:fill="76923C"/>
            <w:vAlign w:val="center"/>
          </w:tcPr>
          <w:p w14:paraId="05377523"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p>
        </w:tc>
        <w:tc>
          <w:tcPr>
            <w:tcW w:w="1418" w:type="dxa"/>
            <w:vMerge/>
            <w:tcBorders>
              <w:left w:val="single" w:sz="4" w:space="0" w:color="auto"/>
              <w:bottom w:val="single" w:sz="4" w:space="0" w:color="auto"/>
              <w:right w:val="single" w:sz="4" w:space="0" w:color="auto"/>
            </w:tcBorders>
            <w:shd w:val="clear" w:color="auto" w:fill="76923C"/>
            <w:vAlign w:val="center"/>
          </w:tcPr>
          <w:p w14:paraId="3B958506"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p>
        </w:tc>
        <w:tc>
          <w:tcPr>
            <w:tcW w:w="850" w:type="dxa"/>
            <w:tcBorders>
              <w:top w:val="single" w:sz="4" w:space="0" w:color="auto"/>
              <w:left w:val="single" w:sz="4" w:space="0" w:color="auto"/>
              <w:bottom w:val="single" w:sz="4" w:space="0" w:color="auto"/>
              <w:right w:val="single" w:sz="4" w:space="0" w:color="auto"/>
            </w:tcBorders>
            <w:shd w:val="clear" w:color="auto" w:fill="76923C"/>
            <w:vAlign w:val="center"/>
          </w:tcPr>
          <w:p w14:paraId="721D11B1" w14:textId="77777777" w:rsidR="00CC50F4" w:rsidRPr="006645DC" w:rsidRDefault="00CC50F4" w:rsidP="00FD1769">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b/>
                <w:color w:val="FFFFFF"/>
                <w:sz w:val="20"/>
                <w:szCs w:val="20"/>
                <w:lang w:val="en-GB"/>
              </w:rPr>
            </w:pPr>
            <w:bookmarkStart w:id="1932" w:name="_Toc376200028"/>
            <w:r w:rsidRPr="006645DC">
              <w:rPr>
                <w:rFonts w:eastAsia="Arial" w:cs="Calibri"/>
                <w:b/>
                <w:color w:val="FFFFFF"/>
                <w:sz w:val="20"/>
                <w:szCs w:val="20"/>
                <w:lang w:val="en-GB"/>
              </w:rPr>
              <w:t>Total</w:t>
            </w:r>
            <w:bookmarkEnd w:id="1932"/>
          </w:p>
          <w:p w14:paraId="603C9D53"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p>
        </w:tc>
        <w:tc>
          <w:tcPr>
            <w:tcW w:w="1418" w:type="dxa"/>
            <w:tcBorders>
              <w:top w:val="single" w:sz="4" w:space="0" w:color="auto"/>
              <w:left w:val="single" w:sz="4" w:space="0" w:color="auto"/>
              <w:bottom w:val="single" w:sz="4" w:space="0" w:color="auto"/>
              <w:right w:val="single" w:sz="4" w:space="0" w:color="auto"/>
            </w:tcBorders>
            <w:shd w:val="clear" w:color="auto" w:fill="76923C"/>
            <w:vAlign w:val="center"/>
          </w:tcPr>
          <w:p w14:paraId="106C53E5" w14:textId="77777777" w:rsidR="00CC50F4" w:rsidRPr="006645DC" w:rsidRDefault="00CC50F4" w:rsidP="00FD1769">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b/>
                <w:color w:val="FFFFFF"/>
                <w:sz w:val="20"/>
                <w:szCs w:val="20"/>
                <w:lang w:val="en-GB"/>
              </w:rPr>
            </w:pPr>
            <w:bookmarkStart w:id="1933" w:name="_Toc376200029"/>
            <w:r w:rsidRPr="006645DC">
              <w:rPr>
                <w:rFonts w:eastAsia="Arial" w:cs="Calibri"/>
                <w:b/>
                <w:color w:val="FFFFFF"/>
                <w:sz w:val="20"/>
                <w:szCs w:val="20"/>
                <w:lang w:val="en-GB"/>
              </w:rPr>
              <w:t>of which: at least with secondary treatment</w:t>
            </w:r>
            <w:bookmarkEnd w:id="1933"/>
          </w:p>
        </w:tc>
        <w:tc>
          <w:tcPr>
            <w:tcW w:w="1984" w:type="dxa"/>
            <w:vMerge/>
            <w:tcBorders>
              <w:left w:val="single" w:sz="4" w:space="0" w:color="auto"/>
              <w:bottom w:val="single" w:sz="4" w:space="0" w:color="auto"/>
              <w:right w:val="single" w:sz="4" w:space="0" w:color="auto"/>
            </w:tcBorders>
            <w:shd w:val="clear" w:color="auto" w:fill="76923C"/>
            <w:vAlign w:val="center"/>
          </w:tcPr>
          <w:p w14:paraId="26DB2A65"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p>
        </w:tc>
      </w:tr>
      <w:tr w:rsidR="00CC50F4" w:rsidRPr="006645DC" w14:paraId="1B109B18" w14:textId="77777777" w:rsidTr="00226DBF">
        <w:trPr>
          <w:jc w:val="center"/>
        </w:trPr>
        <w:tc>
          <w:tcPr>
            <w:tcW w:w="1510" w:type="dxa"/>
            <w:tcBorders>
              <w:top w:val="single" w:sz="4" w:space="0" w:color="auto"/>
              <w:left w:val="single" w:sz="4" w:space="0" w:color="auto"/>
              <w:bottom w:val="single" w:sz="4" w:space="0" w:color="auto"/>
              <w:right w:val="single" w:sz="4" w:space="0" w:color="auto"/>
            </w:tcBorders>
            <w:vAlign w:val="center"/>
          </w:tcPr>
          <w:p w14:paraId="400F0CFF" w14:textId="77777777" w:rsidR="00CC50F4" w:rsidRPr="006645DC" w:rsidRDefault="00CC50F4" w:rsidP="00FD176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rPr>
                <w:rFonts w:eastAsia="Arial" w:cs="Calibri"/>
                <w:sz w:val="20"/>
                <w:szCs w:val="20"/>
                <w:lang w:val="en-GB"/>
              </w:rPr>
            </w:pPr>
            <w:r w:rsidRPr="006645DC">
              <w:rPr>
                <w:rFonts w:eastAsia="Arial" w:cs="Calibri"/>
                <w:sz w:val="20"/>
                <w:szCs w:val="20"/>
                <w:lang w:val="en-GB"/>
              </w:rPr>
              <w:t>Vidin</w:t>
            </w:r>
          </w:p>
        </w:tc>
        <w:tc>
          <w:tcPr>
            <w:tcW w:w="1417" w:type="dxa"/>
            <w:tcBorders>
              <w:top w:val="single" w:sz="4" w:space="0" w:color="auto"/>
              <w:left w:val="single" w:sz="4" w:space="0" w:color="auto"/>
              <w:bottom w:val="single" w:sz="4" w:space="0" w:color="auto"/>
              <w:right w:val="single" w:sz="4" w:space="0" w:color="auto"/>
            </w:tcBorders>
            <w:vAlign w:val="center"/>
          </w:tcPr>
          <w:p w14:paraId="1C725A7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34" w:name="_Toc376200030"/>
            <w:r w:rsidRPr="006645DC">
              <w:rPr>
                <w:rFonts w:eastAsia="Arial" w:cs="Calibri"/>
                <w:sz w:val="20"/>
                <w:szCs w:val="20"/>
                <w:lang w:val="en-GB"/>
              </w:rPr>
              <w:t>99.0</w:t>
            </w:r>
            <w:bookmarkEnd w:id="1934"/>
          </w:p>
        </w:tc>
        <w:tc>
          <w:tcPr>
            <w:tcW w:w="1134" w:type="dxa"/>
            <w:tcBorders>
              <w:top w:val="single" w:sz="4" w:space="0" w:color="auto"/>
              <w:left w:val="single" w:sz="4" w:space="0" w:color="auto"/>
              <w:bottom w:val="single" w:sz="4" w:space="0" w:color="auto"/>
              <w:right w:val="single" w:sz="4" w:space="0" w:color="auto"/>
            </w:tcBorders>
            <w:vAlign w:val="center"/>
          </w:tcPr>
          <w:p w14:paraId="6A067507"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35" w:name="_Toc376200031"/>
            <w:r w:rsidRPr="006645DC">
              <w:rPr>
                <w:rFonts w:eastAsia="Arial" w:cs="Calibri"/>
                <w:sz w:val="20"/>
                <w:szCs w:val="20"/>
                <w:lang w:val="en-GB"/>
              </w:rPr>
              <w:t>0.5</w:t>
            </w:r>
            <w:bookmarkEnd w:id="1935"/>
          </w:p>
        </w:tc>
        <w:tc>
          <w:tcPr>
            <w:tcW w:w="1418" w:type="dxa"/>
            <w:tcBorders>
              <w:top w:val="single" w:sz="4" w:space="0" w:color="auto"/>
              <w:left w:val="single" w:sz="4" w:space="0" w:color="auto"/>
              <w:bottom w:val="single" w:sz="4" w:space="0" w:color="auto"/>
              <w:right w:val="single" w:sz="4" w:space="0" w:color="auto"/>
            </w:tcBorders>
            <w:vAlign w:val="center"/>
          </w:tcPr>
          <w:p w14:paraId="14C484E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36" w:name="_Toc376200032"/>
            <w:r w:rsidRPr="006645DC">
              <w:rPr>
                <w:rFonts w:eastAsia="Arial" w:cs="Calibri"/>
                <w:sz w:val="20"/>
                <w:szCs w:val="20"/>
                <w:lang w:val="en-GB"/>
              </w:rPr>
              <w:t>55.9</w:t>
            </w:r>
            <w:bookmarkEnd w:id="1936"/>
          </w:p>
        </w:tc>
        <w:tc>
          <w:tcPr>
            <w:tcW w:w="850" w:type="dxa"/>
            <w:tcBorders>
              <w:top w:val="single" w:sz="4" w:space="0" w:color="auto"/>
              <w:left w:val="single" w:sz="4" w:space="0" w:color="auto"/>
              <w:bottom w:val="single" w:sz="4" w:space="0" w:color="auto"/>
              <w:right w:val="single" w:sz="4" w:space="0" w:color="auto"/>
            </w:tcBorders>
            <w:vAlign w:val="center"/>
          </w:tcPr>
          <w:p w14:paraId="522B7951"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37" w:name="_Toc376200033"/>
            <w:r w:rsidRPr="006645DC">
              <w:rPr>
                <w:rFonts w:eastAsia="Arial" w:cs="Calibri"/>
                <w:sz w:val="20"/>
                <w:szCs w:val="20"/>
                <w:lang w:val="en-GB"/>
              </w:rPr>
              <w:t>0.0</w:t>
            </w:r>
            <w:bookmarkEnd w:id="1937"/>
          </w:p>
        </w:tc>
        <w:tc>
          <w:tcPr>
            <w:tcW w:w="1418" w:type="dxa"/>
            <w:tcBorders>
              <w:top w:val="single" w:sz="4" w:space="0" w:color="auto"/>
              <w:left w:val="single" w:sz="4" w:space="0" w:color="auto"/>
              <w:bottom w:val="single" w:sz="4" w:space="0" w:color="auto"/>
              <w:right w:val="single" w:sz="4" w:space="0" w:color="auto"/>
            </w:tcBorders>
            <w:vAlign w:val="center"/>
          </w:tcPr>
          <w:p w14:paraId="68DA0BBD"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38" w:name="_Toc376200034"/>
            <w:r w:rsidRPr="006645DC">
              <w:rPr>
                <w:rFonts w:eastAsia="Arial" w:cs="Calibri"/>
                <w:sz w:val="20"/>
                <w:szCs w:val="20"/>
                <w:lang w:val="en-GB"/>
              </w:rPr>
              <w:t>0.0</w:t>
            </w:r>
            <w:bookmarkEnd w:id="1938"/>
          </w:p>
        </w:tc>
        <w:tc>
          <w:tcPr>
            <w:tcW w:w="1984" w:type="dxa"/>
            <w:tcBorders>
              <w:top w:val="single" w:sz="4" w:space="0" w:color="auto"/>
              <w:left w:val="single" w:sz="4" w:space="0" w:color="auto"/>
              <w:bottom w:val="single" w:sz="4" w:space="0" w:color="auto"/>
              <w:right w:val="single" w:sz="4" w:space="0" w:color="auto"/>
            </w:tcBorders>
            <w:vAlign w:val="center"/>
          </w:tcPr>
          <w:p w14:paraId="1001406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39" w:name="_Toc376200035"/>
            <w:r w:rsidRPr="006645DC">
              <w:rPr>
                <w:rFonts w:eastAsia="Arial" w:cs="Calibri"/>
                <w:sz w:val="20"/>
                <w:szCs w:val="20"/>
                <w:lang w:val="en-GB"/>
              </w:rPr>
              <w:t>55.9</w:t>
            </w:r>
            <w:bookmarkEnd w:id="1939"/>
          </w:p>
        </w:tc>
      </w:tr>
      <w:tr w:rsidR="00CC50F4" w:rsidRPr="006645DC" w14:paraId="3B89F13C" w14:textId="77777777" w:rsidTr="00226DBF">
        <w:trPr>
          <w:jc w:val="center"/>
        </w:trPr>
        <w:tc>
          <w:tcPr>
            <w:tcW w:w="1510" w:type="dxa"/>
            <w:tcBorders>
              <w:top w:val="single" w:sz="4" w:space="0" w:color="auto"/>
              <w:left w:val="single" w:sz="4" w:space="0" w:color="auto"/>
              <w:bottom w:val="single" w:sz="4" w:space="0" w:color="auto"/>
              <w:right w:val="single" w:sz="4" w:space="0" w:color="auto"/>
            </w:tcBorders>
            <w:vAlign w:val="center"/>
          </w:tcPr>
          <w:p w14:paraId="671A9BDE" w14:textId="77777777" w:rsidR="00CC50F4" w:rsidRPr="006645DC" w:rsidRDefault="00CC50F4" w:rsidP="00FD1769">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sz w:val="20"/>
                <w:szCs w:val="20"/>
                <w:lang w:val="en-GB"/>
              </w:rPr>
            </w:pPr>
            <w:bookmarkStart w:id="1940" w:name="_Toc376200036"/>
            <w:r w:rsidRPr="006645DC">
              <w:rPr>
                <w:rFonts w:eastAsia="Arial" w:cs="Calibri"/>
                <w:sz w:val="20"/>
                <w:szCs w:val="20"/>
                <w:lang w:val="en-GB"/>
              </w:rPr>
              <w:t>Vratsa</w:t>
            </w:r>
            <w:bookmarkEnd w:id="1940"/>
          </w:p>
        </w:tc>
        <w:tc>
          <w:tcPr>
            <w:tcW w:w="1417" w:type="dxa"/>
            <w:tcBorders>
              <w:top w:val="single" w:sz="4" w:space="0" w:color="auto"/>
              <w:left w:val="single" w:sz="4" w:space="0" w:color="auto"/>
              <w:bottom w:val="single" w:sz="4" w:space="0" w:color="auto"/>
              <w:right w:val="single" w:sz="4" w:space="0" w:color="auto"/>
            </w:tcBorders>
            <w:vAlign w:val="center"/>
          </w:tcPr>
          <w:p w14:paraId="02DA7DAD"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41" w:name="_Toc376200037"/>
            <w:r w:rsidRPr="006645DC">
              <w:rPr>
                <w:rFonts w:eastAsia="Arial" w:cs="Calibri"/>
                <w:sz w:val="20"/>
                <w:szCs w:val="20"/>
                <w:lang w:val="en-GB"/>
              </w:rPr>
              <w:t>99.6</w:t>
            </w:r>
            <w:bookmarkEnd w:id="1941"/>
          </w:p>
        </w:tc>
        <w:tc>
          <w:tcPr>
            <w:tcW w:w="1134" w:type="dxa"/>
            <w:tcBorders>
              <w:top w:val="single" w:sz="4" w:space="0" w:color="auto"/>
              <w:left w:val="single" w:sz="4" w:space="0" w:color="auto"/>
              <w:bottom w:val="single" w:sz="4" w:space="0" w:color="auto"/>
              <w:right w:val="single" w:sz="4" w:space="0" w:color="auto"/>
            </w:tcBorders>
            <w:vAlign w:val="center"/>
          </w:tcPr>
          <w:p w14:paraId="13140A27"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42" w:name="_Toc376200038"/>
            <w:r w:rsidRPr="006645DC">
              <w:rPr>
                <w:rFonts w:eastAsia="Arial" w:cs="Calibri"/>
                <w:sz w:val="20"/>
                <w:szCs w:val="20"/>
                <w:lang w:val="en-GB"/>
              </w:rPr>
              <w:t>1.1</w:t>
            </w:r>
            <w:bookmarkEnd w:id="1942"/>
          </w:p>
        </w:tc>
        <w:tc>
          <w:tcPr>
            <w:tcW w:w="1418" w:type="dxa"/>
            <w:tcBorders>
              <w:top w:val="single" w:sz="4" w:space="0" w:color="auto"/>
              <w:left w:val="single" w:sz="4" w:space="0" w:color="auto"/>
              <w:bottom w:val="single" w:sz="4" w:space="0" w:color="auto"/>
              <w:right w:val="single" w:sz="4" w:space="0" w:color="auto"/>
            </w:tcBorders>
            <w:vAlign w:val="center"/>
          </w:tcPr>
          <w:p w14:paraId="02D6256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43" w:name="_Toc376200039"/>
            <w:r w:rsidRPr="006645DC">
              <w:rPr>
                <w:rFonts w:eastAsia="Arial" w:cs="Calibri"/>
                <w:sz w:val="20"/>
                <w:szCs w:val="20"/>
                <w:lang w:val="en-GB"/>
              </w:rPr>
              <w:t>55.4</w:t>
            </w:r>
            <w:bookmarkEnd w:id="1943"/>
          </w:p>
        </w:tc>
        <w:tc>
          <w:tcPr>
            <w:tcW w:w="850" w:type="dxa"/>
            <w:tcBorders>
              <w:top w:val="single" w:sz="4" w:space="0" w:color="auto"/>
              <w:left w:val="single" w:sz="4" w:space="0" w:color="auto"/>
              <w:bottom w:val="single" w:sz="4" w:space="0" w:color="auto"/>
              <w:right w:val="single" w:sz="4" w:space="0" w:color="auto"/>
            </w:tcBorders>
            <w:vAlign w:val="center"/>
          </w:tcPr>
          <w:p w14:paraId="6C65C9D7"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44" w:name="_Toc376200040"/>
            <w:r w:rsidRPr="006645DC">
              <w:rPr>
                <w:rFonts w:eastAsia="Arial" w:cs="Calibri"/>
                <w:sz w:val="20"/>
                <w:szCs w:val="20"/>
                <w:lang w:val="en-GB"/>
              </w:rPr>
              <w:t>32.4</w:t>
            </w:r>
            <w:bookmarkEnd w:id="1944"/>
          </w:p>
        </w:tc>
        <w:tc>
          <w:tcPr>
            <w:tcW w:w="1418" w:type="dxa"/>
            <w:tcBorders>
              <w:top w:val="single" w:sz="4" w:space="0" w:color="auto"/>
              <w:left w:val="single" w:sz="4" w:space="0" w:color="auto"/>
              <w:bottom w:val="single" w:sz="4" w:space="0" w:color="auto"/>
              <w:right w:val="single" w:sz="4" w:space="0" w:color="auto"/>
            </w:tcBorders>
            <w:vAlign w:val="center"/>
          </w:tcPr>
          <w:p w14:paraId="17FD2CC1"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45" w:name="_Toc376200041"/>
            <w:r w:rsidRPr="006645DC">
              <w:rPr>
                <w:rFonts w:eastAsia="Arial" w:cs="Calibri"/>
                <w:sz w:val="20"/>
                <w:szCs w:val="20"/>
                <w:lang w:val="en-GB"/>
              </w:rPr>
              <w:t>32.4</w:t>
            </w:r>
            <w:bookmarkEnd w:id="1945"/>
          </w:p>
        </w:tc>
        <w:tc>
          <w:tcPr>
            <w:tcW w:w="1984" w:type="dxa"/>
            <w:tcBorders>
              <w:top w:val="single" w:sz="4" w:space="0" w:color="auto"/>
              <w:left w:val="single" w:sz="4" w:space="0" w:color="auto"/>
              <w:bottom w:val="single" w:sz="4" w:space="0" w:color="auto"/>
              <w:right w:val="single" w:sz="4" w:space="0" w:color="auto"/>
            </w:tcBorders>
            <w:vAlign w:val="center"/>
          </w:tcPr>
          <w:p w14:paraId="66AAA507"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46" w:name="_Toc376200042"/>
            <w:r w:rsidRPr="006645DC">
              <w:rPr>
                <w:rFonts w:eastAsia="Arial" w:cs="Calibri"/>
                <w:sz w:val="20"/>
                <w:szCs w:val="20"/>
                <w:lang w:val="en-GB"/>
              </w:rPr>
              <w:t>23.0</w:t>
            </w:r>
            <w:bookmarkEnd w:id="1946"/>
          </w:p>
        </w:tc>
      </w:tr>
      <w:tr w:rsidR="00CC50F4" w:rsidRPr="006645DC" w14:paraId="30000333" w14:textId="77777777" w:rsidTr="00226DBF">
        <w:trPr>
          <w:jc w:val="center"/>
        </w:trPr>
        <w:tc>
          <w:tcPr>
            <w:tcW w:w="1510" w:type="dxa"/>
            <w:tcBorders>
              <w:top w:val="single" w:sz="4" w:space="0" w:color="auto"/>
              <w:left w:val="single" w:sz="4" w:space="0" w:color="auto"/>
              <w:bottom w:val="single" w:sz="4" w:space="0" w:color="auto"/>
              <w:right w:val="single" w:sz="4" w:space="0" w:color="auto"/>
            </w:tcBorders>
            <w:vAlign w:val="center"/>
          </w:tcPr>
          <w:p w14:paraId="35F84FA8" w14:textId="77777777" w:rsidR="00CC50F4" w:rsidRPr="006645DC" w:rsidRDefault="00CC50F4" w:rsidP="00FD1769">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sz w:val="20"/>
                <w:szCs w:val="20"/>
                <w:lang w:val="en-GB"/>
              </w:rPr>
            </w:pPr>
            <w:bookmarkStart w:id="1947" w:name="_Toc376200043"/>
            <w:r w:rsidRPr="006645DC">
              <w:rPr>
                <w:rFonts w:eastAsia="Arial" w:cs="Calibri"/>
                <w:sz w:val="20"/>
                <w:szCs w:val="20"/>
                <w:lang w:val="en-GB"/>
              </w:rPr>
              <w:t>Montana</w:t>
            </w:r>
            <w:bookmarkEnd w:id="1947"/>
          </w:p>
        </w:tc>
        <w:tc>
          <w:tcPr>
            <w:tcW w:w="1417" w:type="dxa"/>
            <w:tcBorders>
              <w:top w:val="single" w:sz="4" w:space="0" w:color="auto"/>
              <w:left w:val="single" w:sz="4" w:space="0" w:color="auto"/>
              <w:bottom w:val="single" w:sz="4" w:space="0" w:color="auto"/>
              <w:right w:val="single" w:sz="4" w:space="0" w:color="auto"/>
            </w:tcBorders>
            <w:vAlign w:val="center"/>
          </w:tcPr>
          <w:p w14:paraId="1214B71A"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48" w:name="_Toc376200044"/>
            <w:r w:rsidRPr="006645DC">
              <w:rPr>
                <w:rFonts w:eastAsia="Arial" w:cs="Calibri"/>
                <w:sz w:val="20"/>
                <w:szCs w:val="20"/>
                <w:lang w:val="en-GB"/>
              </w:rPr>
              <w:t>98.1</w:t>
            </w:r>
            <w:bookmarkEnd w:id="1948"/>
          </w:p>
        </w:tc>
        <w:tc>
          <w:tcPr>
            <w:tcW w:w="1134" w:type="dxa"/>
            <w:tcBorders>
              <w:top w:val="single" w:sz="4" w:space="0" w:color="auto"/>
              <w:left w:val="single" w:sz="4" w:space="0" w:color="auto"/>
              <w:bottom w:val="single" w:sz="4" w:space="0" w:color="auto"/>
              <w:right w:val="single" w:sz="4" w:space="0" w:color="auto"/>
            </w:tcBorders>
            <w:vAlign w:val="center"/>
          </w:tcPr>
          <w:p w14:paraId="3FC1167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49" w:name="_Toc376200045"/>
            <w:r w:rsidRPr="006645DC">
              <w:rPr>
                <w:rFonts w:eastAsia="Arial" w:cs="Calibri"/>
                <w:sz w:val="20"/>
                <w:szCs w:val="20"/>
                <w:lang w:val="en-GB"/>
              </w:rPr>
              <w:t>1.1</w:t>
            </w:r>
            <w:bookmarkEnd w:id="1949"/>
          </w:p>
        </w:tc>
        <w:tc>
          <w:tcPr>
            <w:tcW w:w="1418" w:type="dxa"/>
            <w:tcBorders>
              <w:top w:val="single" w:sz="4" w:space="0" w:color="auto"/>
              <w:left w:val="single" w:sz="4" w:space="0" w:color="auto"/>
              <w:bottom w:val="single" w:sz="4" w:space="0" w:color="auto"/>
              <w:right w:val="single" w:sz="4" w:space="0" w:color="auto"/>
            </w:tcBorders>
            <w:vAlign w:val="center"/>
          </w:tcPr>
          <w:p w14:paraId="6D87D202"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50" w:name="_Toc376200046"/>
            <w:r w:rsidRPr="006645DC">
              <w:rPr>
                <w:rFonts w:eastAsia="Arial" w:cs="Calibri"/>
                <w:sz w:val="20"/>
                <w:szCs w:val="20"/>
                <w:lang w:val="en-GB"/>
              </w:rPr>
              <w:t>58.2</w:t>
            </w:r>
            <w:bookmarkEnd w:id="1950"/>
          </w:p>
        </w:tc>
        <w:tc>
          <w:tcPr>
            <w:tcW w:w="850" w:type="dxa"/>
            <w:tcBorders>
              <w:top w:val="single" w:sz="4" w:space="0" w:color="auto"/>
              <w:left w:val="single" w:sz="4" w:space="0" w:color="auto"/>
              <w:bottom w:val="single" w:sz="4" w:space="0" w:color="auto"/>
              <w:right w:val="single" w:sz="4" w:space="0" w:color="auto"/>
            </w:tcBorders>
            <w:vAlign w:val="center"/>
          </w:tcPr>
          <w:p w14:paraId="0E907D75"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51" w:name="_Toc376200047"/>
            <w:r w:rsidRPr="006645DC">
              <w:rPr>
                <w:rFonts w:eastAsia="Arial" w:cs="Calibri"/>
                <w:sz w:val="20"/>
                <w:szCs w:val="20"/>
                <w:lang w:val="en-GB"/>
              </w:rPr>
              <w:t>33.9</w:t>
            </w:r>
            <w:bookmarkEnd w:id="1951"/>
          </w:p>
        </w:tc>
        <w:tc>
          <w:tcPr>
            <w:tcW w:w="1418" w:type="dxa"/>
            <w:tcBorders>
              <w:top w:val="single" w:sz="4" w:space="0" w:color="auto"/>
              <w:left w:val="single" w:sz="4" w:space="0" w:color="auto"/>
              <w:bottom w:val="single" w:sz="4" w:space="0" w:color="auto"/>
              <w:right w:val="single" w:sz="4" w:space="0" w:color="auto"/>
            </w:tcBorders>
            <w:vAlign w:val="center"/>
          </w:tcPr>
          <w:p w14:paraId="5829A62D"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52" w:name="_Toc376200048"/>
            <w:r w:rsidRPr="006645DC">
              <w:rPr>
                <w:rFonts w:eastAsia="Arial" w:cs="Calibri"/>
                <w:sz w:val="20"/>
                <w:szCs w:val="20"/>
                <w:lang w:val="en-GB"/>
              </w:rPr>
              <w:t>29.6</w:t>
            </w:r>
            <w:bookmarkEnd w:id="1952"/>
          </w:p>
        </w:tc>
        <w:tc>
          <w:tcPr>
            <w:tcW w:w="1984" w:type="dxa"/>
            <w:tcBorders>
              <w:top w:val="single" w:sz="4" w:space="0" w:color="auto"/>
              <w:left w:val="single" w:sz="4" w:space="0" w:color="auto"/>
              <w:bottom w:val="single" w:sz="4" w:space="0" w:color="auto"/>
              <w:right w:val="single" w:sz="4" w:space="0" w:color="auto"/>
            </w:tcBorders>
            <w:vAlign w:val="center"/>
          </w:tcPr>
          <w:p w14:paraId="50D900C9"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53" w:name="_Toc376200049"/>
            <w:r w:rsidRPr="006645DC">
              <w:rPr>
                <w:rFonts w:eastAsia="Arial" w:cs="Calibri"/>
                <w:sz w:val="20"/>
                <w:szCs w:val="20"/>
                <w:lang w:val="en-GB"/>
              </w:rPr>
              <w:t>24.3</w:t>
            </w:r>
            <w:bookmarkEnd w:id="1953"/>
          </w:p>
        </w:tc>
      </w:tr>
      <w:tr w:rsidR="00CC50F4" w:rsidRPr="006645DC" w14:paraId="65DC1716" w14:textId="77777777" w:rsidTr="00226DBF">
        <w:trPr>
          <w:jc w:val="center"/>
        </w:trPr>
        <w:tc>
          <w:tcPr>
            <w:tcW w:w="1510" w:type="dxa"/>
            <w:tcBorders>
              <w:top w:val="single" w:sz="4" w:space="0" w:color="auto"/>
              <w:left w:val="single" w:sz="4" w:space="0" w:color="auto"/>
              <w:bottom w:val="single" w:sz="4" w:space="0" w:color="auto"/>
              <w:right w:val="single" w:sz="4" w:space="0" w:color="auto"/>
            </w:tcBorders>
            <w:vAlign w:val="center"/>
          </w:tcPr>
          <w:p w14:paraId="0B878FC0" w14:textId="77777777" w:rsidR="00CC50F4" w:rsidRPr="006645DC" w:rsidRDefault="00CC50F4" w:rsidP="00FD1769">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sz w:val="20"/>
                <w:szCs w:val="20"/>
                <w:lang w:val="en-GB"/>
              </w:rPr>
            </w:pPr>
            <w:bookmarkStart w:id="1954" w:name="_Toc376200050"/>
            <w:r w:rsidRPr="006645DC">
              <w:rPr>
                <w:rFonts w:eastAsia="Arial" w:cs="Calibri"/>
                <w:sz w:val="20"/>
                <w:szCs w:val="20"/>
                <w:lang w:val="en-GB"/>
              </w:rPr>
              <w:t>Pleven</w:t>
            </w:r>
            <w:bookmarkEnd w:id="1954"/>
          </w:p>
        </w:tc>
        <w:tc>
          <w:tcPr>
            <w:tcW w:w="1417" w:type="dxa"/>
            <w:tcBorders>
              <w:top w:val="single" w:sz="4" w:space="0" w:color="auto"/>
              <w:left w:val="single" w:sz="4" w:space="0" w:color="auto"/>
              <w:bottom w:val="single" w:sz="4" w:space="0" w:color="auto"/>
              <w:right w:val="single" w:sz="4" w:space="0" w:color="auto"/>
            </w:tcBorders>
            <w:vAlign w:val="center"/>
          </w:tcPr>
          <w:p w14:paraId="6AA27284"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55" w:name="_Toc376200051"/>
            <w:r w:rsidRPr="006645DC">
              <w:rPr>
                <w:rFonts w:eastAsia="Arial" w:cs="Calibri"/>
                <w:sz w:val="20"/>
                <w:szCs w:val="20"/>
                <w:lang w:val="en-GB"/>
              </w:rPr>
              <w:t>100.0</w:t>
            </w:r>
            <w:bookmarkEnd w:id="1955"/>
          </w:p>
        </w:tc>
        <w:tc>
          <w:tcPr>
            <w:tcW w:w="1134" w:type="dxa"/>
            <w:tcBorders>
              <w:top w:val="single" w:sz="4" w:space="0" w:color="auto"/>
              <w:left w:val="single" w:sz="4" w:space="0" w:color="auto"/>
              <w:bottom w:val="single" w:sz="4" w:space="0" w:color="auto"/>
              <w:right w:val="single" w:sz="4" w:space="0" w:color="auto"/>
            </w:tcBorders>
            <w:vAlign w:val="center"/>
          </w:tcPr>
          <w:p w14:paraId="751033E0"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56" w:name="_Toc376200052"/>
            <w:r w:rsidRPr="006645DC">
              <w:rPr>
                <w:rFonts w:eastAsia="Arial" w:cs="Calibri"/>
                <w:sz w:val="20"/>
                <w:szCs w:val="20"/>
                <w:lang w:val="en-GB"/>
              </w:rPr>
              <w:t>47.0</w:t>
            </w:r>
            <w:bookmarkEnd w:id="1956"/>
          </w:p>
        </w:tc>
        <w:tc>
          <w:tcPr>
            <w:tcW w:w="1418" w:type="dxa"/>
            <w:tcBorders>
              <w:top w:val="single" w:sz="4" w:space="0" w:color="auto"/>
              <w:left w:val="single" w:sz="4" w:space="0" w:color="auto"/>
              <w:bottom w:val="single" w:sz="4" w:space="0" w:color="auto"/>
              <w:right w:val="single" w:sz="4" w:space="0" w:color="auto"/>
            </w:tcBorders>
            <w:vAlign w:val="center"/>
          </w:tcPr>
          <w:p w14:paraId="09A3173B"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57" w:name="_Toc376200053"/>
            <w:r w:rsidRPr="006645DC">
              <w:rPr>
                <w:rFonts w:eastAsia="Arial" w:cs="Calibri"/>
                <w:sz w:val="20"/>
                <w:szCs w:val="20"/>
                <w:lang w:val="en-GB"/>
              </w:rPr>
              <w:t>56.4</w:t>
            </w:r>
            <w:bookmarkEnd w:id="1957"/>
          </w:p>
        </w:tc>
        <w:tc>
          <w:tcPr>
            <w:tcW w:w="850" w:type="dxa"/>
            <w:tcBorders>
              <w:top w:val="single" w:sz="4" w:space="0" w:color="auto"/>
              <w:left w:val="single" w:sz="4" w:space="0" w:color="auto"/>
              <w:bottom w:val="single" w:sz="4" w:space="0" w:color="auto"/>
              <w:right w:val="single" w:sz="4" w:space="0" w:color="auto"/>
            </w:tcBorders>
            <w:vAlign w:val="center"/>
          </w:tcPr>
          <w:p w14:paraId="50BEF9D7"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58" w:name="_Toc376200054"/>
            <w:r w:rsidRPr="006645DC">
              <w:rPr>
                <w:rFonts w:eastAsia="Arial" w:cs="Calibri"/>
                <w:sz w:val="20"/>
                <w:szCs w:val="20"/>
                <w:lang w:val="en-GB"/>
              </w:rPr>
              <w:t>41.0</w:t>
            </w:r>
            <w:bookmarkEnd w:id="1958"/>
          </w:p>
        </w:tc>
        <w:tc>
          <w:tcPr>
            <w:tcW w:w="1418" w:type="dxa"/>
            <w:tcBorders>
              <w:top w:val="single" w:sz="4" w:space="0" w:color="auto"/>
              <w:left w:val="single" w:sz="4" w:space="0" w:color="auto"/>
              <w:bottom w:val="single" w:sz="4" w:space="0" w:color="auto"/>
              <w:right w:val="single" w:sz="4" w:space="0" w:color="auto"/>
            </w:tcBorders>
            <w:vAlign w:val="center"/>
          </w:tcPr>
          <w:p w14:paraId="49838AEA"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59" w:name="_Toc376200055"/>
            <w:r w:rsidRPr="006645DC">
              <w:rPr>
                <w:rFonts w:eastAsia="Arial" w:cs="Calibri"/>
                <w:sz w:val="20"/>
                <w:szCs w:val="20"/>
                <w:lang w:val="en-GB"/>
              </w:rPr>
              <w:t>41.0</w:t>
            </w:r>
            <w:bookmarkEnd w:id="1959"/>
          </w:p>
        </w:tc>
        <w:tc>
          <w:tcPr>
            <w:tcW w:w="1984" w:type="dxa"/>
            <w:tcBorders>
              <w:top w:val="single" w:sz="4" w:space="0" w:color="auto"/>
              <w:left w:val="single" w:sz="4" w:space="0" w:color="auto"/>
              <w:bottom w:val="single" w:sz="4" w:space="0" w:color="auto"/>
              <w:right w:val="single" w:sz="4" w:space="0" w:color="auto"/>
            </w:tcBorders>
            <w:vAlign w:val="center"/>
          </w:tcPr>
          <w:p w14:paraId="56751CBB"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60" w:name="_Toc376200056"/>
            <w:r w:rsidRPr="006645DC">
              <w:rPr>
                <w:rFonts w:eastAsia="Arial" w:cs="Calibri"/>
                <w:sz w:val="20"/>
                <w:szCs w:val="20"/>
                <w:lang w:val="en-GB"/>
              </w:rPr>
              <w:t>15.5</w:t>
            </w:r>
            <w:bookmarkEnd w:id="1960"/>
          </w:p>
        </w:tc>
      </w:tr>
      <w:tr w:rsidR="00CC50F4" w:rsidRPr="006645DC" w14:paraId="1E9F9ECB" w14:textId="77777777" w:rsidTr="00226DBF">
        <w:trPr>
          <w:jc w:val="center"/>
        </w:trPr>
        <w:tc>
          <w:tcPr>
            <w:tcW w:w="1510" w:type="dxa"/>
            <w:tcBorders>
              <w:top w:val="single" w:sz="4" w:space="0" w:color="auto"/>
              <w:left w:val="single" w:sz="4" w:space="0" w:color="auto"/>
              <w:bottom w:val="single" w:sz="4" w:space="0" w:color="auto"/>
              <w:right w:val="single" w:sz="4" w:space="0" w:color="auto"/>
            </w:tcBorders>
            <w:vAlign w:val="center"/>
          </w:tcPr>
          <w:p w14:paraId="476E8913" w14:textId="77777777" w:rsidR="00CC50F4" w:rsidRPr="006645DC" w:rsidRDefault="00CC50F4" w:rsidP="00FD1769">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sz w:val="20"/>
                <w:szCs w:val="20"/>
                <w:lang w:val="en-GB"/>
              </w:rPr>
            </w:pPr>
            <w:bookmarkStart w:id="1961" w:name="_Toc376200057"/>
            <w:r w:rsidRPr="006645DC">
              <w:rPr>
                <w:rFonts w:eastAsia="Arial" w:cs="Calibri"/>
                <w:sz w:val="20"/>
                <w:szCs w:val="20"/>
                <w:lang w:val="en-GB"/>
              </w:rPr>
              <w:t>Veliko Tarnovo</w:t>
            </w:r>
            <w:bookmarkEnd w:id="1961"/>
          </w:p>
        </w:tc>
        <w:tc>
          <w:tcPr>
            <w:tcW w:w="1417" w:type="dxa"/>
            <w:tcBorders>
              <w:top w:val="single" w:sz="4" w:space="0" w:color="auto"/>
              <w:left w:val="single" w:sz="4" w:space="0" w:color="auto"/>
              <w:bottom w:val="single" w:sz="4" w:space="0" w:color="auto"/>
              <w:right w:val="single" w:sz="4" w:space="0" w:color="auto"/>
            </w:tcBorders>
            <w:vAlign w:val="center"/>
          </w:tcPr>
          <w:p w14:paraId="768D6ED2"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62" w:name="_Toc376200058"/>
            <w:r w:rsidRPr="006645DC">
              <w:rPr>
                <w:rFonts w:eastAsia="Arial" w:cs="Calibri"/>
                <w:sz w:val="20"/>
                <w:szCs w:val="20"/>
                <w:lang w:val="en-GB"/>
              </w:rPr>
              <w:t>99.7</w:t>
            </w:r>
            <w:bookmarkEnd w:id="1962"/>
          </w:p>
        </w:tc>
        <w:tc>
          <w:tcPr>
            <w:tcW w:w="1134" w:type="dxa"/>
            <w:tcBorders>
              <w:top w:val="single" w:sz="4" w:space="0" w:color="auto"/>
              <w:left w:val="single" w:sz="4" w:space="0" w:color="auto"/>
              <w:bottom w:val="single" w:sz="4" w:space="0" w:color="auto"/>
              <w:right w:val="single" w:sz="4" w:space="0" w:color="auto"/>
            </w:tcBorders>
            <w:vAlign w:val="center"/>
          </w:tcPr>
          <w:p w14:paraId="2AE17516"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63" w:name="_Toc376200059"/>
            <w:r w:rsidRPr="006645DC">
              <w:rPr>
                <w:rFonts w:eastAsia="Arial" w:cs="Calibri"/>
                <w:sz w:val="20"/>
                <w:szCs w:val="20"/>
                <w:lang w:val="en-GB"/>
              </w:rPr>
              <w:t>1.8</w:t>
            </w:r>
            <w:bookmarkEnd w:id="1963"/>
          </w:p>
        </w:tc>
        <w:tc>
          <w:tcPr>
            <w:tcW w:w="1418" w:type="dxa"/>
            <w:tcBorders>
              <w:top w:val="single" w:sz="4" w:space="0" w:color="auto"/>
              <w:left w:val="single" w:sz="4" w:space="0" w:color="auto"/>
              <w:bottom w:val="single" w:sz="4" w:space="0" w:color="auto"/>
              <w:right w:val="single" w:sz="4" w:space="0" w:color="auto"/>
            </w:tcBorders>
            <w:vAlign w:val="center"/>
          </w:tcPr>
          <w:p w14:paraId="26559E24"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64" w:name="_Toc376200060"/>
            <w:r w:rsidRPr="006645DC">
              <w:rPr>
                <w:rFonts w:eastAsia="Arial" w:cs="Calibri"/>
                <w:sz w:val="20"/>
                <w:szCs w:val="20"/>
                <w:lang w:val="en-GB"/>
              </w:rPr>
              <w:t>66.2</w:t>
            </w:r>
            <w:bookmarkEnd w:id="1964"/>
          </w:p>
        </w:tc>
        <w:tc>
          <w:tcPr>
            <w:tcW w:w="850" w:type="dxa"/>
            <w:tcBorders>
              <w:top w:val="single" w:sz="4" w:space="0" w:color="auto"/>
              <w:left w:val="single" w:sz="4" w:space="0" w:color="auto"/>
              <w:bottom w:val="single" w:sz="4" w:space="0" w:color="auto"/>
              <w:right w:val="single" w:sz="4" w:space="0" w:color="auto"/>
            </w:tcBorders>
            <w:vAlign w:val="center"/>
          </w:tcPr>
          <w:p w14:paraId="3DA09A0E"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65" w:name="_Toc376200061"/>
            <w:r w:rsidRPr="006645DC">
              <w:rPr>
                <w:rFonts w:eastAsia="Arial" w:cs="Calibri"/>
                <w:sz w:val="20"/>
                <w:szCs w:val="20"/>
                <w:lang w:val="en-GB"/>
              </w:rPr>
              <w:t>43.9</w:t>
            </w:r>
            <w:bookmarkEnd w:id="1965"/>
          </w:p>
        </w:tc>
        <w:tc>
          <w:tcPr>
            <w:tcW w:w="1418" w:type="dxa"/>
            <w:tcBorders>
              <w:top w:val="single" w:sz="4" w:space="0" w:color="auto"/>
              <w:left w:val="single" w:sz="4" w:space="0" w:color="auto"/>
              <w:bottom w:val="single" w:sz="4" w:space="0" w:color="auto"/>
              <w:right w:val="single" w:sz="4" w:space="0" w:color="auto"/>
            </w:tcBorders>
            <w:vAlign w:val="center"/>
          </w:tcPr>
          <w:p w14:paraId="5542CFCB"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66" w:name="_Toc376200062"/>
            <w:r w:rsidRPr="006645DC">
              <w:rPr>
                <w:rFonts w:eastAsia="Arial" w:cs="Calibri"/>
                <w:sz w:val="20"/>
                <w:szCs w:val="20"/>
                <w:lang w:val="en-GB"/>
              </w:rPr>
              <w:t>42.2</w:t>
            </w:r>
            <w:bookmarkEnd w:id="1966"/>
          </w:p>
        </w:tc>
        <w:tc>
          <w:tcPr>
            <w:tcW w:w="1984" w:type="dxa"/>
            <w:tcBorders>
              <w:top w:val="single" w:sz="4" w:space="0" w:color="auto"/>
              <w:left w:val="single" w:sz="4" w:space="0" w:color="auto"/>
              <w:bottom w:val="single" w:sz="4" w:space="0" w:color="auto"/>
              <w:right w:val="single" w:sz="4" w:space="0" w:color="auto"/>
            </w:tcBorders>
            <w:vAlign w:val="center"/>
          </w:tcPr>
          <w:p w14:paraId="7F2A8E3C"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67" w:name="_Toc376200063"/>
            <w:r w:rsidRPr="006645DC">
              <w:rPr>
                <w:rFonts w:eastAsia="Arial" w:cs="Calibri"/>
                <w:sz w:val="20"/>
                <w:szCs w:val="20"/>
                <w:lang w:val="en-GB"/>
              </w:rPr>
              <w:t>22.3</w:t>
            </w:r>
            <w:bookmarkEnd w:id="1967"/>
          </w:p>
        </w:tc>
      </w:tr>
      <w:tr w:rsidR="00CC50F4" w:rsidRPr="006645DC" w14:paraId="59644E0C" w14:textId="77777777" w:rsidTr="00226DBF">
        <w:trPr>
          <w:jc w:val="center"/>
        </w:trPr>
        <w:tc>
          <w:tcPr>
            <w:tcW w:w="1510" w:type="dxa"/>
            <w:tcBorders>
              <w:top w:val="single" w:sz="4" w:space="0" w:color="auto"/>
              <w:left w:val="single" w:sz="4" w:space="0" w:color="auto"/>
              <w:bottom w:val="single" w:sz="4" w:space="0" w:color="auto"/>
              <w:right w:val="single" w:sz="4" w:space="0" w:color="auto"/>
            </w:tcBorders>
            <w:vAlign w:val="center"/>
          </w:tcPr>
          <w:p w14:paraId="6C9B831F" w14:textId="77777777" w:rsidR="00CC50F4" w:rsidRPr="006645DC" w:rsidRDefault="00CC50F4" w:rsidP="00FD1769">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sz w:val="20"/>
                <w:szCs w:val="20"/>
                <w:lang w:val="en-GB"/>
              </w:rPr>
            </w:pPr>
            <w:bookmarkStart w:id="1968" w:name="_Toc376200064"/>
            <w:r w:rsidRPr="006645DC">
              <w:rPr>
                <w:rFonts w:eastAsia="Arial" w:cs="Calibri"/>
                <w:sz w:val="20"/>
                <w:szCs w:val="20"/>
                <w:lang w:val="en-GB"/>
              </w:rPr>
              <w:t>Ruse</w:t>
            </w:r>
            <w:bookmarkEnd w:id="1968"/>
          </w:p>
        </w:tc>
        <w:tc>
          <w:tcPr>
            <w:tcW w:w="1417" w:type="dxa"/>
            <w:tcBorders>
              <w:top w:val="single" w:sz="4" w:space="0" w:color="auto"/>
              <w:left w:val="single" w:sz="4" w:space="0" w:color="auto"/>
              <w:bottom w:val="single" w:sz="4" w:space="0" w:color="auto"/>
              <w:right w:val="single" w:sz="4" w:space="0" w:color="auto"/>
            </w:tcBorders>
            <w:vAlign w:val="center"/>
          </w:tcPr>
          <w:p w14:paraId="25023101"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69" w:name="_Toc376200065"/>
            <w:r w:rsidRPr="006645DC">
              <w:rPr>
                <w:rFonts w:eastAsia="Arial" w:cs="Calibri"/>
                <w:sz w:val="20"/>
                <w:szCs w:val="20"/>
                <w:lang w:val="en-GB"/>
              </w:rPr>
              <w:t>100.0</w:t>
            </w:r>
            <w:bookmarkEnd w:id="1969"/>
          </w:p>
        </w:tc>
        <w:tc>
          <w:tcPr>
            <w:tcW w:w="1134" w:type="dxa"/>
            <w:tcBorders>
              <w:top w:val="single" w:sz="4" w:space="0" w:color="auto"/>
              <w:left w:val="single" w:sz="4" w:space="0" w:color="auto"/>
              <w:bottom w:val="single" w:sz="4" w:space="0" w:color="auto"/>
              <w:right w:val="single" w:sz="4" w:space="0" w:color="auto"/>
            </w:tcBorders>
            <w:vAlign w:val="center"/>
          </w:tcPr>
          <w:p w14:paraId="601EA6D6"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70" w:name="_Toc376200066"/>
            <w:r w:rsidRPr="006645DC">
              <w:rPr>
                <w:rFonts w:eastAsia="Arial" w:cs="Calibri"/>
                <w:sz w:val="20"/>
                <w:szCs w:val="20"/>
                <w:lang w:val="en-GB"/>
              </w:rPr>
              <w:t>0.0</w:t>
            </w:r>
            <w:bookmarkEnd w:id="1970"/>
          </w:p>
        </w:tc>
        <w:tc>
          <w:tcPr>
            <w:tcW w:w="1418" w:type="dxa"/>
            <w:tcBorders>
              <w:top w:val="single" w:sz="4" w:space="0" w:color="auto"/>
              <w:left w:val="single" w:sz="4" w:space="0" w:color="auto"/>
              <w:bottom w:val="single" w:sz="4" w:space="0" w:color="auto"/>
              <w:right w:val="single" w:sz="4" w:space="0" w:color="auto"/>
            </w:tcBorders>
            <w:vAlign w:val="center"/>
          </w:tcPr>
          <w:p w14:paraId="12F357C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71" w:name="_Toc376200067"/>
            <w:r w:rsidRPr="006645DC">
              <w:rPr>
                <w:rFonts w:eastAsia="Arial" w:cs="Calibri"/>
                <w:sz w:val="20"/>
                <w:szCs w:val="20"/>
                <w:lang w:val="en-GB"/>
              </w:rPr>
              <w:t>67.3</w:t>
            </w:r>
            <w:bookmarkEnd w:id="1971"/>
          </w:p>
        </w:tc>
        <w:tc>
          <w:tcPr>
            <w:tcW w:w="850" w:type="dxa"/>
            <w:tcBorders>
              <w:top w:val="single" w:sz="4" w:space="0" w:color="auto"/>
              <w:left w:val="single" w:sz="4" w:space="0" w:color="auto"/>
              <w:bottom w:val="single" w:sz="4" w:space="0" w:color="auto"/>
              <w:right w:val="single" w:sz="4" w:space="0" w:color="auto"/>
            </w:tcBorders>
            <w:vAlign w:val="center"/>
          </w:tcPr>
          <w:p w14:paraId="1C7B46A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72" w:name="_Toc376200068"/>
            <w:r w:rsidRPr="006645DC">
              <w:rPr>
                <w:rFonts w:eastAsia="Arial" w:cs="Calibri"/>
                <w:sz w:val="20"/>
                <w:szCs w:val="20"/>
                <w:lang w:val="en-GB"/>
              </w:rPr>
              <w:t>63.7</w:t>
            </w:r>
            <w:bookmarkEnd w:id="1972"/>
          </w:p>
        </w:tc>
        <w:tc>
          <w:tcPr>
            <w:tcW w:w="1418" w:type="dxa"/>
            <w:tcBorders>
              <w:top w:val="single" w:sz="4" w:space="0" w:color="auto"/>
              <w:left w:val="single" w:sz="4" w:space="0" w:color="auto"/>
              <w:bottom w:val="single" w:sz="4" w:space="0" w:color="auto"/>
              <w:right w:val="single" w:sz="4" w:space="0" w:color="auto"/>
            </w:tcBorders>
            <w:vAlign w:val="center"/>
          </w:tcPr>
          <w:p w14:paraId="405375CD"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73" w:name="_Toc376200069"/>
            <w:r w:rsidRPr="006645DC">
              <w:rPr>
                <w:rFonts w:eastAsia="Arial" w:cs="Calibri"/>
                <w:sz w:val="20"/>
                <w:szCs w:val="20"/>
                <w:lang w:val="en-GB"/>
              </w:rPr>
              <w:t>63.7</w:t>
            </w:r>
            <w:bookmarkEnd w:id="1973"/>
          </w:p>
        </w:tc>
        <w:tc>
          <w:tcPr>
            <w:tcW w:w="1984" w:type="dxa"/>
            <w:tcBorders>
              <w:top w:val="single" w:sz="4" w:space="0" w:color="auto"/>
              <w:left w:val="single" w:sz="4" w:space="0" w:color="auto"/>
              <w:bottom w:val="single" w:sz="4" w:space="0" w:color="auto"/>
              <w:right w:val="single" w:sz="4" w:space="0" w:color="auto"/>
            </w:tcBorders>
            <w:vAlign w:val="center"/>
          </w:tcPr>
          <w:p w14:paraId="5CDB0539"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74" w:name="_Toc376200070"/>
            <w:r w:rsidRPr="006645DC">
              <w:rPr>
                <w:rFonts w:eastAsia="Arial" w:cs="Calibri"/>
                <w:sz w:val="20"/>
                <w:szCs w:val="20"/>
                <w:lang w:val="en-GB"/>
              </w:rPr>
              <w:t>3.6</w:t>
            </w:r>
            <w:bookmarkEnd w:id="1974"/>
          </w:p>
        </w:tc>
      </w:tr>
      <w:tr w:rsidR="00CC50F4" w:rsidRPr="006645DC" w14:paraId="51DA8340" w14:textId="77777777" w:rsidTr="00226DBF">
        <w:trPr>
          <w:jc w:val="center"/>
        </w:trPr>
        <w:tc>
          <w:tcPr>
            <w:tcW w:w="1510" w:type="dxa"/>
            <w:tcBorders>
              <w:top w:val="single" w:sz="4" w:space="0" w:color="auto"/>
              <w:left w:val="single" w:sz="4" w:space="0" w:color="auto"/>
              <w:bottom w:val="single" w:sz="4" w:space="0" w:color="auto"/>
              <w:right w:val="single" w:sz="4" w:space="0" w:color="auto"/>
            </w:tcBorders>
            <w:vAlign w:val="center"/>
          </w:tcPr>
          <w:p w14:paraId="7813033D" w14:textId="77777777" w:rsidR="00CC50F4" w:rsidRPr="006645DC" w:rsidRDefault="00CC50F4" w:rsidP="00FD1769">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sz w:val="20"/>
                <w:szCs w:val="20"/>
                <w:lang w:val="en-GB"/>
              </w:rPr>
            </w:pPr>
            <w:bookmarkStart w:id="1975" w:name="_Toc376200071"/>
            <w:r w:rsidRPr="006645DC">
              <w:rPr>
                <w:rFonts w:eastAsia="Arial" w:cs="Calibri"/>
                <w:sz w:val="20"/>
                <w:szCs w:val="20"/>
                <w:lang w:val="en-GB"/>
              </w:rPr>
              <w:t>Silistra</w:t>
            </w:r>
            <w:bookmarkEnd w:id="1975"/>
          </w:p>
        </w:tc>
        <w:tc>
          <w:tcPr>
            <w:tcW w:w="1417" w:type="dxa"/>
            <w:tcBorders>
              <w:top w:val="single" w:sz="4" w:space="0" w:color="auto"/>
              <w:left w:val="single" w:sz="4" w:space="0" w:color="auto"/>
              <w:bottom w:val="single" w:sz="4" w:space="0" w:color="auto"/>
              <w:right w:val="single" w:sz="4" w:space="0" w:color="auto"/>
            </w:tcBorders>
            <w:vAlign w:val="center"/>
          </w:tcPr>
          <w:p w14:paraId="0C70360C"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76" w:name="_Toc376200072"/>
            <w:r w:rsidRPr="006645DC">
              <w:rPr>
                <w:rFonts w:eastAsia="Arial" w:cs="Calibri"/>
                <w:sz w:val="20"/>
                <w:szCs w:val="20"/>
                <w:lang w:val="en-GB"/>
              </w:rPr>
              <w:t>100.0</w:t>
            </w:r>
            <w:bookmarkEnd w:id="1976"/>
          </w:p>
        </w:tc>
        <w:tc>
          <w:tcPr>
            <w:tcW w:w="1134" w:type="dxa"/>
            <w:tcBorders>
              <w:top w:val="single" w:sz="4" w:space="0" w:color="auto"/>
              <w:left w:val="single" w:sz="4" w:space="0" w:color="auto"/>
              <w:bottom w:val="single" w:sz="4" w:space="0" w:color="auto"/>
              <w:right w:val="single" w:sz="4" w:space="0" w:color="auto"/>
            </w:tcBorders>
            <w:vAlign w:val="center"/>
          </w:tcPr>
          <w:p w14:paraId="47D619A4"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77" w:name="_Toc376200073"/>
            <w:r w:rsidRPr="006645DC">
              <w:rPr>
                <w:rFonts w:eastAsia="Arial" w:cs="Calibri"/>
                <w:sz w:val="20"/>
                <w:szCs w:val="20"/>
                <w:lang w:val="en-GB"/>
              </w:rPr>
              <w:t>0.0</w:t>
            </w:r>
            <w:bookmarkEnd w:id="1977"/>
          </w:p>
        </w:tc>
        <w:tc>
          <w:tcPr>
            <w:tcW w:w="1418" w:type="dxa"/>
            <w:tcBorders>
              <w:top w:val="single" w:sz="4" w:space="0" w:color="auto"/>
              <w:left w:val="single" w:sz="4" w:space="0" w:color="auto"/>
              <w:bottom w:val="single" w:sz="4" w:space="0" w:color="auto"/>
              <w:right w:val="single" w:sz="4" w:space="0" w:color="auto"/>
            </w:tcBorders>
            <w:vAlign w:val="center"/>
          </w:tcPr>
          <w:p w14:paraId="7BA273A7"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78" w:name="_Toc376200074"/>
            <w:r w:rsidRPr="006645DC">
              <w:rPr>
                <w:rFonts w:eastAsia="Arial" w:cs="Calibri"/>
                <w:sz w:val="20"/>
                <w:szCs w:val="20"/>
                <w:lang w:val="en-GB"/>
              </w:rPr>
              <w:t>51.8</w:t>
            </w:r>
            <w:bookmarkEnd w:id="1978"/>
          </w:p>
        </w:tc>
        <w:tc>
          <w:tcPr>
            <w:tcW w:w="850" w:type="dxa"/>
            <w:tcBorders>
              <w:top w:val="single" w:sz="4" w:space="0" w:color="auto"/>
              <w:left w:val="single" w:sz="4" w:space="0" w:color="auto"/>
              <w:bottom w:val="single" w:sz="4" w:space="0" w:color="auto"/>
              <w:right w:val="single" w:sz="4" w:space="0" w:color="auto"/>
            </w:tcBorders>
            <w:vAlign w:val="center"/>
          </w:tcPr>
          <w:p w14:paraId="223BCE06"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79" w:name="_Toc376200075"/>
            <w:r w:rsidRPr="006645DC">
              <w:rPr>
                <w:rFonts w:eastAsia="Arial" w:cs="Calibri"/>
                <w:sz w:val="20"/>
                <w:szCs w:val="20"/>
                <w:lang w:val="en-GB"/>
              </w:rPr>
              <w:t>0.6</w:t>
            </w:r>
            <w:bookmarkEnd w:id="1979"/>
          </w:p>
        </w:tc>
        <w:tc>
          <w:tcPr>
            <w:tcW w:w="1418" w:type="dxa"/>
            <w:tcBorders>
              <w:top w:val="single" w:sz="4" w:space="0" w:color="auto"/>
              <w:left w:val="single" w:sz="4" w:space="0" w:color="auto"/>
              <w:bottom w:val="single" w:sz="4" w:space="0" w:color="auto"/>
              <w:right w:val="single" w:sz="4" w:space="0" w:color="auto"/>
            </w:tcBorders>
            <w:vAlign w:val="center"/>
          </w:tcPr>
          <w:p w14:paraId="6B5B757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80" w:name="_Toc376200076"/>
            <w:r w:rsidRPr="006645DC">
              <w:rPr>
                <w:rFonts w:eastAsia="Arial" w:cs="Calibri"/>
                <w:sz w:val="20"/>
                <w:szCs w:val="20"/>
                <w:lang w:val="en-GB"/>
              </w:rPr>
              <w:t>0.0</w:t>
            </w:r>
            <w:bookmarkEnd w:id="1980"/>
          </w:p>
        </w:tc>
        <w:tc>
          <w:tcPr>
            <w:tcW w:w="1984" w:type="dxa"/>
            <w:tcBorders>
              <w:top w:val="single" w:sz="4" w:space="0" w:color="auto"/>
              <w:left w:val="single" w:sz="4" w:space="0" w:color="auto"/>
              <w:bottom w:val="single" w:sz="4" w:space="0" w:color="auto"/>
              <w:right w:val="single" w:sz="4" w:space="0" w:color="auto"/>
            </w:tcBorders>
            <w:vAlign w:val="center"/>
          </w:tcPr>
          <w:p w14:paraId="2EB7879E"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81" w:name="_Toc376200077"/>
            <w:r w:rsidRPr="006645DC">
              <w:rPr>
                <w:rFonts w:eastAsia="Arial" w:cs="Calibri"/>
                <w:sz w:val="20"/>
                <w:szCs w:val="20"/>
                <w:lang w:val="en-GB"/>
              </w:rPr>
              <w:t>51.1</w:t>
            </w:r>
            <w:bookmarkEnd w:id="1981"/>
          </w:p>
        </w:tc>
      </w:tr>
      <w:tr w:rsidR="00CC50F4" w:rsidRPr="006645DC" w14:paraId="43F6A9A8" w14:textId="77777777" w:rsidTr="00226DBF">
        <w:trPr>
          <w:jc w:val="center"/>
        </w:trPr>
        <w:tc>
          <w:tcPr>
            <w:tcW w:w="1510" w:type="dxa"/>
            <w:tcBorders>
              <w:top w:val="single" w:sz="4" w:space="0" w:color="auto"/>
              <w:left w:val="single" w:sz="4" w:space="0" w:color="auto"/>
              <w:bottom w:val="single" w:sz="4" w:space="0" w:color="auto"/>
              <w:right w:val="single" w:sz="4" w:space="0" w:color="auto"/>
            </w:tcBorders>
            <w:vAlign w:val="center"/>
          </w:tcPr>
          <w:p w14:paraId="46EA19B2" w14:textId="77777777" w:rsidR="00CC50F4" w:rsidRPr="006645DC" w:rsidRDefault="00CC50F4" w:rsidP="00FD1769">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sz w:val="20"/>
                <w:szCs w:val="20"/>
                <w:lang w:val="en-GB"/>
              </w:rPr>
            </w:pPr>
            <w:bookmarkStart w:id="1982" w:name="_Toc376200078"/>
            <w:r w:rsidRPr="006645DC">
              <w:rPr>
                <w:rFonts w:eastAsia="Arial" w:cs="Calibri"/>
                <w:sz w:val="20"/>
                <w:szCs w:val="20"/>
                <w:lang w:val="en-GB"/>
              </w:rPr>
              <w:t>Dobrich</w:t>
            </w:r>
            <w:bookmarkEnd w:id="1982"/>
          </w:p>
        </w:tc>
        <w:tc>
          <w:tcPr>
            <w:tcW w:w="1417" w:type="dxa"/>
            <w:tcBorders>
              <w:top w:val="single" w:sz="4" w:space="0" w:color="auto"/>
              <w:left w:val="single" w:sz="4" w:space="0" w:color="auto"/>
              <w:bottom w:val="single" w:sz="4" w:space="0" w:color="auto"/>
              <w:right w:val="single" w:sz="4" w:space="0" w:color="auto"/>
            </w:tcBorders>
            <w:vAlign w:val="center"/>
          </w:tcPr>
          <w:p w14:paraId="1DE8ADA3"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83" w:name="_Toc376200079"/>
            <w:r w:rsidRPr="006645DC">
              <w:rPr>
                <w:rFonts w:eastAsia="Arial" w:cs="Calibri"/>
                <w:sz w:val="20"/>
                <w:szCs w:val="20"/>
                <w:lang w:val="en-GB"/>
              </w:rPr>
              <w:t>99.9</w:t>
            </w:r>
            <w:bookmarkEnd w:id="1983"/>
          </w:p>
        </w:tc>
        <w:tc>
          <w:tcPr>
            <w:tcW w:w="1134" w:type="dxa"/>
            <w:tcBorders>
              <w:top w:val="single" w:sz="4" w:space="0" w:color="auto"/>
              <w:left w:val="single" w:sz="4" w:space="0" w:color="auto"/>
              <w:bottom w:val="single" w:sz="4" w:space="0" w:color="auto"/>
              <w:right w:val="single" w:sz="4" w:space="0" w:color="auto"/>
            </w:tcBorders>
            <w:vAlign w:val="center"/>
          </w:tcPr>
          <w:p w14:paraId="025A163E"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84" w:name="_Toc376200080"/>
            <w:r w:rsidRPr="006645DC">
              <w:rPr>
                <w:rFonts w:eastAsia="Arial" w:cs="Calibri"/>
                <w:sz w:val="20"/>
                <w:szCs w:val="20"/>
                <w:lang w:val="en-GB"/>
              </w:rPr>
              <w:t>0.0</w:t>
            </w:r>
            <w:bookmarkEnd w:id="1984"/>
          </w:p>
        </w:tc>
        <w:tc>
          <w:tcPr>
            <w:tcW w:w="1418" w:type="dxa"/>
            <w:tcBorders>
              <w:top w:val="single" w:sz="4" w:space="0" w:color="auto"/>
              <w:left w:val="single" w:sz="4" w:space="0" w:color="auto"/>
              <w:bottom w:val="single" w:sz="4" w:space="0" w:color="auto"/>
              <w:right w:val="single" w:sz="4" w:space="0" w:color="auto"/>
            </w:tcBorders>
            <w:vAlign w:val="center"/>
          </w:tcPr>
          <w:p w14:paraId="5513FBB3"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85" w:name="_Toc376200081"/>
            <w:r w:rsidRPr="006645DC">
              <w:rPr>
                <w:rFonts w:eastAsia="Arial" w:cs="Calibri"/>
                <w:sz w:val="20"/>
                <w:szCs w:val="20"/>
                <w:lang w:val="en-GB"/>
              </w:rPr>
              <w:t>69.4</w:t>
            </w:r>
            <w:bookmarkEnd w:id="1985"/>
          </w:p>
        </w:tc>
        <w:tc>
          <w:tcPr>
            <w:tcW w:w="850" w:type="dxa"/>
            <w:tcBorders>
              <w:top w:val="single" w:sz="4" w:space="0" w:color="auto"/>
              <w:left w:val="single" w:sz="4" w:space="0" w:color="auto"/>
              <w:bottom w:val="single" w:sz="4" w:space="0" w:color="auto"/>
              <w:right w:val="single" w:sz="4" w:space="0" w:color="auto"/>
            </w:tcBorders>
            <w:vAlign w:val="center"/>
          </w:tcPr>
          <w:p w14:paraId="7AABDE30"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86" w:name="_Toc376200082"/>
            <w:r w:rsidRPr="006645DC">
              <w:rPr>
                <w:rFonts w:eastAsia="Arial" w:cs="Calibri"/>
                <w:sz w:val="20"/>
                <w:szCs w:val="20"/>
                <w:lang w:val="en-GB"/>
              </w:rPr>
              <w:t>69.4</w:t>
            </w:r>
            <w:bookmarkEnd w:id="1986"/>
          </w:p>
        </w:tc>
        <w:tc>
          <w:tcPr>
            <w:tcW w:w="1418" w:type="dxa"/>
            <w:tcBorders>
              <w:top w:val="single" w:sz="4" w:space="0" w:color="auto"/>
              <w:left w:val="single" w:sz="4" w:space="0" w:color="auto"/>
              <w:bottom w:val="single" w:sz="4" w:space="0" w:color="auto"/>
              <w:right w:val="single" w:sz="4" w:space="0" w:color="auto"/>
            </w:tcBorders>
            <w:vAlign w:val="center"/>
          </w:tcPr>
          <w:p w14:paraId="2E77D851"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87" w:name="_Toc376200083"/>
            <w:r w:rsidRPr="006645DC">
              <w:rPr>
                <w:rFonts w:eastAsia="Arial" w:cs="Calibri"/>
                <w:sz w:val="20"/>
                <w:szCs w:val="20"/>
                <w:lang w:val="en-GB"/>
              </w:rPr>
              <w:t>66.2</w:t>
            </w:r>
            <w:bookmarkEnd w:id="1987"/>
          </w:p>
        </w:tc>
        <w:tc>
          <w:tcPr>
            <w:tcW w:w="1984" w:type="dxa"/>
            <w:tcBorders>
              <w:top w:val="single" w:sz="4" w:space="0" w:color="auto"/>
              <w:left w:val="single" w:sz="4" w:space="0" w:color="auto"/>
              <w:bottom w:val="single" w:sz="4" w:space="0" w:color="auto"/>
              <w:right w:val="single" w:sz="4" w:space="0" w:color="auto"/>
            </w:tcBorders>
            <w:vAlign w:val="center"/>
          </w:tcPr>
          <w:p w14:paraId="46B25F16"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outlineLvl w:val="1"/>
              <w:rPr>
                <w:rFonts w:eastAsia="Arial" w:cs="Calibri"/>
                <w:sz w:val="20"/>
                <w:szCs w:val="20"/>
                <w:lang w:val="en-GB"/>
              </w:rPr>
            </w:pPr>
            <w:bookmarkStart w:id="1988" w:name="_Toc376200084"/>
            <w:r w:rsidRPr="006645DC">
              <w:rPr>
                <w:rFonts w:eastAsia="Arial" w:cs="Calibri"/>
                <w:sz w:val="20"/>
                <w:szCs w:val="20"/>
                <w:lang w:val="en-GB"/>
              </w:rPr>
              <w:t>0.0</w:t>
            </w:r>
            <w:bookmarkEnd w:id="1988"/>
          </w:p>
        </w:tc>
      </w:tr>
    </w:tbl>
    <w:p w14:paraId="68D763A0" w14:textId="77777777" w:rsidR="00CC50F4" w:rsidRPr="006645DC" w:rsidRDefault="00E14A3C" w:rsidP="00E14A3C">
      <w:pPr>
        <w:pStyle w:val="Caption"/>
        <w:rPr>
          <w:lang w:val="en-GB"/>
        </w:rPr>
      </w:pPr>
      <w:bookmarkStart w:id="1989" w:name="_Toc391150147"/>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50</w:t>
      </w:r>
      <w:r w:rsidR="005979EB" w:rsidRPr="006645DC">
        <w:rPr>
          <w:lang w:val="en-GB"/>
        </w:rPr>
        <w:fldChar w:fldCharType="end"/>
      </w:r>
      <w:r w:rsidRPr="006645DC">
        <w:rPr>
          <w:lang w:val="en-GB"/>
        </w:rPr>
        <w:t xml:space="preserve"> - </w:t>
      </w:r>
      <w:r w:rsidR="00CC50F4" w:rsidRPr="006645DC">
        <w:rPr>
          <w:lang w:val="en-GB"/>
        </w:rPr>
        <w:t>Population connected to water supplying, sewage, wastewater treatment services (2011), %</w:t>
      </w:r>
      <w:bookmarkEnd w:id="1989"/>
    </w:p>
    <w:p w14:paraId="2A15E9E9" w14:textId="77777777" w:rsidR="00CC50F4" w:rsidRPr="006645DC" w:rsidRDefault="00CC50F4" w:rsidP="00CC50F4">
      <w:pPr>
        <w:pStyle w:val="Heading4"/>
        <w:rPr>
          <w:lang w:val="en-GB"/>
        </w:rPr>
      </w:pPr>
      <w:r w:rsidRPr="006645DC">
        <w:rPr>
          <w:lang w:val="en-GB"/>
        </w:rPr>
        <w:t>Source: National Institute for Statistics Bulgaria</w:t>
      </w:r>
    </w:p>
    <w:p w14:paraId="25BB61FE" w14:textId="77777777" w:rsidR="00A5593F" w:rsidRPr="006645DC" w:rsidRDefault="00A5593F" w:rsidP="00A5593F">
      <w:pPr>
        <w:rPr>
          <w:lang w:val="en-GB"/>
        </w:rPr>
      </w:pPr>
    </w:p>
    <w:p w14:paraId="20AB18A7" w14:textId="77777777" w:rsidR="00AA4C82" w:rsidRPr="006645DC" w:rsidRDefault="00AA4C82" w:rsidP="00A5593F">
      <w:pPr>
        <w:rPr>
          <w:lang w:val="en-GB"/>
        </w:rPr>
      </w:pPr>
    </w:p>
    <w:p w14:paraId="5EDD8E2A" w14:textId="77777777" w:rsidR="00AA4C82" w:rsidRPr="006645DC" w:rsidRDefault="00AA4C82" w:rsidP="00A5593F">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26"/>
        <w:gridCol w:w="2877"/>
        <w:gridCol w:w="1276"/>
        <w:gridCol w:w="1879"/>
      </w:tblGrid>
      <w:tr w:rsidR="00CC50F4" w:rsidRPr="006645DC" w14:paraId="4C723008" w14:textId="77777777" w:rsidTr="00393EB7">
        <w:trPr>
          <w:jc w:val="center"/>
        </w:trPr>
        <w:tc>
          <w:tcPr>
            <w:tcW w:w="8058" w:type="dxa"/>
            <w:gridSpan w:val="4"/>
            <w:tcBorders>
              <w:top w:val="single" w:sz="4" w:space="0" w:color="auto"/>
              <w:left w:val="single" w:sz="4" w:space="0" w:color="auto"/>
              <w:bottom w:val="single" w:sz="6" w:space="0" w:color="auto"/>
              <w:right w:val="single" w:sz="4" w:space="0" w:color="auto"/>
            </w:tcBorders>
            <w:shd w:val="clear" w:color="auto" w:fill="76923C"/>
            <w:vAlign w:val="center"/>
          </w:tcPr>
          <w:p w14:paraId="74A3D6BE" w14:textId="77777777" w:rsidR="00CC50F4" w:rsidRPr="006645DC" w:rsidRDefault="00CC50F4" w:rsidP="00CC50F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r w:rsidRPr="006645DC">
              <w:rPr>
                <w:rFonts w:eastAsia="Arial" w:cs="Calibri"/>
                <w:b/>
                <w:color w:val="FFFFFF"/>
                <w:sz w:val="20"/>
                <w:szCs w:val="20"/>
                <w:lang w:val="en-GB"/>
              </w:rPr>
              <w:lastRenderedPageBreak/>
              <w:t>Romanian cross-border region</w:t>
            </w:r>
          </w:p>
        </w:tc>
      </w:tr>
      <w:tr w:rsidR="00CC50F4" w:rsidRPr="006645DC" w14:paraId="275B6E0D" w14:textId="77777777" w:rsidTr="00393EB7">
        <w:trPr>
          <w:jc w:val="center"/>
        </w:trPr>
        <w:tc>
          <w:tcPr>
            <w:tcW w:w="2026" w:type="dxa"/>
            <w:tcBorders>
              <w:top w:val="single" w:sz="4" w:space="0" w:color="auto"/>
              <w:left w:val="single" w:sz="4" w:space="0" w:color="auto"/>
              <w:bottom w:val="single" w:sz="6" w:space="0" w:color="auto"/>
              <w:right w:val="single" w:sz="6" w:space="0" w:color="auto"/>
            </w:tcBorders>
            <w:shd w:val="clear" w:color="auto" w:fill="76923C"/>
            <w:vAlign w:val="center"/>
          </w:tcPr>
          <w:p w14:paraId="53A98A3B" w14:textId="77777777" w:rsidR="00CC50F4" w:rsidRPr="006645DC" w:rsidRDefault="00CC50F4" w:rsidP="00226DB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81" w:lineRule="auto"/>
              <w:jc w:val="center"/>
              <w:rPr>
                <w:rFonts w:eastAsia="Arial" w:cs="Calibri"/>
                <w:b/>
                <w:color w:val="FFFFFF"/>
                <w:sz w:val="20"/>
                <w:szCs w:val="20"/>
                <w:lang w:val="en-GB"/>
              </w:rPr>
            </w:pPr>
            <w:r w:rsidRPr="006645DC">
              <w:rPr>
                <w:rFonts w:eastAsia="Arial" w:cs="Calibri"/>
                <w:b/>
                <w:color w:val="FFFFFF"/>
                <w:sz w:val="20"/>
                <w:szCs w:val="20"/>
                <w:lang w:val="en-GB"/>
              </w:rPr>
              <w:t>County</w:t>
            </w:r>
          </w:p>
        </w:tc>
        <w:tc>
          <w:tcPr>
            <w:tcW w:w="2877" w:type="dxa"/>
            <w:tcBorders>
              <w:top w:val="single" w:sz="4" w:space="0" w:color="auto"/>
              <w:left w:val="single" w:sz="6" w:space="0" w:color="auto"/>
              <w:bottom w:val="single" w:sz="6" w:space="0" w:color="auto"/>
              <w:right w:val="single" w:sz="6" w:space="0" w:color="auto"/>
            </w:tcBorders>
            <w:shd w:val="clear" w:color="auto" w:fill="76923C"/>
            <w:vAlign w:val="center"/>
          </w:tcPr>
          <w:p w14:paraId="2A28E5C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81" w:lineRule="auto"/>
              <w:jc w:val="center"/>
              <w:outlineLvl w:val="1"/>
              <w:rPr>
                <w:rFonts w:eastAsia="Arial" w:cs="Calibri"/>
                <w:b/>
                <w:color w:val="FFFFFF"/>
                <w:sz w:val="20"/>
                <w:szCs w:val="20"/>
                <w:lang w:val="en-GB"/>
              </w:rPr>
            </w:pPr>
            <w:bookmarkStart w:id="1990" w:name="_Toc376200085"/>
            <w:r w:rsidRPr="006645DC">
              <w:rPr>
                <w:rFonts w:eastAsia="Arial" w:cs="Calibri"/>
                <w:b/>
                <w:color w:val="FFFFFF"/>
                <w:sz w:val="20"/>
                <w:szCs w:val="20"/>
                <w:lang w:val="en-GB"/>
              </w:rPr>
              <w:t>No. of inhabitants with households connected to treatment plants</w:t>
            </w:r>
            <w:bookmarkEnd w:id="1990"/>
          </w:p>
        </w:tc>
        <w:tc>
          <w:tcPr>
            <w:tcW w:w="1276" w:type="dxa"/>
            <w:tcBorders>
              <w:top w:val="single" w:sz="4" w:space="0" w:color="auto"/>
              <w:left w:val="single" w:sz="6" w:space="0" w:color="auto"/>
              <w:bottom w:val="single" w:sz="6" w:space="0" w:color="auto"/>
              <w:right w:val="single" w:sz="6" w:space="0" w:color="auto"/>
            </w:tcBorders>
            <w:shd w:val="clear" w:color="auto" w:fill="76923C"/>
            <w:vAlign w:val="center"/>
          </w:tcPr>
          <w:p w14:paraId="7E03F628" w14:textId="77777777" w:rsidR="00CC50F4" w:rsidRPr="006645DC" w:rsidRDefault="00CC50F4" w:rsidP="00226DB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81" w:lineRule="auto"/>
              <w:jc w:val="center"/>
              <w:rPr>
                <w:rFonts w:eastAsia="Arial" w:cs="Calibri"/>
                <w:b/>
                <w:color w:val="FFFFFF"/>
                <w:sz w:val="20"/>
                <w:szCs w:val="20"/>
                <w:lang w:val="en-GB"/>
              </w:rPr>
            </w:pPr>
            <w:r w:rsidRPr="006645DC">
              <w:rPr>
                <w:rFonts w:eastAsia="Arial" w:cs="Calibri"/>
                <w:b/>
                <w:color w:val="FFFFFF"/>
                <w:sz w:val="20"/>
                <w:szCs w:val="20"/>
                <w:lang w:val="en-GB"/>
              </w:rPr>
              <w:t>Total population</w:t>
            </w:r>
          </w:p>
        </w:tc>
        <w:tc>
          <w:tcPr>
            <w:tcW w:w="1879" w:type="dxa"/>
            <w:tcBorders>
              <w:top w:val="single" w:sz="4" w:space="0" w:color="auto"/>
              <w:left w:val="single" w:sz="6" w:space="0" w:color="auto"/>
              <w:bottom w:val="single" w:sz="6" w:space="0" w:color="auto"/>
              <w:right w:val="single" w:sz="4" w:space="0" w:color="auto"/>
            </w:tcBorders>
            <w:shd w:val="clear" w:color="auto" w:fill="76923C"/>
            <w:vAlign w:val="center"/>
          </w:tcPr>
          <w:p w14:paraId="790747D3" w14:textId="77777777" w:rsidR="00CC50F4" w:rsidRPr="006645DC" w:rsidRDefault="00CC50F4" w:rsidP="00226DB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jc w:val="center"/>
              <w:rPr>
                <w:rFonts w:eastAsia="Arial" w:cs="Calibri"/>
                <w:b/>
                <w:color w:val="FFFFFF"/>
                <w:sz w:val="20"/>
                <w:szCs w:val="20"/>
                <w:lang w:val="en-GB"/>
              </w:rPr>
            </w:pPr>
            <w:r w:rsidRPr="006645DC">
              <w:rPr>
                <w:rFonts w:eastAsia="Arial" w:cs="Calibri"/>
                <w:b/>
                <w:color w:val="FFFFFF"/>
                <w:sz w:val="20"/>
                <w:szCs w:val="20"/>
                <w:lang w:val="en-GB"/>
              </w:rPr>
              <w:t>Percentage of inhabitants with households connected to treatment plants</w:t>
            </w:r>
          </w:p>
        </w:tc>
      </w:tr>
      <w:tr w:rsidR="00CC50F4" w:rsidRPr="006645DC" w14:paraId="362016AA" w14:textId="77777777" w:rsidTr="00226DBF">
        <w:trPr>
          <w:jc w:val="center"/>
        </w:trPr>
        <w:tc>
          <w:tcPr>
            <w:tcW w:w="2026" w:type="dxa"/>
            <w:tcBorders>
              <w:top w:val="single" w:sz="6" w:space="0" w:color="auto"/>
              <w:left w:val="single" w:sz="4" w:space="0" w:color="auto"/>
              <w:bottom w:val="single" w:sz="6" w:space="0" w:color="auto"/>
              <w:right w:val="single" w:sz="6" w:space="0" w:color="auto"/>
            </w:tcBorders>
            <w:vAlign w:val="center"/>
          </w:tcPr>
          <w:p w14:paraId="7999C10F" w14:textId="77777777" w:rsidR="00CC50F4" w:rsidRPr="006645DC" w:rsidRDefault="00CC50F4" w:rsidP="00226DB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rPr>
                <w:rFonts w:eastAsia="Arial" w:cs="Calibri"/>
                <w:color w:val="000000"/>
                <w:sz w:val="20"/>
                <w:szCs w:val="20"/>
                <w:lang w:val="en-GB"/>
              </w:rPr>
            </w:pPr>
            <w:r w:rsidRPr="006645DC">
              <w:rPr>
                <w:rFonts w:eastAsia="Arial" w:cs="Calibri"/>
                <w:color w:val="000000"/>
                <w:sz w:val="20"/>
                <w:szCs w:val="20"/>
                <w:lang w:val="en-GB"/>
              </w:rPr>
              <w:t>Constanţa</w:t>
            </w:r>
          </w:p>
        </w:tc>
        <w:tc>
          <w:tcPr>
            <w:tcW w:w="2877" w:type="dxa"/>
            <w:tcBorders>
              <w:top w:val="single" w:sz="6" w:space="0" w:color="auto"/>
              <w:left w:val="single" w:sz="6" w:space="0" w:color="auto"/>
              <w:bottom w:val="single" w:sz="6" w:space="0" w:color="auto"/>
              <w:right w:val="single" w:sz="6" w:space="0" w:color="auto"/>
            </w:tcBorders>
            <w:vAlign w:val="center"/>
          </w:tcPr>
          <w:p w14:paraId="1A906293"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1991" w:name="_Toc376200086"/>
            <w:r w:rsidRPr="006645DC">
              <w:rPr>
                <w:rFonts w:eastAsia="Arial" w:cs="Calibri"/>
                <w:color w:val="000000"/>
                <w:sz w:val="20"/>
                <w:szCs w:val="20"/>
                <w:lang w:val="en-GB"/>
              </w:rPr>
              <w:t>413 568</w:t>
            </w:r>
            <w:bookmarkEnd w:id="1991"/>
          </w:p>
        </w:tc>
        <w:tc>
          <w:tcPr>
            <w:tcW w:w="1276" w:type="dxa"/>
            <w:tcBorders>
              <w:top w:val="single" w:sz="6" w:space="0" w:color="auto"/>
              <w:left w:val="single" w:sz="6" w:space="0" w:color="auto"/>
              <w:bottom w:val="single" w:sz="6" w:space="0" w:color="auto"/>
              <w:right w:val="single" w:sz="6" w:space="0" w:color="auto"/>
            </w:tcBorders>
            <w:vAlign w:val="center"/>
          </w:tcPr>
          <w:p w14:paraId="30225A46"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1992" w:name="_Toc376200087"/>
            <w:r w:rsidRPr="006645DC">
              <w:rPr>
                <w:rFonts w:eastAsia="Arial" w:cs="Calibri"/>
                <w:color w:val="000000"/>
                <w:sz w:val="20"/>
                <w:szCs w:val="20"/>
                <w:lang w:val="en-GB"/>
              </w:rPr>
              <w:t>721 896</w:t>
            </w:r>
            <w:bookmarkEnd w:id="1992"/>
          </w:p>
        </w:tc>
        <w:tc>
          <w:tcPr>
            <w:tcW w:w="1879" w:type="dxa"/>
            <w:tcBorders>
              <w:top w:val="single" w:sz="6" w:space="0" w:color="auto"/>
              <w:left w:val="single" w:sz="6" w:space="0" w:color="auto"/>
              <w:bottom w:val="single" w:sz="6" w:space="0" w:color="auto"/>
              <w:right w:val="single" w:sz="4" w:space="0" w:color="auto"/>
            </w:tcBorders>
            <w:vAlign w:val="center"/>
          </w:tcPr>
          <w:p w14:paraId="30EE041A"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1993" w:name="_Toc376200088"/>
            <w:r w:rsidRPr="006645DC">
              <w:rPr>
                <w:rFonts w:eastAsia="Arial" w:cs="Calibri"/>
                <w:color w:val="000000"/>
                <w:sz w:val="20"/>
                <w:szCs w:val="20"/>
                <w:lang w:val="en-GB"/>
              </w:rPr>
              <w:t>57.3</w:t>
            </w:r>
            <w:bookmarkEnd w:id="1993"/>
          </w:p>
        </w:tc>
      </w:tr>
      <w:tr w:rsidR="00CC50F4" w:rsidRPr="006645DC" w14:paraId="7ADB3553" w14:textId="77777777" w:rsidTr="00226DBF">
        <w:trPr>
          <w:jc w:val="center"/>
        </w:trPr>
        <w:tc>
          <w:tcPr>
            <w:tcW w:w="2026" w:type="dxa"/>
            <w:tcBorders>
              <w:top w:val="single" w:sz="6" w:space="0" w:color="auto"/>
              <w:left w:val="single" w:sz="4" w:space="0" w:color="auto"/>
              <w:bottom w:val="single" w:sz="6" w:space="0" w:color="auto"/>
              <w:right w:val="single" w:sz="6" w:space="0" w:color="auto"/>
            </w:tcBorders>
            <w:vAlign w:val="center"/>
          </w:tcPr>
          <w:p w14:paraId="08123A99"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color w:val="000000"/>
                <w:sz w:val="20"/>
                <w:szCs w:val="20"/>
                <w:lang w:val="en-GB"/>
              </w:rPr>
            </w:pPr>
            <w:bookmarkStart w:id="1994" w:name="_Toc376200089"/>
            <w:r w:rsidRPr="006645DC">
              <w:rPr>
                <w:rFonts w:eastAsia="Arial" w:cs="Calibri"/>
                <w:color w:val="000000"/>
                <w:sz w:val="20"/>
                <w:szCs w:val="20"/>
                <w:lang w:val="en-GB"/>
              </w:rPr>
              <w:t>Călăraşi</w:t>
            </w:r>
            <w:bookmarkEnd w:id="1994"/>
          </w:p>
        </w:tc>
        <w:tc>
          <w:tcPr>
            <w:tcW w:w="2877" w:type="dxa"/>
            <w:tcBorders>
              <w:top w:val="single" w:sz="6" w:space="0" w:color="auto"/>
              <w:left w:val="single" w:sz="6" w:space="0" w:color="auto"/>
              <w:bottom w:val="single" w:sz="6" w:space="0" w:color="auto"/>
              <w:right w:val="single" w:sz="6" w:space="0" w:color="auto"/>
            </w:tcBorders>
            <w:vAlign w:val="center"/>
          </w:tcPr>
          <w:p w14:paraId="3E5EB3F5"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1995" w:name="_Toc376200090"/>
            <w:r w:rsidRPr="006645DC">
              <w:rPr>
                <w:rFonts w:eastAsia="Arial" w:cs="Calibri"/>
                <w:color w:val="000000"/>
                <w:sz w:val="20"/>
                <w:szCs w:val="20"/>
                <w:lang w:val="en-GB"/>
              </w:rPr>
              <w:t>64 783</w:t>
            </w:r>
            <w:bookmarkEnd w:id="1995"/>
          </w:p>
        </w:tc>
        <w:tc>
          <w:tcPr>
            <w:tcW w:w="1276" w:type="dxa"/>
            <w:tcBorders>
              <w:top w:val="single" w:sz="6" w:space="0" w:color="auto"/>
              <w:left w:val="single" w:sz="6" w:space="0" w:color="auto"/>
              <w:bottom w:val="single" w:sz="6" w:space="0" w:color="auto"/>
              <w:right w:val="single" w:sz="6" w:space="0" w:color="auto"/>
            </w:tcBorders>
            <w:vAlign w:val="center"/>
          </w:tcPr>
          <w:p w14:paraId="522A9692"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1996" w:name="_Toc376200091"/>
            <w:r w:rsidRPr="006645DC">
              <w:rPr>
                <w:rFonts w:eastAsia="Arial" w:cs="Calibri"/>
                <w:color w:val="000000"/>
                <w:sz w:val="20"/>
                <w:szCs w:val="20"/>
                <w:lang w:val="en-GB"/>
              </w:rPr>
              <w:t>313 460</w:t>
            </w:r>
            <w:bookmarkEnd w:id="1996"/>
          </w:p>
        </w:tc>
        <w:tc>
          <w:tcPr>
            <w:tcW w:w="1879" w:type="dxa"/>
            <w:tcBorders>
              <w:top w:val="single" w:sz="6" w:space="0" w:color="auto"/>
              <w:left w:val="single" w:sz="6" w:space="0" w:color="auto"/>
              <w:bottom w:val="single" w:sz="6" w:space="0" w:color="auto"/>
              <w:right w:val="single" w:sz="4" w:space="0" w:color="auto"/>
            </w:tcBorders>
            <w:vAlign w:val="center"/>
          </w:tcPr>
          <w:p w14:paraId="46DF2D57"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1997" w:name="_Toc376200092"/>
            <w:r w:rsidRPr="006645DC">
              <w:rPr>
                <w:rFonts w:eastAsia="Arial" w:cs="Calibri"/>
                <w:color w:val="000000"/>
                <w:sz w:val="20"/>
                <w:szCs w:val="20"/>
                <w:lang w:val="en-GB"/>
              </w:rPr>
              <w:t>20.7</w:t>
            </w:r>
            <w:bookmarkEnd w:id="1997"/>
          </w:p>
        </w:tc>
      </w:tr>
      <w:tr w:rsidR="00CC50F4" w:rsidRPr="006645DC" w14:paraId="478C1EB6" w14:textId="77777777" w:rsidTr="00226DBF">
        <w:trPr>
          <w:jc w:val="center"/>
        </w:trPr>
        <w:tc>
          <w:tcPr>
            <w:tcW w:w="2026" w:type="dxa"/>
            <w:tcBorders>
              <w:top w:val="single" w:sz="6" w:space="0" w:color="auto"/>
              <w:left w:val="single" w:sz="4" w:space="0" w:color="auto"/>
              <w:bottom w:val="single" w:sz="6" w:space="0" w:color="auto"/>
              <w:right w:val="single" w:sz="6" w:space="0" w:color="auto"/>
            </w:tcBorders>
            <w:vAlign w:val="center"/>
          </w:tcPr>
          <w:p w14:paraId="46999F5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color w:val="000000"/>
                <w:sz w:val="20"/>
                <w:szCs w:val="20"/>
                <w:lang w:val="en-GB"/>
              </w:rPr>
            </w:pPr>
            <w:bookmarkStart w:id="1998" w:name="_Toc376200093"/>
            <w:r w:rsidRPr="006645DC">
              <w:rPr>
                <w:rFonts w:eastAsia="Arial" w:cs="Calibri"/>
                <w:color w:val="000000"/>
                <w:sz w:val="20"/>
                <w:szCs w:val="20"/>
                <w:lang w:val="en-GB"/>
              </w:rPr>
              <w:t>Giurgiu</w:t>
            </w:r>
            <w:bookmarkEnd w:id="1998"/>
          </w:p>
        </w:tc>
        <w:tc>
          <w:tcPr>
            <w:tcW w:w="2877" w:type="dxa"/>
            <w:tcBorders>
              <w:top w:val="single" w:sz="6" w:space="0" w:color="auto"/>
              <w:left w:val="single" w:sz="6" w:space="0" w:color="auto"/>
              <w:bottom w:val="single" w:sz="6" w:space="0" w:color="auto"/>
              <w:right w:val="single" w:sz="6" w:space="0" w:color="auto"/>
            </w:tcBorders>
            <w:vAlign w:val="center"/>
          </w:tcPr>
          <w:p w14:paraId="0E83E0D9"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1999" w:name="_Toc376200094"/>
            <w:r w:rsidRPr="006645DC">
              <w:rPr>
                <w:rFonts w:eastAsia="Arial" w:cs="Calibri"/>
                <w:color w:val="000000"/>
                <w:sz w:val="20"/>
                <w:szCs w:val="20"/>
                <w:lang w:val="en-GB"/>
              </w:rPr>
              <w:t>52 546</w:t>
            </w:r>
            <w:bookmarkEnd w:id="1999"/>
          </w:p>
        </w:tc>
        <w:tc>
          <w:tcPr>
            <w:tcW w:w="1276" w:type="dxa"/>
            <w:tcBorders>
              <w:top w:val="single" w:sz="6" w:space="0" w:color="auto"/>
              <w:left w:val="single" w:sz="6" w:space="0" w:color="auto"/>
              <w:bottom w:val="single" w:sz="6" w:space="0" w:color="auto"/>
              <w:right w:val="single" w:sz="6" w:space="0" w:color="auto"/>
            </w:tcBorders>
            <w:vAlign w:val="center"/>
          </w:tcPr>
          <w:p w14:paraId="7455966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00" w:name="_Toc376200095"/>
            <w:r w:rsidRPr="006645DC">
              <w:rPr>
                <w:rFonts w:eastAsia="Arial" w:cs="Calibri"/>
                <w:color w:val="000000"/>
                <w:sz w:val="20"/>
                <w:szCs w:val="20"/>
                <w:lang w:val="en-GB"/>
              </w:rPr>
              <w:t>282 322</w:t>
            </w:r>
            <w:bookmarkEnd w:id="2000"/>
          </w:p>
        </w:tc>
        <w:tc>
          <w:tcPr>
            <w:tcW w:w="1879" w:type="dxa"/>
            <w:tcBorders>
              <w:top w:val="single" w:sz="6" w:space="0" w:color="auto"/>
              <w:left w:val="single" w:sz="6" w:space="0" w:color="auto"/>
              <w:bottom w:val="single" w:sz="6" w:space="0" w:color="auto"/>
              <w:right w:val="single" w:sz="4" w:space="0" w:color="auto"/>
            </w:tcBorders>
            <w:vAlign w:val="center"/>
          </w:tcPr>
          <w:p w14:paraId="1279039B"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01" w:name="_Toc376200096"/>
            <w:r w:rsidRPr="006645DC">
              <w:rPr>
                <w:rFonts w:eastAsia="Arial" w:cs="Calibri"/>
                <w:color w:val="000000"/>
                <w:sz w:val="20"/>
                <w:szCs w:val="20"/>
                <w:lang w:val="en-GB"/>
              </w:rPr>
              <w:t>18.6</w:t>
            </w:r>
            <w:bookmarkEnd w:id="2001"/>
          </w:p>
        </w:tc>
      </w:tr>
      <w:tr w:rsidR="00CC50F4" w:rsidRPr="006645DC" w14:paraId="115A2C89" w14:textId="77777777" w:rsidTr="00226DBF">
        <w:trPr>
          <w:jc w:val="center"/>
        </w:trPr>
        <w:tc>
          <w:tcPr>
            <w:tcW w:w="2026" w:type="dxa"/>
            <w:tcBorders>
              <w:top w:val="single" w:sz="6" w:space="0" w:color="auto"/>
              <w:left w:val="single" w:sz="4" w:space="0" w:color="auto"/>
              <w:bottom w:val="single" w:sz="6" w:space="0" w:color="auto"/>
              <w:right w:val="single" w:sz="6" w:space="0" w:color="auto"/>
            </w:tcBorders>
            <w:vAlign w:val="center"/>
          </w:tcPr>
          <w:p w14:paraId="6582F7F1"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color w:val="000000"/>
                <w:sz w:val="20"/>
                <w:szCs w:val="20"/>
                <w:lang w:val="en-GB"/>
              </w:rPr>
            </w:pPr>
            <w:bookmarkStart w:id="2002" w:name="_Toc376200097"/>
            <w:r w:rsidRPr="006645DC">
              <w:rPr>
                <w:rFonts w:eastAsia="Arial" w:cs="Calibri"/>
                <w:color w:val="000000"/>
                <w:sz w:val="20"/>
                <w:szCs w:val="20"/>
                <w:lang w:val="en-GB"/>
              </w:rPr>
              <w:t>Teleorman</w:t>
            </w:r>
            <w:bookmarkEnd w:id="2002"/>
          </w:p>
        </w:tc>
        <w:tc>
          <w:tcPr>
            <w:tcW w:w="2877" w:type="dxa"/>
            <w:tcBorders>
              <w:top w:val="single" w:sz="6" w:space="0" w:color="auto"/>
              <w:left w:val="single" w:sz="6" w:space="0" w:color="auto"/>
              <w:bottom w:val="single" w:sz="6" w:space="0" w:color="auto"/>
              <w:right w:val="single" w:sz="6" w:space="0" w:color="auto"/>
            </w:tcBorders>
            <w:vAlign w:val="center"/>
          </w:tcPr>
          <w:p w14:paraId="6C6ED1DB"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03" w:name="_Toc376200098"/>
            <w:r w:rsidRPr="006645DC">
              <w:rPr>
                <w:rFonts w:eastAsia="Arial" w:cs="Calibri"/>
                <w:color w:val="000000"/>
                <w:sz w:val="20"/>
                <w:szCs w:val="20"/>
                <w:lang w:val="en-GB"/>
              </w:rPr>
              <w:t>79 009</w:t>
            </w:r>
            <w:bookmarkEnd w:id="2003"/>
          </w:p>
        </w:tc>
        <w:tc>
          <w:tcPr>
            <w:tcW w:w="1276" w:type="dxa"/>
            <w:tcBorders>
              <w:top w:val="single" w:sz="6" w:space="0" w:color="auto"/>
              <w:left w:val="single" w:sz="6" w:space="0" w:color="auto"/>
              <w:bottom w:val="single" w:sz="6" w:space="0" w:color="auto"/>
              <w:right w:val="single" w:sz="6" w:space="0" w:color="auto"/>
            </w:tcBorders>
            <w:vAlign w:val="center"/>
          </w:tcPr>
          <w:p w14:paraId="7275C1AE"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04" w:name="_Toc376200099"/>
            <w:r w:rsidRPr="006645DC">
              <w:rPr>
                <w:rFonts w:eastAsia="Arial" w:cs="Calibri"/>
                <w:color w:val="000000"/>
                <w:sz w:val="20"/>
                <w:szCs w:val="20"/>
                <w:lang w:val="en-GB"/>
              </w:rPr>
              <w:t>405 070</w:t>
            </w:r>
            <w:bookmarkEnd w:id="2004"/>
          </w:p>
        </w:tc>
        <w:tc>
          <w:tcPr>
            <w:tcW w:w="1879" w:type="dxa"/>
            <w:tcBorders>
              <w:top w:val="single" w:sz="6" w:space="0" w:color="auto"/>
              <w:left w:val="single" w:sz="6" w:space="0" w:color="auto"/>
              <w:bottom w:val="single" w:sz="6" w:space="0" w:color="auto"/>
              <w:right w:val="single" w:sz="4" w:space="0" w:color="auto"/>
            </w:tcBorders>
            <w:vAlign w:val="center"/>
          </w:tcPr>
          <w:p w14:paraId="2A942B9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05" w:name="_Toc376200100"/>
            <w:r w:rsidRPr="006645DC">
              <w:rPr>
                <w:rFonts w:eastAsia="Arial" w:cs="Calibri"/>
                <w:color w:val="000000"/>
                <w:sz w:val="20"/>
                <w:szCs w:val="20"/>
                <w:lang w:val="en-GB"/>
              </w:rPr>
              <w:t>19.5</w:t>
            </w:r>
            <w:bookmarkEnd w:id="2005"/>
          </w:p>
        </w:tc>
      </w:tr>
      <w:tr w:rsidR="00CC50F4" w:rsidRPr="006645DC" w14:paraId="5DEA1B9E" w14:textId="77777777" w:rsidTr="00226DBF">
        <w:trPr>
          <w:jc w:val="center"/>
        </w:trPr>
        <w:tc>
          <w:tcPr>
            <w:tcW w:w="2026" w:type="dxa"/>
            <w:tcBorders>
              <w:top w:val="single" w:sz="6" w:space="0" w:color="auto"/>
              <w:left w:val="single" w:sz="4" w:space="0" w:color="auto"/>
              <w:bottom w:val="single" w:sz="6" w:space="0" w:color="auto"/>
              <w:right w:val="single" w:sz="6" w:space="0" w:color="auto"/>
            </w:tcBorders>
            <w:vAlign w:val="center"/>
          </w:tcPr>
          <w:p w14:paraId="4B6B38F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color w:val="000000"/>
                <w:sz w:val="20"/>
                <w:szCs w:val="20"/>
                <w:lang w:val="en-GB"/>
              </w:rPr>
            </w:pPr>
            <w:bookmarkStart w:id="2006" w:name="_Toc376200101"/>
            <w:r w:rsidRPr="006645DC">
              <w:rPr>
                <w:rFonts w:eastAsia="Arial" w:cs="Calibri"/>
                <w:color w:val="000000"/>
                <w:sz w:val="20"/>
                <w:szCs w:val="20"/>
                <w:lang w:val="en-GB"/>
              </w:rPr>
              <w:t>Dolj</w:t>
            </w:r>
            <w:bookmarkEnd w:id="2006"/>
          </w:p>
        </w:tc>
        <w:tc>
          <w:tcPr>
            <w:tcW w:w="2877" w:type="dxa"/>
            <w:tcBorders>
              <w:top w:val="single" w:sz="6" w:space="0" w:color="auto"/>
              <w:left w:val="single" w:sz="6" w:space="0" w:color="auto"/>
              <w:bottom w:val="single" w:sz="6" w:space="0" w:color="auto"/>
              <w:right w:val="single" w:sz="6" w:space="0" w:color="auto"/>
            </w:tcBorders>
            <w:vAlign w:val="center"/>
          </w:tcPr>
          <w:p w14:paraId="6B755A95"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07" w:name="_Toc376200102"/>
            <w:r w:rsidRPr="006645DC">
              <w:rPr>
                <w:rFonts w:eastAsia="Arial" w:cs="Calibri"/>
                <w:color w:val="000000"/>
                <w:sz w:val="20"/>
                <w:szCs w:val="20"/>
                <w:lang w:val="en-GB"/>
              </w:rPr>
              <w:t>20 452</w:t>
            </w:r>
            <w:bookmarkEnd w:id="2007"/>
          </w:p>
        </w:tc>
        <w:tc>
          <w:tcPr>
            <w:tcW w:w="1276" w:type="dxa"/>
            <w:tcBorders>
              <w:top w:val="single" w:sz="6" w:space="0" w:color="auto"/>
              <w:left w:val="single" w:sz="6" w:space="0" w:color="auto"/>
              <w:bottom w:val="single" w:sz="6" w:space="0" w:color="auto"/>
              <w:right w:val="single" w:sz="6" w:space="0" w:color="auto"/>
            </w:tcBorders>
            <w:vAlign w:val="center"/>
          </w:tcPr>
          <w:p w14:paraId="1020F3D4"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08" w:name="_Toc376200103"/>
            <w:r w:rsidRPr="006645DC">
              <w:rPr>
                <w:rFonts w:eastAsia="Arial" w:cs="Calibri"/>
                <w:color w:val="000000"/>
                <w:sz w:val="20"/>
                <w:szCs w:val="20"/>
                <w:lang w:val="en-GB"/>
              </w:rPr>
              <w:t>707 629</w:t>
            </w:r>
            <w:bookmarkEnd w:id="2008"/>
          </w:p>
        </w:tc>
        <w:tc>
          <w:tcPr>
            <w:tcW w:w="1879" w:type="dxa"/>
            <w:tcBorders>
              <w:top w:val="single" w:sz="6" w:space="0" w:color="auto"/>
              <w:left w:val="single" w:sz="6" w:space="0" w:color="auto"/>
              <w:bottom w:val="single" w:sz="6" w:space="0" w:color="auto"/>
              <w:right w:val="single" w:sz="4" w:space="0" w:color="auto"/>
            </w:tcBorders>
            <w:vAlign w:val="center"/>
          </w:tcPr>
          <w:p w14:paraId="5B36BC7E"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09" w:name="_Toc376200104"/>
            <w:r w:rsidRPr="006645DC">
              <w:rPr>
                <w:rFonts w:eastAsia="Arial" w:cs="Calibri"/>
                <w:color w:val="000000"/>
                <w:sz w:val="20"/>
                <w:szCs w:val="20"/>
                <w:lang w:val="en-GB"/>
              </w:rPr>
              <w:t>2.9</w:t>
            </w:r>
            <w:bookmarkEnd w:id="2009"/>
          </w:p>
        </w:tc>
      </w:tr>
      <w:tr w:rsidR="00CC50F4" w:rsidRPr="006645DC" w14:paraId="38FA155F" w14:textId="77777777" w:rsidTr="00226DBF">
        <w:trPr>
          <w:jc w:val="center"/>
        </w:trPr>
        <w:tc>
          <w:tcPr>
            <w:tcW w:w="2026" w:type="dxa"/>
            <w:tcBorders>
              <w:top w:val="single" w:sz="6" w:space="0" w:color="auto"/>
              <w:left w:val="single" w:sz="4" w:space="0" w:color="auto"/>
              <w:bottom w:val="single" w:sz="6" w:space="0" w:color="auto"/>
              <w:right w:val="single" w:sz="6" w:space="0" w:color="auto"/>
            </w:tcBorders>
            <w:vAlign w:val="center"/>
          </w:tcPr>
          <w:p w14:paraId="7932612C"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color w:val="000000"/>
                <w:sz w:val="20"/>
                <w:szCs w:val="20"/>
                <w:lang w:val="en-GB"/>
              </w:rPr>
            </w:pPr>
            <w:bookmarkStart w:id="2010" w:name="_Toc376200105"/>
            <w:r w:rsidRPr="006645DC">
              <w:rPr>
                <w:rFonts w:eastAsia="Arial" w:cs="Calibri"/>
                <w:color w:val="000000"/>
                <w:sz w:val="20"/>
                <w:szCs w:val="20"/>
                <w:lang w:val="en-GB"/>
              </w:rPr>
              <w:t>Mehedinţi</w:t>
            </w:r>
            <w:bookmarkEnd w:id="2010"/>
          </w:p>
        </w:tc>
        <w:tc>
          <w:tcPr>
            <w:tcW w:w="2877" w:type="dxa"/>
            <w:tcBorders>
              <w:top w:val="single" w:sz="6" w:space="0" w:color="auto"/>
              <w:left w:val="single" w:sz="6" w:space="0" w:color="auto"/>
              <w:bottom w:val="single" w:sz="6" w:space="0" w:color="auto"/>
              <w:right w:val="single" w:sz="6" w:space="0" w:color="auto"/>
            </w:tcBorders>
            <w:vAlign w:val="center"/>
          </w:tcPr>
          <w:p w14:paraId="1CC6E0F4"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11" w:name="_Toc376200106"/>
            <w:r w:rsidRPr="006645DC">
              <w:rPr>
                <w:rFonts w:eastAsia="Arial" w:cs="Calibri"/>
                <w:color w:val="000000"/>
                <w:sz w:val="20"/>
                <w:szCs w:val="20"/>
                <w:lang w:val="en-GB"/>
              </w:rPr>
              <w:t>14 354</w:t>
            </w:r>
            <w:bookmarkEnd w:id="2011"/>
          </w:p>
        </w:tc>
        <w:tc>
          <w:tcPr>
            <w:tcW w:w="1276" w:type="dxa"/>
            <w:tcBorders>
              <w:top w:val="single" w:sz="6" w:space="0" w:color="auto"/>
              <w:left w:val="single" w:sz="6" w:space="0" w:color="auto"/>
              <w:bottom w:val="single" w:sz="6" w:space="0" w:color="auto"/>
              <w:right w:val="single" w:sz="6" w:space="0" w:color="auto"/>
            </w:tcBorders>
            <w:vAlign w:val="center"/>
          </w:tcPr>
          <w:p w14:paraId="14B0AFC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12" w:name="_Toc376200107"/>
            <w:r w:rsidRPr="006645DC">
              <w:rPr>
                <w:rFonts w:eastAsia="Arial" w:cs="Calibri"/>
                <w:color w:val="000000"/>
                <w:sz w:val="20"/>
                <w:szCs w:val="20"/>
                <w:lang w:val="en-GB"/>
              </w:rPr>
              <w:t>294 364</w:t>
            </w:r>
            <w:bookmarkEnd w:id="2012"/>
          </w:p>
        </w:tc>
        <w:tc>
          <w:tcPr>
            <w:tcW w:w="1879" w:type="dxa"/>
            <w:tcBorders>
              <w:top w:val="single" w:sz="6" w:space="0" w:color="auto"/>
              <w:left w:val="single" w:sz="6" w:space="0" w:color="auto"/>
              <w:bottom w:val="single" w:sz="6" w:space="0" w:color="auto"/>
              <w:right w:val="single" w:sz="4" w:space="0" w:color="auto"/>
            </w:tcBorders>
            <w:vAlign w:val="center"/>
          </w:tcPr>
          <w:p w14:paraId="59555065"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13" w:name="_Toc376200108"/>
            <w:r w:rsidRPr="006645DC">
              <w:rPr>
                <w:rFonts w:eastAsia="Arial" w:cs="Calibri"/>
                <w:color w:val="000000"/>
                <w:sz w:val="20"/>
                <w:szCs w:val="20"/>
                <w:lang w:val="en-GB"/>
              </w:rPr>
              <w:t>4.9</w:t>
            </w:r>
            <w:bookmarkEnd w:id="2013"/>
          </w:p>
        </w:tc>
      </w:tr>
      <w:tr w:rsidR="00CC50F4" w:rsidRPr="006645DC" w14:paraId="17E6AFC4" w14:textId="77777777" w:rsidTr="00226DBF">
        <w:trPr>
          <w:jc w:val="center"/>
        </w:trPr>
        <w:tc>
          <w:tcPr>
            <w:tcW w:w="2026" w:type="dxa"/>
            <w:tcBorders>
              <w:top w:val="single" w:sz="6" w:space="0" w:color="auto"/>
              <w:left w:val="single" w:sz="4" w:space="0" w:color="auto"/>
              <w:bottom w:val="single" w:sz="4" w:space="0" w:color="auto"/>
              <w:right w:val="single" w:sz="6" w:space="0" w:color="auto"/>
            </w:tcBorders>
            <w:vAlign w:val="center"/>
          </w:tcPr>
          <w:p w14:paraId="6D12BFD1"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outlineLvl w:val="1"/>
              <w:rPr>
                <w:rFonts w:eastAsia="Arial" w:cs="Calibri"/>
                <w:color w:val="000000"/>
                <w:sz w:val="20"/>
                <w:szCs w:val="20"/>
                <w:lang w:val="en-GB"/>
              </w:rPr>
            </w:pPr>
            <w:bookmarkStart w:id="2014" w:name="_Toc376200109"/>
            <w:r w:rsidRPr="006645DC">
              <w:rPr>
                <w:rFonts w:eastAsia="Arial" w:cs="Calibri"/>
                <w:color w:val="000000"/>
                <w:sz w:val="20"/>
                <w:szCs w:val="20"/>
                <w:lang w:val="en-GB"/>
              </w:rPr>
              <w:t>Olt</w:t>
            </w:r>
            <w:bookmarkEnd w:id="2014"/>
          </w:p>
        </w:tc>
        <w:tc>
          <w:tcPr>
            <w:tcW w:w="2877" w:type="dxa"/>
            <w:tcBorders>
              <w:top w:val="single" w:sz="6" w:space="0" w:color="auto"/>
              <w:left w:val="single" w:sz="6" w:space="0" w:color="auto"/>
              <w:bottom w:val="single" w:sz="4" w:space="0" w:color="auto"/>
              <w:right w:val="single" w:sz="6" w:space="0" w:color="auto"/>
            </w:tcBorders>
            <w:vAlign w:val="center"/>
          </w:tcPr>
          <w:p w14:paraId="03559AC2"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15" w:name="_Toc376200110"/>
            <w:r w:rsidRPr="006645DC">
              <w:rPr>
                <w:rFonts w:eastAsia="Arial" w:cs="Calibri"/>
                <w:color w:val="000000"/>
                <w:sz w:val="20"/>
                <w:szCs w:val="20"/>
                <w:lang w:val="en-GB"/>
              </w:rPr>
              <w:t>121 743</w:t>
            </w:r>
            <w:bookmarkEnd w:id="2015"/>
          </w:p>
        </w:tc>
        <w:tc>
          <w:tcPr>
            <w:tcW w:w="1276" w:type="dxa"/>
            <w:tcBorders>
              <w:top w:val="single" w:sz="6" w:space="0" w:color="auto"/>
              <w:left w:val="single" w:sz="6" w:space="0" w:color="auto"/>
              <w:bottom w:val="single" w:sz="4" w:space="0" w:color="auto"/>
              <w:right w:val="single" w:sz="6" w:space="0" w:color="auto"/>
            </w:tcBorders>
            <w:vAlign w:val="center"/>
          </w:tcPr>
          <w:p w14:paraId="061EB243"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16" w:name="_Toc376200111"/>
            <w:r w:rsidRPr="006645DC">
              <w:rPr>
                <w:rFonts w:eastAsia="Arial" w:cs="Calibri"/>
                <w:color w:val="000000"/>
                <w:sz w:val="20"/>
                <w:szCs w:val="20"/>
                <w:lang w:val="en-GB"/>
              </w:rPr>
              <w:t>468 931</w:t>
            </w:r>
            <w:bookmarkEnd w:id="2016"/>
          </w:p>
        </w:tc>
        <w:tc>
          <w:tcPr>
            <w:tcW w:w="1879" w:type="dxa"/>
            <w:tcBorders>
              <w:top w:val="single" w:sz="6" w:space="0" w:color="auto"/>
              <w:left w:val="single" w:sz="6" w:space="0" w:color="auto"/>
              <w:bottom w:val="single" w:sz="4" w:space="0" w:color="auto"/>
              <w:right w:val="single" w:sz="4" w:space="0" w:color="auto"/>
            </w:tcBorders>
            <w:vAlign w:val="center"/>
          </w:tcPr>
          <w:p w14:paraId="62A96724"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ind w:left="757" w:hanging="360"/>
              <w:jc w:val="center"/>
              <w:outlineLvl w:val="1"/>
              <w:rPr>
                <w:rFonts w:eastAsia="Arial" w:cs="Calibri"/>
                <w:color w:val="000000"/>
                <w:sz w:val="20"/>
                <w:szCs w:val="20"/>
                <w:lang w:val="en-GB"/>
              </w:rPr>
            </w:pPr>
            <w:bookmarkStart w:id="2017" w:name="_Toc376200112"/>
            <w:r w:rsidRPr="006645DC">
              <w:rPr>
                <w:rFonts w:eastAsia="Arial" w:cs="Calibri"/>
                <w:color w:val="000000"/>
                <w:sz w:val="20"/>
                <w:szCs w:val="20"/>
                <w:lang w:val="en-GB"/>
              </w:rPr>
              <w:t>26.0</w:t>
            </w:r>
            <w:bookmarkEnd w:id="2017"/>
          </w:p>
        </w:tc>
      </w:tr>
    </w:tbl>
    <w:p w14:paraId="07F1A3F6" w14:textId="77777777" w:rsidR="00CC50F4" w:rsidRPr="006645DC" w:rsidRDefault="00E14A3C" w:rsidP="00E14A3C">
      <w:pPr>
        <w:pStyle w:val="Caption"/>
        <w:rPr>
          <w:color w:val="000000"/>
          <w:lang w:val="en-GB"/>
        </w:rPr>
      </w:pPr>
      <w:bookmarkStart w:id="2018" w:name="_Toc391150148"/>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51</w:t>
      </w:r>
      <w:r w:rsidR="005979EB" w:rsidRPr="006645DC">
        <w:rPr>
          <w:lang w:val="en-GB"/>
        </w:rPr>
        <w:fldChar w:fldCharType="end"/>
      </w:r>
      <w:r w:rsidRPr="006645DC">
        <w:rPr>
          <w:lang w:val="en-GB"/>
        </w:rPr>
        <w:t xml:space="preserve"> - </w:t>
      </w:r>
      <w:r w:rsidR="00CC50F4" w:rsidRPr="006645DC">
        <w:rPr>
          <w:lang w:val="en-GB"/>
        </w:rPr>
        <w:t>Population access to wastewater treatment plants (2009)</w:t>
      </w:r>
      <w:bookmarkEnd w:id="2018"/>
    </w:p>
    <w:p w14:paraId="145F9502" w14:textId="6FC327ED" w:rsidR="00CC50F4" w:rsidRPr="006645DC" w:rsidRDefault="00CC50F4" w:rsidP="00CE723E">
      <w:pPr>
        <w:pStyle w:val="Heading4"/>
        <w:rPr>
          <w:lang w:val="en-GB"/>
        </w:rPr>
      </w:pPr>
      <w:r w:rsidRPr="006645DC">
        <w:rPr>
          <w:lang w:val="en-GB"/>
        </w:rPr>
        <w:t>Source: National I</w:t>
      </w:r>
      <w:r w:rsidR="00CE723E">
        <w:rPr>
          <w:lang w:val="en-GB"/>
        </w:rPr>
        <w:t>nstitute for Statistics Romania</w:t>
      </w:r>
    </w:p>
    <w:p w14:paraId="31E43356" w14:textId="77777777" w:rsidR="00CC50F4" w:rsidRPr="006645DC" w:rsidRDefault="00CC50F4" w:rsidP="00CC50F4">
      <w:pPr>
        <w:pStyle w:val="Heading2"/>
        <w:rPr>
          <w:lang w:val="en-GB"/>
        </w:rPr>
      </w:pPr>
      <w:bookmarkStart w:id="2019" w:name="_Toc371107216"/>
      <w:bookmarkStart w:id="2020" w:name="_Toc376200113"/>
      <w:bookmarkStart w:id="2021" w:name="_Toc254543838"/>
      <w:bookmarkStart w:id="2022" w:name="_Toc391150211"/>
      <w:r w:rsidRPr="006645DC">
        <w:rPr>
          <w:lang w:val="en-GB"/>
        </w:rPr>
        <w:t>Waste Management</w:t>
      </w:r>
      <w:bookmarkEnd w:id="2019"/>
      <w:bookmarkEnd w:id="2020"/>
      <w:bookmarkEnd w:id="2021"/>
      <w:bookmarkEnd w:id="2022"/>
    </w:p>
    <w:p w14:paraId="1A923A45" w14:textId="77777777" w:rsidR="00AA4C82" w:rsidRPr="006645DC" w:rsidRDefault="00AA4C82" w:rsidP="00AA4C82">
      <w:pPr>
        <w:pStyle w:val="Default"/>
        <w:jc w:val="both"/>
        <w:rPr>
          <w:color w:val="auto"/>
          <w:sz w:val="22"/>
          <w:szCs w:val="22"/>
          <w:lang w:val="en-GB"/>
        </w:rPr>
      </w:pPr>
      <w:r w:rsidRPr="006645DC">
        <w:rPr>
          <w:color w:val="auto"/>
          <w:sz w:val="22"/>
          <w:szCs w:val="22"/>
          <w:lang w:val="en-GB"/>
        </w:rPr>
        <w:t xml:space="preserve">According to the Directive 1999/31/EC on landfill of waste, Member States including Romania and Bulgaria are obliged to set up national strategies to reduce the amount of biodegradable municipal waste sent to landfill: </w:t>
      </w:r>
    </w:p>
    <w:p w14:paraId="76D21C3D" w14:textId="77777777" w:rsidR="00AA4C82" w:rsidRPr="006645DC" w:rsidRDefault="00AA4C82" w:rsidP="00AA4C82">
      <w:pPr>
        <w:pStyle w:val="ListParagraph"/>
        <w:rPr>
          <w:lang w:val="en-GB"/>
        </w:rPr>
      </w:pPr>
      <w:r w:rsidRPr="006645DC">
        <w:rPr>
          <w:lang w:val="en-GB"/>
        </w:rPr>
        <w:t xml:space="preserve">to 50 % of 1995 levels by 2009 </w:t>
      </w:r>
    </w:p>
    <w:p w14:paraId="759252AF" w14:textId="77777777" w:rsidR="00AA4C82" w:rsidRPr="006645DC" w:rsidRDefault="00AA4C82" w:rsidP="00AA4C82">
      <w:pPr>
        <w:pStyle w:val="ListParagraph"/>
        <w:rPr>
          <w:lang w:val="en-GB"/>
        </w:rPr>
      </w:pPr>
      <w:r w:rsidRPr="006645DC">
        <w:rPr>
          <w:lang w:val="en-GB"/>
        </w:rPr>
        <w:t xml:space="preserve">to 35 % of 1995 levels by 2016 </w:t>
      </w:r>
    </w:p>
    <w:p w14:paraId="0AA6B4A6" w14:textId="2CDFA928" w:rsidR="003C3D5A" w:rsidRDefault="00AA4C82" w:rsidP="00AA4C82">
      <w:pPr>
        <w:rPr>
          <w:lang w:val="en-GB"/>
        </w:rPr>
      </w:pPr>
      <w:r w:rsidRPr="006645DC">
        <w:rPr>
          <w:lang w:val="en-GB"/>
        </w:rPr>
        <w:t>Romania and Bulgaria have special derogation periods</w:t>
      </w:r>
      <w:r w:rsidRPr="006645DC">
        <w:rPr>
          <w:rStyle w:val="FootnoteReference"/>
          <w:lang w:val="en-GB"/>
        </w:rPr>
        <w:footnoteReference w:id="48"/>
      </w:r>
      <w:r w:rsidRPr="006645DC">
        <w:rPr>
          <w:lang w:val="en-GB"/>
        </w:rPr>
        <w:t xml:space="preserve"> since they landfilled more than 80% of their municipal waste in 1995.</w:t>
      </w:r>
      <w:r w:rsidRPr="006645DC">
        <w:rPr>
          <w:rStyle w:val="FootnoteReference"/>
          <w:lang w:val="en-GB"/>
        </w:rPr>
        <w:footnoteReference w:id="49"/>
      </w:r>
    </w:p>
    <w:p w14:paraId="1B693954" w14:textId="77777777" w:rsidR="00CE723E" w:rsidRDefault="00CE723E" w:rsidP="00AA4C82">
      <w:pPr>
        <w:rPr>
          <w:lang w:val="en-GB"/>
        </w:rPr>
      </w:pPr>
    </w:p>
    <w:p w14:paraId="2EC8FE2B" w14:textId="77777777" w:rsidR="00CE723E" w:rsidRDefault="00CE723E" w:rsidP="00AA4C82">
      <w:pPr>
        <w:rPr>
          <w:lang w:val="en-GB"/>
        </w:rPr>
      </w:pPr>
    </w:p>
    <w:p w14:paraId="6FCB895E" w14:textId="77777777" w:rsidR="00CE723E" w:rsidRDefault="00CE723E" w:rsidP="00AA4C82">
      <w:pPr>
        <w:rPr>
          <w:lang w:val="en-GB"/>
        </w:rPr>
      </w:pPr>
    </w:p>
    <w:p w14:paraId="6E61BB81" w14:textId="77777777" w:rsidR="00CE723E" w:rsidRDefault="00CE723E" w:rsidP="00AA4C82">
      <w:pPr>
        <w:rPr>
          <w:lang w:val="en-GB"/>
        </w:rPr>
      </w:pPr>
    </w:p>
    <w:p w14:paraId="36633455" w14:textId="77777777" w:rsidR="00CE723E" w:rsidRDefault="00CE723E" w:rsidP="00AA4C82">
      <w:pPr>
        <w:rPr>
          <w:lang w:val="en-GB"/>
        </w:rPr>
      </w:pPr>
    </w:p>
    <w:p w14:paraId="16DB6D15" w14:textId="77777777" w:rsidR="00CE723E" w:rsidRDefault="00CE723E" w:rsidP="00AA4C82">
      <w:pPr>
        <w:rPr>
          <w:lang w:val="en-GB"/>
        </w:rPr>
      </w:pPr>
    </w:p>
    <w:p w14:paraId="7AF48E0D" w14:textId="77777777" w:rsidR="00CE723E" w:rsidRDefault="00CE723E" w:rsidP="00AA4C82">
      <w:pPr>
        <w:rPr>
          <w:lang w:val="en-GB"/>
        </w:rPr>
      </w:pPr>
    </w:p>
    <w:p w14:paraId="12FA773F" w14:textId="77777777" w:rsidR="00CE723E" w:rsidRDefault="00CE723E" w:rsidP="00AA4C82">
      <w:pPr>
        <w:rPr>
          <w:lang w:val="en-GB"/>
        </w:rPr>
      </w:pPr>
    </w:p>
    <w:p w14:paraId="2DBD5C5E" w14:textId="77777777" w:rsidR="00CE723E" w:rsidRPr="006645DC" w:rsidRDefault="00CE723E" w:rsidP="00AA4C82">
      <w:pPr>
        <w:rPr>
          <w:lang w:val="en-GB"/>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5" w:type="dxa"/>
          <w:right w:w="5" w:type="dxa"/>
        </w:tblCellMar>
        <w:tblLook w:val="0000" w:firstRow="0" w:lastRow="0" w:firstColumn="0" w:lastColumn="0" w:noHBand="0" w:noVBand="0"/>
      </w:tblPr>
      <w:tblGrid>
        <w:gridCol w:w="1418"/>
        <w:gridCol w:w="1559"/>
        <w:gridCol w:w="1276"/>
        <w:gridCol w:w="1701"/>
        <w:gridCol w:w="1984"/>
        <w:gridCol w:w="1560"/>
      </w:tblGrid>
      <w:tr w:rsidR="00CC50F4" w:rsidRPr="006645DC" w14:paraId="4972CDEB" w14:textId="77777777" w:rsidTr="00393EB7">
        <w:trPr>
          <w:jc w:val="center"/>
        </w:trPr>
        <w:tc>
          <w:tcPr>
            <w:tcW w:w="9498" w:type="dxa"/>
            <w:gridSpan w:val="6"/>
            <w:tcBorders>
              <w:top w:val="single" w:sz="4" w:space="0" w:color="auto"/>
              <w:left w:val="single" w:sz="4" w:space="0" w:color="auto"/>
              <w:bottom w:val="single" w:sz="4" w:space="0" w:color="auto"/>
              <w:right w:val="single" w:sz="4" w:space="0" w:color="auto"/>
            </w:tcBorders>
            <w:shd w:val="clear" w:color="auto" w:fill="76923C"/>
            <w:vAlign w:val="center"/>
          </w:tcPr>
          <w:p w14:paraId="386D0558" w14:textId="77777777" w:rsidR="00CC50F4" w:rsidRPr="006645DC" w:rsidRDefault="00CC50F4" w:rsidP="00CC50F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color w:val="FFFFFF"/>
                <w:lang w:val="en-GB"/>
              </w:rPr>
            </w:pPr>
            <w:r w:rsidRPr="006645DC">
              <w:rPr>
                <w:rFonts w:eastAsia="Arial" w:cs="Calibri"/>
                <w:b/>
                <w:color w:val="FFFFFF"/>
                <w:lang w:val="en-GB"/>
              </w:rPr>
              <w:t xml:space="preserve">Bulgarian cross-border region </w:t>
            </w:r>
          </w:p>
        </w:tc>
      </w:tr>
      <w:tr w:rsidR="00CC50F4" w:rsidRPr="006645DC" w14:paraId="59EF32E3" w14:textId="77777777" w:rsidTr="00393EB7">
        <w:trPr>
          <w:jc w:val="center"/>
        </w:trPr>
        <w:tc>
          <w:tcPr>
            <w:tcW w:w="1418" w:type="dxa"/>
            <w:tcBorders>
              <w:top w:val="single" w:sz="4" w:space="0" w:color="auto"/>
              <w:left w:val="single" w:sz="4" w:space="0" w:color="auto"/>
              <w:bottom w:val="single" w:sz="4" w:space="0" w:color="auto"/>
              <w:right w:val="single" w:sz="4" w:space="0" w:color="auto"/>
            </w:tcBorders>
            <w:shd w:val="clear" w:color="auto" w:fill="76923C"/>
            <w:vAlign w:val="center"/>
          </w:tcPr>
          <w:p w14:paraId="54529F1D" w14:textId="77777777" w:rsidR="00CC50F4" w:rsidRPr="006645DC" w:rsidRDefault="00CC50F4" w:rsidP="00CC50F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color w:val="FFFFFF"/>
                <w:lang w:val="en-GB"/>
              </w:rPr>
            </w:pPr>
            <w:r w:rsidRPr="006645DC">
              <w:rPr>
                <w:rFonts w:eastAsia="Arial" w:cs="Calibri"/>
                <w:b/>
                <w:color w:val="FFFFFF"/>
                <w:lang w:val="en-GB"/>
              </w:rPr>
              <w:t>District</w:t>
            </w:r>
          </w:p>
        </w:tc>
        <w:tc>
          <w:tcPr>
            <w:tcW w:w="1559" w:type="dxa"/>
            <w:tcBorders>
              <w:top w:val="single" w:sz="4" w:space="0" w:color="auto"/>
              <w:left w:val="single" w:sz="4" w:space="0" w:color="auto"/>
              <w:bottom w:val="single" w:sz="4" w:space="0" w:color="auto"/>
              <w:right w:val="single" w:sz="4" w:space="0" w:color="auto"/>
            </w:tcBorders>
            <w:shd w:val="clear" w:color="auto" w:fill="76923C"/>
            <w:vAlign w:val="center"/>
          </w:tcPr>
          <w:p w14:paraId="00AF0736"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b/>
                <w:color w:val="FFFFFF"/>
                <w:lang w:val="en-GB"/>
              </w:rPr>
            </w:pPr>
            <w:bookmarkStart w:id="2023" w:name="_Toc376200114"/>
            <w:r w:rsidRPr="006645DC">
              <w:rPr>
                <w:rFonts w:eastAsia="Arial" w:cs="Calibri"/>
                <w:b/>
                <w:color w:val="FFFFFF"/>
                <w:lang w:val="en-GB"/>
              </w:rPr>
              <w:t>Total generated municipal waste  (thousand tons)</w:t>
            </w:r>
            <w:bookmarkEnd w:id="2023"/>
          </w:p>
        </w:tc>
        <w:tc>
          <w:tcPr>
            <w:tcW w:w="1276" w:type="dxa"/>
            <w:tcBorders>
              <w:top w:val="single" w:sz="4" w:space="0" w:color="auto"/>
              <w:left w:val="single" w:sz="4" w:space="0" w:color="auto"/>
              <w:bottom w:val="single" w:sz="4" w:space="0" w:color="auto"/>
              <w:right w:val="single" w:sz="4" w:space="0" w:color="auto"/>
            </w:tcBorders>
            <w:shd w:val="clear" w:color="auto" w:fill="76923C"/>
            <w:vAlign w:val="center"/>
          </w:tcPr>
          <w:p w14:paraId="55B456C4" w14:textId="77777777" w:rsidR="00CC50F4" w:rsidRPr="006645DC" w:rsidRDefault="00CC50F4" w:rsidP="00CC50F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color w:val="FFFFFF"/>
                <w:lang w:val="en-GB"/>
              </w:rPr>
            </w:pPr>
            <w:r w:rsidRPr="006645DC">
              <w:rPr>
                <w:rFonts w:eastAsia="Arial" w:cs="Calibri"/>
                <w:b/>
                <w:color w:val="FFFFFF"/>
                <w:lang w:val="en-GB"/>
              </w:rPr>
              <w:t>Served settlements  (number)</w:t>
            </w:r>
          </w:p>
        </w:tc>
        <w:tc>
          <w:tcPr>
            <w:tcW w:w="1701" w:type="dxa"/>
            <w:tcBorders>
              <w:top w:val="single" w:sz="4" w:space="0" w:color="auto"/>
              <w:left w:val="single" w:sz="4" w:space="0" w:color="auto"/>
              <w:bottom w:val="single" w:sz="4" w:space="0" w:color="auto"/>
              <w:right w:val="single" w:sz="4" w:space="0" w:color="auto"/>
            </w:tcBorders>
            <w:shd w:val="clear" w:color="auto" w:fill="76923C"/>
            <w:vAlign w:val="center"/>
          </w:tcPr>
          <w:p w14:paraId="0271873B" w14:textId="77777777" w:rsidR="00CC50F4" w:rsidRPr="006645DC" w:rsidRDefault="00CC50F4" w:rsidP="00CC50F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color w:val="FFFFFF"/>
                <w:lang w:val="en-GB"/>
              </w:rPr>
            </w:pPr>
            <w:r w:rsidRPr="006645DC">
              <w:rPr>
                <w:rFonts w:eastAsia="Arial" w:cs="Calibri"/>
                <w:b/>
                <w:color w:val="FFFFFF"/>
                <w:lang w:val="en-GB"/>
              </w:rPr>
              <w:t>Population in served settlements (number)</w:t>
            </w:r>
          </w:p>
        </w:tc>
        <w:tc>
          <w:tcPr>
            <w:tcW w:w="1984" w:type="dxa"/>
            <w:tcBorders>
              <w:top w:val="single" w:sz="4" w:space="0" w:color="auto"/>
              <w:left w:val="single" w:sz="4" w:space="0" w:color="auto"/>
              <w:bottom w:val="single" w:sz="4" w:space="0" w:color="auto"/>
              <w:right w:val="single" w:sz="4" w:space="0" w:color="auto"/>
            </w:tcBorders>
            <w:shd w:val="clear" w:color="auto" w:fill="76923C"/>
            <w:vAlign w:val="center"/>
          </w:tcPr>
          <w:p w14:paraId="585DA232" w14:textId="77777777" w:rsidR="00CC50F4" w:rsidRPr="006645DC" w:rsidRDefault="00CC50F4" w:rsidP="00CC50F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color w:val="FFFFFF"/>
                <w:lang w:val="en-GB"/>
              </w:rPr>
            </w:pPr>
            <w:r w:rsidRPr="006645DC">
              <w:rPr>
                <w:rFonts w:eastAsia="Arial" w:cs="Calibri"/>
                <w:b/>
                <w:color w:val="FFFFFF"/>
                <w:lang w:val="en-GB"/>
              </w:rPr>
              <w:t>Share of population served by municipal waste collection systems  (%) </w:t>
            </w:r>
          </w:p>
        </w:tc>
        <w:tc>
          <w:tcPr>
            <w:tcW w:w="1560" w:type="dxa"/>
            <w:tcBorders>
              <w:top w:val="single" w:sz="4" w:space="0" w:color="auto"/>
              <w:left w:val="single" w:sz="4" w:space="0" w:color="auto"/>
              <w:bottom w:val="single" w:sz="4" w:space="0" w:color="auto"/>
              <w:right w:val="single" w:sz="4" w:space="0" w:color="auto"/>
            </w:tcBorders>
            <w:shd w:val="clear" w:color="auto" w:fill="76923C"/>
            <w:vAlign w:val="center"/>
          </w:tcPr>
          <w:p w14:paraId="1B24481D" w14:textId="77777777" w:rsidR="00CC50F4" w:rsidRPr="006645DC" w:rsidRDefault="00CC50F4" w:rsidP="00CC50F4">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color w:val="FFFFFF"/>
                <w:lang w:val="en-GB"/>
              </w:rPr>
            </w:pPr>
            <w:r w:rsidRPr="006645DC">
              <w:rPr>
                <w:rFonts w:eastAsia="Arial" w:cs="Calibri"/>
                <w:b/>
                <w:color w:val="FFFFFF"/>
                <w:lang w:val="en-GB"/>
              </w:rPr>
              <w:t xml:space="preserve">Landfill sites for municipal waste (number) </w:t>
            </w:r>
          </w:p>
        </w:tc>
      </w:tr>
      <w:tr w:rsidR="00CC50F4" w:rsidRPr="006645DC" w14:paraId="257D8D03" w14:textId="77777777" w:rsidTr="00226DBF">
        <w:trPr>
          <w:jc w:val="center"/>
        </w:trPr>
        <w:tc>
          <w:tcPr>
            <w:tcW w:w="1418" w:type="dxa"/>
            <w:tcBorders>
              <w:top w:val="single" w:sz="4" w:space="0" w:color="auto"/>
              <w:left w:val="single" w:sz="4" w:space="0" w:color="auto"/>
              <w:bottom w:val="single" w:sz="4" w:space="0" w:color="auto"/>
              <w:right w:val="single" w:sz="4" w:space="0" w:color="auto"/>
            </w:tcBorders>
            <w:vAlign w:val="bottom"/>
          </w:tcPr>
          <w:p w14:paraId="48800AB4" w14:textId="77777777" w:rsidR="00CC50F4" w:rsidRPr="006645DC" w:rsidRDefault="00CC50F4" w:rsidP="00226DBF">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rPr>
                <w:rFonts w:eastAsia="Arial" w:cs="Calibri"/>
                <w:lang w:val="en-GB"/>
              </w:rPr>
            </w:pPr>
            <w:r w:rsidRPr="006645DC">
              <w:rPr>
                <w:rFonts w:eastAsia="Arial" w:cs="Calibri"/>
                <w:lang w:val="en-GB"/>
              </w:rPr>
              <w:t>Vidin</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732765DE"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24" w:name="_Toc376200115"/>
            <w:r w:rsidRPr="006645DC">
              <w:rPr>
                <w:rFonts w:eastAsia="Arial" w:cs="Calibri"/>
                <w:lang w:val="en-GB"/>
              </w:rPr>
              <w:t>34</w:t>
            </w:r>
            <w:bookmarkEnd w:id="2024"/>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97BE49E"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25" w:name="_Toc376200116"/>
            <w:r w:rsidRPr="006645DC">
              <w:rPr>
                <w:rFonts w:eastAsia="Arial" w:cs="Calibri"/>
                <w:lang w:val="en-GB"/>
              </w:rPr>
              <w:t>129</w:t>
            </w:r>
            <w:bookmarkEnd w:id="2025"/>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30FE5BB0"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26" w:name="_Toc376200117"/>
            <w:r w:rsidRPr="006645DC">
              <w:rPr>
                <w:rFonts w:eastAsia="Arial" w:cs="Calibri"/>
                <w:lang w:val="en-GB"/>
              </w:rPr>
              <w:t>95 163</w:t>
            </w:r>
            <w:bookmarkEnd w:id="2026"/>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2910440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27" w:name="_Toc376200118"/>
            <w:r w:rsidRPr="006645DC">
              <w:rPr>
                <w:rFonts w:eastAsia="Arial" w:cs="Calibri"/>
                <w:lang w:val="en-GB"/>
              </w:rPr>
              <w:t>95.7</w:t>
            </w:r>
            <w:bookmarkEnd w:id="2027"/>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700FB41C"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28" w:name="_Toc376200119"/>
            <w:r w:rsidRPr="006645DC">
              <w:rPr>
                <w:rFonts w:eastAsia="Arial" w:cs="Calibri"/>
                <w:lang w:val="en-GB"/>
              </w:rPr>
              <w:t>5</w:t>
            </w:r>
            <w:bookmarkEnd w:id="2028"/>
          </w:p>
        </w:tc>
      </w:tr>
      <w:tr w:rsidR="00CC50F4" w:rsidRPr="006645DC" w14:paraId="0E273435" w14:textId="77777777" w:rsidTr="00226DBF">
        <w:trPr>
          <w:jc w:val="center"/>
        </w:trPr>
        <w:tc>
          <w:tcPr>
            <w:tcW w:w="1418" w:type="dxa"/>
            <w:tcBorders>
              <w:top w:val="single" w:sz="4" w:space="0" w:color="auto"/>
              <w:left w:val="single" w:sz="4" w:space="0" w:color="auto"/>
              <w:bottom w:val="single" w:sz="4" w:space="0" w:color="auto"/>
              <w:right w:val="single" w:sz="4" w:space="0" w:color="auto"/>
            </w:tcBorders>
            <w:vAlign w:val="bottom"/>
          </w:tcPr>
          <w:p w14:paraId="5C9762DC"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29" w:name="_Toc376200120"/>
            <w:r w:rsidRPr="006645DC">
              <w:rPr>
                <w:rFonts w:eastAsia="Arial" w:cs="Calibri"/>
                <w:lang w:val="en-GB"/>
              </w:rPr>
              <w:t>Vratsa</w:t>
            </w:r>
            <w:bookmarkEnd w:id="2029"/>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36B889A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30" w:name="_Toc376200121"/>
            <w:r w:rsidRPr="006645DC">
              <w:rPr>
                <w:rFonts w:eastAsia="Arial" w:cs="Calibri"/>
                <w:lang w:val="en-GB"/>
              </w:rPr>
              <w:t>37</w:t>
            </w:r>
            <w:bookmarkEnd w:id="2030"/>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085D5E9"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31" w:name="_Toc376200122"/>
            <w:r w:rsidRPr="006645DC">
              <w:rPr>
                <w:rFonts w:eastAsia="Arial" w:cs="Calibri"/>
                <w:lang w:val="en-GB"/>
              </w:rPr>
              <w:t>122</w:t>
            </w:r>
            <w:bookmarkEnd w:id="2031"/>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096C2A5C"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32" w:name="_Toc376200123"/>
            <w:r w:rsidRPr="006645DC">
              <w:rPr>
                <w:rFonts w:eastAsia="Arial" w:cs="Calibri"/>
                <w:lang w:val="en-GB"/>
              </w:rPr>
              <w:t>184 656</w:t>
            </w:r>
            <w:bookmarkEnd w:id="2032"/>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15A1AF51"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33" w:name="_Toc376200124"/>
            <w:r w:rsidRPr="006645DC">
              <w:rPr>
                <w:rFonts w:eastAsia="Arial" w:cs="Calibri"/>
                <w:lang w:val="en-GB"/>
              </w:rPr>
              <w:t>100.0</w:t>
            </w:r>
            <w:bookmarkEnd w:id="2033"/>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76CF6A20"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34" w:name="_Toc376200125"/>
            <w:r w:rsidRPr="006645DC">
              <w:rPr>
                <w:rFonts w:eastAsia="Arial" w:cs="Calibri"/>
                <w:lang w:val="en-GB"/>
              </w:rPr>
              <w:t>3</w:t>
            </w:r>
            <w:bookmarkEnd w:id="2034"/>
          </w:p>
        </w:tc>
      </w:tr>
      <w:tr w:rsidR="00CC50F4" w:rsidRPr="006645DC" w14:paraId="12DE8C09" w14:textId="77777777" w:rsidTr="00226DBF">
        <w:trPr>
          <w:jc w:val="center"/>
        </w:trPr>
        <w:tc>
          <w:tcPr>
            <w:tcW w:w="1418" w:type="dxa"/>
            <w:tcBorders>
              <w:top w:val="single" w:sz="4" w:space="0" w:color="auto"/>
              <w:left w:val="single" w:sz="4" w:space="0" w:color="auto"/>
              <w:bottom w:val="single" w:sz="4" w:space="0" w:color="auto"/>
              <w:right w:val="single" w:sz="4" w:space="0" w:color="auto"/>
            </w:tcBorders>
            <w:vAlign w:val="bottom"/>
          </w:tcPr>
          <w:p w14:paraId="110A7BF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35" w:name="_Toc376200126"/>
            <w:r w:rsidRPr="006645DC">
              <w:rPr>
                <w:rFonts w:eastAsia="Arial" w:cs="Calibri"/>
                <w:lang w:val="en-GB"/>
              </w:rPr>
              <w:t>Montana</w:t>
            </w:r>
            <w:bookmarkEnd w:id="2035"/>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5A439597"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36" w:name="_Toc376200127"/>
            <w:r w:rsidRPr="006645DC">
              <w:rPr>
                <w:rFonts w:eastAsia="Arial" w:cs="Calibri"/>
                <w:lang w:val="en-GB"/>
              </w:rPr>
              <w:t>37</w:t>
            </w:r>
            <w:bookmarkEnd w:id="2036"/>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DCEA54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37" w:name="_Toc376200128"/>
            <w:r w:rsidRPr="006645DC">
              <w:rPr>
                <w:rFonts w:eastAsia="Arial" w:cs="Calibri"/>
                <w:lang w:val="en-GB"/>
              </w:rPr>
              <w:t>130</w:t>
            </w:r>
            <w:bookmarkEnd w:id="2037"/>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2BA7BCC9"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38" w:name="_Toc376200129"/>
            <w:r w:rsidRPr="006645DC">
              <w:rPr>
                <w:rFonts w:eastAsia="Arial" w:cs="Calibri"/>
                <w:lang w:val="en-GB"/>
              </w:rPr>
              <w:t>145 984</w:t>
            </w:r>
            <w:bookmarkEnd w:id="2038"/>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5D0227C9"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39" w:name="_Toc376200130"/>
            <w:r w:rsidRPr="006645DC">
              <w:rPr>
                <w:rFonts w:eastAsia="Arial" w:cs="Calibri"/>
                <w:lang w:val="en-GB"/>
              </w:rPr>
              <w:t>100.0</w:t>
            </w:r>
            <w:bookmarkEnd w:id="2039"/>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36BD2FC6"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40" w:name="_Toc376200131"/>
            <w:r w:rsidRPr="006645DC">
              <w:rPr>
                <w:rFonts w:eastAsia="Arial" w:cs="Calibri"/>
                <w:lang w:val="en-GB"/>
              </w:rPr>
              <w:t>1</w:t>
            </w:r>
            <w:bookmarkEnd w:id="2040"/>
          </w:p>
        </w:tc>
      </w:tr>
      <w:tr w:rsidR="00CC50F4" w:rsidRPr="006645DC" w14:paraId="350F8303" w14:textId="77777777" w:rsidTr="00226DBF">
        <w:trPr>
          <w:jc w:val="center"/>
        </w:trPr>
        <w:tc>
          <w:tcPr>
            <w:tcW w:w="1418" w:type="dxa"/>
            <w:tcBorders>
              <w:top w:val="single" w:sz="4" w:space="0" w:color="auto"/>
              <w:left w:val="single" w:sz="4" w:space="0" w:color="auto"/>
              <w:bottom w:val="single" w:sz="4" w:space="0" w:color="auto"/>
              <w:right w:val="single" w:sz="4" w:space="0" w:color="auto"/>
            </w:tcBorders>
            <w:vAlign w:val="bottom"/>
          </w:tcPr>
          <w:p w14:paraId="7EAEE53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41" w:name="_Toc376200132"/>
            <w:r w:rsidRPr="006645DC">
              <w:rPr>
                <w:rFonts w:eastAsia="Arial" w:cs="Calibri"/>
                <w:lang w:val="en-GB"/>
              </w:rPr>
              <w:t>Pleven</w:t>
            </w:r>
            <w:bookmarkEnd w:id="2041"/>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169C9F24"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42" w:name="_Toc376200133"/>
            <w:r w:rsidRPr="006645DC">
              <w:rPr>
                <w:rFonts w:eastAsia="Arial" w:cs="Calibri"/>
                <w:lang w:val="en-GB"/>
              </w:rPr>
              <w:t>112</w:t>
            </w:r>
            <w:bookmarkEnd w:id="2042"/>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191DD0E"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43" w:name="_Toc376200134"/>
            <w:r w:rsidRPr="006645DC">
              <w:rPr>
                <w:rFonts w:eastAsia="Arial" w:cs="Calibri"/>
                <w:lang w:val="en-GB"/>
              </w:rPr>
              <w:t>123</w:t>
            </w:r>
            <w:bookmarkEnd w:id="2043"/>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23DA25AC"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44" w:name="_Toc376200135"/>
            <w:r w:rsidRPr="006645DC">
              <w:rPr>
                <w:rFonts w:eastAsia="Arial" w:cs="Calibri"/>
                <w:lang w:val="en-GB"/>
              </w:rPr>
              <w:t>266 865</w:t>
            </w:r>
            <w:bookmarkEnd w:id="2044"/>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02E40B2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45" w:name="_Toc376200136"/>
            <w:r w:rsidRPr="006645DC">
              <w:rPr>
                <w:rFonts w:eastAsia="Arial" w:cs="Calibri"/>
                <w:lang w:val="en-GB"/>
              </w:rPr>
              <w:t>100.0</w:t>
            </w:r>
            <w:bookmarkEnd w:id="2045"/>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018DB96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46" w:name="_Toc376200137"/>
            <w:r w:rsidRPr="006645DC">
              <w:rPr>
                <w:rFonts w:eastAsia="Arial" w:cs="Calibri"/>
                <w:lang w:val="en-GB"/>
              </w:rPr>
              <w:t>10</w:t>
            </w:r>
            <w:bookmarkEnd w:id="2046"/>
          </w:p>
        </w:tc>
      </w:tr>
      <w:tr w:rsidR="00CC50F4" w:rsidRPr="006645DC" w14:paraId="06D443D9" w14:textId="77777777" w:rsidTr="00226DBF">
        <w:trPr>
          <w:jc w:val="center"/>
        </w:trPr>
        <w:tc>
          <w:tcPr>
            <w:tcW w:w="1418" w:type="dxa"/>
            <w:tcBorders>
              <w:top w:val="single" w:sz="4" w:space="0" w:color="auto"/>
              <w:left w:val="single" w:sz="4" w:space="0" w:color="auto"/>
              <w:bottom w:val="single" w:sz="4" w:space="0" w:color="auto"/>
              <w:right w:val="single" w:sz="4" w:space="0" w:color="auto"/>
            </w:tcBorders>
            <w:vAlign w:val="bottom"/>
          </w:tcPr>
          <w:p w14:paraId="2F21D09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47" w:name="_Toc376200138"/>
            <w:r w:rsidRPr="006645DC">
              <w:rPr>
                <w:rFonts w:eastAsia="Arial" w:cs="Calibri"/>
                <w:lang w:val="en-GB"/>
              </w:rPr>
              <w:t>Veliko Tarnovo</w:t>
            </w:r>
            <w:bookmarkEnd w:id="2047"/>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3F4C1AFE"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48" w:name="_Toc376200139"/>
            <w:r w:rsidRPr="006645DC">
              <w:rPr>
                <w:rFonts w:eastAsia="Arial" w:cs="Calibri"/>
                <w:lang w:val="en-GB"/>
              </w:rPr>
              <w:t>102</w:t>
            </w:r>
            <w:bookmarkEnd w:id="2048"/>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5B45435"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49" w:name="_Toc376200140"/>
            <w:r w:rsidRPr="006645DC">
              <w:rPr>
                <w:rFonts w:eastAsia="Arial" w:cs="Calibri"/>
                <w:lang w:val="en-GB"/>
              </w:rPr>
              <w:t>193</w:t>
            </w:r>
            <w:bookmarkEnd w:id="2049"/>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520F53D0"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50" w:name="_Toc376200141"/>
            <w:r w:rsidRPr="006645DC">
              <w:rPr>
                <w:rFonts w:eastAsia="Arial" w:cs="Calibri"/>
                <w:lang w:val="en-GB"/>
              </w:rPr>
              <w:t>254 949</w:t>
            </w:r>
            <w:bookmarkEnd w:id="2050"/>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310F353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51" w:name="_Toc376200142"/>
            <w:r w:rsidRPr="006645DC">
              <w:rPr>
                <w:rFonts w:eastAsia="Arial" w:cs="Calibri"/>
                <w:lang w:val="en-GB"/>
              </w:rPr>
              <w:t>99.5</w:t>
            </w:r>
            <w:bookmarkEnd w:id="2051"/>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2F7A6DD5"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52" w:name="_Toc376200143"/>
            <w:r w:rsidRPr="006645DC">
              <w:rPr>
                <w:rFonts w:eastAsia="Arial" w:cs="Calibri"/>
                <w:lang w:val="en-GB"/>
              </w:rPr>
              <w:t>12</w:t>
            </w:r>
            <w:bookmarkEnd w:id="2052"/>
          </w:p>
        </w:tc>
      </w:tr>
      <w:tr w:rsidR="00CC50F4" w:rsidRPr="006645DC" w14:paraId="50E16B11" w14:textId="77777777" w:rsidTr="00226DBF">
        <w:trPr>
          <w:jc w:val="center"/>
        </w:trPr>
        <w:tc>
          <w:tcPr>
            <w:tcW w:w="1418" w:type="dxa"/>
            <w:tcBorders>
              <w:top w:val="single" w:sz="4" w:space="0" w:color="auto"/>
              <w:left w:val="single" w:sz="4" w:space="0" w:color="auto"/>
              <w:bottom w:val="single" w:sz="4" w:space="0" w:color="auto"/>
              <w:right w:val="single" w:sz="4" w:space="0" w:color="auto"/>
            </w:tcBorders>
            <w:vAlign w:val="bottom"/>
          </w:tcPr>
          <w:p w14:paraId="183B898B"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53" w:name="_Toc376200144"/>
            <w:r w:rsidRPr="006645DC">
              <w:rPr>
                <w:rFonts w:eastAsia="Arial" w:cs="Calibri"/>
                <w:lang w:val="en-GB"/>
              </w:rPr>
              <w:t>Ruse</w:t>
            </w:r>
            <w:bookmarkEnd w:id="2053"/>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3F184554"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54" w:name="_Toc376200145"/>
            <w:r w:rsidRPr="006645DC">
              <w:rPr>
                <w:rFonts w:eastAsia="Arial" w:cs="Calibri"/>
                <w:lang w:val="en-GB"/>
              </w:rPr>
              <w:t>101</w:t>
            </w:r>
            <w:bookmarkEnd w:id="2054"/>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1288B53"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55" w:name="_Toc376200146"/>
            <w:r w:rsidRPr="006645DC">
              <w:rPr>
                <w:rFonts w:eastAsia="Arial" w:cs="Calibri"/>
                <w:lang w:val="en-GB"/>
              </w:rPr>
              <w:t>83</w:t>
            </w:r>
            <w:bookmarkEnd w:id="2055"/>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2B75A08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56" w:name="_Toc376200147"/>
            <w:r w:rsidRPr="006645DC">
              <w:rPr>
                <w:rFonts w:eastAsia="Arial" w:cs="Calibri"/>
                <w:lang w:val="en-GB"/>
              </w:rPr>
              <w:t>233 767</w:t>
            </w:r>
            <w:bookmarkEnd w:id="2056"/>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5A9C4FC8"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57" w:name="_Toc376200148"/>
            <w:r w:rsidRPr="006645DC">
              <w:rPr>
                <w:rFonts w:eastAsia="Arial" w:cs="Calibri"/>
                <w:lang w:val="en-GB"/>
              </w:rPr>
              <w:t>100.0</w:t>
            </w:r>
            <w:bookmarkEnd w:id="2057"/>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39AD8559"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58" w:name="_Toc376200149"/>
            <w:r w:rsidRPr="006645DC">
              <w:rPr>
                <w:rFonts w:eastAsia="Arial" w:cs="Calibri"/>
                <w:lang w:val="en-GB"/>
              </w:rPr>
              <w:t>3</w:t>
            </w:r>
            <w:bookmarkEnd w:id="2058"/>
          </w:p>
        </w:tc>
      </w:tr>
      <w:tr w:rsidR="00CC50F4" w:rsidRPr="006645DC" w14:paraId="46CA14A4" w14:textId="77777777" w:rsidTr="00226DBF">
        <w:trPr>
          <w:jc w:val="center"/>
        </w:trPr>
        <w:tc>
          <w:tcPr>
            <w:tcW w:w="1418" w:type="dxa"/>
            <w:tcBorders>
              <w:top w:val="single" w:sz="4" w:space="0" w:color="auto"/>
              <w:left w:val="single" w:sz="4" w:space="0" w:color="auto"/>
              <w:bottom w:val="single" w:sz="4" w:space="0" w:color="auto"/>
              <w:right w:val="single" w:sz="4" w:space="0" w:color="auto"/>
            </w:tcBorders>
            <w:vAlign w:val="bottom"/>
          </w:tcPr>
          <w:p w14:paraId="72D54CCE"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59" w:name="_Toc376200150"/>
            <w:r w:rsidRPr="006645DC">
              <w:rPr>
                <w:rFonts w:eastAsia="Arial" w:cs="Calibri"/>
                <w:lang w:val="en-GB"/>
              </w:rPr>
              <w:t>Silistra</w:t>
            </w:r>
            <w:bookmarkEnd w:id="2059"/>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7BF06EAC"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60" w:name="_Toc376200151"/>
            <w:r w:rsidRPr="006645DC">
              <w:rPr>
                <w:rFonts w:eastAsia="Arial" w:cs="Calibri"/>
                <w:lang w:val="en-GB"/>
              </w:rPr>
              <w:t>38</w:t>
            </w:r>
            <w:bookmarkEnd w:id="2060"/>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1D2B5CB"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61" w:name="_Toc376200152"/>
            <w:r w:rsidRPr="006645DC">
              <w:rPr>
                <w:rFonts w:eastAsia="Arial" w:cs="Calibri"/>
                <w:lang w:val="en-GB"/>
              </w:rPr>
              <w:t>118</w:t>
            </w:r>
            <w:bookmarkEnd w:id="2061"/>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1B950996"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62" w:name="_Toc376200153"/>
            <w:r w:rsidRPr="006645DC">
              <w:rPr>
                <w:rFonts w:eastAsia="Arial" w:cs="Calibri"/>
                <w:lang w:val="en-GB"/>
              </w:rPr>
              <w:t>118 433</w:t>
            </w:r>
            <w:bookmarkEnd w:id="2062"/>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3F9D74FE"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63" w:name="_Toc376200154"/>
            <w:r w:rsidRPr="006645DC">
              <w:rPr>
                <w:rFonts w:eastAsia="Arial" w:cs="Calibri"/>
                <w:lang w:val="en-GB"/>
              </w:rPr>
              <w:t>100.0</w:t>
            </w:r>
            <w:bookmarkEnd w:id="2063"/>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169E0247"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64" w:name="_Toc376200155"/>
            <w:r w:rsidRPr="006645DC">
              <w:rPr>
                <w:rFonts w:eastAsia="Arial" w:cs="Calibri"/>
                <w:lang w:val="en-GB"/>
              </w:rPr>
              <w:t>1</w:t>
            </w:r>
            <w:bookmarkEnd w:id="2064"/>
          </w:p>
        </w:tc>
      </w:tr>
      <w:tr w:rsidR="00CC50F4" w:rsidRPr="006645DC" w14:paraId="6519489B" w14:textId="77777777" w:rsidTr="00226DBF">
        <w:trPr>
          <w:jc w:val="center"/>
        </w:trPr>
        <w:tc>
          <w:tcPr>
            <w:tcW w:w="1418" w:type="dxa"/>
            <w:tcBorders>
              <w:top w:val="single" w:sz="4" w:space="0" w:color="auto"/>
              <w:left w:val="single" w:sz="4" w:space="0" w:color="auto"/>
              <w:bottom w:val="single" w:sz="4" w:space="0" w:color="auto"/>
              <w:right w:val="single" w:sz="4" w:space="0" w:color="auto"/>
            </w:tcBorders>
            <w:vAlign w:val="bottom"/>
          </w:tcPr>
          <w:p w14:paraId="5186AFEB"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65" w:name="_Toc376200156"/>
            <w:r w:rsidRPr="006645DC">
              <w:rPr>
                <w:rFonts w:eastAsia="Arial" w:cs="Calibri"/>
                <w:lang w:val="en-GB"/>
              </w:rPr>
              <w:t>Dobrich</w:t>
            </w:r>
            <w:bookmarkEnd w:id="2065"/>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14:paraId="3717AA21"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66" w:name="_Toc376200157"/>
            <w:r w:rsidRPr="006645DC">
              <w:rPr>
                <w:rFonts w:eastAsia="Arial" w:cs="Calibri"/>
                <w:lang w:val="en-GB"/>
              </w:rPr>
              <w:t>77</w:t>
            </w:r>
            <w:bookmarkEnd w:id="2066"/>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1E69313"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67" w:name="_Toc376200158"/>
            <w:r w:rsidRPr="006645DC">
              <w:rPr>
                <w:rFonts w:eastAsia="Arial" w:cs="Calibri"/>
                <w:lang w:val="en-GB"/>
              </w:rPr>
              <w:t>190</w:t>
            </w:r>
            <w:bookmarkEnd w:id="2067"/>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25A506A3"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68" w:name="_Toc376200159"/>
            <w:r w:rsidRPr="006645DC">
              <w:rPr>
                <w:rFonts w:eastAsia="Arial" w:cs="Calibri"/>
                <w:lang w:val="en-GB"/>
              </w:rPr>
              <w:t>177 992</w:t>
            </w:r>
            <w:bookmarkEnd w:id="2068"/>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tcPr>
          <w:p w14:paraId="46FC60AC"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69" w:name="_Toc376200160"/>
            <w:r w:rsidRPr="006645DC">
              <w:rPr>
                <w:rFonts w:eastAsia="Arial" w:cs="Calibri"/>
                <w:lang w:val="en-GB"/>
              </w:rPr>
              <w:t>94.6</w:t>
            </w:r>
            <w:bookmarkEnd w:id="2069"/>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14:paraId="5B158EEF" w14:textId="77777777" w:rsidR="00CC50F4" w:rsidRPr="006645DC" w:rsidRDefault="00CC50F4" w:rsidP="00226DBF">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70" w:name="_Toc376200161"/>
            <w:r w:rsidRPr="006645DC">
              <w:rPr>
                <w:rFonts w:eastAsia="Arial" w:cs="Calibri"/>
                <w:lang w:val="en-GB"/>
              </w:rPr>
              <w:t>7</w:t>
            </w:r>
            <w:bookmarkEnd w:id="2070"/>
          </w:p>
        </w:tc>
      </w:tr>
    </w:tbl>
    <w:p w14:paraId="16033DB9" w14:textId="77777777" w:rsidR="00CC50F4" w:rsidRPr="006645DC" w:rsidRDefault="00E14A3C" w:rsidP="00E14A3C">
      <w:pPr>
        <w:pStyle w:val="Caption"/>
        <w:rPr>
          <w:lang w:val="en-GB"/>
        </w:rPr>
      </w:pPr>
      <w:bookmarkStart w:id="2071" w:name="_Toc391150149"/>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52</w:t>
      </w:r>
      <w:r w:rsidR="005979EB" w:rsidRPr="006645DC">
        <w:rPr>
          <w:lang w:val="en-GB"/>
        </w:rPr>
        <w:fldChar w:fldCharType="end"/>
      </w:r>
      <w:r w:rsidRPr="006645DC">
        <w:rPr>
          <w:lang w:val="en-GB"/>
        </w:rPr>
        <w:t xml:space="preserve"> - </w:t>
      </w:r>
      <w:r w:rsidR="00CC50F4" w:rsidRPr="006645DC">
        <w:rPr>
          <w:lang w:val="en-GB"/>
        </w:rPr>
        <w:t>Systems for organised collection of municipal waste (2011)</w:t>
      </w:r>
      <w:r w:rsidR="00E302EF" w:rsidRPr="006645DC">
        <w:rPr>
          <w:lang w:val="en-GB"/>
        </w:rPr>
        <w:t>, Bulgarian cross-border region</w:t>
      </w:r>
      <w:bookmarkEnd w:id="2071"/>
    </w:p>
    <w:p w14:paraId="2BE7846A" w14:textId="4B4E8A44" w:rsidR="00E14A3C" w:rsidRDefault="00CC50F4" w:rsidP="00CE723E">
      <w:pPr>
        <w:pStyle w:val="Heading4"/>
        <w:rPr>
          <w:lang w:val="en-GB"/>
        </w:rPr>
      </w:pPr>
      <w:r w:rsidRPr="006645DC">
        <w:rPr>
          <w:lang w:val="en-GB"/>
        </w:rPr>
        <w:t>Source: National In</w:t>
      </w:r>
      <w:r w:rsidR="00CE723E">
        <w:rPr>
          <w:lang w:val="en-GB"/>
        </w:rPr>
        <w:t>stitute for Statistics Bulgaria</w:t>
      </w:r>
    </w:p>
    <w:p w14:paraId="1F1B384F" w14:textId="77777777" w:rsidR="00CE723E" w:rsidRPr="00CE723E" w:rsidRDefault="00CE723E" w:rsidP="00CE723E">
      <w:pPr>
        <w:rPr>
          <w:lang w:val="en-GB"/>
        </w:rPr>
      </w:pPr>
    </w:p>
    <w:p w14:paraId="6BCFAC99" w14:textId="77777777" w:rsidR="00AA4C82" w:rsidRPr="006645DC" w:rsidRDefault="00AA4C82" w:rsidP="00AA4C82">
      <w:pPr>
        <w:rPr>
          <w:lang w:val="en-GB"/>
        </w:rPr>
      </w:pPr>
      <w:r w:rsidRPr="006645DC">
        <w:rPr>
          <w:lang w:val="en-GB"/>
        </w:rPr>
        <w:t xml:space="preserve">In Bulgaria, 98.2% of the population had access to a municipal system of waste collection. The national Bulgarian waste management program underlines the necessity of the creation of new regional landfills, which will allow the closure of existing small landfills in the cross-border region. Thanks to this program regional landfills are being built near the cities of Vidin, Montana, Vratsa, Oryahovo, Belene, Lyaskovets, Borovo, Ruse, and Silistra. This allowed the reduction of existing landfills in the Bulgarian cross-border area from 196 in 2007 to 42 in 2011. The unregistered (illegal) landfills remain a problem which is gradually solved. Taking into consideration the share of population served by municipal waste collection system, the cross-border region in Bulgaria is above the national average except for Vidin and Dobrich districts. </w:t>
      </w:r>
    </w:p>
    <w:p w14:paraId="191D5E79" w14:textId="77777777" w:rsidR="00AA4C82" w:rsidRPr="006645DC" w:rsidRDefault="00AA4C82" w:rsidP="00AA4C82">
      <w:pPr>
        <w:rPr>
          <w:lang w:val="en-GB"/>
        </w:rPr>
      </w:pPr>
      <w:r w:rsidRPr="006645DC">
        <w:rPr>
          <w:lang w:val="en-GB"/>
        </w:rPr>
        <w:t>By 2009, 63% of the population in Romania benefited from waste collection services; this consisted of 84% in the urban areas and only 38% in rural areas. A total of 6 296 000 tonnes of waste was collected and treated in 2009.</w:t>
      </w:r>
    </w:p>
    <w:p w14:paraId="16BE0939" w14:textId="77777777" w:rsidR="00AA4C82" w:rsidRPr="006645DC" w:rsidRDefault="00AA4C82" w:rsidP="00AA4C82">
      <w:pPr>
        <w:rPr>
          <w:lang w:val="en-GB"/>
        </w:rPr>
      </w:pPr>
      <w:r w:rsidRPr="006645DC">
        <w:rPr>
          <w:lang w:val="en-GB"/>
        </w:rPr>
        <w:t>In 2010, the storage of municipal waste in the Romanian side was made both in landfills compliant with the legislation (4 in Constanta county, and 1 in the Dolj county) and in non-compliant landfills (17 landfills have to be closed by 2017). In 2011, in Romania, 4 new landfills for municipal waste were authorised; two were situated in the cross-border region (counties of Teleorman and Mehedinţi).</w:t>
      </w:r>
    </w:p>
    <w:p w14:paraId="13748B34" w14:textId="77777777" w:rsidR="003C3D5A" w:rsidRPr="006645DC" w:rsidRDefault="003C3D5A" w:rsidP="00CC50F4">
      <w:pPr>
        <w:rPr>
          <w:lang w:val="en-GB"/>
        </w:rPr>
        <w:sectPr w:rsidR="003C3D5A" w:rsidRPr="006645DC">
          <w:pgSz w:w="12240" w:h="15840"/>
          <w:pgMar w:top="1440" w:right="1440" w:bottom="1440" w:left="1440" w:header="720" w:footer="720" w:gutter="0"/>
          <w:cols w:space="720"/>
          <w:docGrid w:linePitch="360"/>
        </w:sect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2357"/>
        <w:gridCol w:w="2413"/>
        <w:gridCol w:w="2085"/>
      </w:tblGrid>
      <w:tr w:rsidR="00CC50F4" w:rsidRPr="006645DC" w14:paraId="03A88215" w14:textId="77777777" w:rsidTr="001F5314">
        <w:trPr>
          <w:jc w:val="center"/>
        </w:trPr>
        <w:tc>
          <w:tcPr>
            <w:tcW w:w="8147" w:type="dxa"/>
            <w:gridSpan w:val="4"/>
            <w:shd w:val="clear" w:color="auto" w:fill="76923C" w:themeFill="accent3" w:themeFillShade="BF"/>
            <w:vAlign w:val="center"/>
          </w:tcPr>
          <w:p w14:paraId="790D05E8" w14:textId="77777777" w:rsidR="00CC50F4" w:rsidRPr="006645DC" w:rsidRDefault="00CC50F4" w:rsidP="00393E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color w:val="FFFFFF"/>
                <w:lang w:val="en-GB"/>
              </w:rPr>
            </w:pPr>
            <w:r w:rsidRPr="006645DC">
              <w:rPr>
                <w:rFonts w:eastAsia="Arial" w:cs="Calibri"/>
                <w:b/>
                <w:color w:val="FFFFFF"/>
                <w:lang w:val="en-GB"/>
              </w:rPr>
              <w:lastRenderedPageBreak/>
              <w:t xml:space="preserve">Romanian cross-border region </w:t>
            </w:r>
          </w:p>
        </w:tc>
      </w:tr>
      <w:tr w:rsidR="00CC50F4" w:rsidRPr="006645DC" w14:paraId="41948BD1" w14:textId="77777777" w:rsidTr="001F5314">
        <w:trPr>
          <w:jc w:val="center"/>
        </w:trPr>
        <w:tc>
          <w:tcPr>
            <w:tcW w:w="1292" w:type="dxa"/>
            <w:shd w:val="clear" w:color="auto" w:fill="76923C" w:themeFill="accent3" w:themeFillShade="BF"/>
            <w:vAlign w:val="center"/>
          </w:tcPr>
          <w:p w14:paraId="72930936" w14:textId="77777777" w:rsidR="00CC50F4" w:rsidRPr="006645DC" w:rsidRDefault="00CC50F4" w:rsidP="00393E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lang w:val="en-GB"/>
              </w:rPr>
            </w:pPr>
            <w:r w:rsidRPr="006645DC">
              <w:rPr>
                <w:rFonts w:eastAsia="Arial" w:cs="Calibri"/>
                <w:b/>
                <w:color w:val="FFFFFF"/>
                <w:lang w:val="en-GB"/>
              </w:rPr>
              <w:t>County</w:t>
            </w:r>
          </w:p>
        </w:tc>
        <w:tc>
          <w:tcPr>
            <w:tcW w:w="2357" w:type="dxa"/>
            <w:shd w:val="clear" w:color="auto" w:fill="76923C" w:themeFill="accent3" w:themeFillShade="BF"/>
            <w:vAlign w:val="center"/>
          </w:tcPr>
          <w:p w14:paraId="0DD5558E"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b/>
                <w:color w:val="FFFFFF"/>
                <w:lang w:val="en-GB"/>
              </w:rPr>
            </w:pPr>
            <w:bookmarkStart w:id="2072" w:name="_Toc376200162"/>
            <w:r w:rsidRPr="006645DC">
              <w:rPr>
                <w:rFonts w:eastAsia="Arial" w:cs="Calibri"/>
                <w:b/>
                <w:color w:val="FFFFFF"/>
                <w:lang w:val="en-GB"/>
              </w:rPr>
              <w:t>Total amount of collected household waste (thousand tons)</w:t>
            </w:r>
            <w:bookmarkEnd w:id="2072"/>
          </w:p>
        </w:tc>
        <w:tc>
          <w:tcPr>
            <w:tcW w:w="2413" w:type="dxa"/>
            <w:shd w:val="clear" w:color="auto" w:fill="76923C" w:themeFill="accent3" w:themeFillShade="BF"/>
            <w:vAlign w:val="center"/>
          </w:tcPr>
          <w:p w14:paraId="4C3FE2A8" w14:textId="77777777" w:rsidR="00CC50F4" w:rsidRPr="006645DC" w:rsidRDefault="00CC50F4" w:rsidP="00393E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color w:val="FFFFFF"/>
                <w:lang w:val="en-GB"/>
              </w:rPr>
            </w:pPr>
            <w:r w:rsidRPr="006645DC">
              <w:rPr>
                <w:rFonts w:eastAsia="Arial" w:cs="Calibri"/>
                <w:b/>
                <w:color w:val="FFFFFF"/>
                <w:lang w:val="en-GB"/>
              </w:rPr>
              <w:t>The coverage degree of population to waste collection services (%)</w:t>
            </w:r>
          </w:p>
        </w:tc>
        <w:tc>
          <w:tcPr>
            <w:tcW w:w="2085" w:type="dxa"/>
            <w:shd w:val="clear" w:color="auto" w:fill="76923C" w:themeFill="accent3" w:themeFillShade="BF"/>
            <w:vAlign w:val="center"/>
          </w:tcPr>
          <w:p w14:paraId="49E7181A" w14:textId="77777777" w:rsidR="00CC50F4" w:rsidRPr="006645DC" w:rsidRDefault="00CC50F4" w:rsidP="00393E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rPr>
                <w:rFonts w:eastAsia="Arial" w:cs="Calibri"/>
                <w:b/>
                <w:color w:val="FFFFFF"/>
                <w:lang w:val="en-GB"/>
              </w:rPr>
            </w:pPr>
            <w:r w:rsidRPr="006645DC">
              <w:rPr>
                <w:rFonts w:eastAsia="Arial" w:cs="Calibri"/>
                <w:b/>
                <w:color w:val="FFFFFF"/>
                <w:lang w:val="en-GB"/>
              </w:rPr>
              <w:t>Recycling rate of collected municipal waste (%)</w:t>
            </w:r>
          </w:p>
        </w:tc>
      </w:tr>
      <w:tr w:rsidR="00CC50F4" w:rsidRPr="006645DC" w14:paraId="23C005D8" w14:textId="77777777" w:rsidTr="00393EB7">
        <w:trPr>
          <w:jc w:val="center"/>
        </w:trPr>
        <w:tc>
          <w:tcPr>
            <w:tcW w:w="1292" w:type="dxa"/>
            <w:shd w:val="clear" w:color="auto" w:fill="auto"/>
            <w:vAlign w:val="center"/>
          </w:tcPr>
          <w:p w14:paraId="7AC499C1" w14:textId="77777777" w:rsidR="00CC50F4" w:rsidRPr="006645DC" w:rsidRDefault="00CC50F4" w:rsidP="00393EB7">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rPr>
                <w:rFonts w:eastAsia="Arial" w:cs="Calibri"/>
                <w:lang w:val="en-GB"/>
              </w:rPr>
            </w:pPr>
            <w:r w:rsidRPr="006645DC">
              <w:rPr>
                <w:rFonts w:eastAsia="Arial" w:cs="Calibri"/>
                <w:lang w:val="en-GB"/>
              </w:rPr>
              <w:t>Mehedinti</w:t>
            </w:r>
          </w:p>
        </w:tc>
        <w:tc>
          <w:tcPr>
            <w:tcW w:w="2357" w:type="dxa"/>
            <w:shd w:val="clear" w:color="auto" w:fill="auto"/>
            <w:vAlign w:val="center"/>
          </w:tcPr>
          <w:p w14:paraId="634B703B" w14:textId="77777777" w:rsidR="00CC50F4" w:rsidRPr="006645DC" w:rsidRDefault="00CC50F4" w:rsidP="00393EB7">
            <w:pPr>
              <w:keepNext/>
              <w:keepLines/>
              <w:spacing w:before="0" w:after="0"/>
              <w:jc w:val="center"/>
              <w:outlineLvl w:val="1"/>
              <w:rPr>
                <w:color w:val="000000"/>
                <w:lang w:val="en-GB"/>
              </w:rPr>
            </w:pPr>
            <w:bookmarkStart w:id="2073" w:name="_Toc376200163"/>
            <w:r w:rsidRPr="006645DC">
              <w:rPr>
                <w:color w:val="000000"/>
                <w:lang w:val="en-GB"/>
              </w:rPr>
              <w:t>67</w:t>
            </w:r>
            <w:bookmarkEnd w:id="2073"/>
          </w:p>
        </w:tc>
        <w:tc>
          <w:tcPr>
            <w:tcW w:w="2413" w:type="dxa"/>
            <w:shd w:val="clear" w:color="auto" w:fill="auto"/>
            <w:vAlign w:val="center"/>
          </w:tcPr>
          <w:p w14:paraId="601D6FA8"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74" w:name="_Toc376200164"/>
            <w:r w:rsidRPr="006645DC">
              <w:rPr>
                <w:rFonts w:eastAsia="Arial" w:cs="Calibri"/>
                <w:lang w:val="en-GB"/>
              </w:rPr>
              <w:t>32</w:t>
            </w:r>
            <w:bookmarkEnd w:id="2074"/>
          </w:p>
        </w:tc>
        <w:tc>
          <w:tcPr>
            <w:tcW w:w="2085" w:type="dxa"/>
            <w:shd w:val="clear" w:color="auto" w:fill="auto"/>
            <w:vAlign w:val="center"/>
          </w:tcPr>
          <w:p w14:paraId="64517345"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75" w:name="_Toc376200165"/>
            <w:r w:rsidRPr="006645DC">
              <w:rPr>
                <w:rFonts w:eastAsia="Arial" w:cs="Calibri"/>
                <w:lang w:val="en-GB"/>
              </w:rPr>
              <w:t>0.03</w:t>
            </w:r>
            <w:bookmarkEnd w:id="2075"/>
          </w:p>
        </w:tc>
      </w:tr>
      <w:tr w:rsidR="00CC50F4" w:rsidRPr="006645DC" w14:paraId="721F7362" w14:textId="77777777" w:rsidTr="00393EB7">
        <w:trPr>
          <w:jc w:val="center"/>
        </w:trPr>
        <w:tc>
          <w:tcPr>
            <w:tcW w:w="1292" w:type="dxa"/>
            <w:shd w:val="clear" w:color="auto" w:fill="auto"/>
            <w:vAlign w:val="center"/>
          </w:tcPr>
          <w:p w14:paraId="18ACF8E7"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76" w:name="_Toc376200166"/>
            <w:r w:rsidRPr="006645DC">
              <w:rPr>
                <w:rFonts w:eastAsia="Arial" w:cs="Calibri"/>
                <w:lang w:val="en-GB"/>
              </w:rPr>
              <w:t>Dolj</w:t>
            </w:r>
            <w:bookmarkEnd w:id="2076"/>
          </w:p>
        </w:tc>
        <w:tc>
          <w:tcPr>
            <w:tcW w:w="2357" w:type="dxa"/>
            <w:shd w:val="clear" w:color="auto" w:fill="auto"/>
            <w:vAlign w:val="center"/>
          </w:tcPr>
          <w:p w14:paraId="3ED569B2" w14:textId="77777777" w:rsidR="00CC50F4" w:rsidRPr="006645DC" w:rsidRDefault="00CC50F4" w:rsidP="00393EB7">
            <w:pPr>
              <w:keepNext/>
              <w:keepLines/>
              <w:spacing w:before="0" w:after="0"/>
              <w:jc w:val="center"/>
              <w:outlineLvl w:val="1"/>
              <w:rPr>
                <w:color w:val="000000"/>
                <w:lang w:val="en-GB"/>
              </w:rPr>
            </w:pPr>
            <w:bookmarkStart w:id="2077" w:name="_Toc376200167"/>
            <w:r w:rsidRPr="006645DC">
              <w:rPr>
                <w:color w:val="000000"/>
                <w:lang w:val="en-GB"/>
              </w:rPr>
              <w:t>113</w:t>
            </w:r>
            <w:bookmarkEnd w:id="2077"/>
          </w:p>
        </w:tc>
        <w:tc>
          <w:tcPr>
            <w:tcW w:w="2413" w:type="dxa"/>
            <w:shd w:val="clear" w:color="auto" w:fill="auto"/>
            <w:vAlign w:val="center"/>
          </w:tcPr>
          <w:p w14:paraId="1C4498D9"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78" w:name="_Toc376200168"/>
            <w:r w:rsidRPr="006645DC">
              <w:rPr>
                <w:rFonts w:eastAsia="Arial" w:cs="Calibri"/>
                <w:lang w:val="en-GB"/>
              </w:rPr>
              <w:t>33</w:t>
            </w:r>
            <w:bookmarkEnd w:id="2078"/>
          </w:p>
        </w:tc>
        <w:tc>
          <w:tcPr>
            <w:tcW w:w="2085" w:type="dxa"/>
            <w:shd w:val="clear" w:color="auto" w:fill="auto"/>
            <w:vAlign w:val="center"/>
          </w:tcPr>
          <w:p w14:paraId="0EA885BE"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79" w:name="_Toc376200169"/>
            <w:r w:rsidRPr="006645DC">
              <w:rPr>
                <w:rFonts w:eastAsia="Arial" w:cs="Calibri"/>
                <w:lang w:val="en-GB"/>
              </w:rPr>
              <w:t>0.00</w:t>
            </w:r>
            <w:bookmarkEnd w:id="2079"/>
          </w:p>
        </w:tc>
      </w:tr>
      <w:tr w:rsidR="00CC50F4" w:rsidRPr="006645DC" w14:paraId="470C2C56" w14:textId="77777777" w:rsidTr="00393EB7">
        <w:trPr>
          <w:jc w:val="center"/>
        </w:trPr>
        <w:tc>
          <w:tcPr>
            <w:tcW w:w="1292" w:type="dxa"/>
            <w:shd w:val="clear" w:color="auto" w:fill="auto"/>
            <w:vAlign w:val="center"/>
          </w:tcPr>
          <w:p w14:paraId="3B9A5AA2"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80" w:name="_Toc376200170"/>
            <w:r w:rsidRPr="006645DC">
              <w:rPr>
                <w:rFonts w:eastAsia="Arial" w:cs="Calibri"/>
                <w:lang w:val="en-GB"/>
              </w:rPr>
              <w:t>Olt</w:t>
            </w:r>
            <w:bookmarkEnd w:id="2080"/>
          </w:p>
        </w:tc>
        <w:tc>
          <w:tcPr>
            <w:tcW w:w="2357" w:type="dxa"/>
            <w:shd w:val="clear" w:color="auto" w:fill="auto"/>
            <w:vAlign w:val="center"/>
          </w:tcPr>
          <w:p w14:paraId="2B93BF36" w14:textId="77777777" w:rsidR="00CC50F4" w:rsidRPr="006645DC" w:rsidRDefault="00CC50F4" w:rsidP="00393EB7">
            <w:pPr>
              <w:keepNext/>
              <w:keepLines/>
              <w:spacing w:before="0" w:after="0"/>
              <w:jc w:val="center"/>
              <w:outlineLvl w:val="1"/>
              <w:rPr>
                <w:color w:val="000000"/>
                <w:lang w:val="en-GB"/>
              </w:rPr>
            </w:pPr>
            <w:bookmarkStart w:id="2081" w:name="_Toc376200171"/>
            <w:r w:rsidRPr="006645DC">
              <w:rPr>
                <w:color w:val="000000"/>
                <w:lang w:val="en-GB"/>
              </w:rPr>
              <w:t>97</w:t>
            </w:r>
            <w:bookmarkEnd w:id="2081"/>
          </w:p>
        </w:tc>
        <w:tc>
          <w:tcPr>
            <w:tcW w:w="2413" w:type="dxa"/>
            <w:shd w:val="clear" w:color="auto" w:fill="auto"/>
            <w:vAlign w:val="center"/>
          </w:tcPr>
          <w:p w14:paraId="5E1B4399"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82" w:name="_Toc376200172"/>
            <w:r w:rsidRPr="006645DC">
              <w:rPr>
                <w:rFonts w:eastAsia="Arial" w:cs="Calibri"/>
                <w:lang w:val="en-GB"/>
              </w:rPr>
              <w:t>32</w:t>
            </w:r>
            <w:bookmarkEnd w:id="2082"/>
          </w:p>
        </w:tc>
        <w:tc>
          <w:tcPr>
            <w:tcW w:w="2085" w:type="dxa"/>
            <w:shd w:val="clear" w:color="auto" w:fill="auto"/>
            <w:vAlign w:val="center"/>
          </w:tcPr>
          <w:p w14:paraId="56FD1B46"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83" w:name="_Toc376200173"/>
            <w:r w:rsidRPr="006645DC">
              <w:rPr>
                <w:rFonts w:eastAsia="Arial" w:cs="Calibri"/>
                <w:lang w:val="en-GB"/>
              </w:rPr>
              <w:t>0.51</w:t>
            </w:r>
            <w:bookmarkEnd w:id="2083"/>
          </w:p>
        </w:tc>
      </w:tr>
      <w:tr w:rsidR="00CC50F4" w:rsidRPr="006645DC" w14:paraId="7FF73A4D" w14:textId="77777777" w:rsidTr="00393EB7">
        <w:trPr>
          <w:jc w:val="center"/>
        </w:trPr>
        <w:tc>
          <w:tcPr>
            <w:tcW w:w="1292" w:type="dxa"/>
            <w:shd w:val="clear" w:color="auto" w:fill="auto"/>
            <w:vAlign w:val="center"/>
          </w:tcPr>
          <w:p w14:paraId="390DCC43"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84" w:name="_Toc376200174"/>
            <w:r w:rsidRPr="006645DC">
              <w:rPr>
                <w:rFonts w:eastAsia="Arial" w:cs="Calibri"/>
                <w:lang w:val="en-GB"/>
              </w:rPr>
              <w:t>Teleorman</w:t>
            </w:r>
            <w:bookmarkEnd w:id="2084"/>
          </w:p>
        </w:tc>
        <w:tc>
          <w:tcPr>
            <w:tcW w:w="2357" w:type="dxa"/>
            <w:shd w:val="clear" w:color="auto" w:fill="auto"/>
            <w:vAlign w:val="center"/>
          </w:tcPr>
          <w:p w14:paraId="61620B31" w14:textId="77777777" w:rsidR="00CC50F4" w:rsidRPr="006645DC" w:rsidRDefault="00CC50F4" w:rsidP="00393EB7">
            <w:pPr>
              <w:keepNext/>
              <w:keepLines/>
              <w:spacing w:before="0" w:after="0"/>
              <w:jc w:val="center"/>
              <w:outlineLvl w:val="1"/>
              <w:rPr>
                <w:color w:val="000000"/>
                <w:lang w:val="en-GB"/>
              </w:rPr>
            </w:pPr>
            <w:bookmarkStart w:id="2085" w:name="_Toc376200175"/>
            <w:r w:rsidRPr="006645DC">
              <w:rPr>
                <w:color w:val="000000"/>
                <w:lang w:val="en-GB"/>
              </w:rPr>
              <w:t>77</w:t>
            </w:r>
            <w:bookmarkEnd w:id="2085"/>
          </w:p>
        </w:tc>
        <w:tc>
          <w:tcPr>
            <w:tcW w:w="2413" w:type="dxa"/>
            <w:shd w:val="clear" w:color="auto" w:fill="auto"/>
            <w:vAlign w:val="center"/>
          </w:tcPr>
          <w:p w14:paraId="09544360"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86" w:name="_Toc376200176"/>
            <w:r w:rsidRPr="006645DC">
              <w:rPr>
                <w:rFonts w:eastAsia="Arial" w:cs="Calibri"/>
                <w:lang w:val="en-GB"/>
              </w:rPr>
              <w:t>35</w:t>
            </w:r>
            <w:bookmarkEnd w:id="2086"/>
          </w:p>
        </w:tc>
        <w:tc>
          <w:tcPr>
            <w:tcW w:w="2085" w:type="dxa"/>
            <w:shd w:val="clear" w:color="auto" w:fill="auto"/>
            <w:vAlign w:val="center"/>
          </w:tcPr>
          <w:p w14:paraId="00A974EC"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87" w:name="_Toc376200177"/>
            <w:r w:rsidRPr="006645DC">
              <w:rPr>
                <w:rFonts w:eastAsia="Arial" w:cs="Calibri"/>
                <w:lang w:val="en-GB"/>
              </w:rPr>
              <w:t>0.00</w:t>
            </w:r>
            <w:bookmarkEnd w:id="2087"/>
          </w:p>
        </w:tc>
      </w:tr>
      <w:tr w:rsidR="00CC50F4" w:rsidRPr="006645DC" w14:paraId="7811E4DC" w14:textId="77777777" w:rsidTr="00393EB7">
        <w:trPr>
          <w:jc w:val="center"/>
        </w:trPr>
        <w:tc>
          <w:tcPr>
            <w:tcW w:w="1292" w:type="dxa"/>
            <w:shd w:val="clear" w:color="auto" w:fill="auto"/>
            <w:vAlign w:val="center"/>
          </w:tcPr>
          <w:p w14:paraId="4A84A17F"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88" w:name="_Toc376200178"/>
            <w:r w:rsidRPr="006645DC">
              <w:rPr>
                <w:rFonts w:eastAsia="Arial" w:cs="Calibri"/>
                <w:lang w:val="en-GB"/>
              </w:rPr>
              <w:t>Giurgiu</w:t>
            </w:r>
            <w:bookmarkEnd w:id="2088"/>
          </w:p>
        </w:tc>
        <w:tc>
          <w:tcPr>
            <w:tcW w:w="2357" w:type="dxa"/>
            <w:shd w:val="clear" w:color="auto" w:fill="auto"/>
            <w:vAlign w:val="center"/>
          </w:tcPr>
          <w:p w14:paraId="5D345E60" w14:textId="77777777" w:rsidR="00CC50F4" w:rsidRPr="006645DC" w:rsidRDefault="00CC50F4" w:rsidP="00393EB7">
            <w:pPr>
              <w:keepNext/>
              <w:keepLines/>
              <w:spacing w:before="0" w:after="0"/>
              <w:jc w:val="center"/>
              <w:outlineLvl w:val="1"/>
              <w:rPr>
                <w:color w:val="000000"/>
                <w:lang w:val="en-GB"/>
              </w:rPr>
            </w:pPr>
            <w:bookmarkStart w:id="2089" w:name="_Toc376200179"/>
            <w:r w:rsidRPr="006645DC">
              <w:rPr>
                <w:color w:val="000000"/>
                <w:lang w:val="en-GB"/>
              </w:rPr>
              <w:t>39</w:t>
            </w:r>
            <w:bookmarkEnd w:id="2089"/>
          </w:p>
        </w:tc>
        <w:tc>
          <w:tcPr>
            <w:tcW w:w="2413" w:type="dxa"/>
            <w:shd w:val="clear" w:color="auto" w:fill="auto"/>
            <w:vAlign w:val="center"/>
          </w:tcPr>
          <w:p w14:paraId="3D156F87"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90" w:name="_Toc376200180"/>
            <w:r w:rsidRPr="006645DC">
              <w:rPr>
                <w:rFonts w:eastAsia="Arial" w:cs="Calibri"/>
                <w:lang w:val="en-GB"/>
              </w:rPr>
              <w:t>46</w:t>
            </w:r>
            <w:bookmarkEnd w:id="2090"/>
          </w:p>
        </w:tc>
        <w:tc>
          <w:tcPr>
            <w:tcW w:w="2085" w:type="dxa"/>
            <w:shd w:val="clear" w:color="auto" w:fill="auto"/>
            <w:vAlign w:val="center"/>
          </w:tcPr>
          <w:p w14:paraId="7A646209"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91" w:name="_Toc376200181"/>
            <w:r w:rsidRPr="006645DC">
              <w:rPr>
                <w:rFonts w:eastAsia="Arial" w:cs="Calibri"/>
                <w:lang w:val="en-GB"/>
              </w:rPr>
              <w:t>0.17</w:t>
            </w:r>
            <w:bookmarkEnd w:id="2091"/>
          </w:p>
        </w:tc>
      </w:tr>
      <w:tr w:rsidR="00CC50F4" w:rsidRPr="006645DC" w14:paraId="476C9179" w14:textId="77777777" w:rsidTr="00393EB7">
        <w:trPr>
          <w:jc w:val="center"/>
        </w:trPr>
        <w:tc>
          <w:tcPr>
            <w:tcW w:w="1292" w:type="dxa"/>
            <w:shd w:val="clear" w:color="auto" w:fill="auto"/>
            <w:vAlign w:val="center"/>
          </w:tcPr>
          <w:p w14:paraId="6185B3D8"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92" w:name="_Toc376200182"/>
            <w:r w:rsidRPr="006645DC">
              <w:rPr>
                <w:lang w:val="en-GB" w:eastAsia="hu-HU"/>
              </w:rPr>
              <w:t>Călăraşi</w:t>
            </w:r>
            <w:bookmarkEnd w:id="2092"/>
          </w:p>
        </w:tc>
        <w:tc>
          <w:tcPr>
            <w:tcW w:w="2357" w:type="dxa"/>
            <w:shd w:val="clear" w:color="auto" w:fill="auto"/>
            <w:vAlign w:val="center"/>
          </w:tcPr>
          <w:p w14:paraId="61516346" w14:textId="77777777" w:rsidR="00CC50F4" w:rsidRPr="006645DC" w:rsidRDefault="00CC50F4" w:rsidP="00393EB7">
            <w:pPr>
              <w:keepNext/>
              <w:keepLines/>
              <w:spacing w:before="0" w:after="0"/>
              <w:jc w:val="center"/>
              <w:outlineLvl w:val="1"/>
              <w:rPr>
                <w:color w:val="000000"/>
                <w:lang w:val="en-GB"/>
              </w:rPr>
            </w:pPr>
            <w:bookmarkStart w:id="2093" w:name="_Toc376200183"/>
            <w:r w:rsidRPr="006645DC">
              <w:rPr>
                <w:color w:val="000000"/>
                <w:lang w:val="en-GB"/>
              </w:rPr>
              <w:t>43</w:t>
            </w:r>
            <w:bookmarkEnd w:id="2093"/>
          </w:p>
        </w:tc>
        <w:tc>
          <w:tcPr>
            <w:tcW w:w="2413" w:type="dxa"/>
            <w:shd w:val="clear" w:color="auto" w:fill="auto"/>
            <w:vAlign w:val="center"/>
          </w:tcPr>
          <w:p w14:paraId="0A5A4D4C"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94" w:name="_Toc376200184"/>
            <w:r w:rsidRPr="006645DC">
              <w:rPr>
                <w:rFonts w:eastAsia="Arial" w:cs="Calibri"/>
                <w:lang w:val="en-GB"/>
              </w:rPr>
              <w:t>33</w:t>
            </w:r>
            <w:bookmarkEnd w:id="2094"/>
          </w:p>
        </w:tc>
        <w:tc>
          <w:tcPr>
            <w:tcW w:w="2085" w:type="dxa"/>
            <w:shd w:val="clear" w:color="auto" w:fill="auto"/>
            <w:vAlign w:val="center"/>
          </w:tcPr>
          <w:p w14:paraId="4554206B"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95" w:name="_Toc376200185"/>
            <w:r w:rsidRPr="006645DC">
              <w:rPr>
                <w:rFonts w:eastAsia="Arial" w:cs="Calibri"/>
                <w:lang w:val="en-GB"/>
              </w:rPr>
              <w:t>0.00</w:t>
            </w:r>
            <w:bookmarkEnd w:id="2095"/>
          </w:p>
        </w:tc>
      </w:tr>
      <w:tr w:rsidR="00CC50F4" w:rsidRPr="006645DC" w14:paraId="7136FBEF" w14:textId="77777777" w:rsidTr="00393EB7">
        <w:trPr>
          <w:jc w:val="center"/>
        </w:trPr>
        <w:tc>
          <w:tcPr>
            <w:tcW w:w="1292" w:type="dxa"/>
            <w:shd w:val="clear" w:color="auto" w:fill="auto"/>
            <w:vAlign w:val="center"/>
          </w:tcPr>
          <w:p w14:paraId="2B159850"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outlineLvl w:val="1"/>
              <w:rPr>
                <w:rFonts w:eastAsia="Arial" w:cs="Calibri"/>
                <w:lang w:val="en-GB"/>
              </w:rPr>
            </w:pPr>
            <w:bookmarkStart w:id="2096" w:name="_Toc376200186"/>
            <w:r w:rsidRPr="006645DC">
              <w:rPr>
                <w:rFonts w:eastAsia="Arial" w:cs="Calibri"/>
                <w:lang w:val="en-GB"/>
              </w:rPr>
              <w:t>Constanta</w:t>
            </w:r>
            <w:bookmarkEnd w:id="2096"/>
          </w:p>
        </w:tc>
        <w:tc>
          <w:tcPr>
            <w:tcW w:w="2357" w:type="dxa"/>
            <w:shd w:val="clear" w:color="auto" w:fill="auto"/>
            <w:vAlign w:val="center"/>
          </w:tcPr>
          <w:p w14:paraId="7681083B" w14:textId="77777777" w:rsidR="00CC50F4" w:rsidRPr="006645DC" w:rsidRDefault="00CC50F4" w:rsidP="00393EB7">
            <w:pPr>
              <w:keepNext/>
              <w:keepLines/>
              <w:spacing w:before="0" w:after="0"/>
              <w:jc w:val="center"/>
              <w:outlineLvl w:val="1"/>
              <w:rPr>
                <w:color w:val="000000"/>
                <w:lang w:val="en-GB"/>
              </w:rPr>
            </w:pPr>
            <w:bookmarkStart w:id="2097" w:name="_Toc376200187"/>
            <w:r w:rsidRPr="006645DC">
              <w:rPr>
                <w:color w:val="000000"/>
                <w:lang w:val="en-GB"/>
              </w:rPr>
              <w:t>340</w:t>
            </w:r>
            <w:bookmarkEnd w:id="2097"/>
          </w:p>
        </w:tc>
        <w:tc>
          <w:tcPr>
            <w:tcW w:w="2413" w:type="dxa"/>
            <w:shd w:val="clear" w:color="auto" w:fill="auto"/>
            <w:vAlign w:val="center"/>
          </w:tcPr>
          <w:p w14:paraId="4F25B119"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98" w:name="_Toc376200188"/>
            <w:r w:rsidRPr="006645DC">
              <w:rPr>
                <w:rFonts w:eastAsia="Arial" w:cs="Calibri"/>
                <w:lang w:val="en-GB"/>
              </w:rPr>
              <w:t>81</w:t>
            </w:r>
            <w:bookmarkEnd w:id="2098"/>
          </w:p>
        </w:tc>
        <w:tc>
          <w:tcPr>
            <w:tcW w:w="2085" w:type="dxa"/>
            <w:shd w:val="clear" w:color="auto" w:fill="auto"/>
            <w:vAlign w:val="center"/>
          </w:tcPr>
          <w:p w14:paraId="7407FB0C" w14:textId="77777777" w:rsidR="00CC50F4" w:rsidRPr="006645DC" w:rsidRDefault="00CC50F4" w:rsidP="00393EB7">
            <w:pPr>
              <w:keepNext/>
              <w:keepLines/>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before="0" w:after="0" w:line="240" w:lineRule="atLeast"/>
              <w:jc w:val="center"/>
              <w:outlineLvl w:val="1"/>
              <w:rPr>
                <w:rFonts w:eastAsia="Arial" w:cs="Calibri"/>
                <w:lang w:val="en-GB"/>
              </w:rPr>
            </w:pPr>
            <w:bookmarkStart w:id="2099" w:name="_Toc376200189"/>
            <w:r w:rsidRPr="006645DC">
              <w:rPr>
                <w:rFonts w:eastAsia="Arial" w:cs="Calibri"/>
                <w:lang w:val="en-GB"/>
              </w:rPr>
              <w:t>0.36</w:t>
            </w:r>
            <w:bookmarkEnd w:id="2099"/>
          </w:p>
        </w:tc>
      </w:tr>
    </w:tbl>
    <w:p w14:paraId="656BF456" w14:textId="77777777" w:rsidR="00E302EF" w:rsidRPr="006645DC" w:rsidRDefault="00E302EF" w:rsidP="00E302EF">
      <w:pPr>
        <w:pStyle w:val="Caption"/>
        <w:rPr>
          <w:rFonts w:cs="Times New Roman"/>
          <w:bCs/>
          <w:i w:val="0"/>
          <w:iCs w:val="0"/>
          <w:sz w:val="18"/>
          <w:lang w:val="en-GB"/>
        </w:rPr>
      </w:pPr>
      <w:bookmarkStart w:id="2100" w:name="_Toc391150150"/>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53</w:t>
      </w:r>
      <w:r w:rsidR="005979EB" w:rsidRPr="006645DC">
        <w:rPr>
          <w:lang w:val="en-GB"/>
        </w:rPr>
        <w:fldChar w:fldCharType="end"/>
      </w:r>
      <w:r w:rsidRPr="006645DC">
        <w:rPr>
          <w:lang w:val="en-GB"/>
        </w:rPr>
        <w:t xml:space="preserve"> - Systems for organised collection of municipal waste, Romanian cross-border region</w:t>
      </w:r>
      <w:bookmarkEnd w:id="2100"/>
    </w:p>
    <w:p w14:paraId="79897276" w14:textId="77777777" w:rsidR="00CC50F4" w:rsidRPr="006645DC" w:rsidRDefault="00CC50F4" w:rsidP="00CC50F4">
      <w:pPr>
        <w:spacing w:before="0"/>
        <w:jc w:val="right"/>
        <w:rPr>
          <w:lang w:val="en-GB"/>
        </w:rPr>
      </w:pPr>
      <w:r w:rsidRPr="006645DC">
        <w:rPr>
          <w:rFonts w:eastAsia="Times New Roman"/>
          <w:bCs/>
          <w:i/>
          <w:iCs/>
          <w:sz w:val="18"/>
          <w:lang w:val="en-GB"/>
        </w:rPr>
        <w:t>Source: National Institute of Statistics (2009), Romania</w:t>
      </w:r>
    </w:p>
    <w:p w14:paraId="28F9164D" w14:textId="77777777" w:rsidR="00CC50F4" w:rsidRPr="006645DC" w:rsidRDefault="00AA4C82" w:rsidP="00AA4C82">
      <w:pPr>
        <w:tabs>
          <w:tab w:val="left" w:pos="284"/>
        </w:tabs>
        <w:rPr>
          <w:lang w:val="en-GB"/>
        </w:rPr>
      </w:pPr>
      <w:r w:rsidRPr="006645DC">
        <w:rPr>
          <w:lang w:val="en-GB"/>
        </w:rPr>
        <w:t>In the Bulgarian side of the cross-border area, regional depots have been constructed, namely in Ruse and Silistra, covering most of the municipalities in the region. However, their capacities will be soon filled as more than 95% of the waste is stored in Bulgaria. A future challenge is to provide the preliminary treatment and utilisation of the collected waste instead of simple storage. This is also relevant for the biodegradable waste which plays a crucial role in the emissions of GHG. The future steps related to bio-waste management in the EU were outlined in 2010 by the European Commission.</w:t>
      </w:r>
      <w:r w:rsidRPr="006645DC">
        <w:rPr>
          <w:rStyle w:val="FootnoteReference"/>
          <w:lang w:val="en-GB"/>
        </w:rPr>
        <w:footnoteReference w:id="50"/>
      </w:r>
      <w:r w:rsidRPr="006645DC">
        <w:rPr>
          <w:lang w:val="en-GB"/>
        </w:rPr>
        <w:t xml:space="preserve"> In order to achieve these goals, the Bulgarian government has allocated significant resources for the future programming period. </w:t>
      </w:r>
    </w:p>
    <w:p w14:paraId="76D93E25" w14:textId="77777777" w:rsidR="00CC50F4" w:rsidRPr="006645DC" w:rsidRDefault="00CC50F4" w:rsidP="00AA4C82">
      <w:pPr>
        <w:pStyle w:val="Heading2"/>
        <w:rPr>
          <w:rFonts w:ascii="Arial" w:eastAsia="Arial" w:hAnsi="Arial"/>
          <w:lang w:val="en-GB"/>
        </w:rPr>
      </w:pPr>
      <w:bookmarkStart w:id="2101" w:name="_Toc371107217"/>
      <w:bookmarkStart w:id="2102" w:name="_Toc376200190"/>
      <w:bookmarkStart w:id="2103" w:name="_Toc254543839"/>
      <w:bookmarkStart w:id="2104" w:name="_Toc391150212"/>
      <w:r w:rsidRPr="006645DC">
        <w:rPr>
          <w:lang w:val="en-GB"/>
        </w:rPr>
        <w:t>Natural and Industrial Risk Areas</w:t>
      </w:r>
      <w:bookmarkEnd w:id="2101"/>
      <w:bookmarkEnd w:id="2102"/>
      <w:bookmarkEnd w:id="2103"/>
      <w:bookmarkEnd w:id="2104"/>
    </w:p>
    <w:p w14:paraId="0731F7CC" w14:textId="77777777" w:rsidR="00AA4C82" w:rsidRPr="006645DC" w:rsidRDefault="00AA4C82" w:rsidP="00AA4C82">
      <w:pPr>
        <w:rPr>
          <w:lang w:val="en-GB"/>
        </w:rPr>
      </w:pPr>
      <w:r w:rsidRPr="006645DC">
        <w:rPr>
          <w:lang w:val="en-GB"/>
        </w:rPr>
        <w:t xml:space="preserve">Complex studies carried out over the last decades showed that flooding periods (of fluctuating amplitude and duration) always favoured the adequate development of biotas and the removal of pollutants of various origins. The main natural and anthropic causes of flooding in the cross-border region can be summarised along the following points: </w:t>
      </w:r>
    </w:p>
    <w:p w14:paraId="22FC0562" w14:textId="77777777" w:rsidR="00AA4C82" w:rsidRPr="006645DC" w:rsidRDefault="00AA4C82" w:rsidP="00AA4C82">
      <w:pPr>
        <w:pStyle w:val="ListParagraph"/>
        <w:rPr>
          <w:rFonts w:eastAsia="Arial"/>
          <w:lang w:val="en-GB"/>
        </w:rPr>
      </w:pPr>
      <w:r w:rsidRPr="006645DC">
        <w:rPr>
          <w:rFonts w:eastAsia="Arial"/>
          <w:lang w:val="en-GB"/>
        </w:rPr>
        <w:t>Varied terrain, with the possibility of channelling flows;</w:t>
      </w:r>
    </w:p>
    <w:p w14:paraId="396743E3" w14:textId="77777777" w:rsidR="00AA4C82" w:rsidRPr="006645DC" w:rsidRDefault="00AA4C82" w:rsidP="00AA4C82">
      <w:pPr>
        <w:pStyle w:val="ListParagraph"/>
        <w:rPr>
          <w:rFonts w:eastAsia="Arial"/>
          <w:lang w:val="en-GB"/>
        </w:rPr>
      </w:pPr>
      <w:r w:rsidRPr="006645DC">
        <w:rPr>
          <w:rFonts w:eastAsia="Arial"/>
          <w:lang w:val="en-GB"/>
        </w:rPr>
        <w:t>Lack of regulatory works in versants of neighbouring localities;</w:t>
      </w:r>
    </w:p>
    <w:p w14:paraId="49A439A6" w14:textId="77777777" w:rsidR="00AA4C82" w:rsidRPr="006645DC" w:rsidRDefault="00AA4C82" w:rsidP="00AA4C82">
      <w:pPr>
        <w:pStyle w:val="ListParagraph"/>
        <w:rPr>
          <w:rFonts w:eastAsia="Arial"/>
          <w:lang w:val="en-GB"/>
        </w:rPr>
      </w:pPr>
      <w:r w:rsidRPr="006645DC">
        <w:rPr>
          <w:rFonts w:eastAsia="Arial"/>
          <w:lang w:val="en-GB"/>
        </w:rPr>
        <w:t>Lack of a drainage network for rain water and the insufficient existing one;</w:t>
      </w:r>
    </w:p>
    <w:p w14:paraId="3C447B82" w14:textId="77777777" w:rsidR="00AA4C82" w:rsidRPr="006645DC" w:rsidRDefault="00AA4C82" w:rsidP="00AA4C82">
      <w:pPr>
        <w:pStyle w:val="ListParagraph"/>
        <w:rPr>
          <w:rFonts w:eastAsia="Arial"/>
          <w:lang w:val="en-GB"/>
        </w:rPr>
      </w:pPr>
      <w:r w:rsidRPr="006645DC">
        <w:rPr>
          <w:rFonts w:eastAsia="Arial"/>
          <w:lang w:val="en-GB"/>
        </w:rPr>
        <w:t>Lack of forestry plantations on non-permanent vulnerable land to torrential formations and the lack of protective forested areas along permanent water flows;</w:t>
      </w:r>
    </w:p>
    <w:p w14:paraId="2A42FAC7" w14:textId="77777777" w:rsidR="00AA4C82" w:rsidRPr="006645DC" w:rsidRDefault="00AA4C82" w:rsidP="00AA4C82">
      <w:pPr>
        <w:pStyle w:val="ListParagraph"/>
        <w:rPr>
          <w:rFonts w:eastAsia="Arial"/>
          <w:lang w:val="en-GB"/>
        </w:rPr>
      </w:pPr>
      <w:r w:rsidRPr="006645DC">
        <w:rPr>
          <w:rFonts w:eastAsia="Arial"/>
          <w:lang w:val="en-GB"/>
        </w:rPr>
        <w:t>The failure to organise, regularise and control water flows.</w:t>
      </w:r>
    </w:p>
    <w:p w14:paraId="669B61E2" w14:textId="77777777" w:rsidR="00AA4C82" w:rsidRPr="006645DC" w:rsidRDefault="00AA4C82" w:rsidP="00C951D5">
      <w:pPr>
        <w:pStyle w:val="Heading3"/>
        <w:numPr>
          <w:ilvl w:val="0"/>
          <w:numId w:val="88"/>
        </w:numPr>
        <w:rPr>
          <w:lang w:val="en-GB"/>
        </w:rPr>
      </w:pPr>
      <w:bookmarkStart w:id="2105" w:name="_Toc254543840"/>
      <w:r w:rsidRPr="006645DC">
        <w:rPr>
          <w:lang w:val="en-GB"/>
        </w:rPr>
        <w:lastRenderedPageBreak/>
        <w:t>Floods</w:t>
      </w:r>
      <w:bookmarkEnd w:id="2105"/>
    </w:p>
    <w:p w14:paraId="720700C7" w14:textId="77777777" w:rsidR="00AA4C82" w:rsidRPr="006645DC" w:rsidRDefault="00AA4C82" w:rsidP="00AA4C82">
      <w:pPr>
        <w:rPr>
          <w:lang w:val="en-GB"/>
        </w:rPr>
      </w:pPr>
      <w:r w:rsidRPr="006645DC">
        <w:rPr>
          <w:lang w:val="en-GB"/>
        </w:rPr>
        <w:t>The infrastructure related to flood protection is out-dated along the cross-border region. 70-80% of the infrastructure was built in the seventies and eighties. During the last 30 years, the Danube reached its highest level in 2006, with a record level of 9.4 m in the northwest of Vidin city in Bulgaria. The counties of Mehedinţi, Dolj, and Olt were severely affected, with several villages that suffered from landslides. The damage was significant: 20 dams failed, thousands of houses were flooded and over 50,000 hectares of arable land was destroyed.</w:t>
      </w:r>
    </w:p>
    <w:p w14:paraId="11B5BECB" w14:textId="77777777" w:rsidR="00AA4C82" w:rsidRPr="006645DC" w:rsidRDefault="00AA4C82" w:rsidP="00AA4C82">
      <w:pPr>
        <w:rPr>
          <w:lang w:val="en-GB"/>
        </w:rPr>
      </w:pPr>
      <w:r w:rsidRPr="006645DC">
        <w:rPr>
          <w:lang w:val="en-GB" w:eastAsia="hu-HU"/>
        </w:rPr>
        <w:t xml:space="preserve">According to ESPON, the average number of floods per year and per drainage basin (1985-2012) places the cross-border region in the high-risk category, with the exception of the Dobric district (moderate risk). </w:t>
      </w:r>
      <w:r w:rsidRPr="006645DC">
        <w:rPr>
          <w:lang w:val="en-GB"/>
        </w:rPr>
        <w:t>The increasing frequency and scale of floods due to climate change leads to a higher flood risk on the Danube Floodplain. A cooperation concerning research related to the prediction and prevention of floods and a general cross-border approach to the problem is necessary.</w:t>
      </w:r>
    </w:p>
    <w:p w14:paraId="046525D3" w14:textId="77777777" w:rsidR="00AA4C82" w:rsidRPr="006645DC" w:rsidRDefault="00AA4C82" w:rsidP="00AA4C82">
      <w:pPr>
        <w:jc w:val="center"/>
        <w:rPr>
          <w:lang w:val="en-GB" w:eastAsia="fr-FR"/>
        </w:rPr>
      </w:pPr>
    </w:p>
    <w:p w14:paraId="3768CC58" w14:textId="77777777" w:rsidR="00AA4C82" w:rsidRPr="006645DC" w:rsidRDefault="00AA4C82" w:rsidP="00AA4C82">
      <w:pPr>
        <w:jc w:val="center"/>
        <w:rPr>
          <w:lang w:val="en-GB"/>
        </w:rPr>
      </w:pPr>
      <w:r w:rsidRPr="006645DC">
        <w:rPr>
          <w:noProof/>
          <w:lang w:val="bg-BG" w:eastAsia="bg-BG"/>
        </w:rPr>
        <w:drawing>
          <wp:inline distT="0" distB="0" distL="0" distR="0" wp14:anchorId="1390CAE2" wp14:editId="34C3EEA2">
            <wp:extent cx="5867400" cy="3581400"/>
            <wp:effectExtent l="19050" t="0" r="0" b="0"/>
            <wp:docPr id="42" name="Picture 76" descr="C:\Documents and Settings\Office\Desktop\AO en cours\2013\MDRAP_consultanta elaborare prog coop transf Ro-Bg\Raport 2_Territorial analysis\harti 2 12 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Documents and Settings\Office\Desktop\AO en cours\2013\MDRAP_consultanta elaborare prog coop transf Ro-Bg\Raport 2_Territorial analysis\harti 2 12 2013.jpg"/>
                    <pic:cNvPicPr>
                      <a:picLocks noChangeAspect="1" noChangeArrowheads="1"/>
                    </pic:cNvPicPr>
                  </pic:nvPicPr>
                  <pic:blipFill>
                    <a:blip r:embed="rId132"/>
                    <a:srcRect l="1122" t="14738"/>
                    <a:stretch>
                      <a:fillRect/>
                    </a:stretch>
                  </pic:blipFill>
                  <pic:spPr bwMode="auto">
                    <a:xfrm>
                      <a:off x="0" y="0"/>
                      <a:ext cx="5867400" cy="3581400"/>
                    </a:xfrm>
                    <a:prstGeom prst="rect">
                      <a:avLst/>
                    </a:prstGeom>
                    <a:noFill/>
                    <a:ln w="9525">
                      <a:noFill/>
                      <a:miter lim="800000"/>
                      <a:headEnd/>
                      <a:tailEnd/>
                    </a:ln>
                  </pic:spPr>
                </pic:pic>
              </a:graphicData>
            </a:graphic>
          </wp:inline>
        </w:drawing>
      </w:r>
    </w:p>
    <w:p w14:paraId="4A742AC1" w14:textId="77777777" w:rsidR="00AA4C82" w:rsidRPr="006645DC" w:rsidRDefault="00AA4C82" w:rsidP="00AA4C82">
      <w:pPr>
        <w:pStyle w:val="Caption"/>
        <w:rPr>
          <w:lang w:val="en-GB"/>
        </w:rPr>
      </w:pPr>
      <w:bookmarkStart w:id="2106" w:name="_Toc391150041"/>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37</w:t>
      </w:r>
      <w:r w:rsidR="005979EB" w:rsidRPr="006645DC">
        <w:rPr>
          <w:lang w:val="en-GB"/>
        </w:rPr>
        <w:fldChar w:fldCharType="end"/>
      </w:r>
      <w:r w:rsidRPr="006645DC">
        <w:rPr>
          <w:lang w:val="en-GB"/>
        </w:rPr>
        <w:t xml:space="preserve"> - Flood risk in the cross-border area</w:t>
      </w:r>
      <w:bookmarkEnd w:id="2106"/>
    </w:p>
    <w:p w14:paraId="6598FF55" w14:textId="77777777" w:rsidR="00AA4C82" w:rsidRPr="006645DC" w:rsidRDefault="00AA4C82" w:rsidP="00AA4C82">
      <w:pPr>
        <w:pStyle w:val="Heading4"/>
        <w:rPr>
          <w:lang w:val="en-GB"/>
        </w:rPr>
      </w:pPr>
      <w:r w:rsidRPr="006645DC">
        <w:rPr>
          <w:lang w:val="en-GB"/>
        </w:rPr>
        <w:t xml:space="preserve">Source: </w:t>
      </w:r>
      <w:hyperlink r:id="rId133" w:history="1">
        <w:r w:rsidRPr="006645DC">
          <w:rPr>
            <w:rStyle w:val="Hyperlink"/>
            <w:lang w:val="en-GB"/>
          </w:rPr>
          <w:t>http://preview.grid.unep.ch</w:t>
        </w:r>
      </w:hyperlink>
      <w:r w:rsidRPr="006645DC">
        <w:rPr>
          <w:rStyle w:val="Hyperlink"/>
          <w:lang w:val="en-GB"/>
        </w:rPr>
        <w:t xml:space="preserve">, </w:t>
      </w:r>
      <w:r w:rsidRPr="006645DC">
        <w:rPr>
          <w:lang w:val="en-GB"/>
        </w:rPr>
        <w:t xml:space="preserve">Détente Consultants </w:t>
      </w:r>
    </w:p>
    <w:p w14:paraId="39885C30" w14:textId="77777777" w:rsidR="00AA4C82" w:rsidRPr="006645DC" w:rsidRDefault="00AA4C82" w:rsidP="00AA4C82">
      <w:pPr>
        <w:rPr>
          <w:lang w:val="en-GB"/>
        </w:rPr>
      </w:pPr>
    </w:p>
    <w:p w14:paraId="3F455E07" w14:textId="77777777" w:rsidR="00AA4C82" w:rsidRPr="006645DC" w:rsidRDefault="00AA4C82" w:rsidP="00AA4C82">
      <w:pPr>
        <w:widowControl w:val="0"/>
        <w:autoSpaceDE w:val="0"/>
        <w:autoSpaceDN w:val="0"/>
        <w:adjustRightInd w:val="0"/>
        <w:spacing w:before="0" w:after="0"/>
        <w:jc w:val="center"/>
        <w:rPr>
          <w:rFonts w:ascii="Times" w:hAnsi="Times" w:cs="Times"/>
          <w:sz w:val="24"/>
          <w:szCs w:val="24"/>
          <w:lang w:val="en-GB" w:eastAsia="fr-FR"/>
        </w:rPr>
      </w:pPr>
    </w:p>
    <w:p w14:paraId="6334FC0C" w14:textId="77777777" w:rsidR="00AA4C82" w:rsidRPr="006645DC" w:rsidRDefault="00AA4C82" w:rsidP="00AA4C82">
      <w:pPr>
        <w:rPr>
          <w:rFonts w:ascii="Times" w:hAnsi="Times" w:cs="Times"/>
          <w:sz w:val="24"/>
          <w:szCs w:val="24"/>
          <w:lang w:val="en-GB"/>
        </w:rPr>
      </w:pPr>
      <w:r w:rsidRPr="006645DC">
        <w:rPr>
          <w:noProof/>
          <w:lang w:val="bg-BG" w:eastAsia="bg-BG"/>
        </w:rPr>
        <w:lastRenderedPageBreak/>
        <w:drawing>
          <wp:inline distT="0" distB="0" distL="0" distR="0" wp14:anchorId="5BA68EF9" wp14:editId="1FC7C34C">
            <wp:extent cx="5943600" cy="3686175"/>
            <wp:effectExtent l="19050" t="0" r="0" b="0"/>
            <wp:docPr id="41" name="Picture 78" descr="C:\Documents and Settings\Office\Local Settings\Temporary Internet Files\Content.Word\harti 2 12 20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Documents and Settings\Office\Local Settings\Temporary Internet Files\Content.Word\harti 2 12 20132.jpg"/>
                    <pic:cNvPicPr>
                      <a:picLocks noChangeAspect="1" noChangeArrowheads="1"/>
                    </pic:cNvPicPr>
                  </pic:nvPicPr>
                  <pic:blipFill>
                    <a:blip r:embed="rId134"/>
                    <a:srcRect/>
                    <a:stretch>
                      <a:fillRect/>
                    </a:stretch>
                  </pic:blipFill>
                  <pic:spPr bwMode="auto">
                    <a:xfrm>
                      <a:off x="0" y="0"/>
                      <a:ext cx="5943600" cy="3686175"/>
                    </a:xfrm>
                    <a:prstGeom prst="rect">
                      <a:avLst/>
                    </a:prstGeom>
                    <a:noFill/>
                    <a:ln w="9525">
                      <a:noFill/>
                      <a:miter lim="800000"/>
                      <a:headEnd/>
                      <a:tailEnd/>
                    </a:ln>
                  </pic:spPr>
                </pic:pic>
              </a:graphicData>
            </a:graphic>
          </wp:inline>
        </w:drawing>
      </w:r>
    </w:p>
    <w:p w14:paraId="02B63978" w14:textId="77777777" w:rsidR="00AA4C82" w:rsidRPr="006645DC" w:rsidRDefault="00AA4C82" w:rsidP="00AA4C82">
      <w:pPr>
        <w:pStyle w:val="Caption"/>
        <w:rPr>
          <w:lang w:val="en-GB"/>
        </w:rPr>
      </w:pPr>
      <w:bookmarkStart w:id="2107" w:name="_Toc391150042"/>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38</w:t>
      </w:r>
      <w:r w:rsidR="005979EB" w:rsidRPr="006645DC">
        <w:rPr>
          <w:lang w:val="en-GB"/>
        </w:rPr>
        <w:fldChar w:fldCharType="end"/>
      </w:r>
      <w:r w:rsidRPr="006645DC">
        <w:rPr>
          <w:lang w:val="en-GB"/>
        </w:rPr>
        <w:t xml:space="preserve"> – Physical exposure to floods</w:t>
      </w:r>
      <w:bookmarkEnd w:id="2107"/>
      <w:r w:rsidRPr="006645DC">
        <w:rPr>
          <w:lang w:val="en-GB"/>
        </w:rPr>
        <w:t xml:space="preserve"> </w:t>
      </w:r>
    </w:p>
    <w:p w14:paraId="23C773A8" w14:textId="77777777" w:rsidR="00AA4C82" w:rsidRPr="006645DC" w:rsidRDefault="00AA4C82" w:rsidP="00AA4C82">
      <w:pPr>
        <w:pStyle w:val="Heading4"/>
        <w:rPr>
          <w:lang w:val="en-GB" w:eastAsia="ro-RO"/>
        </w:rPr>
      </w:pPr>
      <w:r w:rsidRPr="006645DC">
        <w:rPr>
          <w:lang w:val="en-GB" w:eastAsia="ro-RO"/>
        </w:rPr>
        <w:t xml:space="preserve">Source: UNEP, Darthmouth Flood Observatory, Détente Consultants </w:t>
      </w:r>
    </w:p>
    <w:p w14:paraId="35ACBD50" w14:textId="77777777" w:rsidR="00AA4C82" w:rsidRPr="006645DC" w:rsidRDefault="00AA4C82" w:rsidP="00AA4C82">
      <w:pPr>
        <w:pStyle w:val="Heading3"/>
        <w:rPr>
          <w:lang w:val="en-GB"/>
        </w:rPr>
      </w:pPr>
      <w:bookmarkStart w:id="2108" w:name="_Toc254543841"/>
      <w:r w:rsidRPr="006645DC">
        <w:rPr>
          <w:lang w:val="en-GB"/>
        </w:rPr>
        <w:t>Earthquakes</w:t>
      </w:r>
      <w:bookmarkEnd w:id="2108"/>
    </w:p>
    <w:p w14:paraId="3EE78945" w14:textId="77777777" w:rsidR="00AA4C82" w:rsidRPr="006645DC" w:rsidRDefault="00AA4C82" w:rsidP="00AA4C82">
      <w:pPr>
        <w:rPr>
          <w:lang w:val="en-GB"/>
        </w:rPr>
      </w:pPr>
      <w:r w:rsidRPr="006645DC">
        <w:rPr>
          <w:lang w:val="en-GB"/>
        </w:rPr>
        <w:t xml:space="preserve">An important tectonic line crosses the Northern Dobrogea area: the Focşani-Galaţi-Tulcea-Insula-Şerpilor fault. Several epicentres are located in Southern Dobrogea. For Bulgaria, the risk comes from the seismic zones of Shabla, Veliko Turnovo, and Gorna Oryahovitsa, as shown on the map: </w:t>
      </w:r>
    </w:p>
    <w:p w14:paraId="5389E26C" w14:textId="77777777" w:rsidR="00AA4C82" w:rsidRPr="006645DC" w:rsidRDefault="00AA4C82" w:rsidP="00AA4C82">
      <w:pPr>
        <w:pStyle w:val="FootnoteText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sz w:val="24"/>
          <w:u w:val="single"/>
          <w:lang w:val="en-GB" w:eastAsia="fr-FR"/>
        </w:rPr>
      </w:pPr>
      <w:r w:rsidRPr="006645DC">
        <w:rPr>
          <w:noProof/>
          <w:lang w:val="bg-BG" w:eastAsia="bg-BG"/>
        </w:rPr>
        <w:lastRenderedPageBreak/>
        <w:drawing>
          <wp:inline distT="0" distB="0" distL="0" distR="0" wp14:anchorId="4D9BF01C" wp14:editId="7257302B">
            <wp:extent cx="5514975" cy="3886200"/>
            <wp:effectExtent l="19050" t="0" r="9525" b="0"/>
            <wp:docPr id="40" name="Picture 81" descr="C:\Documents and Settings\Office\Local Settings\Temporary Internet Files\Content.Word\harta_seis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Documents and Settings\Office\Local Settings\Temporary Internet Files\Content.Word\harta_seismica.jpg"/>
                    <pic:cNvPicPr>
                      <a:picLocks noChangeAspect="1" noChangeArrowheads="1"/>
                    </pic:cNvPicPr>
                  </pic:nvPicPr>
                  <pic:blipFill>
                    <a:blip r:embed="rId135"/>
                    <a:srcRect/>
                    <a:stretch>
                      <a:fillRect/>
                    </a:stretch>
                  </pic:blipFill>
                  <pic:spPr bwMode="auto">
                    <a:xfrm>
                      <a:off x="0" y="0"/>
                      <a:ext cx="5514975" cy="3886200"/>
                    </a:xfrm>
                    <a:prstGeom prst="rect">
                      <a:avLst/>
                    </a:prstGeom>
                    <a:noFill/>
                    <a:ln w="9525">
                      <a:noFill/>
                      <a:miter lim="800000"/>
                      <a:headEnd/>
                      <a:tailEnd/>
                    </a:ln>
                  </pic:spPr>
                </pic:pic>
              </a:graphicData>
            </a:graphic>
          </wp:inline>
        </w:drawing>
      </w:r>
    </w:p>
    <w:p w14:paraId="6BC03893" w14:textId="77777777" w:rsidR="00AA4C82" w:rsidRPr="006645DC" w:rsidRDefault="00AA4C82" w:rsidP="00AA4C82">
      <w:pPr>
        <w:pStyle w:val="FootnoteText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sz w:val="24"/>
          <w:u w:val="single"/>
          <w:lang w:val="en-GB" w:eastAsia="fr-FR"/>
        </w:rPr>
      </w:pPr>
    </w:p>
    <w:p w14:paraId="48475C75" w14:textId="77777777" w:rsidR="00AA4C82" w:rsidRPr="006645DC" w:rsidRDefault="00AA4C82" w:rsidP="00AA4C82">
      <w:pPr>
        <w:pStyle w:val="FootnoteText1"/>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rPr>
          <w:b/>
          <w:sz w:val="24"/>
          <w:u w:val="single"/>
          <w:lang w:val="en-GB"/>
        </w:rPr>
      </w:pPr>
      <w:r w:rsidRPr="006645DC">
        <w:rPr>
          <w:noProof/>
          <w:lang w:val="bg-BG" w:eastAsia="bg-BG"/>
        </w:rPr>
        <w:drawing>
          <wp:inline distT="0" distB="0" distL="0" distR="0" wp14:anchorId="15DFE533" wp14:editId="49688781">
            <wp:extent cx="5210175" cy="1219200"/>
            <wp:effectExtent l="19050" t="0" r="9525" b="0"/>
            <wp:docPr id="39" name="Picture 80" descr="C:\Documents and Settings\Office\Local Settings\Temporary Internet Files\Content.Word\harta_seis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Documents and Settings\Office\Local Settings\Temporary Internet Files\Content.Word\harta_seismica.jpg"/>
                    <pic:cNvPicPr>
                      <a:picLocks noChangeAspect="1" noChangeArrowheads="1"/>
                    </pic:cNvPicPr>
                  </pic:nvPicPr>
                  <pic:blipFill>
                    <a:blip r:embed="rId136"/>
                    <a:srcRect/>
                    <a:stretch>
                      <a:fillRect/>
                    </a:stretch>
                  </pic:blipFill>
                  <pic:spPr bwMode="auto">
                    <a:xfrm>
                      <a:off x="0" y="0"/>
                      <a:ext cx="5210175" cy="1219200"/>
                    </a:xfrm>
                    <a:prstGeom prst="rect">
                      <a:avLst/>
                    </a:prstGeom>
                    <a:noFill/>
                    <a:ln w="9525">
                      <a:noFill/>
                      <a:miter lim="800000"/>
                      <a:headEnd/>
                      <a:tailEnd/>
                    </a:ln>
                  </pic:spPr>
                </pic:pic>
              </a:graphicData>
            </a:graphic>
          </wp:inline>
        </w:drawing>
      </w:r>
    </w:p>
    <w:p w14:paraId="74B2D47C" w14:textId="77777777" w:rsidR="00AA4C82" w:rsidRPr="006645DC" w:rsidRDefault="00AA4C82" w:rsidP="00AA4C82">
      <w:pPr>
        <w:pStyle w:val="Caption"/>
        <w:rPr>
          <w:lang w:val="en-GB"/>
        </w:rPr>
      </w:pPr>
      <w:bookmarkStart w:id="2109" w:name="_Toc391150043"/>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39</w:t>
      </w:r>
      <w:r w:rsidR="005979EB" w:rsidRPr="006645DC">
        <w:rPr>
          <w:lang w:val="en-GB"/>
        </w:rPr>
        <w:fldChar w:fldCharType="end"/>
      </w:r>
      <w:r w:rsidRPr="006645DC">
        <w:rPr>
          <w:lang w:val="en-GB"/>
        </w:rPr>
        <w:t xml:space="preserve"> - Map of seismic hazard for ROBG cross-border area</w:t>
      </w:r>
      <w:bookmarkEnd w:id="2109"/>
    </w:p>
    <w:p w14:paraId="0B8E8D0A" w14:textId="77777777" w:rsidR="00AA4C82" w:rsidRPr="006645DC" w:rsidRDefault="00AA4C82" w:rsidP="00AA4C82">
      <w:pPr>
        <w:pStyle w:val="Heading4"/>
        <w:ind w:right="1422"/>
        <w:rPr>
          <w:lang w:val="en-GB"/>
        </w:rPr>
      </w:pPr>
      <w:r w:rsidRPr="006645DC">
        <w:rPr>
          <w:lang w:val="en-GB"/>
        </w:rPr>
        <w:t>Source: European Seismological Commission (ESC)</w:t>
      </w:r>
    </w:p>
    <w:p w14:paraId="76C57300" w14:textId="77777777" w:rsidR="00AA4C82" w:rsidRPr="006645DC" w:rsidRDefault="00AA4C82" w:rsidP="00AA4C82">
      <w:pPr>
        <w:pStyle w:val="Heading4"/>
        <w:rPr>
          <w:lang w:val="en-GB"/>
        </w:rPr>
      </w:pPr>
    </w:p>
    <w:p w14:paraId="0FD9B3F3" w14:textId="77777777" w:rsidR="00AA4C82" w:rsidRPr="006645DC" w:rsidRDefault="00AA4C82" w:rsidP="00AA4C82">
      <w:pPr>
        <w:pStyle w:val="Heading3"/>
        <w:rPr>
          <w:lang w:val="en-GB"/>
        </w:rPr>
      </w:pPr>
      <w:bookmarkStart w:id="2110" w:name="_Toc254543842"/>
      <w:r w:rsidRPr="006645DC">
        <w:rPr>
          <w:lang w:val="en-GB"/>
        </w:rPr>
        <w:t>Landslides</w:t>
      </w:r>
      <w:bookmarkEnd w:id="2110"/>
      <w:r w:rsidRPr="006645DC">
        <w:rPr>
          <w:lang w:val="en-GB"/>
        </w:rPr>
        <w:t xml:space="preserve"> </w:t>
      </w:r>
    </w:p>
    <w:p w14:paraId="2DD928F3" w14:textId="77777777" w:rsidR="00AA4C82" w:rsidRPr="006645DC" w:rsidRDefault="00AA4C82" w:rsidP="00AA4C82">
      <w:pPr>
        <w:rPr>
          <w:lang w:val="en-GB"/>
        </w:rPr>
      </w:pPr>
      <w:r w:rsidRPr="006645DC">
        <w:rPr>
          <w:lang w:val="en-GB"/>
        </w:rPr>
        <w:t>In Romania, based on different</w:t>
      </w:r>
      <w:r w:rsidRPr="006645DC">
        <w:rPr>
          <w:b/>
          <w:lang w:val="en-GB"/>
        </w:rPr>
        <w:t xml:space="preserve"> </w:t>
      </w:r>
      <w:r w:rsidRPr="006645DC">
        <w:rPr>
          <w:lang w:val="en-GB"/>
        </w:rPr>
        <w:t>criteria (lithological, geomorphologic, structural, hydrologic-climate-related and hydrogeological), low hazard zones (Constanţa, Giurgiu, Olt, Teleorman) and high hazard zones (Dolj and Mehedinţi) can be distinguished in the cross-border region. ESPON studies place the NUTS 3 units in the cross-border region into three different categories:</w:t>
      </w:r>
    </w:p>
    <w:p w14:paraId="7F04CA8A" w14:textId="77777777" w:rsidR="00AA4C82" w:rsidRPr="006645DC" w:rsidRDefault="00AA4C82" w:rsidP="00AA4C82">
      <w:pPr>
        <w:pStyle w:val="ListParagraph"/>
        <w:rPr>
          <w:rFonts w:eastAsia="Arial"/>
          <w:u w:val="single"/>
          <w:lang w:val="en-GB"/>
        </w:rPr>
      </w:pPr>
      <w:r w:rsidRPr="006645DC">
        <w:rPr>
          <w:rFonts w:eastAsia="Arial"/>
          <w:lang w:val="en-GB"/>
        </w:rPr>
        <w:t>Areas with a very low risk of landslides: Olt, Teleorman, Giurgiu, Călăraşi</w:t>
      </w:r>
    </w:p>
    <w:p w14:paraId="75DB0F48" w14:textId="77777777" w:rsidR="00AA4C82" w:rsidRPr="006645DC" w:rsidRDefault="00AA4C82" w:rsidP="00AA4C82">
      <w:pPr>
        <w:pStyle w:val="ListParagraph"/>
        <w:rPr>
          <w:rFonts w:eastAsia="Arial"/>
          <w:u w:val="single"/>
          <w:lang w:val="en-GB"/>
        </w:rPr>
      </w:pPr>
      <w:r w:rsidRPr="006645DC">
        <w:rPr>
          <w:rFonts w:eastAsia="Arial"/>
          <w:lang w:val="en-GB"/>
        </w:rPr>
        <w:lastRenderedPageBreak/>
        <w:t>Areas with a moderate risk of landslides: Mehedinţi, Vidin, Montana, Vratsa, Veliko Târnovo, Ruse, and Silistra</w:t>
      </w:r>
    </w:p>
    <w:p w14:paraId="6FE646CC" w14:textId="77777777" w:rsidR="00AA4C82" w:rsidRPr="006645DC" w:rsidRDefault="00AA4C82" w:rsidP="00AA4C82">
      <w:pPr>
        <w:pStyle w:val="ListParagraph"/>
        <w:rPr>
          <w:rFonts w:eastAsia="Arial"/>
          <w:u w:val="single"/>
          <w:lang w:val="en-GB"/>
        </w:rPr>
      </w:pPr>
      <w:r w:rsidRPr="006645DC">
        <w:rPr>
          <w:rFonts w:eastAsia="Arial"/>
          <w:lang w:val="en-GB"/>
        </w:rPr>
        <w:t>Areas with a high risk of landslides: Dolj, Constanţa, Pleven, Dobrich</w:t>
      </w:r>
    </w:p>
    <w:p w14:paraId="7036F3DF" w14:textId="77777777" w:rsidR="00AA4C82" w:rsidRPr="006645DC" w:rsidRDefault="00AA4C82" w:rsidP="00AA4C82">
      <w:pPr>
        <w:rPr>
          <w:lang w:val="en-GB"/>
        </w:rPr>
      </w:pPr>
      <w:r w:rsidRPr="006645DC">
        <w:rPr>
          <w:b/>
          <w:lang w:val="en-GB"/>
        </w:rPr>
        <w:t>Erosion</w:t>
      </w:r>
      <w:r w:rsidRPr="006645DC">
        <w:rPr>
          <w:lang w:val="en-GB"/>
        </w:rPr>
        <w:t xml:space="preserve"> is one of the main issues along the Black Sea shores. The wind and waves are the main causes of the Black Sea beach erosion, an area with virtually no tides. In the coming 30 years, it is expected that an extensive erosion of the beaches will take place at an average speed of 0.385 m/year. The seashore is facing erosion on 60-80% of its length. Because of the importance of this issue, the regions of the programme area have to take preventive actions. For example, the Bulgarian Dobjudra District has forest belts which provide the erosion protection of agricultural lands and the conservation of the existing biodiversity. Nevertheless, shelterbelts have been damaged or destroyed in several places in the last years. </w:t>
      </w:r>
    </w:p>
    <w:p w14:paraId="0736A448" w14:textId="77777777" w:rsidR="00AA4C82" w:rsidRPr="006645DC" w:rsidRDefault="00AA4C82" w:rsidP="00AA4C82">
      <w:pPr>
        <w:rPr>
          <w:lang w:val="en-GB"/>
        </w:rPr>
      </w:pPr>
      <w:r w:rsidRPr="006645DC">
        <w:rPr>
          <w:lang w:val="en-GB"/>
        </w:rPr>
        <w:t xml:space="preserve">According to the National Report for State and Protection of the Environment 2013, issued by the National Agency for Environment Protection in Bulgaria, in 2012 most of the Bulgarian cross-border regions have higher risk of soils erosion (10 to 30 t/hа/y of intensity), especially in the districts of Vidin, Vratsa, Montana and Ruse. The biggest soil contaminants came from the use of chemical substances in agriculture such as fertilizers, pesticides and herbicides. </w:t>
      </w:r>
    </w:p>
    <w:p w14:paraId="564911C8" w14:textId="77777777" w:rsidR="00AA4C82" w:rsidRPr="006645DC" w:rsidRDefault="00AA4C82" w:rsidP="00AA4C82">
      <w:pPr>
        <w:pStyle w:val="Heading3"/>
        <w:rPr>
          <w:lang w:val="en-GB"/>
        </w:rPr>
      </w:pPr>
      <w:bookmarkStart w:id="2111" w:name="_Toc254543843"/>
      <w:r w:rsidRPr="006645DC">
        <w:rPr>
          <w:lang w:val="en-GB"/>
        </w:rPr>
        <w:t>Industrial Risk</w:t>
      </w:r>
      <w:bookmarkEnd w:id="2111"/>
    </w:p>
    <w:p w14:paraId="4C3C0544" w14:textId="77777777" w:rsidR="00AA4C82" w:rsidRPr="006645DC" w:rsidRDefault="00AA4C82" w:rsidP="00AA4C82">
      <w:pPr>
        <w:rPr>
          <w:lang w:val="en-GB"/>
        </w:rPr>
      </w:pPr>
      <w:r w:rsidRPr="006645DC">
        <w:rPr>
          <w:lang w:val="en-GB"/>
        </w:rPr>
        <w:t xml:space="preserve">Besides natural hazards level of vulnerability that is considered by ESPON studies as being low to moderate, the cross-border region contains areas which are subject to industrial risks, which would not only lead to air pollution but also to the above ground and underground pollution of waters and soils. These risks of major industrial accidents are located in the so-called Seveso sites where dangerous substances are being processed or deposited. </w:t>
      </w:r>
    </w:p>
    <w:p w14:paraId="35A2D2DA" w14:textId="77777777" w:rsidR="00AA4C82" w:rsidRPr="006645DC" w:rsidRDefault="00AA4C82" w:rsidP="00AA4C82">
      <w:pPr>
        <w:rPr>
          <w:lang w:val="en-GB"/>
        </w:rPr>
      </w:pPr>
      <w:r w:rsidRPr="006645DC">
        <w:rPr>
          <w:lang w:val="en-GB"/>
        </w:rPr>
        <w:t>The county with the main Seveso-type sites is Constanta, with 17 sites in 2009 out of which 10 are subject to major industrial risks. Other Seveso sites are located in Craiova, Turnu Măgurele (Chemical Plant) and Călăraşi on the Romanian side. The industrial risks in Ruse, Svishtov, Veliko Tarnovo, Silistra, Nicopole and Gorna Oryahovitsa on the Bulgarian side are also important.</w:t>
      </w:r>
    </w:p>
    <w:p w14:paraId="427FC42B" w14:textId="77777777" w:rsidR="00AA4C82" w:rsidRPr="006645DC" w:rsidRDefault="00AA4C82" w:rsidP="00AA4C82">
      <w:pPr>
        <w:pStyle w:val="Heading2"/>
        <w:numPr>
          <w:ilvl w:val="0"/>
          <w:numId w:val="2"/>
        </w:numPr>
        <w:rPr>
          <w:lang w:val="en-GB"/>
        </w:rPr>
        <w:sectPr w:rsidR="00AA4C82" w:rsidRPr="006645DC">
          <w:pgSz w:w="12240" w:h="15840"/>
          <w:pgMar w:top="1440" w:right="1440" w:bottom="1440" w:left="1440" w:header="720" w:footer="720" w:gutter="0"/>
          <w:cols w:space="720"/>
          <w:docGrid w:linePitch="360"/>
        </w:sectPr>
      </w:pPr>
      <w:bookmarkStart w:id="2112" w:name="_Toc371106282"/>
      <w:bookmarkStart w:id="2113" w:name="_Toc371107218"/>
    </w:p>
    <w:p w14:paraId="3A9590B2" w14:textId="77777777" w:rsidR="00AA4C82" w:rsidRPr="006645DC" w:rsidRDefault="00AA4C82" w:rsidP="00AA4C82">
      <w:pPr>
        <w:pStyle w:val="Heading2"/>
        <w:numPr>
          <w:ilvl w:val="0"/>
          <w:numId w:val="2"/>
        </w:numPr>
        <w:rPr>
          <w:lang w:val="en-GB"/>
        </w:rPr>
      </w:pPr>
      <w:bookmarkStart w:id="2114" w:name="_Toc376200191"/>
      <w:bookmarkStart w:id="2115" w:name="_Toc254543844"/>
      <w:bookmarkStart w:id="2116" w:name="_Toc391150213"/>
      <w:r w:rsidRPr="006645DC">
        <w:rPr>
          <w:lang w:val="en-GB"/>
        </w:rPr>
        <w:lastRenderedPageBreak/>
        <w:t>SWOT and problem tree</w:t>
      </w:r>
      <w:bookmarkEnd w:id="2114"/>
      <w:bookmarkEnd w:id="2115"/>
      <w:bookmarkEnd w:id="2116"/>
    </w:p>
    <w:tbl>
      <w:tblPr>
        <w:tblW w:w="10772" w:type="dxa"/>
        <w:jc w:val="center"/>
        <w:tblCellMar>
          <w:left w:w="0" w:type="dxa"/>
          <w:right w:w="0" w:type="dxa"/>
        </w:tblCellMar>
        <w:tblLook w:val="0600" w:firstRow="0" w:lastRow="0" w:firstColumn="0" w:lastColumn="0" w:noHBand="1" w:noVBand="1"/>
      </w:tblPr>
      <w:tblGrid>
        <w:gridCol w:w="5386"/>
        <w:gridCol w:w="5386"/>
      </w:tblGrid>
      <w:tr w:rsidR="00AA4C82" w:rsidRPr="006645DC" w14:paraId="537EF78A" w14:textId="77777777" w:rsidTr="0037102B">
        <w:trPr>
          <w:trHeight w:val="271"/>
          <w:jc w:val="center"/>
        </w:trPr>
        <w:tc>
          <w:tcPr>
            <w:tcW w:w="5386" w:type="dxa"/>
            <w:tcBorders>
              <w:top w:val="single" w:sz="8" w:space="0" w:color="000000"/>
              <w:left w:val="single" w:sz="8" w:space="0" w:color="000000"/>
              <w:bottom w:val="single" w:sz="8" w:space="0" w:color="000000"/>
              <w:right w:val="single" w:sz="8" w:space="0" w:color="000000"/>
            </w:tcBorders>
            <w:shd w:val="clear" w:color="auto" w:fill="9BBB59"/>
            <w:tcMar>
              <w:top w:w="15" w:type="dxa"/>
              <w:left w:w="82" w:type="dxa"/>
              <w:bottom w:w="0" w:type="dxa"/>
              <w:right w:w="82" w:type="dxa"/>
            </w:tcMar>
            <w:vAlign w:val="center"/>
            <w:hideMark/>
          </w:tcPr>
          <w:p w14:paraId="16DCC5CC" w14:textId="77777777" w:rsidR="00AA4C82" w:rsidRPr="006645DC" w:rsidRDefault="00AA4C82" w:rsidP="0037102B">
            <w:pPr>
              <w:spacing w:before="0" w:after="0" w:line="271" w:lineRule="atLeast"/>
              <w:jc w:val="center"/>
              <w:rPr>
                <w:rFonts w:ascii="Arial" w:eastAsia="Times New Roman" w:hAnsi="Arial" w:cs="Arial"/>
                <w:sz w:val="36"/>
                <w:szCs w:val="36"/>
                <w:lang w:val="en-GB" w:eastAsia="fr-FR"/>
              </w:rPr>
            </w:pPr>
            <w:r w:rsidRPr="006645DC">
              <w:rPr>
                <w:b/>
                <w:bCs/>
                <w:color w:val="FFFFFF"/>
                <w:kern w:val="24"/>
                <w:lang w:val="en-GB" w:eastAsia="fr-FR"/>
              </w:rPr>
              <w:t>Strengths</w:t>
            </w:r>
          </w:p>
        </w:tc>
        <w:tc>
          <w:tcPr>
            <w:tcW w:w="5386" w:type="dxa"/>
            <w:tcBorders>
              <w:top w:val="single" w:sz="8" w:space="0" w:color="000000"/>
              <w:left w:val="single" w:sz="8" w:space="0" w:color="000000"/>
              <w:bottom w:val="single" w:sz="8" w:space="0" w:color="000000"/>
              <w:right w:val="single" w:sz="8" w:space="0" w:color="000000"/>
            </w:tcBorders>
            <w:shd w:val="clear" w:color="auto" w:fill="F79646"/>
            <w:tcMar>
              <w:top w:w="15" w:type="dxa"/>
              <w:left w:w="82" w:type="dxa"/>
              <w:bottom w:w="0" w:type="dxa"/>
              <w:right w:w="82" w:type="dxa"/>
            </w:tcMar>
            <w:vAlign w:val="center"/>
            <w:hideMark/>
          </w:tcPr>
          <w:p w14:paraId="2E9CE160" w14:textId="77777777" w:rsidR="00AA4C82" w:rsidRPr="006645DC" w:rsidRDefault="00AA4C82" w:rsidP="0037102B">
            <w:pPr>
              <w:spacing w:before="0" w:after="0" w:line="271" w:lineRule="atLeast"/>
              <w:jc w:val="center"/>
              <w:rPr>
                <w:rFonts w:ascii="Arial" w:eastAsia="Times New Roman" w:hAnsi="Arial" w:cs="Arial"/>
                <w:sz w:val="36"/>
                <w:szCs w:val="36"/>
                <w:lang w:val="en-GB" w:eastAsia="fr-FR"/>
              </w:rPr>
            </w:pPr>
            <w:r w:rsidRPr="006645DC">
              <w:rPr>
                <w:b/>
                <w:bCs/>
                <w:color w:val="FFFFFF"/>
                <w:kern w:val="24"/>
                <w:lang w:val="en-GB" w:eastAsia="fr-FR"/>
              </w:rPr>
              <w:t>Weaknesses</w:t>
            </w:r>
          </w:p>
        </w:tc>
      </w:tr>
      <w:tr w:rsidR="00AA4C82" w:rsidRPr="006645DC" w14:paraId="5C724070" w14:textId="77777777" w:rsidTr="0037102B">
        <w:trPr>
          <w:trHeight w:val="2646"/>
          <w:jc w:val="center"/>
        </w:trPr>
        <w:tc>
          <w:tcPr>
            <w:tcW w:w="5386" w:type="dxa"/>
            <w:tcBorders>
              <w:top w:val="single" w:sz="8" w:space="0" w:color="000000"/>
              <w:left w:val="single" w:sz="8" w:space="0" w:color="000000"/>
              <w:bottom w:val="single" w:sz="8" w:space="0" w:color="000000"/>
              <w:right w:val="single" w:sz="8" w:space="0" w:color="000000"/>
            </w:tcBorders>
            <w:tcMar>
              <w:top w:w="15" w:type="dxa"/>
              <w:left w:w="82" w:type="dxa"/>
              <w:bottom w:w="0" w:type="dxa"/>
              <w:right w:w="82" w:type="dxa"/>
            </w:tcMar>
            <w:hideMark/>
          </w:tcPr>
          <w:p w14:paraId="48EB56E7" w14:textId="77777777" w:rsidR="00AA4C82" w:rsidRPr="006645DC" w:rsidRDefault="00AA4C82" w:rsidP="00C22A61">
            <w:pPr>
              <w:numPr>
                <w:ilvl w:val="0"/>
                <w:numId w:val="24"/>
              </w:numPr>
              <w:spacing w:before="0" w:after="0"/>
              <w:ind w:left="283" w:hanging="170"/>
              <w:jc w:val="left"/>
              <w:rPr>
                <w:rFonts w:ascii="Arial" w:eastAsia="Times New Roman" w:hAnsi="Arial" w:cs="Arial"/>
                <w:szCs w:val="36"/>
                <w:lang w:val="en-GB" w:eastAsia="fr-FR"/>
              </w:rPr>
            </w:pPr>
            <w:r w:rsidRPr="006645DC">
              <w:rPr>
                <w:kern w:val="24"/>
                <w:lang w:val="en-GB" w:eastAsia="fr-FR"/>
              </w:rPr>
              <w:t>Exceptional biological diversity</w:t>
            </w:r>
          </w:p>
          <w:p w14:paraId="0771B9BB" w14:textId="77777777" w:rsidR="00AA4C82" w:rsidRPr="006645DC" w:rsidRDefault="00AA4C82" w:rsidP="00C22A61">
            <w:pPr>
              <w:numPr>
                <w:ilvl w:val="0"/>
                <w:numId w:val="24"/>
              </w:numPr>
              <w:spacing w:before="0" w:after="0"/>
              <w:ind w:left="283" w:hanging="170"/>
              <w:jc w:val="left"/>
              <w:rPr>
                <w:rFonts w:ascii="Arial" w:eastAsia="Times New Roman" w:hAnsi="Arial" w:cs="Arial"/>
                <w:szCs w:val="36"/>
                <w:lang w:val="en-GB" w:eastAsia="fr-FR"/>
              </w:rPr>
            </w:pPr>
            <w:r w:rsidRPr="006645DC">
              <w:rPr>
                <w:kern w:val="24"/>
                <w:lang w:val="en-GB" w:eastAsia="fr-FR"/>
              </w:rPr>
              <w:t>High density of the river network</w:t>
            </w:r>
          </w:p>
          <w:p w14:paraId="30EEFE4C" w14:textId="77777777" w:rsidR="00AA4C82" w:rsidRPr="006645DC" w:rsidRDefault="00AA4C82" w:rsidP="00C22A61">
            <w:pPr>
              <w:numPr>
                <w:ilvl w:val="0"/>
                <w:numId w:val="24"/>
              </w:numPr>
              <w:spacing w:before="0" w:after="0"/>
              <w:ind w:left="283" w:hanging="170"/>
              <w:jc w:val="left"/>
              <w:rPr>
                <w:rFonts w:ascii="Arial" w:eastAsia="Times New Roman" w:hAnsi="Arial" w:cs="Arial"/>
                <w:szCs w:val="36"/>
                <w:lang w:val="en-GB" w:eastAsia="fr-FR"/>
              </w:rPr>
            </w:pPr>
            <w:r w:rsidRPr="006645DC">
              <w:rPr>
                <w:kern w:val="24"/>
                <w:lang w:val="en-GB" w:eastAsia="fr-FR"/>
              </w:rPr>
              <w:t>Efficient decrease of GHG emissions</w:t>
            </w:r>
          </w:p>
          <w:p w14:paraId="5B9E6866" w14:textId="77777777" w:rsidR="00AA4C82" w:rsidRPr="006645DC" w:rsidRDefault="00AA4C82" w:rsidP="00C22A61">
            <w:pPr>
              <w:numPr>
                <w:ilvl w:val="0"/>
                <w:numId w:val="24"/>
              </w:numPr>
              <w:spacing w:before="0" w:after="0"/>
              <w:ind w:left="283" w:hanging="170"/>
              <w:jc w:val="left"/>
              <w:rPr>
                <w:rFonts w:ascii="Arial" w:eastAsia="Times New Roman" w:hAnsi="Arial" w:cs="Arial"/>
                <w:szCs w:val="36"/>
                <w:lang w:val="en-GB" w:eastAsia="fr-FR"/>
              </w:rPr>
            </w:pPr>
            <w:r w:rsidRPr="006645DC">
              <w:rPr>
                <w:kern w:val="24"/>
                <w:lang w:val="en-GB" w:eastAsia="fr-FR"/>
              </w:rPr>
              <w:t>The Romanian side is relatively rich in energy resources</w:t>
            </w:r>
          </w:p>
          <w:p w14:paraId="6717F322" w14:textId="77777777" w:rsidR="00AA4C82" w:rsidRPr="006645DC" w:rsidRDefault="00AA4C82" w:rsidP="00C22A61">
            <w:pPr>
              <w:numPr>
                <w:ilvl w:val="0"/>
                <w:numId w:val="24"/>
              </w:numPr>
              <w:spacing w:before="0" w:after="0"/>
              <w:ind w:left="283" w:hanging="170"/>
              <w:jc w:val="left"/>
              <w:rPr>
                <w:rFonts w:ascii="Arial" w:eastAsia="Times New Roman" w:hAnsi="Arial" w:cs="Arial"/>
                <w:szCs w:val="36"/>
                <w:lang w:val="en-GB" w:eastAsia="fr-FR"/>
              </w:rPr>
            </w:pPr>
            <w:r w:rsidRPr="006645DC">
              <w:rPr>
                <w:kern w:val="24"/>
                <w:lang w:val="en-GB" w:eastAsia="fr-FR"/>
              </w:rPr>
              <w:t>The Bulgarian side is rich in minerals</w:t>
            </w:r>
          </w:p>
          <w:p w14:paraId="1CD756A4" w14:textId="47D98D56" w:rsidR="00AA4C82" w:rsidRPr="006645DC" w:rsidRDefault="00AA4C82" w:rsidP="00C22A61">
            <w:pPr>
              <w:numPr>
                <w:ilvl w:val="0"/>
                <w:numId w:val="24"/>
              </w:numPr>
              <w:spacing w:before="0" w:after="0"/>
              <w:ind w:left="283" w:hanging="170"/>
              <w:jc w:val="left"/>
              <w:rPr>
                <w:rFonts w:ascii="Arial" w:eastAsia="Times New Roman" w:hAnsi="Arial" w:cs="Arial"/>
                <w:szCs w:val="36"/>
                <w:lang w:val="en-GB" w:eastAsia="fr-FR"/>
              </w:rPr>
            </w:pPr>
            <w:r w:rsidRPr="006645DC">
              <w:rPr>
                <w:kern w:val="24"/>
                <w:lang w:val="en-GB" w:eastAsia="fr-FR"/>
              </w:rPr>
              <w:t>Presence of several touristic destinations</w:t>
            </w:r>
            <w:r w:rsidR="00B16CBB" w:rsidRPr="006645DC">
              <w:rPr>
                <w:kern w:val="24"/>
                <w:lang w:val="en-GB" w:eastAsia="fr-FR"/>
              </w:rPr>
              <w:t xml:space="preserve">, including </w:t>
            </w:r>
            <w:r w:rsidR="00CE723E">
              <w:rPr>
                <w:kern w:val="24"/>
                <w:lang w:val="en-GB" w:eastAsia="fr-FR"/>
              </w:rPr>
              <w:t xml:space="preserve">an exceptional </w:t>
            </w:r>
            <w:r w:rsidR="00B16CBB" w:rsidRPr="006645DC">
              <w:rPr>
                <w:kern w:val="24"/>
                <w:lang w:val="en-GB" w:eastAsia="fr-FR"/>
              </w:rPr>
              <w:t>natural and cultural heritage</w:t>
            </w:r>
          </w:p>
        </w:tc>
        <w:tc>
          <w:tcPr>
            <w:tcW w:w="5386" w:type="dxa"/>
            <w:tcBorders>
              <w:top w:val="single" w:sz="8" w:space="0" w:color="000000"/>
              <w:left w:val="single" w:sz="8" w:space="0" w:color="000000"/>
              <w:bottom w:val="single" w:sz="8" w:space="0" w:color="000000"/>
              <w:right w:val="single" w:sz="8" w:space="0" w:color="000000"/>
            </w:tcBorders>
            <w:tcMar>
              <w:top w:w="15" w:type="dxa"/>
              <w:left w:w="82" w:type="dxa"/>
              <w:bottom w:w="0" w:type="dxa"/>
              <w:right w:w="82" w:type="dxa"/>
            </w:tcMar>
            <w:hideMark/>
          </w:tcPr>
          <w:p w14:paraId="0C238BA7" w14:textId="77777777" w:rsidR="00AA4C82" w:rsidRPr="006645DC" w:rsidRDefault="00AA4C82" w:rsidP="00C22A61">
            <w:pPr>
              <w:keepNext/>
              <w:keepLines/>
              <w:numPr>
                <w:ilvl w:val="0"/>
                <w:numId w:val="24"/>
              </w:numPr>
              <w:spacing w:before="0" w:after="0"/>
              <w:ind w:left="283" w:hanging="170"/>
              <w:jc w:val="left"/>
              <w:outlineLvl w:val="1"/>
              <w:rPr>
                <w:rFonts w:ascii="Arial" w:eastAsia="Times New Roman" w:hAnsi="Arial" w:cs="Arial"/>
                <w:szCs w:val="36"/>
                <w:lang w:val="en-GB" w:eastAsia="fr-FR"/>
              </w:rPr>
            </w:pPr>
            <w:bookmarkStart w:id="2117" w:name="_Toc376200192"/>
            <w:r w:rsidRPr="006645DC">
              <w:rPr>
                <w:rFonts w:eastAsia="Arial"/>
                <w:kern w:val="24"/>
                <w:lang w:val="en-GB" w:eastAsia="fr-FR"/>
              </w:rPr>
              <w:t>Problems related to water management</w:t>
            </w:r>
            <w:bookmarkEnd w:id="2117"/>
          </w:p>
          <w:p w14:paraId="4AB13060" w14:textId="77777777" w:rsidR="00AA4C82" w:rsidRPr="006645DC" w:rsidRDefault="00AA4C82" w:rsidP="00C22A61">
            <w:pPr>
              <w:numPr>
                <w:ilvl w:val="0"/>
                <w:numId w:val="24"/>
              </w:numPr>
              <w:spacing w:before="0" w:after="0"/>
              <w:ind w:left="283" w:hanging="170"/>
              <w:jc w:val="left"/>
              <w:rPr>
                <w:rFonts w:ascii="Arial" w:eastAsia="Times New Roman" w:hAnsi="Arial" w:cs="Arial"/>
                <w:szCs w:val="36"/>
                <w:lang w:val="en-GB" w:eastAsia="fr-FR"/>
              </w:rPr>
            </w:pPr>
            <w:r w:rsidRPr="006645DC">
              <w:rPr>
                <w:rFonts w:eastAsia="Arial"/>
                <w:kern w:val="24"/>
                <w:lang w:val="en-GB" w:eastAsia="fr-FR"/>
              </w:rPr>
              <w:t>Inefficient waste management</w:t>
            </w:r>
          </w:p>
          <w:p w14:paraId="0A99C13F" w14:textId="77777777" w:rsidR="00AA4C82" w:rsidRPr="006645DC" w:rsidRDefault="00AA4C82" w:rsidP="00C22A61">
            <w:pPr>
              <w:numPr>
                <w:ilvl w:val="0"/>
                <w:numId w:val="24"/>
              </w:numPr>
              <w:spacing w:before="0" w:after="0"/>
              <w:ind w:left="283" w:hanging="170"/>
              <w:jc w:val="left"/>
              <w:rPr>
                <w:rFonts w:ascii="Arial" w:eastAsia="Times New Roman" w:hAnsi="Arial" w:cs="Arial"/>
                <w:szCs w:val="36"/>
                <w:lang w:val="en-GB" w:eastAsia="fr-FR"/>
              </w:rPr>
            </w:pPr>
            <w:r w:rsidRPr="006645DC">
              <w:rPr>
                <w:rFonts w:eastAsia="Arial"/>
                <w:kern w:val="24"/>
                <w:lang w:val="en-GB" w:eastAsia="fr-FR"/>
              </w:rPr>
              <w:t>Low percentage of households connected to waste disposal services</w:t>
            </w:r>
          </w:p>
          <w:p w14:paraId="13E6999A" w14:textId="77777777" w:rsidR="00AA4C82" w:rsidRPr="006645DC" w:rsidRDefault="00AA4C82" w:rsidP="00C22A61">
            <w:pPr>
              <w:numPr>
                <w:ilvl w:val="0"/>
                <w:numId w:val="24"/>
              </w:numPr>
              <w:spacing w:before="0" w:after="0"/>
              <w:ind w:left="283" w:hanging="170"/>
              <w:jc w:val="left"/>
              <w:rPr>
                <w:rFonts w:ascii="Arial" w:eastAsia="Times New Roman" w:hAnsi="Arial" w:cs="Arial"/>
                <w:szCs w:val="36"/>
                <w:lang w:val="en-GB" w:eastAsia="fr-FR"/>
              </w:rPr>
            </w:pPr>
            <w:r w:rsidRPr="006645DC">
              <w:rPr>
                <w:kern w:val="24"/>
                <w:lang w:val="en-GB" w:eastAsia="fr-FR"/>
              </w:rPr>
              <w:t>Lack of natural resource management</w:t>
            </w:r>
            <w:r w:rsidR="00950BDB" w:rsidRPr="006645DC">
              <w:rPr>
                <w:kern w:val="24"/>
                <w:lang w:val="en-GB" w:eastAsia="fr-FR"/>
              </w:rPr>
              <w:t xml:space="preserve"> and insufficient integrated environmental management capacities</w:t>
            </w:r>
          </w:p>
          <w:p w14:paraId="109F6ABC" w14:textId="63F3AE1C" w:rsidR="00AA4C82" w:rsidRPr="006645DC" w:rsidRDefault="00AA4C82" w:rsidP="00C22A61">
            <w:pPr>
              <w:numPr>
                <w:ilvl w:val="0"/>
                <w:numId w:val="24"/>
              </w:numPr>
              <w:spacing w:before="0" w:after="0"/>
              <w:ind w:left="283" w:hanging="170"/>
              <w:jc w:val="left"/>
              <w:rPr>
                <w:rFonts w:ascii="Arial" w:eastAsia="Times New Roman" w:hAnsi="Arial" w:cs="Arial"/>
                <w:szCs w:val="36"/>
                <w:lang w:val="en-GB" w:eastAsia="fr-FR"/>
              </w:rPr>
            </w:pPr>
            <w:r w:rsidRPr="006645DC">
              <w:rPr>
                <w:kern w:val="24"/>
                <w:lang w:val="en-GB" w:eastAsia="fr-FR"/>
              </w:rPr>
              <w:t xml:space="preserve">The infrastructure related to flood protection is </w:t>
            </w:r>
            <w:r w:rsidR="00CE723E" w:rsidRPr="006645DC">
              <w:rPr>
                <w:kern w:val="24"/>
                <w:lang w:val="en-GB" w:eastAsia="fr-FR"/>
              </w:rPr>
              <w:t>out-dated</w:t>
            </w:r>
          </w:p>
          <w:p w14:paraId="4ECE7434" w14:textId="77777777" w:rsidR="00AA4C82" w:rsidRPr="006645DC" w:rsidRDefault="00AA4C82" w:rsidP="002D3AA5">
            <w:pPr>
              <w:numPr>
                <w:ilvl w:val="0"/>
                <w:numId w:val="24"/>
              </w:numPr>
              <w:spacing w:before="0" w:after="0"/>
              <w:ind w:left="283" w:hanging="170"/>
              <w:jc w:val="left"/>
              <w:rPr>
                <w:rFonts w:eastAsia="Arial"/>
                <w:kern w:val="24"/>
                <w:lang w:val="en-GB" w:eastAsia="fr-FR"/>
              </w:rPr>
            </w:pPr>
            <w:r w:rsidRPr="006645DC">
              <w:rPr>
                <w:rFonts w:eastAsia="Arial"/>
                <w:kern w:val="24"/>
                <w:lang w:val="en-GB" w:eastAsia="fr-FR"/>
              </w:rPr>
              <w:t>There is no protected area defined in the town planning and land management documentation around Seveso-type site areas</w:t>
            </w:r>
          </w:p>
          <w:p w14:paraId="614CDAC9" w14:textId="77777777" w:rsidR="00E31015" w:rsidRPr="006645DC" w:rsidRDefault="00E31015" w:rsidP="00C22A61">
            <w:pPr>
              <w:numPr>
                <w:ilvl w:val="0"/>
                <w:numId w:val="24"/>
              </w:numPr>
              <w:spacing w:before="0" w:after="0"/>
              <w:ind w:left="283" w:hanging="170"/>
              <w:jc w:val="left"/>
              <w:rPr>
                <w:rFonts w:ascii="Arial" w:eastAsia="Times New Roman" w:hAnsi="Arial" w:cs="Arial"/>
                <w:szCs w:val="36"/>
                <w:lang w:val="en-GB" w:eastAsia="fr-FR"/>
              </w:rPr>
            </w:pPr>
            <w:r w:rsidRPr="006645DC">
              <w:rPr>
                <w:rFonts w:eastAsia="Arial"/>
                <w:kern w:val="24"/>
                <w:lang w:val="en-GB" w:eastAsia="fr-FR"/>
              </w:rPr>
              <w:t>Low level of promotion and reconstruction related to natural and cultural heritage sites</w:t>
            </w:r>
          </w:p>
        </w:tc>
      </w:tr>
      <w:tr w:rsidR="00AA4C82" w:rsidRPr="006645DC" w14:paraId="2F122C4C" w14:textId="77777777" w:rsidTr="0037102B">
        <w:trPr>
          <w:trHeight w:val="271"/>
          <w:jc w:val="center"/>
        </w:trPr>
        <w:tc>
          <w:tcPr>
            <w:tcW w:w="5386" w:type="dxa"/>
            <w:tcBorders>
              <w:top w:val="single" w:sz="8" w:space="0" w:color="000000"/>
              <w:left w:val="single" w:sz="8" w:space="0" w:color="000000"/>
              <w:bottom w:val="single" w:sz="8" w:space="0" w:color="000000"/>
              <w:right w:val="single" w:sz="8" w:space="0" w:color="000000"/>
            </w:tcBorders>
            <w:shd w:val="clear" w:color="auto" w:fill="4BACC6"/>
            <w:tcMar>
              <w:top w:w="15" w:type="dxa"/>
              <w:left w:w="82" w:type="dxa"/>
              <w:bottom w:w="0" w:type="dxa"/>
              <w:right w:w="82" w:type="dxa"/>
            </w:tcMar>
            <w:vAlign w:val="center"/>
            <w:hideMark/>
          </w:tcPr>
          <w:p w14:paraId="261EE65A" w14:textId="77777777" w:rsidR="00AA4C82" w:rsidRPr="006645DC" w:rsidRDefault="00AA4C82" w:rsidP="0037102B">
            <w:pPr>
              <w:keepNext/>
              <w:keepLines/>
              <w:spacing w:before="0" w:after="0" w:line="271" w:lineRule="atLeast"/>
              <w:ind w:left="757" w:hanging="360"/>
              <w:jc w:val="center"/>
              <w:outlineLvl w:val="1"/>
              <w:rPr>
                <w:rFonts w:ascii="Arial" w:eastAsia="Times New Roman" w:hAnsi="Arial" w:cs="Arial"/>
                <w:sz w:val="36"/>
                <w:szCs w:val="36"/>
                <w:lang w:val="en-GB" w:eastAsia="fr-FR"/>
              </w:rPr>
            </w:pPr>
            <w:bookmarkStart w:id="2118" w:name="_Toc376200193"/>
            <w:r w:rsidRPr="006645DC">
              <w:rPr>
                <w:b/>
                <w:bCs/>
                <w:color w:val="FFFFFF"/>
                <w:kern w:val="24"/>
                <w:lang w:val="en-GB" w:eastAsia="fr-FR"/>
              </w:rPr>
              <w:t>Opportunities</w:t>
            </w:r>
            <w:bookmarkEnd w:id="2118"/>
          </w:p>
        </w:tc>
        <w:tc>
          <w:tcPr>
            <w:tcW w:w="5386" w:type="dxa"/>
            <w:tcBorders>
              <w:top w:val="single" w:sz="8" w:space="0" w:color="000000"/>
              <w:left w:val="single" w:sz="8" w:space="0" w:color="000000"/>
              <w:bottom w:val="single" w:sz="8" w:space="0" w:color="000000"/>
              <w:right w:val="single" w:sz="8" w:space="0" w:color="000000"/>
            </w:tcBorders>
            <w:shd w:val="clear" w:color="auto" w:fill="B2A1C7"/>
            <w:tcMar>
              <w:top w:w="15" w:type="dxa"/>
              <w:left w:w="82" w:type="dxa"/>
              <w:bottom w:w="0" w:type="dxa"/>
              <w:right w:w="82" w:type="dxa"/>
            </w:tcMar>
            <w:vAlign w:val="center"/>
            <w:hideMark/>
          </w:tcPr>
          <w:p w14:paraId="0A77C01F" w14:textId="77777777" w:rsidR="00AA4C82" w:rsidRPr="006645DC" w:rsidRDefault="00AA4C82" w:rsidP="0037102B">
            <w:pPr>
              <w:keepNext/>
              <w:keepLines/>
              <w:spacing w:before="0" w:after="0" w:line="271" w:lineRule="atLeast"/>
              <w:ind w:left="757" w:hanging="360"/>
              <w:jc w:val="center"/>
              <w:outlineLvl w:val="1"/>
              <w:rPr>
                <w:rFonts w:ascii="Arial" w:eastAsia="Times New Roman" w:hAnsi="Arial" w:cs="Arial"/>
                <w:sz w:val="36"/>
                <w:szCs w:val="36"/>
                <w:lang w:val="en-GB" w:eastAsia="fr-FR"/>
              </w:rPr>
            </w:pPr>
            <w:bookmarkStart w:id="2119" w:name="_Toc376200194"/>
            <w:r w:rsidRPr="006645DC">
              <w:rPr>
                <w:b/>
                <w:bCs/>
                <w:color w:val="FFFFFF"/>
                <w:kern w:val="24"/>
                <w:lang w:val="en-GB" w:eastAsia="fr-FR"/>
              </w:rPr>
              <w:t>Threats</w:t>
            </w:r>
            <w:bookmarkEnd w:id="2119"/>
          </w:p>
        </w:tc>
      </w:tr>
      <w:tr w:rsidR="00AA4C82" w:rsidRPr="006645DC" w14:paraId="7816EDFC" w14:textId="77777777" w:rsidTr="0037102B">
        <w:trPr>
          <w:trHeight w:val="4028"/>
          <w:jc w:val="center"/>
        </w:trPr>
        <w:tc>
          <w:tcPr>
            <w:tcW w:w="5386" w:type="dxa"/>
            <w:tcBorders>
              <w:top w:val="single" w:sz="8" w:space="0" w:color="000000"/>
              <w:left w:val="single" w:sz="8" w:space="0" w:color="000000"/>
              <w:bottom w:val="single" w:sz="8" w:space="0" w:color="000000"/>
              <w:right w:val="single" w:sz="8" w:space="0" w:color="000000"/>
            </w:tcBorders>
            <w:tcMar>
              <w:top w:w="15" w:type="dxa"/>
              <w:left w:w="82" w:type="dxa"/>
              <w:bottom w:w="0" w:type="dxa"/>
              <w:right w:w="82" w:type="dxa"/>
            </w:tcMar>
            <w:hideMark/>
          </w:tcPr>
          <w:p w14:paraId="673A1A93" w14:textId="1DF04DDC" w:rsidR="00AA4C82" w:rsidRPr="00B21137" w:rsidRDefault="00AA4C82" w:rsidP="00C22A61">
            <w:pPr>
              <w:keepNext/>
              <w:keepLines/>
              <w:numPr>
                <w:ilvl w:val="0"/>
                <w:numId w:val="25"/>
              </w:numPr>
              <w:spacing w:before="0" w:after="0"/>
              <w:ind w:left="283" w:hanging="170"/>
              <w:jc w:val="left"/>
              <w:outlineLvl w:val="1"/>
              <w:rPr>
                <w:rFonts w:ascii="Arial" w:eastAsia="Times New Roman" w:hAnsi="Arial" w:cs="Arial"/>
                <w:szCs w:val="36"/>
                <w:lang w:val="en-GB" w:eastAsia="fr-FR"/>
              </w:rPr>
            </w:pPr>
            <w:bookmarkStart w:id="2120" w:name="_Toc376200195"/>
            <w:r w:rsidRPr="006645DC">
              <w:rPr>
                <w:rFonts w:eastAsia="Arial" w:cs="Calibri"/>
                <w:kern w:val="24"/>
                <w:lang w:val="en-GB" w:eastAsia="fr-FR"/>
              </w:rPr>
              <w:t>Introducing new innovative technologies</w:t>
            </w:r>
            <w:r w:rsidR="00B16CBB" w:rsidRPr="006645DC">
              <w:rPr>
                <w:rFonts w:eastAsia="Arial" w:cs="Calibri"/>
                <w:kern w:val="24"/>
                <w:lang w:val="en-GB" w:eastAsia="fr-FR"/>
              </w:rPr>
              <w:t>,</w:t>
            </w:r>
            <w:r w:rsidRPr="006645DC">
              <w:rPr>
                <w:rFonts w:eastAsia="Arial" w:cs="Calibri"/>
                <w:kern w:val="24"/>
                <w:lang w:val="en-GB" w:eastAsia="fr-FR"/>
              </w:rPr>
              <w:t xml:space="preserve"> equipment </w:t>
            </w:r>
            <w:r w:rsidR="00B16CBB" w:rsidRPr="006645DC">
              <w:rPr>
                <w:rFonts w:eastAsia="Arial" w:cs="Calibri"/>
                <w:kern w:val="24"/>
                <w:lang w:val="en-GB" w:eastAsia="fr-FR"/>
              </w:rPr>
              <w:t xml:space="preserve">and </w:t>
            </w:r>
            <w:r w:rsidR="00FE320B" w:rsidRPr="006645DC">
              <w:rPr>
                <w:rFonts w:eastAsia="Arial" w:cs="Calibri"/>
                <w:kern w:val="24"/>
                <w:lang w:val="en-GB" w:eastAsia="fr-FR"/>
              </w:rPr>
              <w:t xml:space="preserve">common tourism products </w:t>
            </w:r>
            <w:r w:rsidRPr="006645DC">
              <w:rPr>
                <w:rFonts w:eastAsia="Arial" w:cs="Calibri"/>
                <w:kern w:val="24"/>
                <w:lang w:val="en-GB" w:eastAsia="fr-FR"/>
              </w:rPr>
              <w:t>to improve the environment quality</w:t>
            </w:r>
            <w:bookmarkEnd w:id="2120"/>
            <w:r w:rsidR="00FE320B" w:rsidRPr="006645DC">
              <w:rPr>
                <w:rFonts w:eastAsia="Arial" w:cs="Calibri"/>
                <w:kern w:val="24"/>
                <w:lang w:val="en-GB" w:eastAsia="fr-FR"/>
              </w:rPr>
              <w:t xml:space="preserve"> and cultural heritage</w:t>
            </w:r>
          </w:p>
          <w:p w14:paraId="22A3BD99" w14:textId="69C8EF07" w:rsidR="00B21137" w:rsidRPr="00B21137" w:rsidRDefault="00B21137" w:rsidP="00B21137">
            <w:pPr>
              <w:keepNext/>
              <w:keepLines/>
              <w:numPr>
                <w:ilvl w:val="0"/>
                <w:numId w:val="25"/>
              </w:numPr>
              <w:spacing w:before="0" w:after="0"/>
              <w:ind w:left="283" w:hanging="170"/>
              <w:jc w:val="left"/>
              <w:outlineLvl w:val="1"/>
              <w:rPr>
                <w:rFonts w:ascii="Arial" w:eastAsia="Times New Roman" w:hAnsi="Arial" w:cs="Arial"/>
                <w:szCs w:val="36"/>
                <w:lang w:val="en-GB" w:eastAsia="fr-FR"/>
              </w:rPr>
            </w:pPr>
            <w:r>
              <w:rPr>
                <w:rFonts w:eastAsia="Arial" w:cs="Calibri"/>
                <w:kern w:val="24"/>
                <w:lang w:val="en-GB" w:eastAsia="fr-FR"/>
              </w:rPr>
              <w:t>Great potential to develop joint tourism itineraries for local and foreign tourists</w:t>
            </w:r>
          </w:p>
          <w:p w14:paraId="3B1A77BB" w14:textId="77777777" w:rsidR="00AA4C82" w:rsidRPr="006645DC" w:rsidRDefault="00AA4C82" w:rsidP="00C22A61">
            <w:pPr>
              <w:numPr>
                <w:ilvl w:val="0"/>
                <w:numId w:val="25"/>
              </w:numPr>
              <w:spacing w:before="0" w:after="0"/>
              <w:ind w:left="283" w:hanging="170"/>
              <w:jc w:val="left"/>
              <w:rPr>
                <w:rFonts w:ascii="Arial" w:eastAsia="Times New Roman" w:hAnsi="Arial" w:cs="Arial"/>
                <w:szCs w:val="36"/>
                <w:lang w:val="en-GB" w:eastAsia="fr-FR"/>
              </w:rPr>
            </w:pPr>
            <w:r w:rsidRPr="006645DC">
              <w:rPr>
                <w:rFonts w:eastAsia="Arial" w:cs="Calibri"/>
                <w:kern w:val="24"/>
                <w:lang w:val="en-GB" w:eastAsia="fr-FR"/>
              </w:rPr>
              <w:t>Increasing the accessibility of combined emergency (rescue) services in rural areas</w:t>
            </w:r>
          </w:p>
          <w:p w14:paraId="01702438" w14:textId="77777777" w:rsidR="00AA4C82" w:rsidRPr="006645DC" w:rsidRDefault="00AA4C82" w:rsidP="00C22A61">
            <w:pPr>
              <w:numPr>
                <w:ilvl w:val="0"/>
                <w:numId w:val="25"/>
              </w:numPr>
              <w:spacing w:before="0" w:after="0"/>
              <w:ind w:left="283" w:hanging="170"/>
              <w:jc w:val="left"/>
              <w:rPr>
                <w:rFonts w:ascii="Arial" w:eastAsia="Times New Roman" w:hAnsi="Arial" w:cs="Arial"/>
                <w:szCs w:val="36"/>
                <w:lang w:val="en-GB" w:eastAsia="fr-FR"/>
              </w:rPr>
            </w:pPr>
            <w:r w:rsidRPr="006645DC">
              <w:rPr>
                <w:rFonts w:eastAsia="Arial" w:cs="Calibri"/>
                <w:kern w:val="24"/>
                <w:lang w:val="en-GB" w:eastAsia="fr-FR"/>
              </w:rPr>
              <w:t>Evaluating vulnerability of settlements to different categories of hazards</w:t>
            </w:r>
          </w:p>
          <w:p w14:paraId="462A1F4E" w14:textId="77777777" w:rsidR="00AA4C82" w:rsidRPr="006645DC" w:rsidRDefault="00AA4C82" w:rsidP="00C22A61">
            <w:pPr>
              <w:numPr>
                <w:ilvl w:val="0"/>
                <w:numId w:val="25"/>
              </w:numPr>
              <w:spacing w:before="0" w:after="0"/>
              <w:ind w:left="283" w:hanging="170"/>
              <w:jc w:val="left"/>
              <w:rPr>
                <w:rFonts w:ascii="Arial" w:eastAsia="Times New Roman" w:hAnsi="Arial" w:cs="Arial"/>
                <w:szCs w:val="36"/>
                <w:lang w:val="en-GB" w:eastAsia="fr-FR"/>
              </w:rPr>
            </w:pPr>
            <w:r w:rsidRPr="006645DC">
              <w:rPr>
                <w:rFonts w:eastAsia="Arial" w:cs="Calibri"/>
                <w:kern w:val="24"/>
                <w:lang w:val="en-GB" w:eastAsia="fr-FR"/>
              </w:rPr>
              <w:t>Promoting projects related to protection of biodiversity and sustainable use of natural resources</w:t>
            </w:r>
          </w:p>
          <w:p w14:paraId="58FFDE8F" w14:textId="77777777" w:rsidR="00AA4C82" w:rsidRPr="006645DC" w:rsidRDefault="00AA4C82" w:rsidP="00C22A61">
            <w:pPr>
              <w:numPr>
                <w:ilvl w:val="0"/>
                <w:numId w:val="25"/>
              </w:numPr>
              <w:spacing w:before="0" w:after="0"/>
              <w:ind w:left="283" w:hanging="170"/>
              <w:jc w:val="left"/>
              <w:rPr>
                <w:rFonts w:ascii="Arial" w:eastAsia="Times New Roman" w:hAnsi="Arial" w:cs="Arial"/>
                <w:szCs w:val="36"/>
                <w:lang w:val="en-GB" w:eastAsia="fr-FR"/>
              </w:rPr>
            </w:pPr>
            <w:r w:rsidRPr="006645DC">
              <w:rPr>
                <w:rFonts w:eastAsia="Arial" w:cs="Calibri"/>
                <w:kern w:val="24"/>
                <w:lang w:val="en-GB" w:eastAsia="fr-FR"/>
              </w:rPr>
              <w:t>Promoting projects for decreasing environmental vulnerability</w:t>
            </w:r>
          </w:p>
          <w:p w14:paraId="6B09F67A" w14:textId="77777777" w:rsidR="00AA4C82" w:rsidRPr="006645DC" w:rsidRDefault="00AA4C82" w:rsidP="00C22A61">
            <w:pPr>
              <w:keepNext/>
              <w:keepLines/>
              <w:numPr>
                <w:ilvl w:val="0"/>
                <w:numId w:val="25"/>
              </w:numPr>
              <w:spacing w:before="0" w:after="0"/>
              <w:ind w:left="283" w:hanging="170"/>
              <w:jc w:val="left"/>
              <w:outlineLvl w:val="1"/>
              <w:rPr>
                <w:rFonts w:ascii="Arial" w:eastAsia="Times New Roman" w:hAnsi="Arial" w:cs="Arial"/>
                <w:szCs w:val="36"/>
                <w:lang w:val="en-GB" w:eastAsia="fr-FR"/>
              </w:rPr>
            </w:pPr>
            <w:r w:rsidRPr="006645DC">
              <w:rPr>
                <w:rFonts w:eastAsia="Arial" w:cs="Calibri"/>
                <w:kern w:val="24"/>
                <w:lang w:val="en-GB" w:eastAsia="fr-FR"/>
              </w:rPr>
              <w:t>Awareness raising concerning common environmental resources</w:t>
            </w:r>
            <w:r w:rsidR="00B16CBB" w:rsidRPr="006645DC">
              <w:rPr>
                <w:rFonts w:eastAsia="Arial" w:cs="Calibri"/>
                <w:kern w:val="24"/>
                <w:lang w:val="en-GB" w:eastAsia="fr-FR"/>
              </w:rPr>
              <w:t>, with a special focus on natural and cultural heritage</w:t>
            </w:r>
          </w:p>
          <w:p w14:paraId="7841A10D" w14:textId="10B5C92F" w:rsidR="000E6DF4" w:rsidRPr="006645DC" w:rsidRDefault="000E6DF4" w:rsidP="000E6DF4">
            <w:pPr>
              <w:numPr>
                <w:ilvl w:val="0"/>
                <w:numId w:val="25"/>
              </w:numPr>
              <w:spacing w:before="0" w:after="0"/>
              <w:ind w:left="283" w:hanging="170"/>
              <w:jc w:val="left"/>
              <w:rPr>
                <w:rFonts w:ascii="Arial" w:eastAsia="Times New Roman" w:hAnsi="Arial" w:cs="Arial"/>
                <w:szCs w:val="36"/>
                <w:lang w:val="en-GB" w:eastAsia="fr-FR"/>
              </w:rPr>
            </w:pPr>
            <w:r w:rsidRPr="006645DC">
              <w:rPr>
                <w:rFonts w:eastAsia="Arial" w:cs="Calibri"/>
                <w:kern w:val="24"/>
                <w:lang w:val="en-GB" w:eastAsia="fr-FR"/>
              </w:rPr>
              <w:t>Great potential in cooperative measures (e.g. joint planning, strategies, mapping) related to nature and landscape protection</w:t>
            </w:r>
            <w:r w:rsidR="00B21137">
              <w:rPr>
                <w:rFonts w:eastAsia="Arial" w:cs="Calibri"/>
                <w:kern w:val="24"/>
                <w:lang w:val="en-GB" w:eastAsia="fr-FR"/>
              </w:rPr>
              <w:t xml:space="preserve"> and promotion</w:t>
            </w:r>
          </w:p>
        </w:tc>
        <w:tc>
          <w:tcPr>
            <w:tcW w:w="5386" w:type="dxa"/>
            <w:tcBorders>
              <w:top w:val="single" w:sz="8" w:space="0" w:color="000000"/>
              <w:left w:val="single" w:sz="8" w:space="0" w:color="000000"/>
              <w:bottom w:val="single" w:sz="8" w:space="0" w:color="000000"/>
              <w:right w:val="single" w:sz="8" w:space="0" w:color="000000"/>
            </w:tcBorders>
            <w:tcMar>
              <w:top w:w="15" w:type="dxa"/>
              <w:left w:w="82" w:type="dxa"/>
              <w:bottom w:w="0" w:type="dxa"/>
              <w:right w:w="82" w:type="dxa"/>
            </w:tcMar>
            <w:hideMark/>
          </w:tcPr>
          <w:p w14:paraId="08CC5DF2" w14:textId="77777777" w:rsidR="00AA4C82" w:rsidRPr="006645DC" w:rsidRDefault="00AA4C82" w:rsidP="00C22A61">
            <w:pPr>
              <w:keepNext/>
              <w:keepLines/>
              <w:numPr>
                <w:ilvl w:val="0"/>
                <w:numId w:val="25"/>
              </w:numPr>
              <w:spacing w:before="0" w:after="0"/>
              <w:ind w:left="283" w:hanging="170"/>
              <w:jc w:val="left"/>
              <w:outlineLvl w:val="1"/>
              <w:rPr>
                <w:rFonts w:ascii="Arial" w:eastAsia="Times New Roman" w:hAnsi="Arial" w:cs="Arial"/>
                <w:szCs w:val="36"/>
                <w:lang w:val="en-GB" w:eastAsia="fr-FR"/>
              </w:rPr>
            </w:pPr>
            <w:bookmarkStart w:id="2121" w:name="_Toc376200196"/>
            <w:r w:rsidRPr="006645DC">
              <w:rPr>
                <w:kern w:val="24"/>
                <w:lang w:val="en-GB" w:eastAsia="fr-FR"/>
              </w:rPr>
              <w:t>Irreversible damage in the natural environment and existing infrastructure</w:t>
            </w:r>
            <w:bookmarkEnd w:id="2121"/>
          </w:p>
          <w:p w14:paraId="233CC7E2" w14:textId="77777777" w:rsidR="00AA4C82" w:rsidRPr="006645DC" w:rsidRDefault="00AA4C82" w:rsidP="00C22A61">
            <w:pPr>
              <w:numPr>
                <w:ilvl w:val="0"/>
                <w:numId w:val="25"/>
              </w:numPr>
              <w:spacing w:before="0" w:after="0"/>
              <w:ind w:left="283" w:hanging="170"/>
              <w:jc w:val="left"/>
              <w:rPr>
                <w:rFonts w:ascii="Arial" w:eastAsia="Times New Roman" w:hAnsi="Arial" w:cs="Arial"/>
                <w:szCs w:val="36"/>
                <w:lang w:val="en-GB" w:eastAsia="fr-FR"/>
              </w:rPr>
            </w:pPr>
            <w:r w:rsidRPr="006645DC">
              <w:rPr>
                <w:kern w:val="24"/>
                <w:lang w:val="en-GB" w:eastAsia="fr-FR"/>
              </w:rPr>
              <w:t>Industrial risks lead to air pollution</w:t>
            </w:r>
          </w:p>
          <w:p w14:paraId="6DCD0111" w14:textId="77777777" w:rsidR="00AA4C82" w:rsidRPr="006645DC" w:rsidRDefault="00AA4C82" w:rsidP="00C22A61">
            <w:pPr>
              <w:numPr>
                <w:ilvl w:val="0"/>
                <w:numId w:val="25"/>
              </w:numPr>
              <w:spacing w:before="0" w:after="0"/>
              <w:ind w:left="283" w:hanging="170"/>
              <w:jc w:val="left"/>
              <w:rPr>
                <w:rFonts w:ascii="Arial" w:eastAsia="Times New Roman" w:hAnsi="Arial" w:cs="Arial"/>
                <w:szCs w:val="36"/>
                <w:lang w:val="en-GB" w:eastAsia="fr-FR"/>
              </w:rPr>
            </w:pPr>
            <w:r w:rsidRPr="006645DC">
              <w:rPr>
                <w:kern w:val="24"/>
                <w:lang w:val="en-GB" w:eastAsia="fr-FR"/>
              </w:rPr>
              <w:t>Industrial risks lead to the pollution of waters and soils</w:t>
            </w:r>
          </w:p>
          <w:p w14:paraId="6CAECC74" w14:textId="77777777" w:rsidR="00AA4C82" w:rsidRPr="006645DC" w:rsidRDefault="00AA4C82" w:rsidP="00C22A61">
            <w:pPr>
              <w:numPr>
                <w:ilvl w:val="0"/>
                <w:numId w:val="25"/>
              </w:numPr>
              <w:spacing w:before="0" w:after="0"/>
              <w:ind w:left="283" w:hanging="170"/>
              <w:jc w:val="left"/>
              <w:rPr>
                <w:rFonts w:ascii="Arial" w:eastAsia="Times New Roman" w:hAnsi="Arial" w:cs="Arial"/>
                <w:szCs w:val="36"/>
                <w:lang w:val="en-GB" w:eastAsia="fr-FR"/>
              </w:rPr>
            </w:pPr>
            <w:r w:rsidRPr="006645DC">
              <w:rPr>
                <w:kern w:val="24"/>
                <w:lang w:val="en-GB" w:eastAsia="fr-FR"/>
              </w:rPr>
              <w:t>Significant erosion of the beaches</w:t>
            </w:r>
          </w:p>
          <w:p w14:paraId="08E671E9" w14:textId="77777777" w:rsidR="00AA4C82" w:rsidRPr="006645DC" w:rsidRDefault="00AA4C82" w:rsidP="00C22A61">
            <w:pPr>
              <w:numPr>
                <w:ilvl w:val="0"/>
                <w:numId w:val="25"/>
              </w:numPr>
              <w:spacing w:before="0" w:after="0"/>
              <w:ind w:left="283" w:hanging="170"/>
              <w:jc w:val="left"/>
              <w:rPr>
                <w:rFonts w:ascii="Arial" w:eastAsia="Times New Roman" w:hAnsi="Arial" w:cs="Arial"/>
                <w:szCs w:val="36"/>
                <w:lang w:val="en-GB" w:eastAsia="fr-FR"/>
              </w:rPr>
            </w:pPr>
            <w:r w:rsidRPr="006645DC">
              <w:rPr>
                <w:rFonts w:eastAsia="Arial"/>
                <w:kern w:val="24"/>
                <w:lang w:val="en-GB" w:eastAsia="fr-FR"/>
              </w:rPr>
              <w:t xml:space="preserve">High flood risk </w:t>
            </w:r>
          </w:p>
          <w:p w14:paraId="0BAC9D30" w14:textId="77777777" w:rsidR="00AA4C82" w:rsidRPr="006645DC" w:rsidRDefault="00AA4C82" w:rsidP="00C22A61">
            <w:pPr>
              <w:numPr>
                <w:ilvl w:val="0"/>
                <w:numId w:val="25"/>
              </w:numPr>
              <w:spacing w:before="0" w:after="0"/>
              <w:ind w:left="283" w:hanging="170"/>
              <w:jc w:val="left"/>
              <w:rPr>
                <w:rFonts w:ascii="Arial" w:eastAsia="Times New Roman" w:hAnsi="Arial" w:cs="Arial"/>
                <w:szCs w:val="36"/>
                <w:lang w:val="en-GB" w:eastAsia="fr-FR"/>
              </w:rPr>
            </w:pPr>
            <w:r w:rsidRPr="006645DC">
              <w:rPr>
                <w:kern w:val="24"/>
                <w:lang w:val="en-GB" w:eastAsia="fr-FR"/>
              </w:rPr>
              <w:t>Protected areas are exposed to great risks because of illegal exploitations, tourism, constructions, and poaching</w:t>
            </w:r>
          </w:p>
        </w:tc>
      </w:tr>
    </w:tbl>
    <w:p w14:paraId="22B4DB8D" w14:textId="77777777" w:rsidR="00AA4C82" w:rsidRPr="006645DC" w:rsidRDefault="00AA4C82" w:rsidP="00AA4C82">
      <w:pPr>
        <w:jc w:val="center"/>
        <w:rPr>
          <w:lang w:val="en-GB"/>
        </w:rPr>
      </w:pPr>
    </w:p>
    <w:p w14:paraId="0F578592" w14:textId="77777777" w:rsidR="00AA4C82" w:rsidRPr="006645DC" w:rsidRDefault="00AA4C82" w:rsidP="00AA4C82">
      <w:pPr>
        <w:jc w:val="center"/>
        <w:rPr>
          <w:lang w:val="en-GB"/>
        </w:rPr>
      </w:pPr>
    </w:p>
    <w:p w14:paraId="2BABE13F" w14:textId="77777777" w:rsidR="00AA4C82" w:rsidRPr="006645DC" w:rsidRDefault="00AA4C82" w:rsidP="00AA4C82">
      <w:pPr>
        <w:jc w:val="center"/>
        <w:rPr>
          <w:lang w:val="en-GB" w:eastAsia="fr-FR"/>
        </w:rPr>
      </w:pPr>
    </w:p>
    <w:p w14:paraId="7BECF1FE" w14:textId="77777777" w:rsidR="00AA4C82" w:rsidRPr="006645DC" w:rsidRDefault="00AA4C82" w:rsidP="00AA4C82">
      <w:pPr>
        <w:jc w:val="center"/>
        <w:rPr>
          <w:lang w:val="en-GB"/>
        </w:rPr>
      </w:pPr>
      <w:r w:rsidRPr="006645DC">
        <w:rPr>
          <w:noProof/>
          <w:lang w:val="bg-BG" w:eastAsia="bg-BG"/>
        </w:rPr>
        <w:lastRenderedPageBreak/>
        <w:drawing>
          <wp:inline distT="0" distB="0" distL="0" distR="0" wp14:anchorId="4A233F9F" wp14:editId="454C95D9">
            <wp:extent cx="6400800" cy="5381625"/>
            <wp:effectExtent l="19050" t="0" r="0" b="0"/>
            <wp:docPr id="38"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137"/>
                    <a:srcRect/>
                    <a:stretch>
                      <a:fillRect/>
                    </a:stretch>
                  </pic:blipFill>
                  <pic:spPr bwMode="auto">
                    <a:xfrm>
                      <a:off x="0" y="0"/>
                      <a:ext cx="6400800" cy="5381625"/>
                    </a:xfrm>
                    <a:prstGeom prst="rect">
                      <a:avLst/>
                    </a:prstGeom>
                    <a:noFill/>
                    <a:ln w="9525">
                      <a:noFill/>
                      <a:miter lim="800000"/>
                      <a:headEnd/>
                      <a:tailEnd/>
                    </a:ln>
                  </pic:spPr>
                </pic:pic>
              </a:graphicData>
            </a:graphic>
          </wp:inline>
        </w:drawing>
      </w:r>
    </w:p>
    <w:p w14:paraId="4C0CA1BF" w14:textId="77777777" w:rsidR="00AA4C82" w:rsidRPr="006645DC" w:rsidRDefault="00AA4C82" w:rsidP="00AA4C82">
      <w:pPr>
        <w:pStyle w:val="Heading2"/>
        <w:numPr>
          <w:ilvl w:val="0"/>
          <w:numId w:val="0"/>
        </w:numPr>
        <w:ind w:left="757"/>
        <w:rPr>
          <w:lang w:val="en-GB"/>
        </w:rPr>
      </w:pPr>
    </w:p>
    <w:p w14:paraId="1BA5FBA0" w14:textId="77777777" w:rsidR="00AA4C82" w:rsidRPr="006645DC" w:rsidRDefault="00AA4C82" w:rsidP="00AA4C82">
      <w:pPr>
        <w:rPr>
          <w:lang w:val="en-GB"/>
        </w:rPr>
      </w:pPr>
    </w:p>
    <w:p w14:paraId="49B2D76E" w14:textId="77777777" w:rsidR="00AA4C82" w:rsidRPr="006645DC" w:rsidRDefault="00AA4C82" w:rsidP="00AA4C82">
      <w:pPr>
        <w:rPr>
          <w:lang w:val="en-GB"/>
        </w:rPr>
      </w:pPr>
    </w:p>
    <w:p w14:paraId="6CFF7A8A" w14:textId="77777777" w:rsidR="00AA4C82" w:rsidRPr="006645DC" w:rsidRDefault="00AA4C82" w:rsidP="00AA4C82">
      <w:pPr>
        <w:rPr>
          <w:lang w:val="en-GB"/>
        </w:rPr>
      </w:pPr>
    </w:p>
    <w:p w14:paraId="200CE956" w14:textId="77777777" w:rsidR="00AA4C82" w:rsidRPr="006645DC" w:rsidRDefault="00AA4C82" w:rsidP="00AA4C82">
      <w:pPr>
        <w:rPr>
          <w:lang w:val="en-GB"/>
        </w:rPr>
      </w:pPr>
    </w:p>
    <w:p w14:paraId="2A603C9E" w14:textId="77777777" w:rsidR="00AA4C82" w:rsidRPr="006645DC" w:rsidRDefault="00AA4C82" w:rsidP="00AA4C82">
      <w:pPr>
        <w:pStyle w:val="Heading2"/>
        <w:numPr>
          <w:ilvl w:val="0"/>
          <w:numId w:val="2"/>
        </w:numPr>
        <w:rPr>
          <w:lang w:val="en-GB"/>
        </w:rPr>
      </w:pPr>
      <w:bookmarkStart w:id="2122" w:name="_Toc376200197"/>
      <w:bookmarkStart w:id="2123" w:name="_Toc254543845"/>
      <w:bookmarkStart w:id="2124" w:name="_Toc391150214"/>
      <w:r w:rsidRPr="006645DC">
        <w:rPr>
          <w:lang w:val="en-GB"/>
        </w:rPr>
        <w:lastRenderedPageBreak/>
        <w:t>Challenges and needs</w:t>
      </w:r>
      <w:bookmarkEnd w:id="2112"/>
      <w:bookmarkEnd w:id="2113"/>
      <w:bookmarkEnd w:id="2122"/>
      <w:bookmarkEnd w:id="2123"/>
      <w:bookmarkEnd w:id="2124"/>
    </w:p>
    <w:p w14:paraId="490251F7" w14:textId="77777777" w:rsidR="00AA4C82" w:rsidRPr="006645DC" w:rsidRDefault="00AA4C82" w:rsidP="00C951D5">
      <w:pPr>
        <w:pStyle w:val="Heading3"/>
        <w:numPr>
          <w:ilvl w:val="0"/>
          <w:numId w:val="89"/>
        </w:numPr>
        <w:rPr>
          <w:lang w:val="en-GB"/>
        </w:rPr>
      </w:pPr>
      <w:bookmarkStart w:id="2125" w:name="_Toc371106283"/>
      <w:bookmarkStart w:id="2126" w:name="_Toc371107219"/>
      <w:bookmarkStart w:id="2127" w:name="_Toc254543846"/>
      <w:r w:rsidRPr="006645DC">
        <w:rPr>
          <w:lang w:val="en-GB"/>
        </w:rPr>
        <w:t>Territorial challenges</w:t>
      </w:r>
      <w:bookmarkEnd w:id="2125"/>
      <w:bookmarkEnd w:id="2126"/>
      <w:bookmarkEnd w:id="2127"/>
    </w:p>
    <w:p w14:paraId="790F3F07" w14:textId="77777777" w:rsidR="00AA4C82" w:rsidRPr="006645DC" w:rsidRDefault="00AA4C82" w:rsidP="00AA4C82">
      <w:pPr>
        <w:pStyle w:val="ListParagraph"/>
        <w:rPr>
          <w:rFonts w:eastAsia="Arial"/>
          <w:lang w:val="en-GB"/>
        </w:rPr>
      </w:pPr>
      <w:r w:rsidRPr="006645DC">
        <w:rPr>
          <w:rFonts w:eastAsia="Arial"/>
          <w:lang w:val="en-GB"/>
        </w:rPr>
        <w:t>High flood risk on the Romanian bank of the Danube and in some districts of the Bulgarian border area;</w:t>
      </w:r>
    </w:p>
    <w:p w14:paraId="58F1E8A0" w14:textId="77777777" w:rsidR="00AA4C82" w:rsidRPr="006645DC" w:rsidRDefault="00AA4C82" w:rsidP="00AA4C82">
      <w:pPr>
        <w:pStyle w:val="ListParagraph"/>
        <w:rPr>
          <w:rFonts w:eastAsia="Arial"/>
          <w:lang w:val="en-GB"/>
        </w:rPr>
      </w:pPr>
      <w:r w:rsidRPr="006645DC">
        <w:rPr>
          <w:rFonts w:eastAsia="Arial"/>
          <w:lang w:val="en-GB"/>
        </w:rPr>
        <w:t>Insufficient level of water management;</w:t>
      </w:r>
    </w:p>
    <w:p w14:paraId="53763058" w14:textId="77777777" w:rsidR="00AA4C82" w:rsidRPr="006645DC" w:rsidRDefault="00AA4C82" w:rsidP="00AA4C82">
      <w:pPr>
        <w:pStyle w:val="ListParagraph"/>
        <w:rPr>
          <w:rFonts w:eastAsia="Arial"/>
          <w:lang w:val="en-GB"/>
        </w:rPr>
      </w:pPr>
      <w:r w:rsidRPr="006645DC">
        <w:rPr>
          <w:rFonts w:eastAsia="Arial"/>
          <w:lang w:val="en-GB"/>
        </w:rPr>
        <w:t>There is no protected area defined in the town planning and land management documentation around Seveso-type site areas;</w:t>
      </w:r>
    </w:p>
    <w:p w14:paraId="78298139" w14:textId="77777777" w:rsidR="00AA4C82" w:rsidRPr="00CE723E" w:rsidRDefault="00AA4C82" w:rsidP="00AA4C82">
      <w:pPr>
        <w:pStyle w:val="ListParagraph"/>
        <w:rPr>
          <w:rFonts w:eastAsia="Arial"/>
          <w:lang w:val="en-GB"/>
        </w:rPr>
      </w:pPr>
      <w:r w:rsidRPr="006645DC">
        <w:rPr>
          <w:lang w:val="en-GB"/>
        </w:rPr>
        <w:t xml:space="preserve">Protected areas are exposed to great risks because of illegal exploitations, tourism, constructions, and poaching. All the protected areas, including future Natura 2000 areas, are facing major challenges of natural environment conservation. </w:t>
      </w:r>
    </w:p>
    <w:p w14:paraId="481AD55D" w14:textId="6231827A" w:rsidR="00CE723E" w:rsidRPr="00CE723E" w:rsidRDefault="00715F60" w:rsidP="00AA4C82">
      <w:pPr>
        <w:pStyle w:val="ListParagraph"/>
        <w:rPr>
          <w:rFonts w:eastAsia="Arial"/>
          <w:lang w:val="en-GB"/>
        </w:rPr>
      </w:pPr>
      <w:r w:rsidRPr="00CE723E">
        <w:rPr>
          <w:lang w:val="en-GB"/>
        </w:rPr>
        <w:t xml:space="preserve">The promotion and utilisation of natural and cultural heritage </w:t>
      </w:r>
      <w:r w:rsidR="00B21137">
        <w:rPr>
          <w:lang w:val="en-GB"/>
        </w:rPr>
        <w:t>is at low level while it can be of one of the main potential for economic development and for raising awareness on environmental protection.</w:t>
      </w:r>
    </w:p>
    <w:p w14:paraId="5EFEF6A6" w14:textId="48783D6E" w:rsidR="00AA4C82" w:rsidRPr="00CE723E" w:rsidRDefault="00AA4C82" w:rsidP="00AA4C82">
      <w:pPr>
        <w:pStyle w:val="ListParagraph"/>
        <w:rPr>
          <w:rFonts w:eastAsia="Arial"/>
          <w:lang w:val="en-GB"/>
        </w:rPr>
      </w:pPr>
      <w:r w:rsidRPr="00CE723E">
        <w:rPr>
          <w:rFonts w:eastAsia="Arial"/>
          <w:lang w:val="en-GB"/>
        </w:rPr>
        <w:t>The Danube territory has a low percentage of households connected to waste disposal services. The average level of this indicator is approximately 75%, but there are also counties, such as Dolj where values are much under 35%.</w:t>
      </w:r>
    </w:p>
    <w:p w14:paraId="764938A9" w14:textId="77777777" w:rsidR="00AA4C82" w:rsidRPr="006645DC" w:rsidRDefault="00AA4C82" w:rsidP="00AA4C82">
      <w:pPr>
        <w:pStyle w:val="ListParagraph"/>
        <w:rPr>
          <w:rFonts w:eastAsia="Arial"/>
          <w:lang w:val="en-GB"/>
        </w:rPr>
      </w:pPr>
      <w:r w:rsidRPr="006645DC">
        <w:rPr>
          <w:rFonts w:eastAsia="Arial"/>
          <w:lang w:val="en-GB"/>
        </w:rPr>
        <w:t>Inefficient waste management (low level of waste recycling, low efficiency of selective waste collection programmes, uncontrolled landfills in the rural areas that must be closed, overloaded controlled landfills, etc.).</w:t>
      </w:r>
    </w:p>
    <w:p w14:paraId="720F9CFC" w14:textId="77777777" w:rsidR="00AA4C82" w:rsidRPr="006645DC" w:rsidRDefault="00AA4C82" w:rsidP="00AA4C82">
      <w:pPr>
        <w:pStyle w:val="Heading3"/>
        <w:numPr>
          <w:ilvl w:val="0"/>
          <w:numId w:val="0"/>
        </w:numPr>
        <w:ind w:left="924" w:hanging="357"/>
        <w:rPr>
          <w:lang w:val="en-GB"/>
        </w:rPr>
        <w:sectPr w:rsidR="00AA4C82" w:rsidRPr="006645DC">
          <w:pgSz w:w="12240" w:h="15840"/>
          <w:pgMar w:top="1440" w:right="1440" w:bottom="1440" w:left="1440" w:header="720" w:footer="720" w:gutter="0"/>
          <w:cols w:space="720"/>
          <w:docGrid w:linePitch="360"/>
        </w:sectPr>
      </w:pPr>
      <w:bookmarkStart w:id="2128" w:name="_Toc371107220"/>
    </w:p>
    <w:p w14:paraId="5C065779" w14:textId="77777777" w:rsidR="00AA4C82" w:rsidRDefault="00AA4C82" w:rsidP="00AA4C82">
      <w:pPr>
        <w:pStyle w:val="Heading3"/>
        <w:rPr>
          <w:lang w:val="en-GB"/>
        </w:rPr>
      </w:pPr>
      <w:bookmarkStart w:id="2129" w:name="_Toc254543847"/>
      <w:r w:rsidRPr="006645DC">
        <w:rPr>
          <w:lang w:val="en-GB"/>
        </w:rPr>
        <w:lastRenderedPageBreak/>
        <w:t>Needs</w:t>
      </w:r>
      <w:bookmarkEnd w:id="2128"/>
      <w:bookmarkEnd w:id="2129"/>
    </w:p>
    <w:tbl>
      <w:tblPr>
        <w:tblStyle w:val="TableGrid"/>
        <w:tblW w:w="0" w:type="auto"/>
        <w:tblLook w:val="04A0" w:firstRow="1" w:lastRow="0" w:firstColumn="1" w:lastColumn="0" w:noHBand="0" w:noVBand="1"/>
      </w:tblPr>
      <w:tblGrid>
        <w:gridCol w:w="538"/>
        <w:gridCol w:w="5270"/>
        <w:gridCol w:w="947"/>
        <w:gridCol w:w="947"/>
        <w:gridCol w:w="937"/>
        <w:gridCol w:w="937"/>
      </w:tblGrid>
      <w:tr w:rsidR="00B21137" w:rsidRPr="006645DC" w14:paraId="2C5A64BA" w14:textId="77777777" w:rsidTr="004E19CB">
        <w:tc>
          <w:tcPr>
            <w:tcW w:w="0" w:type="auto"/>
            <w:vMerge w:val="restart"/>
          </w:tcPr>
          <w:p w14:paraId="54568DEE" w14:textId="77777777" w:rsidR="00B21137" w:rsidRPr="006645DC" w:rsidRDefault="00B21137" w:rsidP="004E19CB">
            <w:pPr>
              <w:spacing w:before="0" w:after="0"/>
              <w:jc w:val="center"/>
              <w:rPr>
                <w:rFonts w:eastAsia="Times New Roman" w:cs="Calibri"/>
                <w:b/>
                <w:bCs/>
                <w:lang w:val="en-GB"/>
              </w:rPr>
            </w:pPr>
            <w:r w:rsidRPr="006645DC">
              <w:rPr>
                <w:rFonts w:eastAsia="Times New Roman" w:cs="Calibri"/>
                <w:b/>
                <w:bCs/>
                <w:lang w:val="en-GB"/>
              </w:rPr>
              <w:t>No.</w:t>
            </w:r>
          </w:p>
        </w:tc>
        <w:tc>
          <w:tcPr>
            <w:tcW w:w="0" w:type="auto"/>
            <w:vMerge w:val="restart"/>
          </w:tcPr>
          <w:p w14:paraId="178FC89E" w14:textId="77777777" w:rsidR="00B21137" w:rsidRPr="006645DC" w:rsidRDefault="00B21137" w:rsidP="004E19CB">
            <w:pPr>
              <w:spacing w:before="0" w:after="0"/>
              <w:rPr>
                <w:rFonts w:eastAsia="Times New Roman" w:cs="Calibri"/>
                <w:b/>
                <w:bCs/>
                <w:lang w:val="en-GB"/>
              </w:rPr>
            </w:pPr>
            <w:r w:rsidRPr="006645DC">
              <w:rPr>
                <w:rFonts w:eastAsia="Times New Roman" w:cs="Calibri"/>
                <w:b/>
                <w:bCs/>
                <w:lang w:val="en-GB"/>
              </w:rPr>
              <w:t>Identified need</w:t>
            </w:r>
          </w:p>
        </w:tc>
        <w:tc>
          <w:tcPr>
            <w:tcW w:w="0" w:type="auto"/>
            <w:gridSpan w:val="2"/>
          </w:tcPr>
          <w:p w14:paraId="0210111F" w14:textId="77777777" w:rsidR="00B21137" w:rsidRPr="006645DC" w:rsidRDefault="00B21137" w:rsidP="004E19CB">
            <w:pPr>
              <w:spacing w:before="0" w:after="0"/>
              <w:jc w:val="center"/>
              <w:rPr>
                <w:rFonts w:eastAsia="Times New Roman" w:cs="Calibri"/>
                <w:b/>
                <w:bCs/>
                <w:lang w:val="en-GB"/>
              </w:rPr>
            </w:pPr>
            <w:r w:rsidRPr="006645DC">
              <w:rPr>
                <w:rFonts w:eastAsia="Times New Roman" w:cs="Calibri"/>
                <w:b/>
                <w:bCs/>
                <w:lang w:val="en-GB"/>
              </w:rPr>
              <w:t>Relevance for each national cross-border area</w:t>
            </w:r>
          </w:p>
        </w:tc>
        <w:tc>
          <w:tcPr>
            <w:tcW w:w="0" w:type="auto"/>
            <w:gridSpan w:val="2"/>
          </w:tcPr>
          <w:p w14:paraId="3D6D7CD2" w14:textId="77777777" w:rsidR="00B21137" w:rsidRPr="006645DC" w:rsidRDefault="00B21137" w:rsidP="004E19CB">
            <w:pPr>
              <w:spacing w:before="0" w:after="0"/>
              <w:jc w:val="center"/>
              <w:rPr>
                <w:rFonts w:eastAsia="Times New Roman" w:cs="Calibri"/>
                <w:b/>
                <w:bCs/>
                <w:lang w:val="en-GB"/>
              </w:rPr>
            </w:pPr>
            <w:r w:rsidRPr="006645DC">
              <w:rPr>
                <w:rFonts w:eastAsia="Times New Roman" w:cs="Calibri"/>
                <w:b/>
                <w:bCs/>
                <w:lang w:val="en-GB"/>
              </w:rPr>
              <w:t>Relevance for the ERDF Thematic Objectives</w:t>
            </w:r>
          </w:p>
        </w:tc>
      </w:tr>
      <w:tr w:rsidR="00B21137" w:rsidRPr="006645DC" w14:paraId="212BF5C4" w14:textId="77777777" w:rsidTr="004E19CB">
        <w:tc>
          <w:tcPr>
            <w:tcW w:w="0" w:type="auto"/>
            <w:vMerge/>
          </w:tcPr>
          <w:p w14:paraId="22D6F549" w14:textId="77777777" w:rsidR="00B21137" w:rsidRPr="006645DC" w:rsidRDefault="00B21137" w:rsidP="004E19CB">
            <w:pPr>
              <w:spacing w:before="0" w:after="0"/>
              <w:jc w:val="center"/>
              <w:rPr>
                <w:rFonts w:eastAsia="Times New Roman" w:cs="Calibri"/>
                <w:b/>
                <w:bCs/>
                <w:lang w:val="en-GB"/>
              </w:rPr>
            </w:pPr>
          </w:p>
        </w:tc>
        <w:tc>
          <w:tcPr>
            <w:tcW w:w="0" w:type="auto"/>
            <w:vMerge/>
          </w:tcPr>
          <w:p w14:paraId="2B8CB076" w14:textId="77777777" w:rsidR="00B21137" w:rsidRPr="006645DC" w:rsidRDefault="00B21137" w:rsidP="004E19CB">
            <w:pPr>
              <w:spacing w:before="0" w:after="0"/>
              <w:rPr>
                <w:rFonts w:cs="Calibri"/>
                <w:lang w:val="en-GB"/>
              </w:rPr>
            </w:pPr>
          </w:p>
        </w:tc>
        <w:tc>
          <w:tcPr>
            <w:tcW w:w="0" w:type="auto"/>
          </w:tcPr>
          <w:p w14:paraId="4F5A6885" w14:textId="77777777" w:rsidR="00B21137" w:rsidRPr="006645DC" w:rsidRDefault="00B21137" w:rsidP="004E19CB">
            <w:pPr>
              <w:keepNext/>
              <w:keepLines/>
              <w:spacing w:before="0" w:after="0"/>
              <w:jc w:val="center"/>
              <w:outlineLvl w:val="1"/>
              <w:rPr>
                <w:rFonts w:cs="Calibri"/>
                <w:b/>
                <w:lang w:val="en-GB"/>
              </w:rPr>
            </w:pPr>
            <w:bookmarkStart w:id="2130" w:name="_Toc376200198"/>
            <w:r w:rsidRPr="006645DC">
              <w:rPr>
                <w:rFonts w:cs="Calibri"/>
                <w:b/>
                <w:lang w:val="en-GB"/>
              </w:rPr>
              <w:t>RO</w:t>
            </w:r>
            <w:bookmarkEnd w:id="2130"/>
          </w:p>
        </w:tc>
        <w:tc>
          <w:tcPr>
            <w:tcW w:w="0" w:type="auto"/>
          </w:tcPr>
          <w:p w14:paraId="5A68A55C" w14:textId="77777777" w:rsidR="00B21137" w:rsidRPr="006645DC" w:rsidRDefault="00B21137" w:rsidP="004E19CB">
            <w:pPr>
              <w:keepNext/>
              <w:keepLines/>
              <w:spacing w:before="0" w:after="0"/>
              <w:jc w:val="center"/>
              <w:outlineLvl w:val="1"/>
              <w:rPr>
                <w:rFonts w:cs="Calibri"/>
                <w:b/>
                <w:lang w:val="en-GB"/>
              </w:rPr>
            </w:pPr>
            <w:bookmarkStart w:id="2131" w:name="_Toc376200199"/>
            <w:r w:rsidRPr="006645DC">
              <w:rPr>
                <w:rFonts w:cs="Calibri"/>
                <w:b/>
                <w:lang w:val="en-GB"/>
              </w:rPr>
              <w:t>BG</w:t>
            </w:r>
            <w:bookmarkEnd w:id="2131"/>
          </w:p>
        </w:tc>
        <w:tc>
          <w:tcPr>
            <w:tcW w:w="0" w:type="auto"/>
          </w:tcPr>
          <w:p w14:paraId="7B9C9B9A" w14:textId="77777777" w:rsidR="00B21137" w:rsidRPr="006645DC" w:rsidRDefault="00B21137" w:rsidP="004E19CB">
            <w:pPr>
              <w:keepNext/>
              <w:keepLines/>
              <w:spacing w:before="0" w:after="0"/>
              <w:jc w:val="center"/>
              <w:outlineLvl w:val="1"/>
              <w:rPr>
                <w:rFonts w:cs="Calibri"/>
                <w:b/>
                <w:lang w:val="en-GB"/>
              </w:rPr>
            </w:pPr>
            <w:bookmarkStart w:id="2132" w:name="_Toc376200200"/>
            <w:r w:rsidRPr="006645DC">
              <w:rPr>
                <w:rFonts w:cs="Calibri"/>
                <w:b/>
                <w:lang w:val="en-GB"/>
              </w:rPr>
              <w:t>TO4</w:t>
            </w:r>
            <w:bookmarkEnd w:id="2132"/>
          </w:p>
        </w:tc>
        <w:tc>
          <w:tcPr>
            <w:tcW w:w="0" w:type="auto"/>
          </w:tcPr>
          <w:p w14:paraId="420A5357" w14:textId="77777777" w:rsidR="00B21137" w:rsidRPr="006645DC" w:rsidRDefault="00B21137" w:rsidP="004E19CB">
            <w:pPr>
              <w:spacing w:before="0" w:after="0"/>
              <w:jc w:val="center"/>
              <w:rPr>
                <w:rFonts w:cs="Calibri"/>
                <w:b/>
                <w:lang w:val="en-GB"/>
              </w:rPr>
            </w:pPr>
            <w:r w:rsidRPr="006645DC">
              <w:rPr>
                <w:rFonts w:cs="Calibri"/>
                <w:b/>
                <w:lang w:val="en-GB"/>
              </w:rPr>
              <w:t>TO6</w:t>
            </w:r>
          </w:p>
        </w:tc>
      </w:tr>
      <w:tr w:rsidR="00B21137" w:rsidRPr="006645DC" w14:paraId="37DFC7FB" w14:textId="77777777" w:rsidTr="004E19CB">
        <w:tc>
          <w:tcPr>
            <w:tcW w:w="0" w:type="auto"/>
          </w:tcPr>
          <w:p w14:paraId="2E802CC8" w14:textId="77777777" w:rsidR="00B21137" w:rsidRPr="006645DC" w:rsidRDefault="00B21137" w:rsidP="004E19CB">
            <w:pPr>
              <w:spacing w:before="0" w:after="0"/>
              <w:jc w:val="center"/>
              <w:rPr>
                <w:rFonts w:eastAsia="Times New Roman" w:cs="Calibri"/>
                <w:b/>
                <w:bCs/>
                <w:lang w:val="en-GB"/>
              </w:rPr>
            </w:pPr>
            <w:r w:rsidRPr="006645DC">
              <w:rPr>
                <w:rFonts w:eastAsia="Times New Roman" w:cs="Calibri"/>
                <w:b/>
                <w:bCs/>
                <w:lang w:val="en-GB"/>
              </w:rPr>
              <w:t>1</w:t>
            </w:r>
          </w:p>
        </w:tc>
        <w:tc>
          <w:tcPr>
            <w:tcW w:w="0" w:type="auto"/>
          </w:tcPr>
          <w:p w14:paraId="0642C090" w14:textId="77777777" w:rsidR="00B21137" w:rsidRPr="006645DC" w:rsidRDefault="00B21137" w:rsidP="004E19CB">
            <w:pPr>
              <w:pStyle w:val="BodyText2"/>
              <w:keepNext/>
              <w:keepLine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jc w:val="both"/>
              <w:outlineLvl w:val="1"/>
              <w:rPr>
                <w:rFonts w:ascii="Calibri" w:hAnsi="Calibri"/>
                <w:sz w:val="22"/>
                <w:szCs w:val="22"/>
                <w:lang w:val="en-GB"/>
              </w:rPr>
            </w:pPr>
            <w:bookmarkStart w:id="2133" w:name="_Toc376200201"/>
            <w:r w:rsidRPr="006645DC">
              <w:rPr>
                <w:rFonts w:ascii="Calibri" w:eastAsia="Arial" w:hAnsi="Calibri"/>
                <w:b w:val="0"/>
                <w:sz w:val="22"/>
                <w:szCs w:val="22"/>
                <w:lang w:val="en-GB"/>
              </w:rPr>
              <w:t>Introducing new innovative technologies and common tourism products in order to improve the environment quality</w:t>
            </w:r>
            <w:bookmarkEnd w:id="2133"/>
            <w:r w:rsidRPr="006645DC">
              <w:rPr>
                <w:rFonts w:ascii="Calibri" w:eastAsia="Arial" w:hAnsi="Calibri"/>
                <w:b w:val="0"/>
                <w:sz w:val="22"/>
                <w:szCs w:val="22"/>
                <w:lang w:val="en-GB"/>
              </w:rPr>
              <w:t xml:space="preserve"> and to preserve and promote cultural heritage</w:t>
            </w:r>
          </w:p>
        </w:tc>
        <w:tc>
          <w:tcPr>
            <w:tcW w:w="0" w:type="auto"/>
          </w:tcPr>
          <w:p w14:paraId="49E207DD" w14:textId="77777777" w:rsidR="00B21137" w:rsidRPr="006645DC" w:rsidRDefault="00B21137" w:rsidP="004E19CB">
            <w:pPr>
              <w:keepNext/>
              <w:keepLines/>
              <w:spacing w:before="0" w:after="0"/>
              <w:jc w:val="center"/>
              <w:outlineLvl w:val="1"/>
              <w:rPr>
                <w:rFonts w:cs="Calibri"/>
                <w:lang w:val="en-GB"/>
              </w:rPr>
            </w:pPr>
            <w:bookmarkStart w:id="2134" w:name="_Toc376200202"/>
            <w:r w:rsidRPr="006645DC">
              <w:rPr>
                <w:rFonts w:cs="Calibri"/>
                <w:lang w:val="en-GB"/>
              </w:rPr>
              <w:t>+++</w:t>
            </w:r>
            <w:bookmarkEnd w:id="2134"/>
          </w:p>
        </w:tc>
        <w:tc>
          <w:tcPr>
            <w:tcW w:w="0" w:type="auto"/>
          </w:tcPr>
          <w:p w14:paraId="7F5481EC" w14:textId="77777777" w:rsidR="00B21137" w:rsidRPr="006645DC" w:rsidRDefault="00B21137" w:rsidP="004E19CB">
            <w:pPr>
              <w:keepNext/>
              <w:keepLines/>
              <w:spacing w:before="0" w:after="0"/>
              <w:jc w:val="center"/>
              <w:outlineLvl w:val="1"/>
              <w:rPr>
                <w:rFonts w:cs="Calibri"/>
                <w:lang w:val="en-GB"/>
              </w:rPr>
            </w:pPr>
            <w:bookmarkStart w:id="2135" w:name="_Toc376200203"/>
            <w:r w:rsidRPr="006645DC">
              <w:rPr>
                <w:rFonts w:cs="Calibri"/>
                <w:lang w:val="en-GB"/>
              </w:rPr>
              <w:t>+++</w:t>
            </w:r>
            <w:bookmarkEnd w:id="2135"/>
          </w:p>
        </w:tc>
        <w:tc>
          <w:tcPr>
            <w:tcW w:w="0" w:type="auto"/>
          </w:tcPr>
          <w:p w14:paraId="6809365D" w14:textId="77777777" w:rsidR="00B21137" w:rsidRPr="006645DC" w:rsidRDefault="00B21137" w:rsidP="004E19CB">
            <w:pPr>
              <w:keepNext/>
              <w:keepLines/>
              <w:spacing w:before="0" w:after="0"/>
              <w:jc w:val="center"/>
              <w:outlineLvl w:val="1"/>
              <w:rPr>
                <w:rFonts w:cs="Calibri"/>
                <w:b/>
                <w:lang w:val="en-GB"/>
              </w:rPr>
            </w:pPr>
          </w:p>
        </w:tc>
        <w:tc>
          <w:tcPr>
            <w:tcW w:w="0" w:type="auto"/>
          </w:tcPr>
          <w:p w14:paraId="447782C0" w14:textId="77777777" w:rsidR="00B21137" w:rsidRPr="006645DC" w:rsidRDefault="00B21137" w:rsidP="004E19CB">
            <w:pPr>
              <w:keepNext/>
              <w:keepLines/>
              <w:spacing w:before="0" w:after="0"/>
              <w:jc w:val="center"/>
              <w:outlineLvl w:val="1"/>
              <w:rPr>
                <w:rFonts w:cs="Calibri"/>
                <w:b/>
                <w:lang w:val="en-GB"/>
              </w:rPr>
            </w:pPr>
            <w:bookmarkStart w:id="2136" w:name="_Toc376200205"/>
            <w:r w:rsidRPr="006645DC">
              <w:rPr>
                <w:rFonts w:cs="Calibri"/>
                <w:b/>
                <w:lang w:val="en-GB"/>
              </w:rPr>
              <w:t>√</w:t>
            </w:r>
            <w:bookmarkEnd w:id="2136"/>
          </w:p>
        </w:tc>
      </w:tr>
      <w:tr w:rsidR="00B21137" w:rsidRPr="006645DC" w14:paraId="168EE2DE" w14:textId="77777777" w:rsidTr="004E19CB">
        <w:tc>
          <w:tcPr>
            <w:tcW w:w="0" w:type="auto"/>
          </w:tcPr>
          <w:p w14:paraId="1F07C5EC" w14:textId="77777777" w:rsidR="00B21137" w:rsidRPr="006645DC" w:rsidRDefault="00B21137" w:rsidP="004E19CB">
            <w:pPr>
              <w:keepNext/>
              <w:keepLines/>
              <w:spacing w:before="0" w:after="0"/>
              <w:jc w:val="center"/>
              <w:outlineLvl w:val="1"/>
              <w:rPr>
                <w:rFonts w:eastAsia="Times New Roman" w:cs="Calibri"/>
                <w:b/>
                <w:bCs/>
                <w:lang w:val="en-GB"/>
              </w:rPr>
            </w:pPr>
            <w:r>
              <w:rPr>
                <w:rFonts w:eastAsia="Times New Roman" w:cs="Calibri"/>
                <w:b/>
                <w:bCs/>
                <w:lang w:val="en-GB"/>
              </w:rPr>
              <w:t>2</w:t>
            </w:r>
          </w:p>
        </w:tc>
        <w:tc>
          <w:tcPr>
            <w:tcW w:w="0" w:type="auto"/>
          </w:tcPr>
          <w:p w14:paraId="0840AB21" w14:textId="77777777" w:rsidR="00B21137" w:rsidRPr="006645DC" w:rsidRDefault="00B21137" w:rsidP="004E19CB">
            <w:pPr>
              <w:pStyle w:val="BodyText2"/>
              <w:keepNext/>
              <w:keepLine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jc w:val="both"/>
              <w:outlineLvl w:val="1"/>
              <w:rPr>
                <w:rFonts w:ascii="Calibri" w:hAnsi="Calibri"/>
                <w:sz w:val="22"/>
                <w:szCs w:val="22"/>
                <w:lang w:val="en-GB"/>
              </w:rPr>
            </w:pPr>
            <w:bookmarkStart w:id="2137" w:name="_Toc376200212"/>
            <w:r w:rsidRPr="006645DC">
              <w:rPr>
                <w:rFonts w:ascii="Calibri" w:eastAsia="Arial" w:hAnsi="Calibri"/>
                <w:b w:val="0"/>
                <w:sz w:val="22"/>
                <w:szCs w:val="22"/>
                <w:lang w:val="en-GB"/>
              </w:rPr>
              <w:t>Promoting projects for decreasing environmental vulnerability related to natural and anthropic hazards (reforestation, land improvement, etc.)</w:t>
            </w:r>
            <w:bookmarkEnd w:id="2137"/>
          </w:p>
        </w:tc>
        <w:tc>
          <w:tcPr>
            <w:tcW w:w="0" w:type="auto"/>
          </w:tcPr>
          <w:p w14:paraId="33F1D3E6" w14:textId="77777777" w:rsidR="00B21137" w:rsidRPr="006645DC" w:rsidRDefault="00B21137" w:rsidP="004E19CB">
            <w:pPr>
              <w:keepNext/>
              <w:keepLines/>
              <w:spacing w:before="0" w:after="0"/>
              <w:jc w:val="center"/>
              <w:outlineLvl w:val="1"/>
              <w:rPr>
                <w:rFonts w:cs="Calibri"/>
                <w:lang w:val="en-GB"/>
              </w:rPr>
            </w:pPr>
            <w:bookmarkStart w:id="2138" w:name="_Toc376200213"/>
            <w:r w:rsidRPr="006645DC">
              <w:rPr>
                <w:rFonts w:cs="Calibri"/>
                <w:lang w:val="en-GB"/>
              </w:rPr>
              <w:t>++</w:t>
            </w:r>
            <w:bookmarkEnd w:id="2138"/>
          </w:p>
        </w:tc>
        <w:tc>
          <w:tcPr>
            <w:tcW w:w="0" w:type="auto"/>
          </w:tcPr>
          <w:p w14:paraId="5F5B0042" w14:textId="77777777" w:rsidR="00B21137" w:rsidRPr="006645DC" w:rsidRDefault="00B21137" w:rsidP="004E19CB">
            <w:pPr>
              <w:keepNext/>
              <w:keepLines/>
              <w:spacing w:before="0" w:after="0"/>
              <w:jc w:val="center"/>
              <w:outlineLvl w:val="1"/>
              <w:rPr>
                <w:rFonts w:cs="Calibri"/>
                <w:lang w:val="en-GB"/>
              </w:rPr>
            </w:pPr>
            <w:bookmarkStart w:id="2139" w:name="_Toc376200214"/>
            <w:r w:rsidRPr="006645DC">
              <w:rPr>
                <w:rFonts w:cs="Calibri"/>
                <w:lang w:val="en-GB"/>
              </w:rPr>
              <w:t>++</w:t>
            </w:r>
            <w:bookmarkEnd w:id="2139"/>
          </w:p>
        </w:tc>
        <w:tc>
          <w:tcPr>
            <w:tcW w:w="0" w:type="auto"/>
          </w:tcPr>
          <w:p w14:paraId="4125DEC9" w14:textId="77777777" w:rsidR="00B21137" w:rsidRPr="006645DC" w:rsidRDefault="00B21137" w:rsidP="004E19CB">
            <w:pPr>
              <w:spacing w:before="0" w:after="0"/>
              <w:jc w:val="center"/>
              <w:rPr>
                <w:rFonts w:cs="Calibri"/>
                <w:b/>
                <w:lang w:val="en-GB"/>
              </w:rPr>
            </w:pPr>
          </w:p>
        </w:tc>
        <w:tc>
          <w:tcPr>
            <w:tcW w:w="0" w:type="auto"/>
          </w:tcPr>
          <w:p w14:paraId="64E093B1" w14:textId="77777777" w:rsidR="00B21137" w:rsidRPr="006645DC" w:rsidRDefault="00B21137" w:rsidP="004E19CB">
            <w:pPr>
              <w:keepNext/>
              <w:keepLines/>
              <w:spacing w:before="0" w:after="0"/>
              <w:jc w:val="center"/>
              <w:outlineLvl w:val="1"/>
              <w:rPr>
                <w:rFonts w:cs="Calibri"/>
                <w:b/>
                <w:lang w:val="en-GB"/>
              </w:rPr>
            </w:pPr>
            <w:bookmarkStart w:id="2140" w:name="_Toc376200215"/>
            <w:r w:rsidRPr="006645DC">
              <w:rPr>
                <w:rFonts w:cs="Calibri"/>
                <w:b/>
                <w:lang w:val="en-GB"/>
              </w:rPr>
              <w:t>√</w:t>
            </w:r>
            <w:bookmarkEnd w:id="2140"/>
          </w:p>
        </w:tc>
      </w:tr>
      <w:tr w:rsidR="00B21137" w:rsidRPr="006645DC" w14:paraId="0A46BB29" w14:textId="77777777" w:rsidTr="004E19CB">
        <w:tc>
          <w:tcPr>
            <w:tcW w:w="0" w:type="auto"/>
          </w:tcPr>
          <w:p w14:paraId="02A211E7" w14:textId="77777777" w:rsidR="00B21137" w:rsidRPr="006645DC" w:rsidRDefault="00B21137" w:rsidP="004E19CB">
            <w:pPr>
              <w:keepNext/>
              <w:keepLines/>
              <w:spacing w:before="0" w:after="0"/>
              <w:jc w:val="center"/>
              <w:outlineLvl w:val="1"/>
              <w:rPr>
                <w:rFonts w:eastAsia="Times New Roman" w:cs="Calibri"/>
                <w:b/>
                <w:bCs/>
                <w:lang w:val="en-GB"/>
              </w:rPr>
            </w:pPr>
            <w:r>
              <w:rPr>
                <w:rFonts w:eastAsia="Times New Roman" w:cs="Calibri"/>
                <w:b/>
                <w:bCs/>
                <w:lang w:val="en-GB"/>
              </w:rPr>
              <w:t>3</w:t>
            </w:r>
          </w:p>
        </w:tc>
        <w:tc>
          <w:tcPr>
            <w:tcW w:w="0" w:type="auto"/>
          </w:tcPr>
          <w:p w14:paraId="1E9587B0" w14:textId="595B05C8" w:rsidR="00B21137" w:rsidRPr="006645DC" w:rsidRDefault="00B21137" w:rsidP="00B21137">
            <w:pPr>
              <w:pStyle w:val="BodyText2"/>
              <w:keepNext/>
              <w:keepLine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jc w:val="both"/>
              <w:outlineLvl w:val="1"/>
              <w:rPr>
                <w:rFonts w:ascii="Calibri" w:hAnsi="Calibri"/>
                <w:sz w:val="22"/>
                <w:szCs w:val="22"/>
                <w:lang w:val="en-GB"/>
              </w:rPr>
            </w:pPr>
            <w:bookmarkStart w:id="2141" w:name="_Toc376200217"/>
            <w:r w:rsidRPr="006645DC">
              <w:rPr>
                <w:rFonts w:ascii="Calibri" w:eastAsia="Arial" w:hAnsi="Calibri"/>
                <w:b w:val="0"/>
                <w:sz w:val="22"/>
                <w:szCs w:val="22"/>
                <w:lang w:val="en-GB"/>
              </w:rPr>
              <w:t>Improving equipment and coordination regarding environmental infrastructures</w:t>
            </w:r>
            <w:bookmarkEnd w:id="2141"/>
            <w:r>
              <w:rPr>
                <w:rFonts w:ascii="Calibri" w:eastAsia="Arial" w:hAnsi="Calibri"/>
                <w:b w:val="0"/>
                <w:sz w:val="22"/>
                <w:szCs w:val="22"/>
                <w:lang w:val="en-GB"/>
              </w:rPr>
              <w:t xml:space="preserve"> </w:t>
            </w:r>
            <w:r w:rsidRPr="006645DC">
              <w:rPr>
                <w:rFonts w:ascii="Calibri" w:eastAsia="Arial" w:hAnsi="Calibri"/>
                <w:b w:val="0"/>
                <w:sz w:val="22"/>
                <w:szCs w:val="22"/>
                <w:lang w:val="en-GB"/>
              </w:rPr>
              <w:t>in order to restore biodiversity, soil, and ecosystems</w:t>
            </w:r>
          </w:p>
        </w:tc>
        <w:tc>
          <w:tcPr>
            <w:tcW w:w="0" w:type="auto"/>
          </w:tcPr>
          <w:p w14:paraId="69832A54" w14:textId="77777777" w:rsidR="00B21137" w:rsidRPr="006645DC" w:rsidRDefault="00B21137" w:rsidP="004E19CB">
            <w:pPr>
              <w:keepNext/>
              <w:keepLines/>
              <w:spacing w:before="0" w:after="0"/>
              <w:jc w:val="center"/>
              <w:outlineLvl w:val="1"/>
              <w:rPr>
                <w:rFonts w:cs="Calibri"/>
                <w:lang w:val="en-GB"/>
              </w:rPr>
            </w:pPr>
            <w:bookmarkStart w:id="2142" w:name="_Toc376200218"/>
            <w:r w:rsidRPr="006645DC">
              <w:rPr>
                <w:rFonts w:cs="Calibri"/>
                <w:lang w:val="en-GB"/>
              </w:rPr>
              <w:t>+++</w:t>
            </w:r>
            <w:bookmarkEnd w:id="2142"/>
          </w:p>
        </w:tc>
        <w:tc>
          <w:tcPr>
            <w:tcW w:w="0" w:type="auto"/>
          </w:tcPr>
          <w:p w14:paraId="67FBBC9E" w14:textId="77777777" w:rsidR="00B21137" w:rsidRPr="006645DC" w:rsidRDefault="00B21137" w:rsidP="004E19CB">
            <w:pPr>
              <w:keepNext/>
              <w:keepLines/>
              <w:spacing w:before="0" w:after="0"/>
              <w:jc w:val="center"/>
              <w:outlineLvl w:val="1"/>
              <w:rPr>
                <w:rFonts w:cs="Calibri"/>
                <w:lang w:val="en-GB"/>
              </w:rPr>
            </w:pPr>
            <w:bookmarkStart w:id="2143" w:name="_Toc376200219"/>
            <w:r w:rsidRPr="006645DC">
              <w:rPr>
                <w:rFonts w:cs="Calibri"/>
                <w:lang w:val="en-GB"/>
              </w:rPr>
              <w:t>++</w:t>
            </w:r>
            <w:bookmarkEnd w:id="2143"/>
          </w:p>
        </w:tc>
        <w:tc>
          <w:tcPr>
            <w:tcW w:w="0" w:type="auto"/>
          </w:tcPr>
          <w:p w14:paraId="3F7FED03" w14:textId="77777777" w:rsidR="00B21137" w:rsidRPr="006645DC" w:rsidRDefault="00B21137" w:rsidP="004E19CB">
            <w:pPr>
              <w:spacing w:before="0" w:after="0"/>
              <w:jc w:val="center"/>
              <w:rPr>
                <w:rFonts w:cs="Calibri"/>
                <w:b/>
                <w:lang w:val="en-GB"/>
              </w:rPr>
            </w:pPr>
            <w:r>
              <w:rPr>
                <w:rFonts w:cs="Calibri"/>
                <w:b/>
                <w:lang w:val="en-GB"/>
              </w:rPr>
              <w:t>√</w:t>
            </w:r>
          </w:p>
        </w:tc>
        <w:tc>
          <w:tcPr>
            <w:tcW w:w="0" w:type="auto"/>
          </w:tcPr>
          <w:p w14:paraId="29B47058" w14:textId="77777777" w:rsidR="00B21137" w:rsidRPr="006645DC" w:rsidRDefault="00B21137" w:rsidP="004E19CB">
            <w:pPr>
              <w:keepNext/>
              <w:keepLines/>
              <w:spacing w:before="0" w:after="0"/>
              <w:jc w:val="center"/>
              <w:outlineLvl w:val="1"/>
              <w:rPr>
                <w:rFonts w:cs="Calibri"/>
                <w:b/>
                <w:lang w:val="en-GB"/>
              </w:rPr>
            </w:pPr>
            <w:bookmarkStart w:id="2144" w:name="_Toc376200220"/>
            <w:r w:rsidRPr="006645DC">
              <w:rPr>
                <w:rFonts w:cs="Calibri"/>
                <w:b/>
                <w:lang w:val="en-GB"/>
              </w:rPr>
              <w:t>√</w:t>
            </w:r>
            <w:bookmarkEnd w:id="2144"/>
          </w:p>
        </w:tc>
      </w:tr>
      <w:tr w:rsidR="00B21137" w:rsidRPr="006645DC" w14:paraId="5AAE7500" w14:textId="77777777" w:rsidTr="004E19CB">
        <w:tc>
          <w:tcPr>
            <w:tcW w:w="0" w:type="auto"/>
          </w:tcPr>
          <w:p w14:paraId="5686C98B" w14:textId="77777777" w:rsidR="00B21137" w:rsidRPr="006645DC" w:rsidRDefault="00B21137" w:rsidP="004E19CB">
            <w:pPr>
              <w:keepNext/>
              <w:keepLines/>
              <w:spacing w:before="0" w:after="0"/>
              <w:jc w:val="center"/>
              <w:outlineLvl w:val="1"/>
              <w:rPr>
                <w:rFonts w:eastAsia="Times New Roman" w:cs="Calibri"/>
                <w:b/>
                <w:bCs/>
                <w:lang w:val="en-GB"/>
              </w:rPr>
            </w:pPr>
            <w:r>
              <w:rPr>
                <w:rFonts w:eastAsia="Times New Roman" w:cs="Calibri"/>
                <w:b/>
                <w:bCs/>
                <w:lang w:val="en-GB"/>
              </w:rPr>
              <w:t>4</w:t>
            </w:r>
          </w:p>
        </w:tc>
        <w:tc>
          <w:tcPr>
            <w:tcW w:w="0" w:type="auto"/>
          </w:tcPr>
          <w:p w14:paraId="0BEEB570" w14:textId="6C2183E0" w:rsidR="00B21137" w:rsidRPr="006645DC" w:rsidRDefault="00B21137" w:rsidP="00B21137">
            <w:pPr>
              <w:pStyle w:val="BodyText2"/>
              <w:keepNext/>
              <w:keepLine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jc w:val="both"/>
              <w:outlineLvl w:val="1"/>
              <w:rPr>
                <w:rFonts w:ascii="Calibri" w:hAnsi="Calibri"/>
                <w:sz w:val="22"/>
                <w:szCs w:val="22"/>
                <w:lang w:val="en-GB"/>
              </w:rPr>
            </w:pPr>
            <w:bookmarkStart w:id="2145" w:name="_Toc376200222"/>
            <w:r w:rsidRPr="006645DC">
              <w:rPr>
                <w:rFonts w:ascii="Calibri" w:eastAsia="Arial" w:hAnsi="Calibri"/>
                <w:b w:val="0"/>
                <w:sz w:val="22"/>
                <w:szCs w:val="22"/>
                <w:lang w:val="en-GB"/>
              </w:rPr>
              <w:t>Ensuring the efficiency of the waste collection / landfilling / recycling process</w:t>
            </w:r>
            <w:bookmarkEnd w:id="2145"/>
            <w:r w:rsidRPr="006645DC">
              <w:rPr>
                <w:rFonts w:ascii="Calibri" w:eastAsia="Arial" w:hAnsi="Calibri"/>
                <w:b w:val="0"/>
                <w:sz w:val="22"/>
                <w:szCs w:val="22"/>
                <w:lang w:val="en-GB"/>
              </w:rPr>
              <w:t xml:space="preserve"> </w:t>
            </w:r>
          </w:p>
        </w:tc>
        <w:tc>
          <w:tcPr>
            <w:tcW w:w="0" w:type="auto"/>
          </w:tcPr>
          <w:p w14:paraId="5FB3384B" w14:textId="77777777" w:rsidR="00B21137" w:rsidRPr="006645DC" w:rsidRDefault="00B21137" w:rsidP="004E19CB">
            <w:pPr>
              <w:keepNext/>
              <w:keepLines/>
              <w:spacing w:before="0" w:after="0"/>
              <w:jc w:val="center"/>
              <w:outlineLvl w:val="1"/>
              <w:rPr>
                <w:rFonts w:cs="Calibri"/>
                <w:lang w:val="en-GB"/>
              </w:rPr>
            </w:pPr>
            <w:bookmarkStart w:id="2146" w:name="_Toc376200223"/>
            <w:r w:rsidRPr="006645DC">
              <w:rPr>
                <w:rFonts w:cs="Calibri"/>
                <w:lang w:val="en-GB"/>
              </w:rPr>
              <w:t>+++</w:t>
            </w:r>
            <w:bookmarkEnd w:id="2146"/>
          </w:p>
        </w:tc>
        <w:tc>
          <w:tcPr>
            <w:tcW w:w="0" w:type="auto"/>
          </w:tcPr>
          <w:p w14:paraId="79836E55" w14:textId="77777777" w:rsidR="00B21137" w:rsidRPr="006645DC" w:rsidRDefault="00B21137" w:rsidP="004E19CB">
            <w:pPr>
              <w:keepNext/>
              <w:keepLines/>
              <w:spacing w:before="0" w:after="0"/>
              <w:jc w:val="center"/>
              <w:outlineLvl w:val="1"/>
              <w:rPr>
                <w:rFonts w:cs="Calibri"/>
                <w:lang w:val="en-GB"/>
              </w:rPr>
            </w:pPr>
            <w:bookmarkStart w:id="2147" w:name="_Toc376200224"/>
            <w:r w:rsidRPr="006645DC">
              <w:rPr>
                <w:rFonts w:cs="Calibri"/>
                <w:lang w:val="en-GB"/>
              </w:rPr>
              <w:t>++</w:t>
            </w:r>
            <w:bookmarkEnd w:id="2147"/>
          </w:p>
        </w:tc>
        <w:tc>
          <w:tcPr>
            <w:tcW w:w="0" w:type="auto"/>
          </w:tcPr>
          <w:p w14:paraId="422CB1F5" w14:textId="77777777" w:rsidR="00B21137" w:rsidRPr="006645DC" w:rsidRDefault="00B21137" w:rsidP="004E19CB">
            <w:pPr>
              <w:keepNext/>
              <w:keepLines/>
              <w:spacing w:before="0" w:after="0"/>
              <w:jc w:val="center"/>
              <w:outlineLvl w:val="1"/>
              <w:rPr>
                <w:rFonts w:cs="Calibri"/>
                <w:b/>
                <w:lang w:val="en-GB"/>
              </w:rPr>
            </w:pPr>
            <w:bookmarkStart w:id="2148" w:name="_Toc376200225"/>
            <w:r w:rsidRPr="006645DC">
              <w:rPr>
                <w:rFonts w:cs="Calibri"/>
                <w:b/>
                <w:lang w:val="en-GB"/>
              </w:rPr>
              <w:t>√</w:t>
            </w:r>
            <w:bookmarkEnd w:id="2148"/>
          </w:p>
        </w:tc>
        <w:tc>
          <w:tcPr>
            <w:tcW w:w="0" w:type="auto"/>
          </w:tcPr>
          <w:p w14:paraId="47B3E03E" w14:textId="77777777" w:rsidR="00B21137" w:rsidRPr="006645DC" w:rsidRDefault="00B21137" w:rsidP="004E19CB">
            <w:pPr>
              <w:keepNext/>
              <w:keepLines/>
              <w:spacing w:before="0" w:after="0"/>
              <w:jc w:val="center"/>
              <w:outlineLvl w:val="1"/>
              <w:rPr>
                <w:rFonts w:cs="Calibri"/>
                <w:b/>
                <w:lang w:val="en-GB"/>
              </w:rPr>
            </w:pPr>
            <w:bookmarkStart w:id="2149" w:name="_Toc376200226"/>
            <w:r w:rsidRPr="006645DC">
              <w:rPr>
                <w:rFonts w:cs="Calibri"/>
                <w:b/>
                <w:lang w:val="en-GB"/>
              </w:rPr>
              <w:t>√</w:t>
            </w:r>
            <w:bookmarkEnd w:id="2149"/>
          </w:p>
        </w:tc>
      </w:tr>
      <w:tr w:rsidR="00B21137" w:rsidRPr="006645DC" w14:paraId="1D0C42CD" w14:textId="77777777" w:rsidTr="004E19CB">
        <w:tc>
          <w:tcPr>
            <w:tcW w:w="0" w:type="auto"/>
          </w:tcPr>
          <w:p w14:paraId="71CB6FF7" w14:textId="77777777" w:rsidR="00B21137" w:rsidRPr="006645DC" w:rsidRDefault="00B21137" w:rsidP="004E19CB">
            <w:pPr>
              <w:keepNext/>
              <w:keepLines/>
              <w:spacing w:before="0" w:after="0"/>
              <w:jc w:val="center"/>
              <w:outlineLvl w:val="1"/>
              <w:rPr>
                <w:rFonts w:eastAsia="Times New Roman" w:cs="Calibri"/>
                <w:b/>
                <w:bCs/>
                <w:lang w:val="en-GB"/>
              </w:rPr>
            </w:pPr>
            <w:r>
              <w:rPr>
                <w:rFonts w:eastAsia="Times New Roman" w:cs="Calibri"/>
                <w:b/>
                <w:bCs/>
                <w:lang w:val="en-GB"/>
              </w:rPr>
              <w:t>5</w:t>
            </w:r>
          </w:p>
        </w:tc>
        <w:tc>
          <w:tcPr>
            <w:tcW w:w="0" w:type="auto"/>
          </w:tcPr>
          <w:p w14:paraId="2493574F" w14:textId="77777777" w:rsidR="00B21137" w:rsidRPr="006645DC" w:rsidRDefault="00B21137" w:rsidP="004E19CB">
            <w:pPr>
              <w:pStyle w:val="BodyText2"/>
              <w:keepNext/>
              <w:keepLine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jc w:val="both"/>
              <w:outlineLvl w:val="1"/>
              <w:rPr>
                <w:rFonts w:ascii="Calibri" w:hAnsi="Calibri"/>
                <w:sz w:val="22"/>
                <w:szCs w:val="22"/>
                <w:lang w:val="en-GB"/>
              </w:rPr>
            </w:pPr>
            <w:bookmarkStart w:id="2150" w:name="_Toc376200233"/>
            <w:r w:rsidRPr="006645DC">
              <w:rPr>
                <w:rFonts w:ascii="Calibri" w:eastAsia="Arial" w:hAnsi="Calibri"/>
                <w:b w:val="0"/>
                <w:sz w:val="22"/>
                <w:szCs w:val="22"/>
                <w:lang w:val="en-GB"/>
              </w:rPr>
              <w:t>Awareness-raising concerning common environmental resources and NATURA 2000 sites, as well as concerning the protection and promotion of natural and cultural heritage at cross-border level</w:t>
            </w:r>
            <w:bookmarkEnd w:id="2150"/>
          </w:p>
        </w:tc>
        <w:tc>
          <w:tcPr>
            <w:tcW w:w="0" w:type="auto"/>
          </w:tcPr>
          <w:p w14:paraId="43893FD9" w14:textId="77777777" w:rsidR="00B21137" w:rsidRPr="006645DC" w:rsidRDefault="00B21137" w:rsidP="004E19CB">
            <w:pPr>
              <w:keepNext/>
              <w:keepLines/>
              <w:spacing w:before="0" w:after="0"/>
              <w:jc w:val="center"/>
              <w:outlineLvl w:val="1"/>
              <w:rPr>
                <w:rFonts w:cs="Calibri"/>
                <w:lang w:val="en-GB"/>
              </w:rPr>
            </w:pPr>
            <w:bookmarkStart w:id="2151" w:name="_Toc376200234"/>
            <w:r w:rsidRPr="006645DC">
              <w:rPr>
                <w:rFonts w:cs="Calibri"/>
                <w:lang w:val="en-GB"/>
              </w:rPr>
              <w:t>+++</w:t>
            </w:r>
            <w:bookmarkEnd w:id="2151"/>
          </w:p>
        </w:tc>
        <w:tc>
          <w:tcPr>
            <w:tcW w:w="0" w:type="auto"/>
          </w:tcPr>
          <w:p w14:paraId="036352FC" w14:textId="77777777" w:rsidR="00B21137" w:rsidRPr="006645DC" w:rsidRDefault="00B21137" w:rsidP="004E19CB">
            <w:pPr>
              <w:keepNext/>
              <w:keepLines/>
              <w:spacing w:before="0" w:after="0"/>
              <w:jc w:val="center"/>
              <w:outlineLvl w:val="1"/>
              <w:rPr>
                <w:rFonts w:cs="Calibri"/>
                <w:lang w:val="en-GB"/>
              </w:rPr>
            </w:pPr>
            <w:bookmarkStart w:id="2152" w:name="_Toc376200235"/>
            <w:r w:rsidRPr="006645DC">
              <w:rPr>
                <w:rFonts w:cs="Calibri"/>
                <w:lang w:val="en-GB"/>
              </w:rPr>
              <w:t>+++</w:t>
            </w:r>
            <w:bookmarkEnd w:id="2152"/>
          </w:p>
        </w:tc>
        <w:tc>
          <w:tcPr>
            <w:tcW w:w="0" w:type="auto"/>
          </w:tcPr>
          <w:p w14:paraId="14733749" w14:textId="77777777" w:rsidR="00B21137" w:rsidRPr="006645DC" w:rsidRDefault="00B21137" w:rsidP="004E19CB">
            <w:pPr>
              <w:spacing w:before="0" w:after="0"/>
              <w:jc w:val="center"/>
              <w:rPr>
                <w:rFonts w:cs="Calibri"/>
                <w:b/>
                <w:lang w:val="en-GB"/>
              </w:rPr>
            </w:pPr>
          </w:p>
        </w:tc>
        <w:tc>
          <w:tcPr>
            <w:tcW w:w="0" w:type="auto"/>
          </w:tcPr>
          <w:p w14:paraId="231CA5AA" w14:textId="77777777" w:rsidR="00B21137" w:rsidRPr="006645DC" w:rsidRDefault="00B21137" w:rsidP="004E19CB">
            <w:pPr>
              <w:keepNext/>
              <w:keepLines/>
              <w:spacing w:before="0" w:after="0"/>
              <w:jc w:val="center"/>
              <w:outlineLvl w:val="1"/>
              <w:rPr>
                <w:rFonts w:cs="Calibri"/>
                <w:b/>
                <w:lang w:val="en-GB"/>
              </w:rPr>
            </w:pPr>
            <w:bookmarkStart w:id="2153" w:name="_Toc376200236"/>
            <w:r w:rsidRPr="006645DC">
              <w:rPr>
                <w:rFonts w:cs="Calibri"/>
                <w:b/>
                <w:lang w:val="en-GB"/>
              </w:rPr>
              <w:t>√</w:t>
            </w:r>
            <w:bookmarkEnd w:id="2153"/>
          </w:p>
        </w:tc>
      </w:tr>
      <w:tr w:rsidR="00B21137" w:rsidRPr="006645DC" w14:paraId="4FC5A62C" w14:textId="77777777" w:rsidTr="004E19CB">
        <w:tc>
          <w:tcPr>
            <w:tcW w:w="0" w:type="auto"/>
          </w:tcPr>
          <w:p w14:paraId="7A6B765B" w14:textId="77777777" w:rsidR="00B21137" w:rsidRPr="006645DC" w:rsidRDefault="00B21137" w:rsidP="004E19CB">
            <w:pPr>
              <w:keepNext/>
              <w:keepLines/>
              <w:spacing w:before="0" w:after="0"/>
              <w:jc w:val="center"/>
              <w:outlineLvl w:val="1"/>
              <w:rPr>
                <w:rFonts w:eastAsia="Times New Roman" w:cs="Calibri"/>
                <w:b/>
                <w:bCs/>
                <w:lang w:val="en-GB"/>
              </w:rPr>
            </w:pPr>
            <w:r>
              <w:rPr>
                <w:rFonts w:eastAsia="Times New Roman" w:cs="Calibri"/>
                <w:b/>
                <w:bCs/>
                <w:lang w:val="en-GB"/>
              </w:rPr>
              <w:t>6</w:t>
            </w:r>
          </w:p>
        </w:tc>
        <w:tc>
          <w:tcPr>
            <w:tcW w:w="0" w:type="auto"/>
          </w:tcPr>
          <w:p w14:paraId="07A870A1" w14:textId="77777777" w:rsidR="00B21137" w:rsidRPr="006645DC" w:rsidRDefault="00B21137" w:rsidP="004E19CB">
            <w:pPr>
              <w:pStyle w:val="BodyText2"/>
              <w:keepNext/>
              <w:keepLine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jc w:val="both"/>
              <w:outlineLvl w:val="1"/>
              <w:rPr>
                <w:rFonts w:ascii="Calibri" w:hAnsi="Calibri"/>
                <w:sz w:val="22"/>
                <w:szCs w:val="22"/>
                <w:lang w:val="en-GB"/>
              </w:rPr>
            </w:pPr>
            <w:bookmarkStart w:id="2154" w:name="_Toc376200238"/>
            <w:r>
              <w:rPr>
                <w:rFonts w:ascii="Calibri" w:eastAsia="Arial" w:hAnsi="Calibri"/>
                <w:b w:val="0"/>
                <w:sz w:val="22"/>
                <w:szCs w:val="22"/>
                <w:lang w:val="en-GB"/>
              </w:rPr>
              <w:t>P</w:t>
            </w:r>
            <w:r w:rsidRPr="006645DC">
              <w:rPr>
                <w:rFonts w:ascii="Calibri" w:eastAsia="Arial" w:hAnsi="Calibri"/>
                <w:b w:val="0"/>
                <w:sz w:val="22"/>
                <w:szCs w:val="22"/>
                <w:lang w:val="en-GB"/>
              </w:rPr>
              <w:t xml:space="preserve">rotection and preservation of biodiversity and ecosystems, as well as </w:t>
            </w:r>
            <w:bookmarkEnd w:id="2154"/>
            <w:r>
              <w:rPr>
                <w:rFonts w:ascii="Calibri" w:eastAsia="Arial" w:hAnsi="Calibri"/>
                <w:b w:val="0"/>
                <w:sz w:val="22"/>
                <w:szCs w:val="22"/>
                <w:lang w:val="en-GB"/>
              </w:rPr>
              <w:t>their tourism sustainable use</w:t>
            </w:r>
          </w:p>
        </w:tc>
        <w:tc>
          <w:tcPr>
            <w:tcW w:w="0" w:type="auto"/>
          </w:tcPr>
          <w:p w14:paraId="63F595CC" w14:textId="77777777" w:rsidR="00B21137" w:rsidRPr="006645DC" w:rsidRDefault="00B21137" w:rsidP="004E19CB">
            <w:pPr>
              <w:keepNext/>
              <w:keepLines/>
              <w:spacing w:before="0" w:after="0"/>
              <w:jc w:val="center"/>
              <w:outlineLvl w:val="1"/>
              <w:rPr>
                <w:rFonts w:cs="Calibri"/>
                <w:lang w:val="en-GB"/>
              </w:rPr>
            </w:pPr>
            <w:bookmarkStart w:id="2155" w:name="_Toc376200239"/>
            <w:r w:rsidRPr="006645DC">
              <w:rPr>
                <w:rFonts w:cs="Calibri"/>
                <w:lang w:val="en-GB"/>
              </w:rPr>
              <w:t>++</w:t>
            </w:r>
            <w:bookmarkEnd w:id="2155"/>
            <w:r w:rsidRPr="006645DC">
              <w:rPr>
                <w:rFonts w:cs="Calibri"/>
                <w:lang w:val="en-GB"/>
              </w:rPr>
              <w:t>+</w:t>
            </w:r>
          </w:p>
        </w:tc>
        <w:tc>
          <w:tcPr>
            <w:tcW w:w="0" w:type="auto"/>
          </w:tcPr>
          <w:p w14:paraId="5F808D9F" w14:textId="77777777" w:rsidR="00B21137" w:rsidRPr="006645DC" w:rsidRDefault="00B21137" w:rsidP="004E19CB">
            <w:pPr>
              <w:keepNext/>
              <w:keepLines/>
              <w:spacing w:before="0" w:after="0"/>
              <w:jc w:val="center"/>
              <w:outlineLvl w:val="1"/>
              <w:rPr>
                <w:rFonts w:cs="Calibri"/>
                <w:lang w:val="en-GB"/>
              </w:rPr>
            </w:pPr>
            <w:bookmarkStart w:id="2156" w:name="_Toc376200240"/>
            <w:r w:rsidRPr="006645DC">
              <w:rPr>
                <w:rFonts w:cs="Calibri"/>
                <w:lang w:val="en-GB"/>
              </w:rPr>
              <w:t>++</w:t>
            </w:r>
            <w:bookmarkEnd w:id="2156"/>
            <w:r>
              <w:rPr>
                <w:rFonts w:cs="Calibri"/>
                <w:lang w:val="en-GB"/>
              </w:rPr>
              <w:t>+</w:t>
            </w:r>
          </w:p>
        </w:tc>
        <w:tc>
          <w:tcPr>
            <w:tcW w:w="0" w:type="auto"/>
          </w:tcPr>
          <w:p w14:paraId="61C5F6C9" w14:textId="77777777" w:rsidR="00B21137" w:rsidRPr="006645DC" w:rsidRDefault="00B21137" w:rsidP="004E19CB">
            <w:pPr>
              <w:keepNext/>
              <w:keepLines/>
              <w:spacing w:before="0" w:after="0"/>
              <w:jc w:val="center"/>
              <w:outlineLvl w:val="1"/>
              <w:rPr>
                <w:rFonts w:cs="Calibri"/>
                <w:b/>
                <w:lang w:val="en-GB"/>
              </w:rPr>
            </w:pPr>
          </w:p>
        </w:tc>
        <w:tc>
          <w:tcPr>
            <w:tcW w:w="0" w:type="auto"/>
          </w:tcPr>
          <w:p w14:paraId="029957B0" w14:textId="77777777" w:rsidR="00B21137" w:rsidRPr="006645DC" w:rsidRDefault="00B21137" w:rsidP="004E19CB">
            <w:pPr>
              <w:keepNext/>
              <w:keepLines/>
              <w:spacing w:before="0" w:after="0"/>
              <w:jc w:val="center"/>
              <w:outlineLvl w:val="1"/>
              <w:rPr>
                <w:rFonts w:cs="Calibri"/>
                <w:b/>
                <w:lang w:val="en-GB"/>
              </w:rPr>
            </w:pPr>
            <w:bookmarkStart w:id="2157" w:name="_Toc376200242"/>
            <w:r w:rsidRPr="006645DC">
              <w:rPr>
                <w:rFonts w:cs="Calibri"/>
                <w:b/>
                <w:lang w:val="en-GB"/>
              </w:rPr>
              <w:t>√</w:t>
            </w:r>
            <w:bookmarkEnd w:id="2157"/>
          </w:p>
        </w:tc>
      </w:tr>
      <w:tr w:rsidR="00B21137" w:rsidRPr="006645DC" w14:paraId="26E020D7" w14:textId="77777777" w:rsidTr="004E19CB">
        <w:tc>
          <w:tcPr>
            <w:tcW w:w="0" w:type="auto"/>
          </w:tcPr>
          <w:p w14:paraId="6C84B868" w14:textId="77777777" w:rsidR="00B21137" w:rsidRPr="006645DC" w:rsidRDefault="00B21137" w:rsidP="004E19CB">
            <w:pPr>
              <w:keepNext/>
              <w:keepLines/>
              <w:spacing w:before="0" w:after="0"/>
              <w:jc w:val="center"/>
              <w:outlineLvl w:val="1"/>
              <w:rPr>
                <w:rFonts w:eastAsia="Times New Roman" w:cs="Calibri"/>
                <w:b/>
                <w:bCs/>
                <w:lang w:val="en-GB"/>
              </w:rPr>
            </w:pPr>
            <w:r>
              <w:rPr>
                <w:rFonts w:eastAsia="Times New Roman" w:cs="Calibri"/>
                <w:b/>
                <w:bCs/>
                <w:lang w:val="en-GB"/>
              </w:rPr>
              <w:t>7</w:t>
            </w:r>
          </w:p>
        </w:tc>
        <w:tc>
          <w:tcPr>
            <w:tcW w:w="0" w:type="auto"/>
          </w:tcPr>
          <w:p w14:paraId="3AA35722" w14:textId="77777777" w:rsidR="00B21137" w:rsidRPr="006645DC" w:rsidRDefault="00B21137" w:rsidP="004E19CB">
            <w:pPr>
              <w:pStyle w:val="BodyText2"/>
              <w:keepNext/>
              <w:keepLine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jc w:val="both"/>
              <w:outlineLvl w:val="1"/>
              <w:rPr>
                <w:rFonts w:ascii="Calibri" w:eastAsia="Arial" w:hAnsi="Calibri"/>
                <w:b w:val="0"/>
                <w:sz w:val="22"/>
                <w:szCs w:val="22"/>
                <w:lang w:val="en-GB"/>
              </w:rPr>
            </w:pPr>
            <w:r w:rsidRPr="006645DC">
              <w:rPr>
                <w:rFonts w:ascii="Calibri" w:eastAsia="Arial" w:hAnsi="Calibri"/>
                <w:b w:val="0"/>
                <w:sz w:val="22"/>
                <w:szCs w:val="22"/>
                <w:lang w:val="en-GB"/>
              </w:rPr>
              <w:t xml:space="preserve">Preserving, promoting and developing the natural and cultural heritage of the CBC region through joint planning </w:t>
            </w:r>
            <w:r>
              <w:rPr>
                <w:rFonts w:ascii="Calibri" w:eastAsia="Arial" w:hAnsi="Calibri"/>
                <w:b w:val="0"/>
                <w:sz w:val="22"/>
                <w:szCs w:val="22"/>
                <w:lang w:val="en-GB"/>
              </w:rPr>
              <w:t>in order to extend the tourism season</w:t>
            </w:r>
          </w:p>
        </w:tc>
        <w:tc>
          <w:tcPr>
            <w:tcW w:w="0" w:type="auto"/>
          </w:tcPr>
          <w:p w14:paraId="275275AA" w14:textId="77777777" w:rsidR="00B21137" w:rsidRPr="006645DC" w:rsidRDefault="00B21137" w:rsidP="004E19CB">
            <w:pPr>
              <w:keepNext/>
              <w:keepLines/>
              <w:spacing w:before="0" w:after="0"/>
              <w:jc w:val="center"/>
              <w:outlineLvl w:val="1"/>
              <w:rPr>
                <w:rFonts w:cs="Calibri"/>
                <w:lang w:val="en-GB"/>
              </w:rPr>
            </w:pPr>
            <w:r w:rsidRPr="006645DC">
              <w:rPr>
                <w:rFonts w:cs="Calibri"/>
                <w:lang w:val="en-GB"/>
              </w:rPr>
              <w:t>+++</w:t>
            </w:r>
          </w:p>
        </w:tc>
        <w:tc>
          <w:tcPr>
            <w:tcW w:w="0" w:type="auto"/>
          </w:tcPr>
          <w:p w14:paraId="2178CB15" w14:textId="77777777" w:rsidR="00B21137" w:rsidRPr="006645DC" w:rsidRDefault="00B21137" w:rsidP="004E19CB">
            <w:pPr>
              <w:keepNext/>
              <w:keepLines/>
              <w:spacing w:before="0" w:after="0"/>
              <w:jc w:val="center"/>
              <w:outlineLvl w:val="1"/>
              <w:rPr>
                <w:rFonts w:cs="Calibri"/>
                <w:lang w:val="en-GB"/>
              </w:rPr>
            </w:pPr>
            <w:r w:rsidRPr="006645DC">
              <w:rPr>
                <w:rFonts w:cs="Calibri"/>
                <w:lang w:val="en-GB"/>
              </w:rPr>
              <w:t>+++</w:t>
            </w:r>
          </w:p>
        </w:tc>
        <w:tc>
          <w:tcPr>
            <w:tcW w:w="0" w:type="auto"/>
          </w:tcPr>
          <w:p w14:paraId="3213B3AE" w14:textId="77777777" w:rsidR="00B21137" w:rsidRPr="006645DC" w:rsidRDefault="00B21137" w:rsidP="004E19CB">
            <w:pPr>
              <w:spacing w:before="0" w:after="0"/>
              <w:jc w:val="center"/>
              <w:rPr>
                <w:rFonts w:cs="Calibri"/>
                <w:b/>
                <w:lang w:val="en-GB"/>
              </w:rPr>
            </w:pPr>
          </w:p>
        </w:tc>
        <w:tc>
          <w:tcPr>
            <w:tcW w:w="0" w:type="auto"/>
          </w:tcPr>
          <w:p w14:paraId="38E0E5E4" w14:textId="77777777" w:rsidR="00B21137" w:rsidRPr="006645DC" w:rsidRDefault="00B21137" w:rsidP="004E19CB">
            <w:pPr>
              <w:keepNext/>
              <w:keepLines/>
              <w:spacing w:before="0" w:after="0"/>
              <w:jc w:val="center"/>
              <w:outlineLvl w:val="1"/>
              <w:rPr>
                <w:rFonts w:cs="Calibri"/>
                <w:b/>
                <w:lang w:val="en-GB"/>
              </w:rPr>
            </w:pPr>
            <w:r w:rsidRPr="006645DC">
              <w:rPr>
                <w:rFonts w:cs="Calibri"/>
                <w:b/>
                <w:lang w:val="en-GB"/>
              </w:rPr>
              <w:t>√</w:t>
            </w:r>
          </w:p>
        </w:tc>
      </w:tr>
      <w:tr w:rsidR="00B21137" w:rsidRPr="006645DC" w14:paraId="7702480C" w14:textId="77777777" w:rsidTr="004E19CB">
        <w:tc>
          <w:tcPr>
            <w:tcW w:w="0" w:type="auto"/>
          </w:tcPr>
          <w:p w14:paraId="7F5896BE" w14:textId="77777777" w:rsidR="00B21137" w:rsidRPr="006645DC" w:rsidRDefault="00B21137" w:rsidP="004E19CB">
            <w:pPr>
              <w:keepNext/>
              <w:keepLines/>
              <w:spacing w:before="0" w:after="0"/>
              <w:jc w:val="center"/>
              <w:outlineLvl w:val="1"/>
              <w:rPr>
                <w:rFonts w:eastAsia="Times New Roman" w:cs="Calibri"/>
                <w:b/>
                <w:bCs/>
                <w:lang w:val="en-GB"/>
              </w:rPr>
            </w:pPr>
            <w:r>
              <w:rPr>
                <w:rFonts w:eastAsia="Times New Roman" w:cs="Calibri"/>
                <w:b/>
                <w:bCs/>
                <w:lang w:val="en-GB"/>
              </w:rPr>
              <w:t>8</w:t>
            </w:r>
          </w:p>
        </w:tc>
        <w:tc>
          <w:tcPr>
            <w:tcW w:w="0" w:type="auto"/>
          </w:tcPr>
          <w:p w14:paraId="049BF189" w14:textId="77777777" w:rsidR="00B21137" w:rsidRPr="006645DC" w:rsidRDefault="00B21137" w:rsidP="004E19CB">
            <w:pPr>
              <w:pStyle w:val="BodyText2"/>
              <w:keepNext/>
              <w:keepLine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jc w:val="both"/>
              <w:outlineLvl w:val="1"/>
              <w:rPr>
                <w:rFonts w:ascii="Calibri" w:eastAsia="Arial" w:hAnsi="Calibri"/>
                <w:b w:val="0"/>
                <w:sz w:val="22"/>
                <w:szCs w:val="22"/>
                <w:lang w:val="en-GB"/>
              </w:rPr>
            </w:pPr>
            <w:r>
              <w:rPr>
                <w:rFonts w:ascii="Calibri" w:eastAsia="Arial" w:hAnsi="Calibri"/>
                <w:b w:val="0"/>
                <w:sz w:val="22"/>
                <w:szCs w:val="22"/>
                <w:lang w:val="en-GB"/>
              </w:rPr>
              <w:t xml:space="preserve">Development </w:t>
            </w:r>
            <w:r w:rsidRPr="006645DC">
              <w:rPr>
                <w:rFonts w:ascii="Calibri" w:eastAsia="Arial" w:hAnsi="Calibri"/>
                <w:b w:val="0"/>
                <w:sz w:val="22"/>
                <w:szCs w:val="22"/>
                <w:lang w:val="en-GB"/>
              </w:rPr>
              <w:t>of cultural/natural heritage through investments in infrastructure (e.g. construction, rehabilitation, recovery)</w:t>
            </w:r>
          </w:p>
        </w:tc>
        <w:tc>
          <w:tcPr>
            <w:tcW w:w="0" w:type="auto"/>
          </w:tcPr>
          <w:p w14:paraId="6D8DC7A5" w14:textId="77777777" w:rsidR="00B21137" w:rsidRPr="006645DC" w:rsidRDefault="00B21137" w:rsidP="004E19CB">
            <w:pPr>
              <w:keepNext/>
              <w:keepLines/>
              <w:spacing w:before="0" w:after="0"/>
              <w:jc w:val="center"/>
              <w:outlineLvl w:val="1"/>
              <w:rPr>
                <w:rFonts w:cs="Calibri"/>
                <w:lang w:val="en-GB"/>
              </w:rPr>
            </w:pPr>
            <w:r w:rsidRPr="006645DC">
              <w:rPr>
                <w:rFonts w:cs="Calibri"/>
                <w:lang w:val="en-GB"/>
              </w:rPr>
              <w:t>+++</w:t>
            </w:r>
          </w:p>
        </w:tc>
        <w:tc>
          <w:tcPr>
            <w:tcW w:w="0" w:type="auto"/>
          </w:tcPr>
          <w:p w14:paraId="7330EB97" w14:textId="77777777" w:rsidR="00B21137" w:rsidRPr="006645DC" w:rsidRDefault="00B21137" w:rsidP="004E19CB">
            <w:pPr>
              <w:keepNext/>
              <w:keepLines/>
              <w:spacing w:before="0" w:after="0"/>
              <w:jc w:val="center"/>
              <w:outlineLvl w:val="1"/>
              <w:rPr>
                <w:rFonts w:cs="Calibri"/>
                <w:lang w:val="en-GB"/>
              </w:rPr>
            </w:pPr>
            <w:r w:rsidRPr="006645DC">
              <w:rPr>
                <w:rFonts w:cs="Calibri"/>
                <w:lang w:val="en-GB"/>
              </w:rPr>
              <w:t>+++</w:t>
            </w:r>
          </w:p>
        </w:tc>
        <w:tc>
          <w:tcPr>
            <w:tcW w:w="0" w:type="auto"/>
          </w:tcPr>
          <w:p w14:paraId="36CAFA37" w14:textId="77777777" w:rsidR="00B21137" w:rsidRPr="006645DC" w:rsidRDefault="00B21137" w:rsidP="004E19CB">
            <w:pPr>
              <w:spacing w:before="0" w:after="0"/>
              <w:jc w:val="center"/>
              <w:rPr>
                <w:rFonts w:cs="Calibri"/>
                <w:b/>
                <w:lang w:val="en-GB"/>
              </w:rPr>
            </w:pPr>
          </w:p>
        </w:tc>
        <w:tc>
          <w:tcPr>
            <w:tcW w:w="0" w:type="auto"/>
          </w:tcPr>
          <w:p w14:paraId="23EDDB49" w14:textId="77777777" w:rsidR="00B21137" w:rsidRPr="006645DC" w:rsidRDefault="00B21137" w:rsidP="004E19CB">
            <w:pPr>
              <w:keepNext/>
              <w:keepLines/>
              <w:spacing w:before="0" w:after="0"/>
              <w:jc w:val="center"/>
              <w:outlineLvl w:val="1"/>
              <w:rPr>
                <w:rFonts w:cs="Calibri"/>
                <w:b/>
                <w:lang w:val="en-GB"/>
              </w:rPr>
            </w:pPr>
            <w:r w:rsidRPr="006645DC">
              <w:rPr>
                <w:rFonts w:cs="Calibri"/>
                <w:b/>
                <w:lang w:val="en-GB"/>
              </w:rPr>
              <w:t>√</w:t>
            </w:r>
          </w:p>
        </w:tc>
      </w:tr>
      <w:tr w:rsidR="00B21137" w:rsidRPr="006645DC" w14:paraId="3C3C8983" w14:textId="77777777" w:rsidTr="004E19CB">
        <w:tc>
          <w:tcPr>
            <w:tcW w:w="0" w:type="auto"/>
          </w:tcPr>
          <w:p w14:paraId="2D92EDF8" w14:textId="77777777" w:rsidR="00B21137" w:rsidRPr="006645DC" w:rsidRDefault="00B21137" w:rsidP="004E19CB">
            <w:pPr>
              <w:keepNext/>
              <w:keepLines/>
              <w:spacing w:before="0" w:after="0"/>
              <w:jc w:val="center"/>
              <w:outlineLvl w:val="1"/>
              <w:rPr>
                <w:rFonts w:eastAsia="Times New Roman" w:cs="Calibri"/>
                <w:b/>
                <w:bCs/>
                <w:lang w:val="en-GB"/>
              </w:rPr>
            </w:pPr>
            <w:r>
              <w:rPr>
                <w:rFonts w:eastAsia="Times New Roman" w:cs="Calibri"/>
                <w:b/>
                <w:bCs/>
                <w:lang w:val="en-GB"/>
              </w:rPr>
              <w:t>9</w:t>
            </w:r>
          </w:p>
        </w:tc>
        <w:tc>
          <w:tcPr>
            <w:tcW w:w="0" w:type="auto"/>
          </w:tcPr>
          <w:p w14:paraId="78C01570" w14:textId="13F9AAFE" w:rsidR="00B21137" w:rsidRPr="006645DC" w:rsidRDefault="00B21137" w:rsidP="004E19CB">
            <w:pPr>
              <w:pStyle w:val="BodyText2"/>
              <w:keepNext/>
              <w:keepLine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jc w:val="both"/>
              <w:outlineLvl w:val="1"/>
              <w:rPr>
                <w:rFonts w:ascii="Calibri" w:eastAsia="Arial" w:hAnsi="Calibri"/>
                <w:b w:val="0"/>
                <w:sz w:val="22"/>
                <w:szCs w:val="22"/>
                <w:lang w:val="en-GB"/>
              </w:rPr>
            </w:pPr>
            <w:r w:rsidRPr="006645DC">
              <w:rPr>
                <w:rFonts w:ascii="Calibri" w:eastAsia="Arial" w:hAnsi="Calibri"/>
                <w:b w:val="0"/>
                <w:sz w:val="22"/>
                <w:szCs w:val="22"/>
                <w:lang w:val="en-GB"/>
              </w:rPr>
              <w:t>Cooperation in the designation, development and management of the protected areas, especially NATURA 2000 sites</w:t>
            </w:r>
            <w:r>
              <w:rPr>
                <w:rFonts w:ascii="Calibri" w:eastAsia="Arial" w:hAnsi="Calibri"/>
                <w:b w:val="0"/>
                <w:sz w:val="22"/>
                <w:szCs w:val="22"/>
                <w:lang w:val="en-GB"/>
              </w:rPr>
              <w:t xml:space="preserve"> </w:t>
            </w:r>
          </w:p>
        </w:tc>
        <w:tc>
          <w:tcPr>
            <w:tcW w:w="0" w:type="auto"/>
          </w:tcPr>
          <w:p w14:paraId="7C035B6D" w14:textId="77777777" w:rsidR="00B21137" w:rsidRPr="006645DC" w:rsidRDefault="00B21137" w:rsidP="004E19CB">
            <w:pPr>
              <w:keepNext/>
              <w:keepLines/>
              <w:spacing w:before="0" w:after="0"/>
              <w:jc w:val="center"/>
              <w:outlineLvl w:val="1"/>
              <w:rPr>
                <w:rFonts w:cs="Calibri"/>
                <w:lang w:val="en-GB"/>
              </w:rPr>
            </w:pPr>
            <w:r w:rsidRPr="006645DC">
              <w:rPr>
                <w:rFonts w:cs="Calibri"/>
                <w:lang w:val="en-GB"/>
              </w:rPr>
              <w:t>+++</w:t>
            </w:r>
          </w:p>
        </w:tc>
        <w:tc>
          <w:tcPr>
            <w:tcW w:w="0" w:type="auto"/>
          </w:tcPr>
          <w:p w14:paraId="27D75A76" w14:textId="77777777" w:rsidR="00B21137" w:rsidRPr="006645DC" w:rsidRDefault="00B21137" w:rsidP="004E19CB">
            <w:pPr>
              <w:keepNext/>
              <w:keepLines/>
              <w:spacing w:before="0" w:after="0"/>
              <w:jc w:val="center"/>
              <w:outlineLvl w:val="1"/>
              <w:rPr>
                <w:rFonts w:cs="Calibri"/>
                <w:lang w:val="en-GB"/>
              </w:rPr>
            </w:pPr>
            <w:r w:rsidRPr="006645DC">
              <w:rPr>
                <w:rFonts w:cs="Calibri"/>
                <w:lang w:val="en-GB"/>
              </w:rPr>
              <w:t>+++</w:t>
            </w:r>
          </w:p>
        </w:tc>
        <w:tc>
          <w:tcPr>
            <w:tcW w:w="0" w:type="auto"/>
          </w:tcPr>
          <w:p w14:paraId="0BB63012" w14:textId="77777777" w:rsidR="00B21137" w:rsidRPr="006645DC" w:rsidRDefault="00B21137" w:rsidP="004E19CB">
            <w:pPr>
              <w:spacing w:before="0" w:after="0"/>
              <w:jc w:val="center"/>
              <w:rPr>
                <w:rFonts w:cs="Calibri"/>
                <w:b/>
                <w:lang w:val="en-GB"/>
              </w:rPr>
            </w:pPr>
          </w:p>
        </w:tc>
        <w:tc>
          <w:tcPr>
            <w:tcW w:w="0" w:type="auto"/>
          </w:tcPr>
          <w:p w14:paraId="675ED5CA" w14:textId="77777777" w:rsidR="00B21137" w:rsidRPr="006645DC" w:rsidRDefault="00B21137" w:rsidP="004E19CB">
            <w:pPr>
              <w:keepNext/>
              <w:keepLines/>
              <w:spacing w:before="0" w:after="0"/>
              <w:jc w:val="center"/>
              <w:outlineLvl w:val="1"/>
              <w:rPr>
                <w:rFonts w:cs="Calibri"/>
                <w:b/>
                <w:lang w:val="en-GB"/>
              </w:rPr>
            </w:pPr>
            <w:r w:rsidRPr="006645DC">
              <w:rPr>
                <w:rFonts w:cs="Calibri"/>
                <w:b/>
                <w:lang w:val="en-GB"/>
              </w:rPr>
              <w:t>√</w:t>
            </w:r>
          </w:p>
        </w:tc>
      </w:tr>
      <w:tr w:rsidR="00B21137" w:rsidRPr="006645DC" w14:paraId="197D331F" w14:textId="77777777" w:rsidTr="004E19CB">
        <w:tc>
          <w:tcPr>
            <w:tcW w:w="0" w:type="auto"/>
          </w:tcPr>
          <w:p w14:paraId="79744C57" w14:textId="77777777" w:rsidR="00B21137" w:rsidRPr="006645DC" w:rsidRDefault="00B21137" w:rsidP="004E19CB">
            <w:pPr>
              <w:keepNext/>
              <w:keepLines/>
              <w:spacing w:before="0" w:after="0"/>
              <w:jc w:val="center"/>
              <w:outlineLvl w:val="1"/>
              <w:rPr>
                <w:rFonts w:eastAsia="Times New Roman" w:cs="Calibri"/>
                <w:b/>
                <w:bCs/>
                <w:lang w:val="en-GB"/>
              </w:rPr>
            </w:pPr>
            <w:r>
              <w:rPr>
                <w:rFonts w:eastAsia="Times New Roman" w:cs="Calibri"/>
                <w:b/>
                <w:bCs/>
                <w:lang w:val="en-GB"/>
              </w:rPr>
              <w:t>10</w:t>
            </w:r>
          </w:p>
        </w:tc>
        <w:tc>
          <w:tcPr>
            <w:tcW w:w="0" w:type="auto"/>
          </w:tcPr>
          <w:p w14:paraId="7DA19911" w14:textId="77777777" w:rsidR="00B21137" w:rsidRPr="006645DC" w:rsidRDefault="00B21137" w:rsidP="004E19CB">
            <w:pPr>
              <w:pStyle w:val="BodyText2"/>
              <w:keepNext/>
              <w:keepLines/>
              <w:tabs>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after="0"/>
              <w:jc w:val="both"/>
              <w:outlineLvl w:val="1"/>
              <w:rPr>
                <w:rFonts w:ascii="Calibri" w:eastAsia="Arial" w:hAnsi="Calibri"/>
                <w:b w:val="0"/>
                <w:sz w:val="22"/>
                <w:szCs w:val="22"/>
                <w:lang w:val="en-GB"/>
              </w:rPr>
            </w:pPr>
            <w:r w:rsidRPr="006645DC">
              <w:rPr>
                <w:rFonts w:ascii="Calibri" w:eastAsia="Arial" w:hAnsi="Calibri"/>
                <w:b w:val="0"/>
                <w:sz w:val="22"/>
                <w:szCs w:val="22"/>
                <w:lang w:val="en-GB"/>
              </w:rPr>
              <w:t>Facilitate joint investments in green infrastructure</w:t>
            </w:r>
          </w:p>
        </w:tc>
        <w:tc>
          <w:tcPr>
            <w:tcW w:w="0" w:type="auto"/>
          </w:tcPr>
          <w:p w14:paraId="3B7A1DEF" w14:textId="77777777" w:rsidR="00B21137" w:rsidRPr="006645DC" w:rsidRDefault="00B21137" w:rsidP="004E19CB">
            <w:pPr>
              <w:keepNext/>
              <w:keepLines/>
              <w:spacing w:before="0" w:after="0"/>
              <w:jc w:val="center"/>
              <w:outlineLvl w:val="1"/>
              <w:rPr>
                <w:rFonts w:cs="Calibri"/>
                <w:lang w:val="en-GB"/>
              </w:rPr>
            </w:pPr>
            <w:r w:rsidRPr="006645DC">
              <w:rPr>
                <w:rFonts w:cs="Calibri"/>
                <w:lang w:val="en-GB"/>
              </w:rPr>
              <w:t>+++</w:t>
            </w:r>
          </w:p>
        </w:tc>
        <w:tc>
          <w:tcPr>
            <w:tcW w:w="0" w:type="auto"/>
          </w:tcPr>
          <w:p w14:paraId="56DB1DEF" w14:textId="77777777" w:rsidR="00B21137" w:rsidRPr="006645DC" w:rsidRDefault="00B21137" w:rsidP="004E19CB">
            <w:pPr>
              <w:keepNext/>
              <w:keepLines/>
              <w:spacing w:before="0" w:after="0"/>
              <w:jc w:val="center"/>
              <w:outlineLvl w:val="1"/>
              <w:rPr>
                <w:rFonts w:cs="Calibri"/>
                <w:lang w:val="en-GB"/>
              </w:rPr>
            </w:pPr>
            <w:r w:rsidRPr="006645DC">
              <w:rPr>
                <w:rFonts w:cs="Calibri"/>
                <w:lang w:val="en-GB"/>
              </w:rPr>
              <w:t>+++</w:t>
            </w:r>
          </w:p>
        </w:tc>
        <w:tc>
          <w:tcPr>
            <w:tcW w:w="0" w:type="auto"/>
          </w:tcPr>
          <w:p w14:paraId="2F1837EF" w14:textId="77777777" w:rsidR="00B21137" w:rsidRPr="006645DC" w:rsidRDefault="00B21137" w:rsidP="004E19CB">
            <w:pPr>
              <w:spacing w:before="0" w:after="0"/>
              <w:jc w:val="center"/>
              <w:rPr>
                <w:rFonts w:cs="Calibri"/>
                <w:b/>
                <w:lang w:val="en-GB"/>
              </w:rPr>
            </w:pPr>
            <w:r w:rsidRPr="006645DC">
              <w:rPr>
                <w:rFonts w:cs="Calibri"/>
                <w:b/>
                <w:lang w:val="en-GB"/>
              </w:rPr>
              <w:t>√</w:t>
            </w:r>
          </w:p>
        </w:tc>
        <w:tc>
          <w:tcPr>
            <w:tcW w:w="0" w:type="auto"/>
          </w:tcPr>
          <w:p w14:paraId="4F26AB0F" w14:textId="77777777" w:rsidR="00B21137" w:rsidRPr="006645DC" w:rsidRDefault="00B21137" w:rsidP="004E19CB">
            <w:pPr>
              <w:keepNext/>
              <w:keepLines/>
              <w:spacing w:before="0" w:after="0"/>
              <w:jc w:val="center"/>
              <w:outlineLvl w:val="1"/>
              <w:rPr>
                <w:rFonts w:cs="Calibri"/>
                <w:b/>
                <w:lang w:val="en-GB"/>
              </w:rPr>
            </w:pPr>
            <w:r w:rsidRPr="006645DC">
              <w:rPr>
                <w:rFonts w:cs="Calibri"/>
                <w:b/>
                <w:lang w:val="en-GB"/>
              </w:rPr>
              <w:t>√</w:t>
            </w:r>
          </w:p>
        </w:tc>
      </w:tr>
    </w:tbl>
    <w:p w14:paraId="7DD2EA10" w14:textId="77777777" w:rsidR="00AA4C82" w:rsidRPr="006645DC" w:rsidRDefault="00AA4C82" w:rsidP="00AA4C82">
      <w:pPr>
        <w:rPr>
          <w:b/>
          <w:lang w:val="en-GB"/>
        </w:rPr>
      </w:pPr>
      <w:r w:rsidRPr="006645DC">
        <w:rPr>
          <w:b/>
          <w:lang w:val="en-GB"/>
        </w:rPr>
        <w:t>Table key:</w:t>
      </w:r>
    </w:p>
    <w:tbl>
      <w:tblPr>
        <w:tblW w:w="0" w:type="auto"/>
        <w:jc w:val="center"/>
        <w:tblLook w:val="04A0" w:firstRow="1" w:lastRow="0" w:firstColumn="1" w:lastColumn="0" w:noHBand="0" w:noVBand="1"/>
      </w:tblPr>
      <w:tblGrid>
        <w:gridCol w:w="3192"/>
        <w:gridCol w:w="3192"/>
        <w:gridCol w:w="3192"/>
      </w:tblGrid>
      <w:tr w:rsidR="00AA4C82" w:rsidRPr="006645DC" w14:paraId="0AFA2ED4" w14:textId="77777777" w:rsidTr="0037102B">
        <w:trPr>
          <w:trHeight w:val="283"/>
          <w:jc w:val="center"/>
        </w:trPr>
        <w:tc>
          <w:tcPr>
            <w:tcW w:w="3192" w:type="dxa"/>
            <w:vAlign w:val="center"/>
          </w:tcPr>
          <w:p w14:paraId="1F6A744E" w14:textId="512021C8" w:rsidR="00AA4C82" w:rsidRPr="006645DC" w:rsidRDefault="00982AD8" w:rsidP="0037102B">
            <w:pPr>
              <w:spacing w:before="0" w:after="0"/>
              <w:jc w:val="center"/>
              <w:rPr>
                <w:b/>
                <w:lang w:val="en-GB"/>
              </w:rPr>
            </w:pPr>
            <w:r w:rsidRPr="006645DC">
              <w:rPr>
                <w:noProof/>
                <w:lang w:val="bg-BG" w:eastAsia="bg-BG"/>
              </w:rPr>
              <mc:AlternateContent>
                <mc:Choice Requires="wps">
                  <w:drawing>
                    <wp:anchor distT="0" distB="0" distL="114300" distR="114300" simplePos="0" relativeHeight="251716608" behindDoc="0" locked="0" layoutInCell="1" allowOverlap="1" wp14:anchorId="261D6C91" wp14:editId="66727C87">
                      <wp:simplePos x="0" y="0"/>
                      <wp:positionH relativeFrom="column">
                        <wp:posOffset>132715</wp:posOffset>
                      </wp:positionH>
                      <wp:positionV relativeFrom="paragraph">
                        <wp:posOffset>114300</wp:posOffset>
                      </wp:positionV>
                      <wp:extent cx="5848350" cy="232410"/>
                      <wp:effectExtent l="57150" t="0" r="19050" b="110490"/>
                      <wp:wrapNone/>
                      <wp:docPr id="164" name="Right Arrow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8350" cy="232410"/>
                              </a:xfrm>
                              <a:prstGeom prst="rightArrow">
                                <a:avLst>
                                  <a:gd name="adj1" fmla="val 50000"/>
                                  <a:gd name="adj2" fmla="val 49978"/>
                                </a:avLst>
                              </a:prstGeom>
                              <a:gradFill rotWithShape="1">
                                <a:gsLst>
                                  <a:gs pos="0">
                                    <a:srgbClr val="FF0000"/>
                                  </a:gs>
                                  <a:gs pos="74001">
                                    <a:srgbClr val="C2D1ED"/>
                                  </a:gs>
                                  <a:gs pos="100000">
                                    <a:srgbClr val="E1E8F5"/>
                                  </a:gs>
                                </a:gsLst>
                                <a:lin ang="10800000" scaled="1"/>
                              </a:gradFill>
                              <a:ln>
                                <a:noFill/>
                              </a:ln>
                              <a:effectLst>
                                <a:outerShdw blurRad="50800" dist="50800" dir="5400000" algn="ctr" rotWithShape="0">
                                  <a:srgbClr val="808080"/>
                                </a:outerShdw>
                              </a:effectLst>
                              <a:extLst>
                                <a:ext uri="{91240B29-F687-4F45-9708-019B960494DF}">
                                  <a14:hiddenLine xmlns:a14="http://schemas.microsoft.com/office/drawing/2010/main" w="25400" algn="ctr">
                                    <a:solidFill>
                                      <a:srgbClr val="000000"/>
                                    </a:solidFill>
                                    <a:miter lim="800000"/>
                                    <a:headEnd/>
                                    <a:tailEnd/>
                                  </a14:hiddenLine>
                                </a:ext>
                              </a:extLst>
                            </wps:spPr>
                            <wps:txbx>
                              <w:txbxContent>
                                <w:p w14:paraId="2942778F" w14:textId="77777777" w:rsidR="00F14D1E" w:rsidRDefault="00F14D1E" w:rsidP="00AA4C82">
                                  <w:pPr>
                                    <w:jc w:val="cente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Right Arrow 164" o:spid="_x0000_s1032" type="#_x0000_t13" style="position:absolute;left:0;text-align:left;margin-left:10.45pt;margin-top:9pt;width:460.5pt;height:18.3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" adj="21171" fillcolor="red" stroked="f" strokeweight="2pt">
                      <v:fill color2="#e1e8f5" rotate="t" angle="270" colors="0 red;48497f #c2d1ed;1 #e1e8f5" focus="100%" type="gradient"/>
                      <v:shadow on="t" offset="0,4pt"/>
                      <v:textbox>
                        <w:txbxContent>
                          <w:p w14:paraId="2942778F" w14:textId="77777777" w:rsidR="00F14D1E" w:rsidRDefault="00F14D1E" w:rsidP="00AA4C82">
                            <w:pPr>
                              <w:jc w:val="center"/>
                            </w:pPr>
                          </w:p>
                        </w:txbxContent>
                      </v:textbox>
                    </v:shape>
                  </w:pict>
                </mc:Fallback>
              </mc:AlternateContent>
            </w:r>
            <w:r w:rsidR="00AA4C82" w:rsidRPr="006645DC">
              <w:rPr>
                <w:b/>
                <w:lang w:val="en-GB"/>
              </w:rPr>
              <w:t>+</w:t>
            </w:r>
          </w:p>
        </w:tc>
        <w:tc>
          <w:tcPr>
            <w:tcW w:w="3192" w:type="dxa"/>
            <w:vAlign w:val="center"/>
          </w:tcPr>
          <w:p w14:paraId="51FC9DFD" w14:textId="77777777" w:rsidR="00AA4C82" w:rsidRPr="006645DC" w:rsidRDefault="00AA4C82" w:rsidP="0037102B">
            <w:pPr>
              <w:keepNext/>
              <w:keepLines/>
              <w:spacing w:before="0" w:after="0"/>
              <w:jc w:val="center"/>
              <w:outlineLvl w:val="6"/>
              <w:rPr>
                <w:b/>
                <w:lang w:val="en-GB"/>
              </w:rPr>
            </w:pPr>
            <w:r w:rsidRPr="006645DC">
              <w:rPr>
                <w:b/>
                <w:lang w:val="en-GB"/>
              </w:rPr>
              <w:t>++</w:t>
            </w:r>
          </w:p>
        </w:tc>
        <w:tc>
          <w:tcPr>
            <w:tcW w:w="3192" w:type="dxa"/>
            <w:vAlign w:val="center"/>
          </w:tcPr>
          <w:p w14:paraId="6345E1F4" w14:textId="77777777" w:rsidR="00AA4C82" w:rsidRPr="006645DC" w:rsidRDefault="00AA4C82" w:rsidP="0037102B">
            <w:pPr>
              <w:keepNext/>
              <w:keepLines/>
              <w:spacing w:before="0" w:after="0"/>
              <w:jc w:val="center"/>
              <w:outlineLvl w:val="6"/>
              <w:rPr>
                <w:b/>
                <w:lang w:val="en-GB"/>
              </w:rPr>
            </w:pPr>
            <w:r w:rsidRPr="006645DC">
              <w:rPr>
                <w:b/>
                <w:lang w:val="en-GB"/>
              </w:rPr>
              <w:t>+++</w:t>
            </w:r>
          </w:p>
        </w:tc>
      </w:tr>
    </w:tbl>
    <w:p w14:paraId="3AE31EAF" w14:textId="77777777" w:rsidR="00AA4C82" w:rsidRPr="006645DC" w:rsidRDefault="00AA4C82" w:rsidP="00AA4C82">
      <w:pPr>
        <w:tabs>
          <w:tab w:val="left" w:pos="3195"/>
        </w:tabs>
        <w:rPr>
          <w:b/>
          <w:lang w:val="en-GB"/>
        </w:rPr>
      </w:pPr>
      <w:r w:rsidRPr="006645DC">
        <w:rPr>
          <w:b/>
          <w:lang w:val="en-GB"/>
        </w:rPr>
        <w:tab/>
      </w:r>
    </w:p>
    <w:p w14:paraId="361CE4BC" w14:textId="77777777" w:rsidR="00AA4C82" w:rsidRPr="006645DC" w:rsidRDefault="00AA4C82" w:rsidP="00AA4C82">
      <w:pPr>
        <w:tabs>
          <w:tab w:val="left" w:pos="3195"/>
        </w:tabs>
        <w:jc w:val="center"/>
        <w:rPr>
          <w:i/>
          <w:lang w:val="en-GB"/>
        </w:rPr>
      </w:pPr>
      <w:r w:rsidRPr="006645DC">
        <w:rPr>
          <w:i/>
          <w:lang w:val="en-GB"/>
        </w:rPr>
        <w:t>Degree of need territorial relevance</w:t>
      </w:r>
    </w:p>
    <w:p w14:paraId="0D7FCCE1" w14:textId="77777777" w:rsidR="00AA4C82" w:rsidRPr="006645DC" w:rsidRDefault="00AA4C82" w:rsidP="00AA4C82">
      <w:pPr>
        <w:spacing w:before="0" w:after="0"/>
        <w:rPr>
          <w:b/>
          <w:i/>
          <w:lang w:val="en-GB"/>
        </w:rPr>
      </w:pPr>
      <w:r w:rsidRPr="006645DC">
        <w:rPr>
          <w:b/>
          <w:i/>
          <w:lang w:val="en-GB"/>
        </w:rPr>
        <w:t>TO4 – Supporting the shift towards a low-carbon economy in all sectors</w:t>
      </w:r>
    </w:p>
    <w:p w14:paraId="03B072B6" w14:textId="5CCD0BA7" w:rsidR="00CC50F4" w:rsidRPr="006645DC" w:rsidRDefault="00AA4C82" w:rsidP="00B21137">
      <w:pPr>
        <w:spacing w:before="0" w:after="0"/>
        <w:rPr>
          <w:lang w:val="en-GB"/>
        </w:rPr>
      </w:pPr>
      <w:r w:rsidRPr="006645DC">
        <w:rPr>
          <w:b/>
          <w:i/>
          <w:lang w:val="en-GB"/>
        </w:rPr>
        <w:t>TO6 – Protecting the environment and promoting resource efficiency</w:t>
      </w:r>
    </w:p>
    <w:p w14:paraId="1F2491F6" w14:textId="77777777" w:rsidR="008E6A19" w:rsidRPr="006645DC" w:rsidRDefault="00B801E7" w:rsidP="00843768">
      <w:pPr>
        <w:pStyle w:val="Heading1"/>
        <w:rPr>
          <w:lang w:val="en-GB"/>
        </w:rPr>
      </w:pPr>
      <w:bookmarkStart w:id="2158" w:name="_Toc376200248"/>
      <w:bookmarkStart w:id="2159" w:name="_Toc254543848"/>
      <w:bookmarkStart w:id="2160" w:name="_Toc391150215"/>
      <w:r w:rsidRPr="006645DC">
        <w:rPr>
          <w:lang w:val="en-GB"/>
        </w:rPr>
        <w:lastRenderedPageBreak/>
        <w:t>Governance</w:t>
      </w:r>
      <w:bookmarkEnd w:id="2158"/>
      <w:bookmarkEnd w:id="2159"/>
      <w:bookmarkEnd w:id="2160"/>
    </w:p>
    <w:p w14:paraId="590058F7" w14:textId="77777777" w:rsidR="008E6A19" w:rsidRPr="006645DC" w:rsidRDefault="008E6A19" w:rsidP="00843768">
      <w:pPr>
        <w:rPr>
          <w:lang w:val="en-GB"/>
        </w:rPr>
      </w:pPr>
      <w:r w:rsidRPr="006645DC">
        <w:rPr>
          <w:lang w:val="en-GB"/>
        </w:rPr>
        <w:t>In order to better understand how the territorial management is functioning in the RO-BG area and to identify the key aspects where the RO-BG cross-border program can bring the most added value in terms of territorial development, we will analyze the “administrative” aspect from a “governance” perspective rather than a purely “public administration/government” perspective.</w:t>
      </w:r>
    </w:p>
    <w:p w14:paraId="7D61EA52" w14:textId="77777777" w:rsidR="00843768" w:rsidRPr="006645DC" w:rsidRDefault="00843768" w:rsidP="00843768">
      <w:pPr>
        <w:rPr>
          <w:lang w:val="en-GB"/>
        </w:rPr>
      </w:pPr>
      <w:r w:rsidRPr="006645DC">
        <w:rPr>
          <w:lang w:val="en-GB"/>
        </w:rPr>
        <w:t>The territorial governance is defined as “a process of organization and co-ordination of actors to develop territorial capital in a non-destructive way in order to improve territorial cohesion at different levels”</w:t>
      </w:r>
      <w:r w:rsidRPr="006645DC">
        <w:rPr>
          <w:rStyle w:val="FootnoteReference"/>
          <w:lang w:val="en-GB"/>
        </w:rPr>
        <w:footnoteReference w:id="51"/>
      </w:r>
      <w:r w:rsidRPr="006645DC">
        <w:rPr>
          <w:lang w:val="en-GB"/>
        </w:rPr>
        <w:t>. The territorial capital, understood under all its forms and guises (intellectual, social, political, material, cultural, geographical/geopolitical), can only be developed through cooperation and/or coordination processes that involve all the forces and institutions that are stakeholders at territorial level:</w:t>
      </w:r>
    </w:p>
    <w:p w14:paraId="30674FE4" w14:textId="77777777" w:rsidR="00843768" w:rsidRPr="006645DC" w:rsidRDefault="00843768" w:rsidP="00843768">
      <w:pPr>
        <w:pStyle w:val="ListParagraph"/>
        <w:ind w:left="867"/>
        <w:rPr>
          <w:lang w:val="en-GB"/>
        </w:rPr>
      </w:pPr>
      <w:r w:rsidRPr="006645DC">
        <w:rPr>
          <w:lang w:val="en-GB"/>
        </w:rPr>
        <w:t>Different public authorities at different levels (central government, regional authorities, deconcentrated authorities, county authorities, local/municipal authorities, etc.)</w:t>
      </w:r>
    </w:p>
    <w:p w14:paraId="06709A4D" w14:textId="77777777" w:rsidR="00843768" w:rsidRPr="006645DC" w:rsidRDefault="00843768" w:rsidP="00843768">
      <w:pPr>
        <w:pStyle w:val="ListParagraph"/>
        <w:ind w:left="867"/>
        <w:rPr>
          <w:lang w:val="en-GB"/>
        </w:rPr>
      </w:pPr>
      <w:r w:rsidRPr="006645DC">
        <w:rPr>
          <w:lang w:val="en-GB"/>
        </w:rPr>
        <w:t>Associations of public authorities (e.g. the Regional Development Associations, the associations of municipalities)</w:t>
      </w:r>
    </w:p>
    <w:p w14:paraId="28DC1F7E" w14:textId="77777777" w:rsidR="00843768" w:rsidRPr="006645DC" w:rsidRDefault="00843768" w:rsidP="00843768">
      <w:pPr>
        <w:pStyle w:val="ListParagraph"/>
        <w:ind w:left="867"/>
        <w:rPr>
          <w:lang w:val="en-GB"/>
        </w:rPr>
      </w:pPr>
      <w:r w:rsidRPr="006645DC">
        <w:rPr>
          <w:lang w:val="en-GB"/>
        </w:rPr>
        <w:t>The public-private associations (e.g. Destination Management Associations, clusters, etc.)</w:t>
      </w:r>
    </w:p>
    <w:p w14:paraId="1FB0DBFF" w14:textId="77777777" w:rsidR="00843768" w:rsidRPr="006645DC" w:rsidRDefault="00843768" w:rsidP="00843768">
      <w:pPr>
        <w:pStyle w:val="ListParagraph"/>
        <w:ind w:left="867"/>
        <w:rPr>
          <w:lang w:val="en-GB"/>
        </w:rPr>
      </w:pPr>
      <w:r w:rsidRPr="006645DC">
        <w:rPr>
          <w:lang w:val="en-GB"/>
        </w:rPr>
        <w:t>Non-governmental associations and business associations (e.g. Chambers of Commerce and Industry, Chambers of Agriculture, different branch associations, etc.)</w:t>
      </w:r>
    </w:p>
    <w:p w14:paraId="5EF49A74" w14:textId="77777777" w:rsidR="00843768" w:rsidRPr="006645DC" w:rsidRDefault="00843768" w:rsidP="00843768">
      <w:pPr>
        <w:pStyle w:val="ListParagraph"/>
        <w:ind w:left="867"/>
        <w:rPr>
          <w:lang w:val="en-GB"/>
        </w:rPr>
      </w:pPr>
      <w:r w:rsidRPr="006645DC">
        <w:rPr>
          <w:lang w:val="en-GB"/>
        </w:rPr>
        <w:t xml:space="preserve">Citizens  </w:t>
      </w:r>
    </w:p>
    <w:p w14:paraId="68D645A8" w14:textId="77777777" w:rsidR="00843768" w:rsidRPr="006645DC" w:rsidRDefault="00843768" w:rsidP="00843768">
      <w:pPr>
        <w:rPr>
          <w:lang w:val="en-GB"/>
        </w:rPr>
      </w:pPr>
      <w:r w:rsidRPr="006645DC">
        <w:rPr>
          <w:lang w:val="en-GB"/>
        </w:rPr>
        <w:t xml:space="preserve">Given this diversity of stakeholders, the process of cooperation can be seen as either vertical (in the case of interaction between different levels of public administration) or horizontal (in the case of the involvement of private stakeholders). This process targets necessarily the integration of different sectorial policies with local territorial relevance into a territorial strategy and an action plan under a cross border common vision. The whole process targets the sustainable territorial development (the development of territorial capital without a destructive use of resources) of the programme area. </w:t>
      </w:r>
    </w:p>
    <w:p w14:paraId="7F3B1EFC" w14:textId="77777777" w:rsidR="00843768" w:rsidRPr="006645DC" w:rsidRDefault="00843768" w:rsidP="00843768">
      <w:pPr>
        <w:rPr>
          <w:lang w:val="en-GB"/>
        </w:rPr>
      </w:pPr>
      <w:r w:rsidRPr="006645DC">
        <w:rPr>
          <w:lang w:val="en-GB"/>
        </w:rPr>
        <w:t xml:space="preserve">The effective participation of local civil association or private stakeholders in the processes of territorial public-policy decision-making and management are essential for ensuring the public policy’s effectiveness and efficiency. In terms of prerogatives of the different public administration levels, the subsidiarity is increasingly the norm even in cross-border contexts. In the context of territories that are integrated in a globalized and fast-moving economy and society, these aspects are essential to any territorial good-governance.  The central State, while remaining the main coordinator, regulations-issuer and supplier of public financing to territorial development policies, is increasingly becoming just one of </w:t>
      </w:r>
      <w:r w:rsidRPr="006645DC">
        <w:rPr>
          <w:lang w:val="en-GB"/>
        </w:rPr>
        <w:lastRenderedPageBreak/>
        <w:t xml:space="preserve">the stakeholders in successful territorial governance strategies and policies. Given its heterogeneous institutional structure and cultures, regulatory frameworks, the cross-border territory requires a governance process based on bottom-up approaches and subsidiarity in order to ensure a high adaptation to local realities.    </w:t>
      </w:r>
    </w:p>
    <w:p w14:paraId="1A20AB66" w14:textId="77777777" w:rsidR="00843768" w:rsidRPr="006645DC" w:rsidRDefault="00843768" w:rsidP="00C22A61">
      <w:pPr>
        <w:pStyle w:val="Heading2"/>
        <w:numPr>
          <w:ilvl w:val="0"/>
          <w:numId w:val="16"/>
        </w:numPr>
        <w:rPr>
          <w:lang w:val="en-GB"/>
        </w:rPr>
      </w:pPr>
      <w:bookmarkStart w:id="2161" w:name="_Toc373340869"/>
      <w:bookmarkStart w:id="2162" w:name="_Toc376200249"/>
      <w:bookmarkStart w:id="2163" w:name="_Toc254543849"/>
      <w:bookmarkStart w:id="2164" w:name="_Toc391150216"/>
      <w:r w:rsidRPr="006645DC">
        <w:rPr>
          <w:lang w:val="en-GB"/>
        </w:rPr>
        <w:t>The administrative structure</w:t>
      </w:r>
      <w:bookmarkEnd w:id="2161"/>
      <w:bookmarkEnd w:id="2162"/>
      <w:bookmarkEnd w:id="2163"/>
      <w:bookmarkEnd w:id="2164"/>
    </w:p>
    <w:p w14:paraId="725C39A6" w14:textId="77777777" w:rsidR="00843768" w:rsidRPr="006645DC" w:rsidRDefault="00843768" w:rsidP="00843768">
      <w:pPr>
        <w:rPr>
          <w:lang w:val="en-GB"/>
        </w:rPr>
      </w:pPr>
      <w:r w:rsidRPr="006645DC">
        <w:rPr>
          <w:lang w:val="en-GB"/>
        </w:rPr>
        <w:t>Bulgaria and Romania are both centralized unitary States with only one intermediary level of administration units between the central government and the local/municipal authorities: the districts (</w:t>
      </w:r>
      <w:r w:rsidRPr="006645DC">
        <w:rPr>
          <w:i/>
          <w:lang w:val="en-GB"/>
        </w:rPr>
        <w:t>oblasti</w:t>
      </w:r>
      <w:r w:rsidRPr="006645DC">
        <w:rPr>
          <w:lang w:val="en-GB"/>
        </w:rPr>
        <w:t>) In Bulgaria and the counties (</w:t>
      </w:r>
      <w:r w:rsidRPr="006645DC">
        <w:rPr>
          <w:i/>
          <w:lang w:val="en-GB"/>
        </w:rPr>
        <w:t xml:space="preserve">judete) </w:t>
      </w:r>
      <w:r w:rsidRPr="006645DC">
        <w:rPr>
          <w:lang w:val="en-GB"/>
        </w:rPr>
        <w:t xml:space="preserve">in Romania. </w:t>
      </w:r>
    </w:p>
    <w:p w14:paraId="571C8E17" w14:textId="77777777" w:rsidR="00843768" w:rsidRPr="006645DC" w:rsidRDefault="00843768" w:rsidP="00843768">
      <w:pPr>
        <w:rPr>
          <w:lang w:val="en-GB"/>
        </w:rPr>
      </w:pPr>
      <w:r w:rsidRPr="006645DC">
        <w:rPr>
          <w:lang w:val="en-GB"/>
        </w:rPr>
        <w:t xml:space="preserve">Even though both administrations have a similar communist past characterized by a very strong centralization (when county/district level chiefs of administrations were being directly named by the central government), the recent years and the EU accession induced different evolutions. Both countries adopted for ERDF management and statistical planning purposes an additional regional level with no Public Law personality. Romania also introduced a direct election system for County Councils chairmen.  Romania largely maintained the administrative structure inherited from the Communist period (with the notable exception of the 1997 restructuring of Ilfov and Ialomita counties that recreated the cross-border counties of Giurgiu and Calarasi); while Bulgaria undertook in 1999 an administrative reform, which abandoned the 9-provinces administrative subdivision system created in 1987, and reintroduced the 28 districts that kept the name of province (oblast). </w:t>
      </w:r>
    </w:p>
    <w:p w14:paraId="7D83DAB3" w14:textId="77777777" w:rsidR="00843768" w:rsidRPr="006645DC" w:rsidRDefault="00843768" w:rsidP="00843768">
      <w:pPr>
        <w:pStyle w:val="Caption"/>
        <w:rPr>
          <w:lang w:val="en-GB"/>
        </w:rPr>
      </w:pPr>
      <w:bookmarkStart w:id="2165" w:name="_Toc391150151"/>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54</w:t>
      </w:r>
      <w:r w:rsidR="005979EB" w:rsidRPr="006645DC">
        <w:rPr>
          <w:lang w:val="en-GB"/>
        </w:rPr>
        <w:fldChar w:fldCharType="end"/>
      </w:r>
      <w:r w:rsidRPr="006645DC">
        <w:rPr>
          <w:lang w:val="en-GB"/>
        </w:rPr>
        <w:t xml:space="preserve"> - The territorial division of Bulgaria on the basis of the NUTS classification</w:t>
      </w:r>
      <w:bookmarkEnd w:id="2165"/>
    </w:p>
    <w:tbl>
      <w:tblPr>
        <w:tblW w:w="9262" w:type="dxa"/>
        <w:jc w:val="center"/>
        <w:tblBorders>
          <w:top w:val="thickThinLargeGap" w:sz="24" w:space="0" w:color="auto"/>
          <w:left w:val="thickThinLargeGap" w:sz="24" w:space="0" w:color="auto"/>
          <w:bottom w:val="thickThinLargeGap" w:sz="24" w:space="0" w:color="auto"/>
          <w:right w:val="thickThinLargeGap" w:sz="24" w:space="0" w:color="auto"/>
          <w:insideH w:val="thickThinLargeGap" w:sz="24" w:space="0" w:color="auto"/>
          <w:insideV w:val="thickThinLargeGap" w:sz="24" w:space="0" w:color="auto"/>
        </w:tblBorders>
        <w:tblLayout w:type="fixed"/>
        <w:tblLook w:val="0000" w:firstRow="0" w:lastRow="0" w:firstColumn="0" w:lastColumn="0" w:noHBand="0" w:noVBand="0"/>
      </w:tblPr>
      <w:tblGrid>
        <w:gridCol w:w="1088"/>
        <w:gridCol w:w="4536"/>
        <w:gridCol w:w="1134"/>
        <w:gridCol w:w="1238"/>
        <w:gridCol w:w="1266"/>
      </w:tblGrid>
      <w:tr w:rsidR="00843768" w:rsidRPr="006645DC" w14:paraId="1933930F" w14:textId="77777777" w:rsidTr="00843768">
        <w:trPr>
          <w:jc w:val="center"/>
        </w:trPr>
        <w:tc>
          <w:tcPr>
            <w:tcW w:w="1088" w:type="dxa"/>
            <w:shd w:val="clear" w:color="auto" w:fill="F2F2F2"/>
            <w:vAlign w:val="center"/>
          </w:tcPr>
          <w:p w14:paraId="4669F6C5" w14:textId="77777777" w:rsidR="00843768" w:rsidRPr="00B21137" w:rsidRDefault="00843768" w:rsidP="00843768">
            <w:pPr>
              <w:jc w:val="center"/>
              <w:rPr>
                <w:rFonts w:asciiTheme="minorHAnsi" w:hAnsiTheme="minorHAnsi" w:cstheme="minorHAnsi"/>
                <w:b/>
                <w:bCs/>
                <w:lang w:val="en-GB"/>
              </w:rPr>
            </w:pPr>
            <w:r w:rsidRPr="00B21137">
              <w:rPr>
                <w:rFonts w:asciiTheme="minorHAnsi" w:hAnsiTheme="minorHAnsi" w:cstheme="minorHAnsi"/>
                <w:b/>
                <w:bCs/>
                <w:lang w:val="en-GB"/>
              </w:rPr>
              <w:t>EΕ</w:t>
            </w:r>
          </w:p>
        </w:tc>
        <w:tc>
          <w:tcPr>
            <w:tcW w:w="4536" w:type="dxa"/>
            <w:shd w:val="clear" w:color="auto" w:fill="F2F2F2"/>
            <w:vAlign w:val="center"/>
          </w:tcPr>
          <w:p w14:paraId="6A2CB337" w14:textId="77777777" w:rsidR="00843768" w:rsidRPr="00B21137" w:rsidRDefault="00843768" w:rsidP="00226DBF">
            <w:pPr>
              <w:rPr>
                <w:rFonts w:asciiTheme="minorHAnsi" w:hAnsiTheme="minorHAnsi" w:cstheme="minorHAnsi"/>
                <w:b/>
                <w:bCs/>
                <w:lang w:val="en-GB"/>
              </w:rPr>
            </w:pPr>
            <w:r w:rsidRPr="00B21137">
              <w:rPr>
                <w:rFonts w:asciiTheme="minorHAnsi" w:hAnsiTheme="minorHAnsi" w:cstheme="minorHAnsi"/>
                <w:b/>
                <w:bCs/>
                <w:lang w:val="en-GB"/>
              </w:rPr>
              <w:t>Type</w:t>
            </w:r>
          </w:p>
        </w:tc>
        <w:tc>
          <w:tcPr>
            <w:tcW w:w="1134" w:type="dxa"/>
            <w:shd w:val="clear" w:color="auto" w:fill="F2F2F2"/>
            <w:vAlign w:val="center"/>
          </w:tcPr>
          <w:p w14:paraId="4FE4220A" w14:textId="77777777" w:rsidR="00843768" w:rsidRPr="00B21137" w:rsidRDefault="00843768" w:rsidP="00843768">
            <w:pPr>
              <w:jc w:val="center"/>
              <w:rPr>
                <w:rFonts w:asciiTheme="minorHAnsi" w:hAnsiTheme="minorHAnsi" w:cstheme="minorHAnsi"/>
                <w:b/>
                <w:bCs/>
                <w:lang w:val="en-GB"/>
              </w:rPr>
            </w:pPr>
            <w:r w:rsidRPr="00B21137">
              <w:rPr>
                <w:rFonts w:asciiTheme="minorHAnsi" w:hAnsiTheme="minorHAnsi" w:cstheme="minorHAnsi"/>
                <w:b/>
                <w:bCs/>
                <w:lang w:val="en-GB"/>
              </w:rPr>
              <w:t>Number</w:t>
            </w:r>
          </w:p>
        </w:tc>
        <w:tc>
          <w:tcPr>
            <w:tcW w:w="2504" w:type="dxa"/>
            <w:gridSpan w:val="2"/>
            <w:shd w:val="clear" w:color="auto" w:fill="F2F2F2"/>
            <w:vAlign w:val="center"/>
          </w:tcPr>
          <w:p w14:paraId="7DFACA65" w14:textId="77777777" w:rsidR="00843768" w:rsidRPr="00B21137" w:rsidRDefault="00843768" w:rsidP="00843768">
            <w:pPr>
              <w:jc w:val="center"/>
              <w:rPr>
                <w:rFonts w:asciiTheme="minorHAnsi" w:hAnsiTheme="minorHAnsi" w:cstheme="minorHAnsi"/>
                <w:b/>
                <w:bCs/>
                <w:lang w:val="en-GB"/>
              </w:rPr>
            </w:pPr>
            <w:r w:rsidRPr="00B21137">
              <w:rPr>
                <w:rFonts w:asciiTheme="minorHAnsi" w:hAnsiTheme="minorHAnsi" w:cstheme="minorHAnsi"/>
                <w:b/>
                <w:bCs/>
                <w:lang w:val="en-GB"/>
              </w:rPr>
              <w:t>Population mm</w:t>
            </w:r>
          </w:p>
        </w:tc>
      </w:tr>
      <w:tr w:rsidR="00843768" w:rsidRPr="006645DC" w14:paraId="631FEFCD" w14:textId="77777777" w:rsidTr="00226DBF">
        <w:trPr>
          <w:jc w:val="center"/>
        </w:trPr>
        <w:tc>
          <w:tcPr>
            <w:tcW w:w="1088" w:type="dxa"/>
            <w:shd w:val="clear" w:color="auto" w:fill="F2F2F2"/>
            <w:vAlign w:val="center"/>
          </w:tcPr>
          <w:p w14:paraId="6A9D5E6B" w14:textId="77777777" w:rsidR="00843768" w:rsidRPr="00B21137" w:rsidRDefault="00843768" w:rsidP="00843768">
            <w:pPr>
              <w:jc w:val="center"/>
              <w:rPr>
                <w:rFonts w:asciiTheme="minorHAnsi" w:hAnsiTheme="minorHAnsi" w:cstheme="minorHAnsi"/>
                <w:lang w:val="en-GB"/>
              </w:rPr>
            </w:pPr>
          </w:p>
        </w:tc>
        <w:tc>
          <w:tcPr>
            <w:tcW w:w="4536" w:type="dxa"/>
            <w:shd w:val="clear" w:color="auto" w:fill="F2F2F2"/>
            <w:vAlign w:val="center"/>
          </w:tcPr>
          <w:p w14:paraId="323C2303" w14:textId="77777777" w:rsidR="00843768" w:rsidRPr="00B21137" w:rsidRDefault="00843768" w:rsidP="00843768">
            <w:pPr>
              <w:jc w:val="center"/>
              <w:rPr>
                <w:rFonts w:asciiTheme="minorHAnsi" w:hAnsiTheme="minorHAnsi" w:cstheme="minorHAnsi"/>
                <w:lang w:val="en-GB"/>
              </w:rPr>
            </w:pPr>
          </w:p>
        </w:tc>
        <w:tc>
          <w:tcPr>
            <w:tcW w:w="1134" w:type="dxa"/>
            <w:shd w:val="clear" w:color="auto" w:fill="F2F2F2"/>
            <w:vAlign w:val="center"/>
          </w:tcPr>
          <w:p w14:paraId="4817F265" w14:textId="77777777" w:rsidR="00843768" w:rsidRPr="00B21137" w:rsidRDefault="00843768" w:rsidP="00226DBF">
            <w:pPr>
              <w:jc w:val="center"/>
              <w:rPr>
                <w:rFonts w:asciiTheme="minorHAnsi" w:hAnsiTheme="minorHAnsi" w:cstheme="minorHAnsi"/>
                <w:lang w:val="en-GB"/>
              </w:rPr>
            </w:pPr>
          </w:p>
        </w:tc>
        <w:tc>
          <w:tcPr>
            <w:tcW w:w="1238" w:type="dxa"/>
            <w:shd w:val="clear" w:color="auto" w:fill="F2F2F2"/>
            <w:vAlign w:val="center"/>
          </w:tcPr>
          <w:p w14:paraId="59BAF165" w14:textId="77777777" w:rsidR="00843768" w:rsidRPr="00B21137" w:rsidRDefault="00843768" w:rsidP="00226DBF">
            <w:pPr>
              <w:keepNext/>
              <w:keepLines/>
              <w:jc w:val="center"/>
              <w:outlineLvl w:val="1"/>
              <w:rPr>
                <w:rFonts w:asciiTheme="minorHAnsi" w:hAnsiTheme="minorHAnsi" w:cstheme="minorHAnsi"/>
                <w:i/>
                <w:iCs/>
                <w:lang w:val="en-GB"/>
              </w:rPr>
            </w:pPr>
            <w:bookmarkStart w:id="2166" w:name="_Toc376200250"/>
            <w:r w:rsidRPr="00B21137">
              <w:rPr>
                <w:rFonts w:asciiTheme="minorHAnsi" w:hAnsiTheme="minorHAnsi" w:cstheme="minorHAnsi"/>
                <w:i/>
                <w:iCs/>
                <w:lang w:val="en-GB"/>
              </w:rPr>
              <w:t>min.</w:t>
            </w:r>
            <w:bookmarkEnd w:id="2166"/>
          </w:p>
        </w:tc>
        <w:tc>
          <w:tcPr>
            <w:tcW w:w="1266" w:type="dxa"/>
            <w:shd w:val="clear" w:color="auto" w:fill="F2F2F2"/>
            <w:vAlign w:val="center"/>
          </w:tcPr>
          <w:p w14:paraId="73CB8E53" w14:textId="77777777" w:rsidR="00843768" w:rsidRPr="00B21137" w:rsidRDefault="00843768" w:rsidP="00226DBF">
            <w:pPr>
              <w:keepNext/>
              <w:keepLines/>
              <w:jc w:val="center"/>
              <w:outlineLvl w:val="1"/>
              <w:rPr>
                <w:rFonts w:asciiTheme="minorHAnsi" w:hAnsiTheme="minorHAnsi" w:cstheme="minorHAnsi"/>
                <w:i/>
                <w:iCs/>
                <w:lang w:val="en-GB"/>
              </w:rPr>
            </w:pPr>
            <w:bookmarkStart w:id="2167" w:name="_Toc376200251"/>
            <w:r w:rsidRPr="00B21137">
              <w:rPr>
                <w:rFonts w:asciiTheme="minorHAnsi" w:hAnsiTheme="minorHAnsi" w:cstheme="minorHAnsi"/>
                <w:i/>
                <w:iCs/>
                <w:lang w:val="en-GB"/>
              </w:rPr>
              <w:t>max.</w:t>
            </w:r>
            <w:bookmarkEnd w:id="2167"/>
          </w:p>
        </w:tc>
      </w:tr>
      <w:tr w:rsidR="00843768" w:rsidRPr="006645DC" w14:paraId="09CB2E75" w14:textId="77777777" w:rsidTr="00226DBF">
        <w:trPr>
          <w:jc w:val="center"/>
        </w:trPr>
        <w:tc>
          <w:tcPr>
            <w:tcW w:w="1088" w:type="dxa"/>
            <w:shd w:val="clear" w:color="auto" w:fill="F2F2F2"/>
            <w:vAlign w:val="center"/>
          </w:tcPr>
          <w:p w14:paraId="5B3F69CE" w14:textId="77777777" w:rsidR="00843768" w:rsidRPr="00B21137" w:rsidRDefault="00843768" w:rsidP="00226DBF">
            <w:pPr>
              <w:rPr>
                <w:rFonts w:asciiTheme="minorHAnsi" w:hAnsiTheme="minorHAnsi" w:cstheme="minorHAnsi"/>
                <w:lang w:val="en-GB"/>
              </w:rPr>
            </w:pPr>
            <w:r w:rsidRPr="00B21137">
              <w:rPr>
                <w:rFonts w:asciiTheme="minorHAnsi" w:hAnsiTheme="minorHAnsi" w:cstheme="minorHAnsi"/>
                <w:lang w:val="en-GB"/>
              </w:rPr>
              <w:t>NUTS 1</w:t>
            </w:r>
          </w:p>
        </w:tc>
        <w:tc>
          <w:tcPr>
            <w:tcW w:w="4536" w:type="dxa"/>
            <w:shd w:val="clear" w:color="auto" w:fill="F2F2F2"/>
            <w:vAlign w:val="center"/>
          </w:tcPr>
          <w:p w14:paraId="2ACAF7FA" w14:textId="77777777" w:rsidR="00843768" w:rsidRPr="00B21137" w:rsidRDefault="00AE6879" w:rsidP="00226DBF">
            <w:pPr>
              <w:keepNext/>
              <w:keepLines/>
              <w:outlineLvl w:val="1"/>
              <w:rPr>
                <w:rFonts w:asciiTheme="minorHAnsi" w:hAnsiTheme="minorHAnsi" w:cstheme="minorHAnsi"/>
                <w:lang w:val="en-GB"/>
              </w:rPr>
            </w:pPr>
            <w:bookmarkStart w:id="2168" w:name="_Toc376200252"/>
            <w:r w:rsidRPr="00B21137">
              <w:rPr>
                <w:rFonts w:asciiTheme="minorHAnsi" w:eastAsia="Times New Roman" w:hAnsiTheme="minorHAnsi" w:cstheme="minorHAnsi"/>
                <w:snapToGrid w:val="0"/>
                <w:lang w:val="en-GB" w:eastAsia="ro-RO"/>
              </w:rPr>
              <w:t>Regions NUTS 1 (</w:t>
            </w:r>
            <w:r w:rsidRPr="00B21137">
              <w:rPr>
                <w:rFonts w:asciiTheme="minorHAnsi" w:eastAsia="Times New Roman" w:hAnsiTheme="minorHAnsi" w:cstheme="minorHAnsi"/>
                <w:i/>
                <w:iCs/>
                <w:snapToGrid w:val="0"/>
                <w:lang w:val="en-GB" w:eastAsia="ro-RO"/>
              </w:rPr>
              <w:t>rayoni na nivo</w:t>
            </w:r>
            <w:r w:rsidRPr="00B21137">
              <w:rPr>
                <w:rFonts w:asciiTheme="minorHAnsi" w:eastAsia="Times New Roman" w:hAnsiTheme="minorHAnsi" w:cstheme="minorHAnsi"/>
                <w:snapToGrid w:val="0"/>
                <w:lang w:val="en-GB" w:eastAsia="ro-RO"/>
              </w:rPr>
              <w:t>)</w:t>
            </w:r>
            <w:bookmarkEnd w:id="2168"/>
          </w:p>
        </w:tc>
        <w:tc>
          <w:tcPr>
            <w:tcW w:w="1134" w:type="dxa"/>
            <w:shd w:val="clear" w:color="auto" w:fill="F2F2F2"/>
            <w:vAlign w:val="center"/>
          </w:tcPr>
          <w:p w14:paraId="4797FA20" w14:textId="77777777" w:rsidR="00843768" w:rsidRPr="00B21137" w:rsidRDefault="00843768" w:rsidP="00226DBF">
            <w:pPr>
              <w:keepNext/>
              <w:keepLines/>
              <w:jc w:val="center"/>
              <w:outlineLvl w:val="1"/>
              <w:rPr>
                <w:rFonts w:asciiTheme="minorHAnsi" w:hAnsiTheme="minorHAnsi" w:cstheme="minorHAnsi"/>
                <w:lang w:val="en-GB"/>
              </w:rPr>
            </w:pPr>
            <w:bookmarkStart w:id="2169" w:name="_Toc376200253"/>
            <w:r w:rsidRPr="00B21137">
              <w:rPr>
                <w:rFonts w:asciiTheme="minorHAnsi" w:hAnsiTheme="minorHAnsi" w:cstheme="minorHAnsi"/>
                <w:lang w:val="en-GB"/>
              </w:rPr>
              <w:t>2</w:t>
            </w:r>
            <w:bookmarkEnd w:id="2169"/>
          </w:p>
        </w:tc>
        <w:tc>
          <w:tcPr>
            <w:tcW w:w="1238" w:type="dxa"/>
            <w:shd w:val="clear" w:color="auto" w:fill="F2F2F2"/>
            <w:vAlign w:val="center"/>
          </w:tcPr>
          <w:p w14:paraId="2C638255" w14:textId="77777777" w:rsidR="00843768" w:rsidRPr="00B21137" w:rsidRDefault="00843768" w:rsidP="00226DBF">
            <w:pPr>
              <w:keepNext/>
              <w:keepLines/>
              <w:jc w:val="center"/>
              <w:outlineLvl w:val="1"/>
              <w:rPr>
                <w:rFonts w:asciiTheme="minorHAnsi" w:hAnsiTheme="minorHAnsi" w:cstheme="minorHAnsi"/>
                <w:lang w:val="en-GB"/>
              </w:rPr>
            </w:pPr>
            <w:bookmarkStart w:id="2170" w:name="_Toc376200254"/>
            <w:r w:rsidRPr="00B21137">
              <w:rPr>
                <w:rFonts w:asciiTheme="minorHAnsi" w:hAnsiTheme="minorHAnsi" w:cstheme="minorHAnsi"/>
                <w:lang w:val="en-GB"/>
              </w:rPr>
              <w:t>3 679.8</w:t>
            </w:r>
            <w:bookmarkEnd w:id="2170"/>
          </w:p>
        </w:tc>
        <w:tc>
          <w:tcPr>
            <w:tcW w:w="1266" w:type="dxa"/>
            <w:shd w:val="clear" w:color="auto" w:fill="F2F2F2"/>
            <w:vAlign w:val="center"/>
          </w:tcPr>
          <w:p w14:paraId="008BAF27" w14:textId="77777777" w:rsidR="00843768" w:rsidRPr="00B21137" w:rsidRDefault="00843768" w:rsidP="00226DBF">
            <w:pPr>
              <w:keepNext/>
              <w:keepLines/>
              <w:jc w:val="center"/>
              <w:outlineLvl w:val="1"/>
              <w:rPr>
                <w:rFonts w:asciiTheme="minorHAnsi" w:hAnsiTheme="minorHAnsi" w:cstheme="minorHAnsi"/>
                <w:lang w:val="en-GB"/>
              </w:rPr>
            </w:pPr>
            <w:bookmarkStart w:id="2171" w:name="_Toc376200255"/>
            <w:r w:rsidRPr="00B21137">
              <w:rPr>
                <w:rFonts w:asciiTheme="minorHAnsi" w:hAnsiTheme="minorHAnsi" w:cstheme="minorHAnsi"/>
                <w:lang w:val="en-GB"/>
              </w:rPr>
              <w:t>4 038.9</w:t>
            </w:r>
            <w:bookmarkEnd w:id="2171"/>
          </w:p>
        </w:tc>
      </w:tr>
      <w:tr w:rsidR="00843768" w:rsidRPr="006645DC" w14:paraId="17BD25A5" w14:textId="77777777" w:rsidTr="00226DBF">
        <w:trPr>
          <w:jc w:val="center"/>
        </w:trPr>
        <w:tc>
          <w:tcPr>
            <w:tcW w:w="1088" w:type="dxa"/>
            <w:shd w:val="clear" w:color="auto" w:fill="F2F2F2"/>
            <w:vAlign w:val="center"/>
          </w:tcPr>
          <w:p w14:paraId="52C1F653" w14:textId="77777777" w:rsidR="00843768" w:rsidRPr="00B21137" w:rsidRDefault="00843768" w:rsidP="00226DBF">
            <w:pPr>
              <w:keepNext/>
              <w:keepLines/>
              <w:outlineLvl w:val="1"/>
              <w:rPr>
                <w:rFonts w:asciiTheme="minorHAnsi" w:hAnsiTheme="minorHAnsi" w:cstheme="minorHAnsi"/>
                <w:lang w:val="en-GB"/>
              </w:rPr>
            </w:pPr>
            <w:bookmarkStart w:id="2172" w:name="_Toc376200256"/>
            <w:r w:rsidRPr="00B21137">
              <w:rPr>
                <w:rFonts w:asciiTheme="minorHAnsi" w:hAnsiTheme="minorHAnsi" w:cstheme="minorHAnsi"/>
                <w:lang w:val="en-GB"/>
              </w:rPr>
              <w:t>NUTS 2</w:t>
            </w:r>
            <w:bookmarkEnd w:id="2172"/>
          </w:p>
        </w:tc>
        <w:tc>
          <w:tcPr>
            <w:tcW w:w="4536" w:type="dxa"/>
            <w:shd w:val="clear" w:color="auto" w:fill="F2F2F2"/>
            <w:vAlign w:val="center"/>
          </w:tcPr>
          <w:p w14:paraId="7613BFDA" w14:textId="77777777" w:rsidR="00843768" w:rsidRPr="00B21137" w:rsidRDefault="00843768" w:rsidP="00226DBF">
            <w:pPr>
              <w:keepNext/>
              <w:keepLines/>
              <w:outlineLvl w:val="1"/>
              <w:rPr>
                <w:rFonts w:asciiTheme="minorHAnsi" w:hAnsiTheme="minorHAnsi" w:cstheme="minorHAnsi"/>
                <w:lang w:val="en-GB"/>
              </w:rPr>
            </w:pPr>
            <w:bookmarkStart w:id="2173" w:name="_Toc376200257"/>
            <w:r w:rsidRPr="00B21137">
              <w:rPr>
                <w:rFonts w:asciiTheme="minorHAnsi" w:hAnsiTheme="minorHAnsi" w:cstheme="minorHAnsi"/>
                <w:lang w:val="en-GB"/>
              </w:rPr>
              <w:t>Regions Planning (</w:t>
            </w:r>
            <w:r w:rsidRPr="00B21137">
              <w:rPr>
                <w:rFonts w:asciiTheme="minorHAnsi" w:hAnsiTheme="minorHAnsi" w:cstheme="minorHAnsi"/>
                <w:i/>
                <w:iCs/>
                <w:lang w:val="en-GB"/>
              </w:rPr>
              <w:t>rayoni za planirane</w:t>
            </w:r>
            <w:r w:rsidRPr="00B21137">
              <w:rPr>
                <w:rFonts w:asciiTheme="minorHAnsi" w:hAnsiTheme="minorHAnsi" w:cstheme="minorHAnsi"/>
                <w:lang w:val="en-GB"/>
              </w:rPr>
              <w:t>)</w:t>
            </w:r>
            <w:bookmarkEnd w:id="2173"/>
          </w:p>
        </w:tc>
        <w:tc>
          <w:tcPr>
            <w:tcW w:w="1134" w:type="dxa"/>
            <w:shd w:val="clear" w:color="auto" w:fill="F2F2F2"/>
            <w:vAlign w:val="center"/>
          </w:tcPr>
          <w:p w14:paraId="6EB413B7" w14:textId="77777777" w:rsidR="00843768" w:rsidRPr="00B21137" w:rsidRDefault="00843768" w:rsidP="00226DBF">
            <w:pPr>
              <w:keepNext/>
              <w:keepLines/>
              <w:jc w:val="center"/>
              <w:outlineLvl w:val="1"/>
              <w:rPr>
                <w:rFonts w:asciiTheme="minorHAnsi" w:hAnsiTheme="minorHAnsi" w:cstheme="minorHAnsi"/>
                <w:lang w:val="en-GB"/>
              </w:rPr>
            </w:pPr>
            <w:bookmarkStart w:id="2174" w:name="_Toc376200258"/>
            <w:r w:rsidRPr="00B21137">
              <w:rPr>
                <w:rFonts w:asciiTheme="minorHAnsi" w:hAnsiTheme="minorHAnsi" w:cstheme="minorHAnsi"/>
                <w:lang w:val="en-GB"/>
              </w:rPr>
              <w:t>6</w:t>
            </w:r>
            <w:bookmarkEnd w:id="2174"/>
          </w:p>
        </w:tc>
        <w:tc>
          <w:tcPr>
            <w:tcW w:w="1238" w:type="dxa"/>
            <w:shd w:val="clear" w:color="auto" w:fill="F2F2F2"/>
            <w:vAlign w:val="center"/>
          </w:tcPr>
          <w:p w14:paraId="0D6547B3" w14:textId="77777777" w:rsidR="00843768" w:rsidRPr="00B21137" w:rsidRDefault="00843768" w:rsidP="00226DBF">
            <w:pPr>
              <w:keepNext/>
              <w:keepLines/>
              <w:jc w:val="center"/>
              <w:outlineLvl w:val="1"/>
              <w:rPr>
                <w:rFonts w:asciiTheme="minorHAnsi" w:hAnsiTheme="minorHAnsi" w:cstheme="minorHAnsi"/>
                <w:lang w:val="en-GB"/>
              </w:rPr>
            </w:pPr>
            <w:bookmarkStart w:id="2175" w:name="_Toc376200259"/>
            <w:r w:rsidRPr="00B21137">
              <w:rPr>
                <w:rFonts w:asciiTheme="minorHAnsi" w:hAnsiTheme="minorHAnsi" w:cstheme="minorHAnsi"/>
                <w:lang w:val="en-GB"/>
              </w:rPr>
              <w:t>949.4</w:t>
            </w:r>
            <w:bookmarkEnd w:id="2175"/>
          </w:p>
        </w:tc>
        <w:tc>
          <w:tcPr>
            <w:tcW w:w="1266" w:type="dxa"/>
            <w:shd w:val="clear" w:color="auto" w:fill="F2F2F2"/>
            <w:vAlign w:val="center"/>
          </w:tcPr>
          <w:p w14:paraId="017C4704" w14:textId="77777777" w:rsidR="00843768" w:rsidRPr="00B21137" w:rsidRDefault="00843768" w:rsidP="00226DBF">
            <w:pPr>
              <w:keepNext/>
              <w:keepLines/>
              <w:jc w:val="center"/>
              <w:outlineLvl w:val="1"/>
              <w:rPr>
                <w:rFonts w:asciiTheme="minorHAnsi" w:hAnsiTheme="minorHAnsi" w:cstheme="minorHAnsi"/>
                <w:lang w:val="en-GB"/>
              </w:rPr>
            </w:pPr>
            <w:bookmarkStart w:id="2176" w:name="_Toc376200260"/>
            <w:r w:rsidRPr="00B21137">
              <w:rPr>
                <w:rFonts w:asciiTheme="minorHAnsi" w:hAnsiTheme="minorHAnsi" w:cstheme="minorHAnsi"/>
                <w:lang w:val="en-GB"/>
              </w:rPr>
              <w:t>2 118.9</w:t>
            </w:r>
            <w:bookmarkEnd w:id="2176"/>
          </w:p>
        </w:tc>
      </w:tr>
      <w:tr w:rsidR="00843768" w:rsidRPr="006645DC" w14:paraId="6B0215CA" w14:textId="77777777" w:rsidTr="00226DBF">
        <w:trPr>
          <w:jc w:val="center"/>
        </w:trPr>
        <w:tc>
          <w:tcPr>
            <w:tcW w:w="1088" w:type="dxa"/>
            <w:shd w:val="clear" w:color="auto" w:fill="F2F2F2"/>
            <w:vAlign w:val="center"/>
          </w:tcPr>
          <w:p w14:paraId="4E59DF77" w14:textId="77777777" w:rsidR="00843768" w:rsidRPr="00B21137" w:rsidRDefault="00843768" w:rsidP="00226DBF">
            <w:pPr>
              <w:keepNext/>
              <w:keepLines/>
              <w:outlineLvl w:val="1"/>
              <w:rPr>
                <w:rFonts w:asciiTheme="minorHAnsi" w:hAnsiTheme="minorHAnsi" w:cstheme="minorHAnsi"/>
                <w:lang w:val="en-GB"/>
              </w:rPr>
            </w:pPr>
            <w:bookmarkStart w:id="2177" w:name="_Toc376200261"/>
            <w:r w:rsidRPr="00B21137">
              <w:rPr>
                <w:rFonts w:asciiTheme="minorHAnsi" w:hAnsiTheme="minorHAnsi" w:cstheme="minorHAnsi"/>
                <w:lang w:val="en-GB"/>
              </w:rPr>
              <w:t>NUTS 3</w:t>
            </w:r>
            <w:bookmarkEnd w:id="2177"/>
          </w:p>
        </w:tc>
        <w:tc>
          <w:tcPr>
            <w:tcW w:w="4536" w:type="dxa"/>
            <w:shd w:val="clear" w:color="auto" w:fill="F2F2F2"/>
            <w:vAlign w:val="center"/>
          </w:tcPr>
          <w:p w14:paraId="68DECA3B" w14:textId="77777777" w:rsidR="00843768" w:rsidRPr="00B21137" w:rsidRDefault="00843768" w:rsidP="00226DBF">
            <w:pPr>
              <w:keepNext/>
              <w:keepLines/>
              <w:outlineLvl w:val="1"/>
              <w:rPr>
                <w:rFonts w:asciiTheme="minorHAnsi" w:hAnsiTheme="minorHAnsi" w:cstheme="minorHAnsi"/>
                <w:lang w:val="en-GB"/>
              </w:rPr>
            </w:pPr>
            <w:bookmarkStart w:id="2178" w:name="_Toc376200262"/>
            <w:r w:rsidRPr="00B21137">
              <w:rPr>
                <w:rFonts w:asciiTheme="minorHAnsi" w:hAnsiTheme="minorHAnsi" w:cstheme="minorHAnsi"/>
                <w:lang w:val="en-GB"/>
              </w:rPr>
              <w:t>Counties / Provinces (</w:t>
            </w:r>
            <w:r w:rsidRPr="00B21137">
              <w:rPr>
                <w:rFonts w:asciiTheme="minorHAnsi" w:hAnsiTheme="minorHAnsi" w:cstheme="minorHAnsi"/>
                <w:i/>
                <w:iCs/>
                <w:lang w:val="en-GB"/>
              </w:rPr>
              <w:t>oblasti</w:t>
            </w:r>
            <w:r w:rsidRPr="00B21137">
              <w:rPr>
                <w:rFonts w:asciiTheme="minorHAnsi" w:hAnsiTheme="minorHAnsi" w:cstheme="minorHAnsi"/>
                <w:lang w:val="en-GB"/>
              </w:rPr>
              <w:t>)</w:t>
            </w:r>
            <w:bookmarkEnd w:id="2178"/>
          </w:p>
        </w:tc>
        <w:tc>
          <w:tcPr>
            <w:tcW w:w="1134" w:type="dxa"/>
            <w:shd w:val="clear" w:color="auto" w:fill="F2F2F2"/>
            <w:vAlign w:val="center"/>
          </w:tcPr>
          <w:p w14:paraId="46013477" w14:textId="77777777" w:rsidR="00843768" w:rsidRPr="00B21137" w:rsidRDefault="00843768" w:rsidP="00226DBF">
            <w:pPr>
              <w:keepNext/>
              <w:keepLines/>
              <w:jc w:val="center"/>
              <w:outlineLvl w:val="1"/>
              <w:rPr>
                <w:rFonts w:asciiTheme="minorHAnsi" w:hAnsiTheme="minorHAnsi" w:cstheme="minorHAnsi"/>
                <w:lang w:val="en-GB"/>
              </w:rPr>
            </w:pPr>
            <w:bookmarkStart w:id="2179" w:name="_Toc376200263"/>
            <w:r w:rsidRPr="00B21137">
              <w:rPr>
                <w:rFonts w:asciiTheme="minorHAnsi" w:hAnsiTheme="minorHAnsi" w:cstheme="minorHAnsi"/>
                <w:lang w:val="en-GB"/>
              </w:rPr>
              <w:t>28</w:t>
            </w:r>
            <w:bookmarkEnd w:id="2179"/>
          </w:p>
        </w:tc>
        <w:tc>
          <w:tcPr>
            <w:tcW w:w="1238" w:type="dxa"/>
            <w:shd w:val="clear" w:color="auto" w:fill="F2F2F2"/>
            <w:vAlign w:val="center"/>
          </w:tcPr>
          <w:p w14:paraId="37469CD0" w14:textId="77777777" w:rsidR="00843768" w:rsidRPr="00B21137" w:rsidRDefault="00843768" w:rsidP="00226DBF">
            <w:pPr>
              <w:keepNext/>
              <w:keepLines/>
              <w:jc w:val="center"/>
              <w:outlineLvl w:val="1"/>
              <w:rPr>
                <w:rFonts w:asciiTheme="minorHAnsi" w:hAnsiTheme="minorHAnsi" w:cstheme="minorHAnsi"/>
                <w:lang w:val="en-GB"/>
              </w:rPr>
            </w:pPr>
            <w:bookmarkStart w:id="2180" w:name="_Toc376200264"/>
            <w:r w:rsidRPr="00B21137">
              <w:rPr>
                <w:rFonts w:asciiTheme="minorHAnsi" w:hAnsiTheme="minorHAnsi" w:cstheme="minorHAnsi"/>
                <w:lang w:val="en-GB"/>
              </w:rPr>
              <w:t>117.8</w:t>
            </w:r>
            <w:bookmarkEnd w:id="2180"/>
          </w:p>
        </w:tc>
        <w:tc>
          <w:tcPr>
            <w:tcW w:w="1266" w:type="dxa"/>
            <w:shd w:val="clear" w:color="auto" w:fill="F2F2F2"/>
            <w:vAlign w:val="center"/>
          </w:tcPr>
          <w:p w14:paraId="2AFA9A66" w14:textId="77777777" w:rsidR="00843768" w:rsidRPr="00B21137" w:rsidRDefault="00843768" w:rsidP="00226DBF">
            <w:pPr>
              <w:keepNext/>
              <w:keepLines/>
              <w:jc w:val="center"/>
              <w:outlineLvl w:val="1"/>
              <w:rPr>
                <w:rFonts w:asciiTheme="minorHAnsi" w:hAnsiTheme="minorHAnsi" w:cstheme="minorHAnsi"/>
                <w:lang w:val="en-GB"/>
              </w:rPr>
            </w:pPr>
            <w:bookmarkStart w:id="2181" w:name="_Toc376200265"/>
            <w:r w:rsidRPr="00B21137">
              <w:rPr>
                <w:rFonts w:asciiTheme="minorHAnsi" w:hAnsiTheme="minorHAnsi" w:cstheme="minorHAnsi"/>
                <w:lang w:val="en-GB"/>
              </w:rPr>
              <w:t>1 231.6</w:t>
            </w:r>
            <w:bookmarkEnd w:id="2181"/>
          </w:p>
        </w:tc>
      </w:tr>
      <w:tr w:rsidR="00843768" w:rsidRPr="006645DC" w14:paraId="7934D332" w14:textId="77777777" w:rsidTr="00226DBF">
        <w:trPr>
          <w:jc w:val="center"/>
        </w:trPr>
        <w:tc>
          <w:tcPr>
            <w:tcW w:w="1088" w:type="dxa"/>
            <w:shd w:val="clear" w:color="auto" w:fill="F2F2F2"/>
            <w:vAlign w:val="center"/>
          </w:tcPr>
          <w:p w14:paraId="4A0AE550" w14:textId="77777777" w:rsidR="00843768" w:rsidRPr="00B21137" w:rsidRDefault="00843768" w:rsidP="00226DBF">
            <w:pPr>
              <w:keepNext/>
              <w:keepLines/>
              <w:outlineLvl w:val="1"/>
              <w:rPr>
                <w:rFonts w:asciiTheme="minorHAnsi" w:hAnsiTheme="minorHAnsi" w:cstheme="minorHAnsi"/>
                <w:lang w:val="en-GB"/>
              </w:rPr>
            </w:pPr>
            <w:bookmarkStart w:id="2182" w:name="_Toc376200266"/>
            <w:r w:rsidRPr="00B21137">
              <w:rPr>
                <w:rFonts w:asciiTheme="minorHAnsi" w:hAnsiTheme="minorHAnsi" w:cstheme="minorHAnsi"/>
                <w:lang w:val="en-GB"/>
              </w:rPr>
              <w:t>LAU 1</w:t>
            </w:r>
            <w:bookmarkEnd w:id="2182"/>
          </w:p>
        </w:tc>
        <w:tc>
          <w:tcPr>
            <w:tcW w:w="4536" w:type="dxa"/>
            <w:shd w:val="clear" w:color="auto" w:fill="F2F2F2"/>
            <w:vAlign w:val="center"/>
          </w:tcPr>
          <w:p w14:paraId="1F0BFC84" w14:textId="77777777" w:rsidR="00843768" w:rsidRPr="00B21137" w:rsidRDefault="00843768" w:rsidP="00226DBF">
            <w:pPr>
              <w:keepNext/>
              <w:keepLines/>
              <w:outlineLvl w:val="1"/>
              <w:rPr>
                <w:rFonts w:asciiTheme="minorHAnsi" w:hAnsiTheme="minorHAnsi" w:cstheme="minorHAnsi"/>
                <w:lang w:val="en-GB"/>
              </w:rPr>
            </w:pPr>
            <w:bookmarkStart w:id="2183" w:name="_Toc376200267"/>
            <w:r w:rsidRPr="00B21137">
              <w:rPr>
                <w:rFonts w:asciiTheme="minorHAnsi" w:hAnsiTheme="minorHAnsi" w:cstheme="minorHAnsi"/>
                <w:lang w:val="en-GB"/>
              </w:rPr>
              <w:t>Municipalities (</w:t>
            </w:r>
            <w:r w:rsidRPr="00B21137">
              <w:rPr>
                <w:rFonts w:asciiTheme="minorHAnsi" w:hAnsiTheme="minorHAnsi" w:cstheme="minorHAnsi"/>
                <w:i/>
                <w:iCs/>
                <w:lang w:val="en-GB"/>
              </w:rPr>
              <w:t>obshtini</w:t>
            </w:r>
            <w:r w:rsidRPr="00B21137">
              <w:rPr>
                <w:rFonts w:asciiTheme="minorHAnsi" w:hAnsiTheme="minorHAnsi" w:cstheme="minorHAnsi"/>
                <w:lang w:val="en-GB"/>
              </w:rPr>
              <w:t>)</w:t>
            </w:r>
            <w:bookmarkEnd w:id="2183"/>
          </w:p>
        </w:tc>
        <w:tc>
          <w:tcPr>
            <w:tcW w:w="1134" w:type="dxa"/>
            <w:shd w:val="clear" w:color="auto" w:fill="F2F2F2"/>
            <w:vAlign w:val="center"/>
          </w:tcPr>
          <w:p w14:paraId="29E30E40" w14:textId="77777777" w:rsidR="00843768" w:rsidRPr="00B21137" w:rsidRDefault="00843768" w:rsidP="00226DBF">
            <w:pPr>
              <w:keepNext/>
              <w:keepLines/>
              <w:jc w:val="center"/>
              <w:outlineLvl w:val="1"/>
              <w:rPr>
                <w:rFonts w:asciiTheme="minorHAnsi" w:hAnsiTheme="minorHAnsi" w:cstheme="minorHAnsi"/>
                <w:lang w:val="en-GB"/>
              </w:rPr>
            </w:pPr>
            <w:bookmarkStart w:id="2184" w:name="_Toc376200268"/>
            <w:r w:rsidRPr="00B21137">
              <w:rPr>
                <w:rFonts w:asciiTheme="minorHAnsi" w:hAnsiTheme="minorHAnsi" w:cstheme="minorHAnsi"/>
                <w:lang w:val="en-GB"/>
              </w:rPr>
              <w:t>264</w:t>
            </w:r>
            <w:bookmarkEnd w:id="2184"/>
          </w:p>
        </w:tc>
        <w:tc>
          <w:tcPr>
            <w:tcW w:w="1238" w:type="dxa"/>
            <w:shd w:val="clear" w:color="auto" w:fill="F2F2F2"/>
            <w:vAlign w:val="center"/>
          </w:tcPr>
          <w:p w14:paraId="06A66CDE" w14:textId="77777777" w:rsidR="00843768" w:rsidRPr="00B21137" w:rsidRDefault="00843768" w:rsidP="00226DBF">
            <w:pPr>
              <w:keepNext/>
              <w:keepLines/>
              <w:jc w:val="center"/>
              <w:outlineLvl w:val="1"/>
              <w:rPr>
                <w:rFonts w:asciiTheme="minorHAnsi" w:hAnsiTheme="minorHAnsi" w:cstheme="minorHAnsi"/>
                <w:lang w:val="en-GB"/>
              </w:rPr>
            </w:pPr>
            <w:bookmarkStart w:id="2185" w:name="_Toc376200269"/>
            <w:r w:rsidRPr="00B21137">
              <w:rPr>
                <w:rFonts w:asciiTheme="minorHAnsi" w:hAnsiTheme="minorHAnsi" w:cstheme="minorHAnsi"/>
                <w:lang w:val="en-GB"/>
              </w:rPr>
              <w:t>1.2</w:t>
            </w:r>
            <w:bookmarkEnd w:id="2185"/>
          </w:p>
        </w:tc>
        <w:tc>
          <w:tcPr>
            <w:tcW w:w="1266" w:type="dxa"/>
            <w:shd w:val="clear" w:color="auto" w:fill="F2F2F2"/>
            <w:vAlign w:val="center"/>
          </w:tcPr>
          <w:p w14:paraId="39AB3C4B" w14:textId="77777777" w:rsidR="00843768" w:rsidRPr="00B21137" w:rsidRDefault="00843768" w:rsidP="00226DBF">
            <w:pPr>
              <w:keepNext/>
              <w:keepLines/>
              <w:jc w:val="center"/>
              <w:outlineLvl w:val="1"/>
              <w:rPr>
                <w:rFonts w:asciiTheme="minorHAnsi" w:hAnsiTheme="minorHAnsi" w:cstheme="minorHAnsi"/>
                <w:lang w:val="en-GB"/>
              </w:rPr>
            </w:pPr>
            <w:bookmarkStart w:id="2186" w:name="_Toc376200270"/>
            <w:r w:rsidRPr="00B21137">
              <w:rPr>
                <w:rFonts w:asciiTheme="minorHAnsi" w:hAnsiTheme="minorHAnsi" w:cstheme="minorHAnsi"/>
                <w:lang w:val="en-GB"/>
              </w:rPr>
              <w:t>1 321.6</w:t>
            </w:r>
            <w:bookmarkEnd w:id="2186"/>
          </w:p>
        </w:tc>
      </w:tr>
    </w:tbl>
    <w:p w14:paraId="7A973014" w14:textId="77777777" w:rsidR="00843768" w:rsidRPr="006645DC" w:rsidRDefault="00843768" w:rsidP="00843768">
      <w:pPr>
        <w:pStyle w:val="Heading4"/>
        <w:rPr>
          <w:lang w:val="en-GB"/>
        </w:rPr>
      </w:pPr>
      <w:r w:rsidRPr="006645DC">
        <w:rPr>
          <w:lang w:val="en-GB"/>
        </w:rPr>
        <w:t>Interpretation: LAU: Local Authority Unit. NUTS: National Units for Territorial Statistics.</w:t>
      </w:r>
    </w:p>
    <w:p w14:paraId="151C667B" w14:textId="77777777" w:rsidR="00843768" w:rsidRPr="006645DC" w:rsidRDefault="00843768" w:rsidP="00843768">
      <w:pPr>
        <w:pStyle w:val="Heading4"/>
        <w:rPr>
          <w:lang w:val="en-GB"/>
        </w:rPr>
      </w:pPr>
      <w:r w:rsidRPr="006645DC">
        <w:rPr>
          <w:lang w:val="en-GB"/>
        </w:rPr>
        <w:t>Source: Dexia, Sub-National Governments in the European Union. Organization, responsibilities and finance</w:t>
      </w:r>
    </w:p>
    <w:p w14:paraId="7D942FDB" w14:textId="77777777" w:rsidR="00843768" w:rsidRPr="006645DC" w:rsidRDefault="00843768" w:rsidP="00843768">
      <w:pPr>
        <w:spacing w:line="360" w:lineRule="auto"/>
        <w:jc w:val="center"/>
        <w:rPr>
          <w:rFonts w:ascii="Times New Roman" w:hAnsi="Times New Roman"/>
          <w:b/>
          <w:lang w:val="en-GB"/>
        </w:rPr>
      </w:pPr>
    </w:p>
    <w:p w14:paraId="38FCE716" w14:textId="77777777" w:rsidR="00843768" w:rsidRPr="006645DC" w:rsidRDefault="00843768" w:rsidP="00843768">
      <w:pPr>
        <w:spacing w:line="360" w:lineRule="auto"/>
        <w:jc w:val="center"/>
        <w:rPr>
          <w:rFonts w:ascii="Times New Roman" w:hAnsi="Times New Roman"/>
          <w:b/>
          <w:lang w:val="en-GB"/>
        </w:rPr>
      </w:pPr>
    </w:p>
    <w:p w14:paraId="5939FAA7" w14:textId="77777777" w:rsidR="00843768" w:rsidRPr="006645DC" w:rsidRDefault="00843768" w:rsidP="00843768">
      <w:pPr>
        <w:pStyle w:val="Caption"/>
        <w:rPr>
          <w:lang w:val="en-GB"/>
        </w:rPr>
      </w:pPr>
      <w:bookmarkStart w:id="2187" w:name="_Toc391150152"/>
      <w:r w:rsidRPr="006645DC">
        <w:rPr>
          <w:lang w:val="en-GB"/>
        </w:rPr>
        <w:lastRenderedPageBreak/>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55</w:t>
      </w:r>
      <w:r w:rsidR="005979EB" w:rsidRPr="006645DC">
        <w:rPr>
          <w:lang w:val="en-GB"/>
        </w:rPr>
        <w:fldChar w:fldCharType="end"/>
      </w:r>
      <w:r w:rsidRPr="006645DC">
        <w:rPr>
          <w:lang w:val="en-GB"/>
        </w:rPr>
        <w:t xml:space="preserve"> - Territorial structure of local administration in Romania</w:t>
      </w:r>
      <w:bookmarkEnd w:id="2187"/>
    </w:p>
    <w:tbl>
      <w:tblPr>
        <w:tblW w:w="0" w:type="auto"/>
        <w:jc w:val="center"/>
        <w:tblBorders>
          <w:top w:val="thickThinLargeGap" w:sz="24" w:space="0" w:color="auto"/>
          <w:left w:val="thickThinLargeGap" w:sz="24" w:space="0" w:color="auto"/>
          <w:bottom w:val="thickThinLargeGap" w:sz="24" w:space="0" w:color="auto"/>
          <w:right w:val="thickThinLargeGap" w:sz="24" w:space="0" w:color="auto"/>
          <w:insideH w:val="thickThinLargeGap" w:sz="24" w:space="0" w:color="auto"/>
          <w:insideV w:val="thickThinLargeGap" w:sz="24" w:space="0" w:color="auto"/>
        </w:tblBorders>
        <w:tblLook w:val="01E0" w:firstRow="1" w:lastRow="1" w:firstColumn="1" w:lastColumn="1" w:noHBand="0" w:noVBand="0"/>
      </w:tblPr>
      <w:tblGrid>
        <w:gridCol w:w="1776"/>
        <w:gridCol w:w="6554"/>
      </w:tblGrid>
      <w:tr w:rsidR="00843768" w:rsidRPr="006645DC" w14:paraId="7CC83BBD" w14:textId="77777777" w:rsidTr="001451D4">
        <w:trPr>
          <w:trHeight w:val="640"/>
          <w:jc w:val="center"/>
        </w:trPr>
        <w:tc>
          <w:tcPr>
            <w:tcW w:w="1776" w:type="dxa"/>
            <w:shd w:val="clear" w:color="auto" w:fill="B8CCE4"/>
            <w:vAlign w:val="center"/>
          </w:tcPr>
          <w:p w14:paraId="2051B355" w14:textId="77777777" w:rsidR="00843768" w:rsidRPr="006645DC" w:rsidDel="00206C8F" w:rsidRDefault="00843768" w:rsidP="001451D4">
            <w:pPr>
              <w:spacing w:after="0"/>
              <w:jc w:val="center"/>
              <w:rPr>
                <w:rFonts w:cs="Calibri"/>
                <w:b/>
                <w:bCs/>
                <w:lang w:val="en-GB"/>
              </w:rPr>
            </w:pPr>
            <w:r w:rsidRPr="006645DC">
              <w:rPr>
                <w:rFonts w:cs="Calibri"/>
                <w:b/>
                <w:bCs/>
                <w:lang w:val="en-GB"/>
              </w:rPr>
              <w:t>Levels</w:t>
            </w:r>
          </w:p>
        </w:tc>
        <w:tc>
          <w:tcPr>
            <w:tcW w:w="6554" w:type="dxa"/>
            <w:shd w:val="clear" w:color="auto" w:fill="B8CCE4"/>
            <w:vAlign w:val="center"/>
          </w:tcPr>
          <w:p w14:paraId="79599579" w14:textId="77777777" w:rsidR="00843768" w:rsidRPr="006645DC" w:rsidRDefault="00843768" w:rsidP="001451D4">
            <w:pPr>
              <w:spacing w:after="0"/>
              <w:jc w:val="center"/>
              <w:rPr>
                <w:rFonts w:cs="Calibri"/>
                <w:b/>
                <w:bCs/>
                <w:lang w:val="en-GB"/>
              </w:rPr>
            </w:pPr>
            <w:r w:rsidRPr="006645DC">
              <w:rPr>
                <w:rFonts w:cs="Calibri"/>
                <w:b/>
                <w:bCs/>
                <w:lang w:val="en-GB"/>
              </w:rPr>
              <w:t>Organizational Forms</w:t>
            </w:r>
          </w:p>
        </w:tc>
      </w:tr>
      <w:tr w:rsidR="00843768" w:rsidRPr="006645DC" w14:paraId="3AD96F33" w14:textId="77777777" w:rsidTr="001451D4">
        <w:trPr>
          <w:trHeight w:val="576"/>
          <w:jc w:val="center"/>
        </w:trPr>
        <w:tc>
          <w:tcPr>
            <w:tcW w:w="1776" w:type="dxa"/>
            <w:vAlign w:val="center"/>
          </w:tcPr>
          <w:p w14:paraId="28A8BA5F" w14:textId="77777777" w:rsidR="00843768" w:rsidRPr="006645DC" w:rsidRDefault="00843768" w:rsidP="001451D4">
            <w:pPr>
              <w:spacing w:after="0"/>
              <w:jc w:val="center"/>
              <w:rPr>
                <w:rFonts w:cs="Calibri"/>
                <w:lang w:val="en-GB"/>
              </w:rPr>
            </w:pPr>
            <w:r w:rsidRPr="006645DC">
              <w:rPr>
                <w:rFonts w:cs="Calibri"/>
                <w:lang w:val="en-GB"/>
              </w:rPr>
              <w:t>Regional</w:t>
            </w:r>
          </w:p>
        </w:tc>
        <w:tc>
          <w:tcPr>
            <w:tcW w:w="6554" w:type="dxa"/>
            <w:vAlign w:val="center"/>
          </w:tcPr>
          <w:p w14:paraId="6C0299F6" w14:textId="77777777" w:rsidR="00843768" w:rsidRPr="006645DC" w:rsidRDefault="00843768" w:rsidP="001451D4">
            <w:pPr>
              <w:spacing w:after="0"/>
              <w:jc w:val="center"/>
              <w:rPr>
                <w:rFonts w:cs="Calibri"/>
                <w:b/>
                <w:bCs/>
                <w:lang w:val="en-GB"/>
              </w:rPr>
            </w:pPr>
            <w:r w:rsidRPr="006645DC">
              <w:rPr>
                <w:rFonts w:cs="Calibri"/>
                <w:lang w:val="en-GB"/>
              </w:rPr>
              <w:t>8 Development Regions (NUTS 2)</w:t>
            </w:r>
          </w:p>
        </w:tc>
      </w:tr>
      <w:tr w:rsidR="00843768" w:rsidRPr="006645DC" w14:paraId="6C67431B" w14:textId="77777777" w:rsidTr="001451D4">
        <w:trPr>
          <w:trHeight w:val="576"/>
          <w:jc w:val="center"/>
        </w:trPr>
        <w:tc>
          <w:tcPr>
            <w:tcW w:w="1776" w:type="dxa"/>
            <w:vAlign w:val="center"/>
          </w:tcPr>
          <w:p w14:paraId="428BC2AE" w14:textId="77777777" w:rsidR="00843768" w:rsidRPr="006645DC" w:rsidRDefault="00843768" w:rsidP="001451D4">
            <w:pPr>
              <w:keepNext/>
              <w:keepLines/>
              <w:spacing w:after="0"/>
              <w:jc w:val="center"/>
              <w:outlineLvl w:val="1"/>
              <w:rPr>
                <w:rFonts w:cs="Calibri"/>
                <w:lang w:val="en-GB"/>
              </w:rPr>
            </w:pPr>
            <w:bookmarkStart w:id="2188" w:name="_Toc376200271"/>
            <w:r w:rsidRPr="006645DC">
              <w:rPr>
                <w:rFonts w:cs="Calibri"/>
                <w:lang w:val="en-GB"/>
              </w:rPr>
              <w:t>Intermediate</w:t>
            </w:r>
            <w:bookmarkEnd w:id="2188"/>
          </w:p>
        </w:tc>
        <w:tc>
          <w:tcPr>
            <w:tcW w:w="6554" w:type="dxa"/>
            <w:vAlign w:val="center"/>
          </w:tcPr>
          <w:p w14:paraId="06B86E2C" w14:textId="77777777" w:rsidR="00843768" w:rsidRPr="006645DC" w:rsidRDefault="00DF3EE1" w:rsidP="00EB703D">
            <w:pPr>
              <w:keepNext/>
              <w:keepLines/>
              <w:autoSpaceDE w:val="0"/>
              <w:autoSpaceDN w:val="0"/>
              <w:adjustRightInd w:val="0"/>
              <w:spacing w:after="0"/>
              <w:ind w:left="360" w:hanging="360"/>
              <w:jc w:val="center"/>
              <w:outlineLvl w:val="1"/>
              <w:rPr>
                <w:rFonts w:cs="Calibri"/>
                <w:lang w:val="en-GB"/>
              </w:rPr>
            </w:pPr>
            <w:bookmarkStart w:id="2189" w:name="_Toc376200272"/>
            <w:r w:rsidRPr="006645DC">
              <w:rPr>
                <w:rFonts w:cs="Calibri"/>
                <w:lang w:val="en-GB"/>
              </w:rPr>
              <w:t>41</w:t>
            </w:r>
            <w:r w:rsidR="00843768" w:rsidRPr="006645DC">
              <w:rPr>
                <w:rFonts w:cs="Calibri"/>
                <w:lang w:val="en-GB"/>
              </w:rPr>
              <w:t xml:space="preserve"> counties </w:t>
            </w:r>
            <w:bookmarkEnd w:id="2189"/>
          </w:p>
        </w:tc>
      </w:tr>
      <w:tr w:rsidR="00843768" w:rsidRPr="006645DC" w14:paraId="3789BC27" w14:textId="77777777" w:rsidTr="001451D4">
        <w:trPr>
          <w:trHeight w:val="839"/>
          <w:jc w:val="center"/>
        </w:trPr>
        <w:tc>
          <w:tcPr>
            <w:tcW w:w="1776" w:type="dxa"/>
            <w:vAlign w:val="center"/>
          </w:tcPr>
          <w:p w14:paraId="50865AB1" w14:textId="77777777" w:rsidR="00843768" w:rsidRPr="006645DC" w:rsidRDefault="00843768" w:rsidP="001451D4">
            <w:pPr>
              <w:keepNext/>
              <w:keepLines/>
              <w:spacing w:after="0"/>
              <w:jc w:val="center"/>
              <w:outlineLvl w:val="1"/>
              <w:rPr>
                <w:rFonts w:cs="Calibri"/>
                <w:lang w:val="en-GB"/>
              </w:rPr>
            </w:pPr>
            <w:bookmarkStart w:id="2190" w:name="_Toc376200273"/>
            <w:r w:rsidRPr="006645DC">
              <w:rPr>
                <w:rFonts w:cs="Calibri"/>
                <w:lang w:val="en-GB"/>
              </w:rPr>
              <w:t>Local</w:t>
            </w:r>
            <w:bookmarkEnd w:id="2190"/>
          </w:p>
        </w:tc>
        <w:tc>
          <w:tcPr>
            <w:tcW w:w="6554" w:type="dxa"/>
            <w:vAlign w:val="center"/>
          </w:tcPr>
          <w:p w14:paraId="4D522A1E" w14:textId="77777777" w:rsidR="00EB703D" w:rsidRPr="006645DC" w:rsidRDefault="00EB703D" w:rsidP="00EB703D">
            <w:pPr>
              <w:keepNext/>
              <w:keepLines/>
              <w:autoSpaceDE w:val="0"/>
              <w:autoSpaceDN w:val="0"/>
              <w:adjustRightInd w:val="0"/>
              <w:spacing w:after="0"/>
              <w:ind w:left="360" w:hanging="360"/>
              <w:jc w:val="center"/>
              <w:outlineLvl w:val="1"/>
              <w:rPr>
                <w:rFonts w:cs="Calibri"/>
                <w:lang w:val="en-GB"/>
              </w:rPr>
            </w:pPr>
            <w:r w:rsidRPr="006645DC">
              <w:rPr>
                <w:rFonts w:cs="Calibri"/>
                <w:lang w:val="en-GB"/>
              </w:rPr>
              <w:t>•</w:t>
            </w:r>
            <w:r w:rsidRPr="006645DC">
              <w:rPr>
                <w:rFonts w:cs="Calibri"/>
                <w:lang w:val="en-GB"/>
              </w:rPr>
              <w:tab/>
              <w:t>2861 communes</w:t>
            </w:r>
          </w:p>
          <w:p w14:paraId="6426975D" w14:textId="77777777" w:rsidR="00843768" w:rsidRPr="006645DC" w:rsidRDefault="00EB703D" w:rsidP="00EB703D">
            <w:pPr>
              <w:keepNext/>
              <w:keepLines/>
              <w:autoSpaceDE w:val="0"/>
              <w:autoSpaceDN w:val="0"/>
              <w:adjustRightInd w:val="0"/>
              <w:spacing w:after="0"/>
              <w:ind w:left="360" w:hanging="360"/>
              <w:jc w:val="center"/>
              <w:outlineLvl w:val="1"/>
              <w:rPr>
                <w:rFonts w:cs="Calibri"/>
                <w:lang w:val="en-GB"/>
              </w:rPr>
            </w:pPr>
            <w:r w:rsidRPr="006645DC">
              <w:rPr>
                <w:rFonts w:cs="Calibri"/>
                <w:lang w:val="en-GB"/>
              </w:rPr>
              <w:t>•</w:t>
            </w:r>
            <w:r w:rsidRPr="006645DC">
              <w:rPr>
                <w:rFonts w:cs="Calibri"/>
                <w:lang w:val="en-GB"/>
              </w:rPr>
              <w:tab/>
              <w:t>217 cities out of which 103 are municipalities(</w:t>
            </w:r>
            <w:r w:rsidRPr="006645DC">
              <w:rPr>
                <w:rFonts w:cs="Calibri"/>
                <w:i/>
                <w:lang w:val="en-GB"/>
              </w:rPr>
              <w:t>municipii</w:t>
            </w:r>
            <w:r w:rsidRPr="006645DC">
              <w:rPr>
                <w:rFonts w:cs="Calibri"/>
                <w:lang w:val="en-GB"/>
              </w:rPr>
              <w:t>)</w:t>
            </w:r>
          </w:p>
        </w:tc>
      </w:tr>
    </w:tbl>
    <w:p w14:paraId="3A03F730" w14:textId="77777777" w:rsidR="00843768" w:rsidRPr="006645DC" w:rsidRDefault="00843768" w:rsidP="00843768">
      <w:pPr>
        <w:pStyle w:val="Heading4"/>
        <w:rPr>
          <w:lang w:val="en-GB"/>
        </w:rPr>
      </w:pPr>
      <w:r w:rsidRPr="006645DC">
        <w:rPr>
          <w:lang w:val="en-GB"/>
        </w:rPr>
        <w:t xml:space="preserve">Source: </w:t>
      </w:r>
      <w:r w:rsidR="00EB703D" w:rsidRPr="006645DC">
        <w:rPr>
          <w:lang w:val="en-GB"/>
        </w:rPr>
        <w:t>DPFBL, Ministry of Regional Development and Public Administration</w:t>
      </w:r>
    </w:p>
    <w:p w14:paraId="452ED02B" w14:textId="77777777" w:rsidR="00843768" w:rsidRPr="006645DC" w:rsidRDefault="00843768" w:rsidP="00C22A61">
      <w:pPr>
        <w:pStyle w:val="Heading3"/>
        <w:numPr>
          <w:ilvl w:val="0"/>
          <w:numId w:val="17"/>
        </w:numPr>
        <w:rPr>
          <w:lang w:val="en-GB"/>
        </w:rPr>
      </w:pPr>
      <w:bookmarkStart w:id="2191" w:name="_Toc254543850"/>
      <w:r w:rsidRPr="006645DC">
        <w:rPr>
          <w:lang w:val="en-GB"/>
        </w:rPr>
        <w:t>System of governance</w:t>
      </w:r>
      <w:r w:rsidRPr="006645DC">
        <w:rPr>
          <w:rStyle w:val="FootnoteReference"/>
          <w:lang w:val="en-GB"/>
        </w:rPr>
        <w:footnoteReference w:id="52"/>
      </w:r>
      <w:bookmarkEnd w:id="2191"/>
    </w:p>
    <w:p w14:paraId="2FF4D265" w14:textId="77777777" w:rsidR="00843768" w:rsidRPr="006645DC" w:rsidRDefault="00843768" w:rsidP="00C951D5">
      <w:pPr>
        <w:pStyle w:val="Heading5"/>
        <w:numPr>
          <w:ilvl w:val="0"/>
          <w:numId w:val="131"/>
        </w:numPr>
        <w:rPr>
          <w:lang w:val="en-GB"/>
        </w:rPr>
      </w:pPr>
      <w:r w:rsidRPr="006645DC">
        <w:rPr>
          <w:lang w:val="en-GB"/>
        </w:rPr>
        <w:t>Romania</w:t>
      </w:r>
    </w:p>
    <w:p w14:paraId="5E383F30" w14:textId="77777777" w:rsidR="00843768" w:rsidRPr="006645DC" w:rsidRDefault="00843768" w:rsidP="00843768">
      <w:pPr>
        <w:rPr>
          <w:lang w:val="en-GB"/>
        </w:rPr>
      </w:pPr>
      <w:r w:rsidRPr="006645DC">
        <w:rPr>
          <w:lang w:val="en-GB"/>
        </w:rPr>
        <w:t>The administration of local affairs belongs to municipalities and cities (half of which are municipalities, see above). In first level municipalities, the general management is appointed to the city council or the general council, especially in the municipality of Bucharest (which is both a municipality and a county). The local council is the representative body and its members are elected for a 4-year term by direct party-list proportional representation suffrage, according to the proportional electoral system and in combinations (lists), resulting in formed governance partnerships. The mayor is elected directly in all municipality categories, while the municipalities-seats of the counties have a deputy mayor, and the municipality of Bucharest has two deputy mayors. The relevant legislation (law 67/2004) states that the mayors are elected by run-off direct election and by an absolute majority, and if required, in two rounds. The mayors are executive bodies and represent the municipality/city/community.</w:t>
      </w:r>
    </w:p>
    <w:p w14:paraId="2EDCEDC1" w14:textId="77777777" w:rsidR="00843768" w:rsidRPr="006645DC" w:rsidRDefault="00843768" w:rsidP="00843768">
      <w:pPr>
        <w:rPr>
          <w:lang w:val="en-GB"/>
        </w:rPr>
      </w:pPr>
      <w:r w:rsidRPr="006645DC">
        <w:rPr>
          <w:lang w:val="en-GB"/>
        </w:rPr>
        <w:t xml:space="preserve">The intermediate administration level consists of counties (judete). The administration of local affairs in the county belongs to the county council and to its president. The county council (consiliul judetean) consists of elected members for a 4-year term by a run-off and direct election and has general responsibility for the affairs of the county. The president (preşedinte) of the county council is elected by run off and direct election by the elective body of the county on the basis of a majority voting system. The president represents the council while he can transfer his responsibilities to two deputies that are appointed by the county council.  </w:t>
      </w:r>
    </w:p>
    <w:p w14:paraId="6C99CC5E" w14:textId="77777777" w:rsidR="00843768" w:rsidRPr="006645DC" w:rsidRDefault="00843768" w:rsidP="00843768">
      <w:pPr>
        <w:rPr>
          <w:lang w:val="en-GB"/>
        </w:rPr>
      </w:pPr>
      <w:r w:rsidRPr="006645DC">
        <w:rPr>
          <w:lang w:val="en-GB"/>
        </w:rPr>
        <w:t xml:space="preserve">At the next higher level, development regions are not decentralized administrative units and do not have legal entity. Each development region has created Regional Development Council, as a consultative </w:t>
      </w:r>
      <w:r w:rsidRPr="006645DC">
        <w:rPr>
          <w:lang w:val="en-GB"/>
        </w:rPr>
        <w:lastRenderedPageBreak/>
        <w:t>body, and a Regional Development Agency, as an executive body, while at the national level, the National Council for Regional Development has been created.</w:t>
      </w:r>
    </w:p>
    <w:p w14:paraId="63422862" w14:textId="77777777" w:rsidR="00843768" w:rsidRPr="006645DC" w:rsidRDefault="00843768" w:rsidP="00843768">
      <w:pPr>
        <w:rPr>
          <w:lang w:val="en-GB"/>
        </w:rPr>
      </w:pPr>
      <w:r w:rsidRPr="006645DC">
        <w:rPr>
          <w:lang w:val="en-GB"/>
        </w:rPr>
        <w:t>Concerning citizens’ participation, we can remark that in Romania, on the basis of the 2001 law on local administration, the possibility of local referendum on the initiative of the mayor is foreseen for all local issues including taxation and long-term loans. Furthermore, further changes in limits and mergers of municipalities and counties can only take place through a local referendum. Finally, the mayor can also be withdrawn by a local referendum. Such a referendum should reach a 25% participation rate of the electorate.</w:t>
      </w:r>
    </w:p>
    <w:p w14:paraId="7C1429B7" w14:textId="77777777" w:rsidR="00843768" w:rsidRPr="006645DC" w:rsidRDefault="00843768" w:rsidP="00843768">
      <w:pPr>
        <w:pStyle w:val="Heading5"/>
        <w:rPr>
          <w:lang w:val="en-GB"/>
        </w:rPr>
      </w:pPr>
      <w:r w:rsidRPr="006645DC">
        <w:rPr>
          <w:lang w:val="en-GB"/>
        </w:rPr>
        <w:t>Bulgaria</w:t>
      </w:r>
    </w:p>
    <w:p w14:paraId="2C9143D3" w14:textId="77777777" w:rsidR="00843768" w:rsidRPr="006645DC" w:rsidRDefault="00843768" w:rsidP="00843768">
      <w:pPr>
        <w:rPr>
          <w:lang w:val="en-GB"/>
        </w:rPr>
      </w:pPr>
      <w:r w:rsidRPr="006645DC">
        <w:rPr>
          <w:lang w:val="en-GB"/>
        </w:rPr>
        <w:t xml:space="preserve">The municipality is the only local authority level in Bulgaria. The city council (“Obshtinski Savet”) is elected directly and has between 11-51 seats (except for the municipality of Sofia that has 61 seats). The councillors are elected for a 5-year term by a direct election under a proportional system. The mayor (“Kmet”) is directly elected by a run-off direct election for a 4-year term. The city council, further to the mayor’s suggestions, shall appoint one or more deputy mayors who assist the mayor. </w:t>
      </w:r>
    </w:p>
    <w:p w14:paraId="5BE3B052" w14:textId="77777777" w:rsidR="00843768" w:rsidRPr="006645DC" w:rsidRDefault="00843768" w:rsidP="00843768">
      <w:pPr>
        <w:rPr>
          <w:lang w:val="en-GB"/>
        </w:rPr>
      </w:pPr>
      <w:r w:rsidRPr="006645DC">
        <w:rPr>
          <w:lang w:val="en-GB"/>
        </w:rPr>
        <w:t>Public participation in Bulgarian municipalities is carried out through local referenda, public requests (petitions) and public assemblies. Local referendum may take place for issues of local interest, besides municipal budget and municipal taxation. The initiative for a local referendum may be taken by the prefect, voters with the right to stand (at least 25% of the total) or the city council (again at least 25%). A local referendum is mandatory for any project of municipal territorial change (creation, merger or division of the municipality).</w:t>
      </w:r>
    </w:p>
    <w:p w14:paraId="48F01C3F" w14:textId="77777777" w:rsidR="00843768" w:rsidRPr="006645DC" w:rsidRDefault="00843768" w:rsidP="00843768">
      <w:pPr>
        <w:pStyle w:val="Heading3"/>
        <w:rPr>
          <w:lang w:val="en-GB"/>
        </w:rPr>
      </w:pPr>
      <w:bookmarkStart w:id="2192" w:name="_Toc254543851"/>
      <w:r w:rsidRPr="006645DC">
        <w:rPr>
          <w:lang w:val="en-GB"/>
        </w:rPr>
        <w:t>Prerogatives and resources</w:t>
      </w:r>
      <w:r w:rsidRPr="006645DC">
        <w:rPr>
          <w:rStyle w:val="FootnoteReference"/>
          <w:lang w:val="en-GB"/>
        </w:rPr>
        <w:footnoteReference w:id="53"/>
      </w:r>
      <w:bookmarkEnd w:id="2192"/>
    </w:p>
    <w:p w14:paraId="3E786A4A" w14:textId="77777777" w:rsidR="00843768" w:rsidRPr="006645DC" w:rsidRDefault="00843768" w:rsidP="00C951D5">
      <w:pPr>
        <w:pStyle w:val="Heading5"/>
        <w:numPr>
          <w:ilvl w:val="0"/>
          <w:numId w:val="132"/>
        </w:numPr>
        <w:rPr>
          <w:lang w:val="en-GB"/>
        </w:rPr>
      </w:pPr>
      <w:r w:rsidRPr="006645DC">
        <w:rPr>
          <w:lang w:val="en-GB"/>
        </w:rPr>
        <w:t>Romania</w:t>
      </w:r>
    </w:p>
    <w:p w14:paraId="2C9264B6" w14:textId="77777777" w:rsidR="00843768" w:rsidRPr="006645DC" w:rsidRDefault="00843768" w:rsidP="00843768">
      <w:pPr>
        <w:rPr>
          <w:lang w:val="en-GB"/>
        </w:rPr>
      </w:pPr>
      <w:r w:rsidRPr="006645DC">
        <w:rPr>
          <w:b/>
          <w:bCs/>
          <w:lang w:val="en-GB"/>
        </w:rPr>
        <w:t>Basic responsibilities of first level municipalities</w:t>
      </w:r>
      <w:r w:rsidRPr="006645DC">
        <w:rPr>
          <w:lang w:val="en-GB"/>
        </w:rPr>
        <w:t xml:space="preserve"> relate to housing, urban planning, environmental protection, waste management and public health, transport infrastructure and roads, water supply, education (except Universities), management of cultural heritage (depending on its classification), public order, maintenance and operation of green spaces of the city (see in detail the table below). </w:t>
      </w:r>
    </w:p>
    <w:p w14:paraId="072E6D11" w14:textId="77777777" w:rsidR="00843768" w:rsidRPr="006645DC" w:rsidRDefault="00843768" w:rsidP="00843768">
      <w:pPr>
        <w:rPr>
          <w:lang w:val="en-GB"/>
        </w:rPr>
      </w:pPr>
      <w:r w:rsidRPr="006645DC">
        <w:rPr>
          <w:b/>
          <w:bCs/>
          <w:lang w:val="en-GB"/>
        </w:rPr>
        <w:t xml:space="preserve">Basic responsibilities of counties </w:t>
      </w:r>
      <w:r w:rsidRPr="006645DC">
        <w:rPr>
          <w:lang w:val="en-GB"/>
        </w:rPr>
        <w:t xml:space="preserve">relate to culture, public health, certain specific social services and own property management. </w:t>
      </w:r>
    </w:p>
    <w:p w14:paraId="1B1ADB94" w14:textId="77777777" w:rsidR="001451D4" w:rsidRPr="006645DC" w:rsidRDefault="001451D4" w:rsidP="00843768">
      <w:pPr>
        <w:rPr>
          <w:lang w:val="en-GB"/>
        </w:rPr>
      </w:pPr>
    </w:p>
    <w:p w14:paraId="70666B4B" w14:textId="77777777" w:rsidR="001451D4" w:rsidRPr="006645DC" w:rsidRDefault="001451D4" w:rsidP="00843768">
      <w:pPr>
        <w:rPr>
          <w:lang w:val="en-GB"/>
        </w:rPr>
      </w:pPr>
    </w:p>
    <w:p w14:paraId="242F14BC" w14:textId="77777777" w:rsidR="00843768" w:rsidRPr="006645DC" w:rsidRDefault="00843768" w:rsidP="00843768">
      <w:pPr>
        <w:pStyle w:val="Caption"/>
        <w:rPr>
          <w:lang w:val="en-GB"/>
        </w:rPr>
      </w:pPr>
      <w:bookmarkStart w:id="2193" w:name="_Toc391150153"/>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56</w:t>
      </w:r>
      <w:r w:rsidR="005979EB" w:rsidRPr="006645DC">
        <w:rPr>
          <w:lang w:val="en-GB"/>
        </w:rPr>
        <w:fldChar w:fldCharType="end"/>
      </w:r>
      <w:r w:rsidRPr="006645DC">
        <w:rPr>
          <w:lang w:val="en-GB"/>
        </w:rPr>
        <w:t xml:space="preserve"> - The division of responsibilities in Romania</w:t>
      </w:r>
      <w:bookmarkEnd w:id="2193"/>
    </w:p>
    <w:tbl>
      <w:tblPr>
        <w:tblW w:w="8460" w:type="dxa"/>
        <w:jc w:val="center"/>
        <w:tblBorders>
          <w:top w:val="thickThinLargeGap" w:sz="24" w:space="0" w:color="auto"/>
          <w:left w:val="thickThinLargeGap" w:sz="24" w:space="0" w:color="auto"/>
          <w:bottom w:val="thickThinLargeGap" w:sz="24" w:space="0" w:color="auto"/>
          <w:right w:val="thickThinLargeGap" w:sz="24" w:space="0" w:color="auto"/>
          <w:insideH w:val="thickThinLargeGap" w:sz="24" w:space="0" w:color="auto"/>
          <w:insideV w:val="thickThinLargeGap" w:sz="24" w:space="0" w:color="auto"/>
        </w:tblBorders>
        <w:tblLook w:val="01E0" w:firstRow="1" w:lastRow="1" w:firstColumn="1" w:lastColumn="1" w:noHBand="0" w:noVBand="0"/>
      </w:tblPr>
      <w:tblGrid>
        <w:gridCol w:w="1641"/>
        <w:gridCol w:w="6819"/>
      </w:tblGrid>
      <w:tr w:rsidR="00843768" w:rsidRPr="006645DC" w14:paraId="5C675CF6" w14:textId="77777777" w:rsidTr="001451D4">
        <w:trPr>
          <w:jc w:val="center"/>
        </w:trPr>
        <w:tc>
          <w:tcPr>
            <w:tcW w:w="1641" w:type="dxa"/>
            <w:shd w:val="clear" w:color="auto" w:fill="B8CCE4"/>
            <w:vAlign w:val="center"/>
          </w:tcPr>
          <w:p w14:paraId="3D3B26C5" w14:textId="77777777" w:rsidR="00843768" w:rsidRPr="006645DC" w:rsidRDefault="00843768" w:rsidP="001451D4">
            <w:pPr>
              <w:spacing w:after="0"/>
              <w:jc w:val="center"/>
              <w:rPr>
                <w:rFonts w:cs="Calibri"/>
                <w:b/>
                <w:bCs/>
                <w:lang w:val="en-GB"/>
              </w:rPr>
            </w:pPr>
            <w:r w:rsidRPr="006645DC">
              <w:rPr>
                <w:rFonts w:cs="Calibri"/>
                <w:b/>
                <w:bCs/>
                <w:lang w:val="en-GB"/>
              </w:rPr>
              <w:lastRenderedPageBreak/>
              <w:t>Type of Responsibility</w:t>
            </w:r>
          </w:p>
        </w:tc>
        <w:tc>
          <w:tcPr>
            <w:tcW w:w="6819" w:type="dxa"/>
            <w:shd w:val="clear" w:color="auto" w:fill="B8CCE4"/>
            <w:vAlign w:val="center"/>
          </w:tcPr>
          <w:p w14:paraId="214B2F6E" w14:textId="77777777" w:rsidR="00843768" w:rsidRPr="006645DC" w:rsidRDefault="00843768" w:rsidP="001451D4">
            <w:pPr>
              <w:spacing w:after="0"/>
              <w:jc w:val="center"/>
              <w:rPr>
                <w:rFonts w:cs="Calibri"/>
                <w:b/>
                <w:bCs/>
                <w:lang w:val="en-GB"/>
              </w:rPr>
            </w:pPr>
            <w:r w:rsidRPr="006645DC">
              <w:rPr>
                <w:rFonts w:cs="Calibri"/>
                <w:b/>
                <w:bCs/>
                <w:lang w:val="en-GB"/>
              </w:rPr>
              <w:t>Subject of responsibility</w:t>
            </w:r>
          </w:p>
        </w:tc>
      </w:tr>
      <w:tr w:rsidR="00843768" w:rsidRPr="006645DC" w14:paraId="08DA5733" w14:textId="77777777" w:rsidTr="001451D4">
        <w:trPr>
          <w:jc w:val="center"/>
        </w:trPr>
        <w:tc>
          <w:tcPr>
            <w:tcW w:w="1641" w:type="dxa"/>
            <w:shd w:val="clear" w:color="auto" w:fill="B8CCE4"/>
            <w:vAlign w:val="center"/>
          </w:tcPr>
          <w:p w14:paraId="04662695" w14:textId="77777777" w:rsidR="00843768" w:rsidRPr="006645DC" w:rsidRDefault="00843768" w:rsidP="001451D4">
            <w:pPr>
              <w:spacing w:after="0"/>
              <w:jc w:val="left"/>
              <w:rPr>
                <w:rFonts w:cs="Calibri"/>
                <w:b/>
                <w:bCs/>
                <w:lang w:val="en-GB"/>
              </w:rPr>
            </w:pPr>
            <w:r w:rsidRPr="006645DC">
              <w:rPr>
                <w:rFonts w:cs="Calibri"/>
                <w:b/>
                <w:bCs/>
                <w:lang w:val="en-GB"/>
              </w:rPr>
              <w:t>Exclusively local</w:t>
            </w:r>
          </w:p>
        </w:tc>
        <w:tc>
          <w:tcPr>
            <w:tcW w:w="6819" w:type="dxa"/>
            <w:shd w:val="clear" w:color="auto" w:fill="FFFFFF"/>
          </w:tcPr>
          <w:p w14:paraId="5DE2D41B" w14:textId="77777777" w:rsidR="00843768" w:rsidRPr="006645DC" w:rsidRDefault="00843768" w:rsidP="00FC552C">
            <w:pPr>
              <w:keepNext/>
              <w:keepLines/>
              <w:numPr>
                <w:ilvl w:val="0"/>
                <w:numId w:val="5"/>
              </w:numPr>
              <w:spacing w:before="0" w:after="0"/>
              <w:ind w:left="357" w:hanging="357"/>
              <w:outlineLvl w:val="1"/>
              <w:rPr>
                <w:rFonts w:cs="Calibri"/>
                <w:b/>
                <w:bCs/>
                <w:lang w:val="en-GB"/>
              </w:rPr>
            </w:pPr>
            <w:bookmarkStart w:id="2194" w:name="_Toc376200276"/>
            <w:r w:rsidRPr="006645DC">
              <w:rPr>
                <w:rFonts w:cs="Calibri"/>
                <w:lang w:val="en-GB"/>
              </w:rPr>
              <w:t>Management of assets belonging to administration</w:t>
            </w:r>
            <w:bookmarkEnd w:id="2194"/>
            <w:r w:rsidRPr="006645DC">
              <w:rPr>
                <w:rFonts w:cs="Calibri"/>
                <w:lang w:val="en-GB"/>
              </w:rPr>
              <w:t xml:space="preserve"> </w:t>
            </w:r>
          </w:p>
          <w:p w14:paraId="61EFEF91"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Management of local road infrastructure</w:t>
            </w:r>
          </w:p>
          <w:p w14:paraId="4CC66CC2"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Management of local cultural institutions</w:t>
            </w:r>
          </w:p>
          <w:p w14:paraId="73473B92"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Management of local health services</w:t>
            </w:r>
          </w:p>
          <w:p w14:paraId="0EC53BDD"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 xml:space="preserve">Urban Planning </w:t>
            </w:r>
          </w:p>
          <w:p w14:paraId="3F964F72"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 xml:space="preserve">Water supply, drainage and biological cleaning </w:t>
            </w:r>
          </w:p>
          <w:p w14:paraId="0472B12B"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Waste management</w:t>
            </w:r>
          </w:p>
          <w:p w14:paraId="3F036F8D"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 xml:space="preserve">Public lighting </w:t>
            </w:r>
          </w:p>
          <w:p w14:paraId="01DB3F28" w14:textId="77777777" w:rsidR="00843768" w:rsidRPr="006645DC" w:rsidRDefault="00843768" w:rsidP="00FC552C">
            <w:pPr>
              <w:numPr>
                <w:ilvl w:val="0"/>
                <w:numId w:val="6"/>
              </w:numPr>
              <w:spacing w:before="0" w:after="0"/>
              <w:ind w:left="357" w:hanging="357"/>
              <w:rPr>
                <w:rFonts w:cs="Calibri"/>
                <w:b/>
                <w:bCs/>
                <w:lang w:val="en-GB"/>
              </w:rPr>
            </w:pPr>
            <w:r w:rsidRPr="006645DC">
              <w:rPr>
                <w:rFonts w:cs="Calibri"/>
                <w:lang w:val="en-GB"/>
              </w:rPr>
              <w:t xml:space="preserve">Primary care for children and elder </w:t>
            </w:r>
          </w:p>
          <w:p w14:paraId="53128738" w14:textId="77777777" w:rsidR="00843768" w:rsidRPr="006645DC" w:rsidRDefault="00843768" w:rsidP="00FC552C">
            <w:pPr>
              <w:numPr>
                <w:ilvl w:val="0"/>
                <w:numId w:val="6"/>
              </w:numPr>
              <w:spacing w:before="0" w:after="0"/>
              <w:ind w:left="357" w:hanging="357"/>
              <w:rPr>
                <w:rFonts w:cs="Calibri"/>
                <w:b/>
                <w:bCs/>
                <w:lang w:val="en-GB"/>
              </w:rPr>
            </w:pPr>
            <w:r w:rsidRPr="006645DC">
              <w:rPr>
                <w:rFonts w:cs="Calibri"/>
                <w:lang w:val="en-GB"/>
              </w:rPr>
              <w:t>Local public transit</w:t>
            </w:r>
          </w:p>
        </w:tc>
      </w:tr>
      <w:tr w:rsidR="00843768" w:rsidRPr="006645DC" w14:paraId="1F11AE92" w14:textId="77777777" w:rsidTr="001451D4">
        <w:trPr>
          <w:jc w:val="center"/>
        </w:trPr>
        <w:tc>
          <w:tcPr>
            <w:tcW w:w="1641" w:type="dxa"/>
            <w:shd w:val="clear" w:color="auto" w:fill="B8CCE4"/>
            <w:vAlign w:val="center"/>
          </w:tcPr>
          <w:p w14:paraId="3B500091" w14:textId="77777777" w:rsidR="00843768" w:rsidRPr="006645DC" w:rsidRDefault="00843768" w:rsidP="001451D4">
            <w:pPr>
              <w:keepNext/>
              <w:keepLines/>
              <w:spacing w:after="0"/>
              <w:jc w:val="left"/>
              <w:outlineLvl w:val="1"/>
              <w:rPr>
                <w:rFonts w:cs="Calibri"/>
                <w:b/>
                <w:bCs/>
                <w:lang w:val="en-GB"/>
              </w:rPr>
            </w:pPr>
            <w:bookmarkStart w:id="2195" w:name="_Toc376200277"/>
            <w:r w:rsidRPr="006645DC">
              <w:rPr>
                <w:rFonts w:cs="Calibri"/>
                <w:b/>
                <w:bCs/>
                <w:lang w:val="en-GB"/>
              </w:rPr>
              <w:t>Exclusively of the county</w:t>
            </w:r>
            <w:bookmarkEnd w:id="2195"/>
          </w:p>
        </w:tc>
        <w:tc>
          <w:tcPr>
            <w:tcW w:w="6819" w:type="dxa"/>
            <w:shd w:val="clear" w:color="auto" w:fill="FFFFFF"/>
          </w:tcPr>
          <w:p w14:paraId="073287A2" w14:textId="77777777" w:rsidR="00843768" w:rsidRPr="006645DC" w:rsidRDefault="00843768" w:rsidP="00FC552C">
            <w:pPr>
              <w:keepNext/>
              <w:keepLines/>
              <w:numPr>
                <w:ilvl w:val="0"/>
                <w:numId w:val="5"/>
              </w:numPr>
              <w:spacing w:before="0" w:after="0"/>
              <w:ind w:left="357" w:hanging="357"/>
              <w:outlineLvl w:val="1"/>
              <w:rPr>
                <w:rFonts w:cs="Calibri"/>
                <w:b/>
                <w:bCs/>
                <w:lang w:val="en-GB"/>
              </w:rPr>
            </w:pPr>
            <w:bookmarkStart w:id="2196" w:name="_Toc376200278"/>
            <w:r w:rsidRPr="006645DC">
              <w:rPr>
                <w:rFonts w:cs="Calibri"/>
                <w:lang w:val="en-GB"/>
              </w:rPr>
              <w:t>Management of domestic airports</w:t>
            </w:r>
            <w:bookmarkEnd w:id="2196"/>
          </w:p>
          <w:p w14:paraId="3889F3DF"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Management of county assets</w:t>
            </w:r>
          </w:p>
          <w:p w14:paraId="1F5D7753"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Management of county cultural agents</w:t>
            </w:r>
          </w:p>
          <w:p w14:paraId="5FB75F4D"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Management of public health agencies of county interest</w:t>
            </w:r>
          </w:p>
          <w:p w14:paraId="18CFF700"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Primary and special care for domestic violence victims</w:t>
            </w:r>
          </w:p>
          <w:p w14:paraId="7D436F4C" w14:textId="77777777" w:rsidR="00843768" w:rsidRPr="006645DC" w:rsidRDefault="00843768" w:rsidP="00FC552C">
            <w:pPr>
              <w:numPr>
                <w:ilvl w:val="0"/>
                <w:numId w:val="5"/>
              </w:numPr>
              <w:spacing w:before="0" w:after="0"/>
              <w:ind w:left="357" w:hanging="357"/>
              <w:rPr>
                <w:rFonts w:cs="Calibri"/>
                <w:b/>
                <w:bCs/>
                <w:lang w:val="en-GB"/>
              </w:rPr>
            </w:pPr>
            <w:r w:rsidRPr="006645DC">
              <w:rPr>
                <w:rFonts w:cs="Calibri"/>
                <w:lang w:val="en-GB"/>
              </w:rPr>
              <w:t>Special social care for elder</w:t>
            </w:r>
          </w:p>
        </w:tc>
      </w:tr>
      <w:tr w:rsidR="00843768" w:rsidRPr="006645DC" w14:paraId="72BA4405" w14:textId="77777777" w:rsidTr="001451D4">
        <w:trPr>
          <w:jc w:val="center"/>
        </w:trPr>
        <w:tc>
          <w:tcPr>
            <w:tcW w:w="1641" w:type="dxa"/>
            <w:shd w:val="clear" w:color="auto" w:fill="B8CCE4"/>
            <w:vAlign w:val="center"/>
          </w:tcPr>
          <w:p w14:paraId="0462E98A" w14:textId="77777777" w:rsidR="00843768" w:rsidRPr="006645DC" w:rsidRDefault="00843768" w:rsidP="001451D4">
            <w:pPr>
              <w:keepNext/>
              <w:keepLines/>
              <w:spacing w:after="0"/>
              <w:jc w:val="left"/>
              <w:outlineLvl w:val="1"/>
              <w:rPr>
                <w:rFonts w:cs="Calibri"/>
                <w:b/>
                <w:bCs/>
                <w:lang w:val="en-GB"/>
              </w:rPr>
            </w:pPr>
            <w:bookmarkStart w:id="2197" w:name="_Toc376200279"/>
            <w:r w:rsidRPr="006645DC">
              <w:rPr>
                <w:rFonts w:cs="Calibri"/>
                <w:b/>
                <w:bCs/>
                <w:lang w:val="en-GB"/>
              </w:rPr>
              <w:t>Concurrent with municipalities and central services</w:t>
            </w:r>
            <w:bookmarkEnd w:id="2197"/>
          </w:p>
        </w:tc>
        <w:tc>
          <w:tcPr>
            <w:tcW w:w="6819" w:type="dxa"/>
            <w:shd w:val="clear" w:color="auto" w:fill="FFFFFF"/>
          </w:tcPr>
          <w:p w14:paraId="61A60615" w14:textId="77777777" w:rsidR="00843768" w:rsidRPr="006645DC" w:rsidRDefault="00843768" w:rsidP="00FC552C">
            <w:pPr>
              <w:keepNext/>
              <w:keepLines/>
              <w:numPr>
                <w:ilvl w:val="0"/>
                <w:numId w:val="7"/>
              </w:numPr>
              <w:spacing w:before="0" w:after="0"/>
              <w:ind w:left="357" w:hanging="357"/>
              <w:outlineLvl w:val="1"/>
              <w:rPr>
                <w:rFonts w:cs="Calibri"/>
                <w:b/>
                <w:bCs/>
                <w:lang w:val="en-GB"/>
              </w:rPr>
            </w:pPr>
            <w:bookmarkStart w:id="2198" w:name="_Toc376200280"/>
            <w:r w:rsidRPr="006645DC">
              <w:rPr>
                <w:rFonts w:cs="Calibri"/>
                <w:lang w:val="en-GB"/>
              </w:rPr>
              <w:t>District heating</w:t>
            </w:r>
            <w:bookmarkEnd w:id="2198"/>
          </w:p>
          <w:p w14:paraId="39444140" w14:textId="77777777" w:rsidR="00843768" w:rsidRPr="006645DC" w:rsidRDefault="00843768" w:rsidP="00FC552C">
            <w:pPr>
              <w:numPr>
                <w:ilvl w:val="0"/>
                <w:numId w:val="7"/>
              </w:numPr>
              <w:spacing w:before="0" w:after="0"/>
              <w:ind w:left="357" w:hanging="357"/>
              <w:rPr>
                <w:rFonts w:cs="Calibri"/>
                <w:b/>
                <w:bCs/>
                <w:lang w:val="en-GB"/>
              </w:rPr>
            </w:pPr>
            <w:r w:rsidRPr="006645DC">
              <w:rPr>
                <w:rFonts w:cs="Calibri"/>
                <w:lang w:val="en-GB"/>
              </w:rPr>
              <w:t>Social housing</w:t>
            </w:r>
          </w:p>
          <w:p w14:paraId="0A880421" w14:textId="77777777" w:rsidR="00843768" w:rsidRPr="006645DC" w:rsidRDefault="00843768" w:rsidP="00FC552C">
            <w:pPr>
              <w:numPr>
                <w:ilvl w:val="0"/>
                <w:numId w:val="7"/>
              </w:numPr>
              <w:spacing w:before="0" w:after="0"/>
              <w:ind w:left="357" w:hanging="357"/>
              <w:rPr>
                <w:rFonts w:cs="Calibri"/>
                <w:b/>
                <w:bCs/>
                <w:lang w:val="en-GB"/>
              </w:rPr>
            </w:pPr>
            <w:r w:rsidRPr="006645DC">
              <w:rPr>
                <w:rFonts w:cs="Calibri"/>
                <w:lang w:val="en-GB"/>
              </w:rPr>
              <w:t>Pre-University education, apart from special education</w:t>
            </w:r>
          </w:p>
          <w:p w14:paraId="1F130B3B" w14:textId="77777777" w:rsidR="00843768" w:rsidRPr="006645DC" w:rsidRDefault="00843768" w:rsidP="00FC552C">
            <w:pPr>
              <w:numPr>
                <w:ilvl w:val="0"/>
                <w:numId w:val="7"/>
              </w:numPr>
              <w:spacing w:before="0" w:after="0"/>
              <w:ind w:left="357" w:hanging="357"/>
              <w:rPr>
                <w:rFonts w:cs="Calibri"/>
                <w:b/>
                <w:bCs/>
                <w:lang w:val="en-GB"/>
              </w:rPr>
            </w:pPr>
            <w:r w:rsidRPr="006645DC">
              <w:rPr>
                <w:rFonts w:cs="Calibri"/>
                <w:lang w:val="en-GB"/>
              </w:rPr>
              <w:t xml:space="preserve">Public order and safety </w:t>
            </w:r>
          </w:p>
          <w:p w14:paraId="38A2947A" w14:textId="77777777" w:rsidR="00843768" w:rsidRPr="006645DC" w:rsidRDefault="00843768" w:rsidP="00FC552C">
            <w:pPr>
              <w:numPr>
                <w:ilvl w:val="0"/>
                <w:numId w:val="7"/>
              </w:numPr>
              <w:spacing w:before="0" w:after="0"/>
              <w:ind w:left="357" w:hanging="357"/>
              <w:rPr>
                <w:rFonts w:cs="Calibri"/>
                <w:b/>
                <w:bCs/>
                <w:lang w:val="en-GB"/>
              </w:rPr>
            </w:pPr>
            <w:r w:rsidRPr="006645DC">
              <w:rPr>
                <w:rFonts w:cs="Calibri"/>
                <w:lang w:val="en-GB"/>
              </w:rPr>
              <w:t>Social allowance payment to deprived people</w:t>
            </w:r>
          </w:p>
          <w:p w14:paraId="5026CF15" w14:textId="77777777" w:rsidR="00843768" w:rsidRPr="006645DC" w:rsidRDefault="00843768" w:rsidP="00FC552C">
            <w:pPr>
              <w:numPr>
                <w:ilvl w:val="0"/>
                <w:numId w:val="7"/>
              </w:numPr>
              <w:spacing w:before="0" w:after="0"/>
              <w:ind w:left="357" w:hanging="357"/>
              <w:rPr>
                <w:rFonts w:cs="Calibri"/>
                <w:b/>
                <w:bCs/>
                <w:lang w:val="en-GB"/>
              </w:rPr>
            </w:pPr>
            <w:r w:rsidRPr="006645DC">
              <w:rPr>
                <w:rFonts w:cs="Calibri"/>
                <w:lang w:val="en-GB"/>
              </w:rPr>
              <w:t>Prevention and emergency situation management</w:t>
            </w:r>
          </w:p>
          <w:p w14:paraId="7BE32C65" w14:textId="77777777" w:rsidR="00843768" w:rsidRPr="006645DC" w:rsidRDefault="00843768" w:rsidP="00FC552C">
            <w:pPr>
              <w:numPr>
                <w:ilvl w:val="0"/>
                <w:numId w:val="7"/>
              </w:numPr>
              <w:spacing w:before="0" w:after="0"/>
              <w:ind w:left="357" w:hanging="357"/>
              <w:rPr>
                <w:rFonts w:cs="Calibri"/>
                <w:b/>
                <w:bCs/>
                <w:lang w:val="en-GB"/>
              </w:rPr>
            </w:pPr>
            <w:r w:rsidRPr="006645DC">
              <w:rPr>
                <w:rFonts w:cs="Calibri"/>
                <w:lang w:val="en-GB"/>
              </w:rPr>
              <w:t>Socio-medical care for people with social problems</w:t>
            </w:r>
          </w:p>
          <w:p w14:paraId="552B21BD" w14:textId="77777777" w:rsidR="00843768" w:rsidRPr="006645DC" w:rsidRDefault="00843768" w:rsidP="00FC552C">
            <w:pPr>
              <w:numPr>
                <w:ilvl w:val="0"/>
                <w:numId w:val="7"/>
              </w:numPr>
              <w:spacing w:before="0" w:after="0"/>
              <w:ind w:left="357" w:hanging="357"/>
              <w:rPr>
                <w:rFonts w:cs="Calibri"/>
                <w:b/>
                <w:bCs/>
                <w:lang w:val="en-GB"/>
              </w:rPr>
            </w:pPr>
            <w:r w:rsidRPr="006645DC">
              <w:rPr>
                <w:rFonts w:cs="Calibri"/>
                <w:lang w:val="en-GB"/>
              </w:rPr>
              <w:t>Primary care for people with disabilities</w:t>
            </w:r>
          </w:p>
        </w:tc>
      </w:tr>
      <w:tr w:rsidR="00843768" w:rsidRPr="006645DC" w14:paraId="48520B0E" w14:textId="77777777" w:rsidTr="001451D4">
        <w:trPr>
          <w:jc w:val="center"/>
        </w:trPr>
        <w:tc>
          <w:tcPr>
            <w:tcW w:w="1641" w:type="dxa"/>
            <w:shd w:val="clear" w:color="auto" w:fill="B8CCE4"/>
            <w:vAlign w:val="center"/>
          </w:tcPr>
          <w:p w14:paraId="6ED07763" w14:textId="77777777" w:rsidR="00843768" w:rsidRPr="006645DC" w:rsidRDefault="00843768" w:rsidP="001451D4">
            <w:pPr>
              <w:keepNext/>
              <w:keepLines/>
              <w:spacing w:after="0"/>
              <w:jc w:val="left"/>
              <w:outlineLvl w:val="1"/>
              <w:rPr>
                <w:rFonts w:cs="Calibri"/>
                <w:b/>
                <w:bCs/>
                <w:lang w:val="en-GB"/>
              </w:rPr>
            </w:pPr>
            <w:bookmarkStart w:id="2199" w:name="_Toc376200281"/>
            <w:r w:rsidRPr="006645DC">
              <w:rPr>
                <w:rFonts w:cs="Calibri"/>
                <w:b/>
                <w:bCs/>
                <w:lang w:val="en-GB"/>
              </w:rPr>
              <w:t>Concurrent with county and central services</w:t>
            </w:r>
            <w:bookmarkEnd w:id="2199"/>
          </w:p>
        </w:tc>
        <w:tc>
          <w:tcPr>
            <w:tcW w:w="6819" w:type="dxa"/>
            <w:shd w:val="clear" w:color="auto" w:fill="FFFFFF"/>
          </w:tcPr>
          <w:p w14:paraId="4E810FAB" w14:textId="77777777" w:rsidR="00843768" w:rsidRPr="006645DC" w:rsidRDefault="00843768" w:rsidP="00FC552C">
            <w:pPr>
              <w:keepNext/>
              <w:keepLines/>
              <w:numPr>
                <w:ilvl w:val="0"/>
                <w:numId w:val="7"/>
              </w:numPr>
              <w:spacing w:before="0" w:after="0"/>
              <w:ind w:left="357" w:hanging="357"/>
              <w:outlineLvl w:val="1"/>
              <w:rPr>
                <w:rFonts w:cs="Calibri"/>
                <w:b/>
                <w:bCs/>
                <w:lang w:val="en-GB"/>
              </w:rPr>
            </w:pPr>
            <w:bookmarkStart w:id="2200" w:name="_Toc376200282"/>
            <w:r w:rsidRPr="006645DC">
              <w:rPr>
                <w:rFonts w:cs="Calibri"/>
                <w:lang w:val="en-GB"/>
              </w:rPr>
              <w:t>Management of county road network</w:t>
            </w:r>
            <w:bookmarkEnd w:id="2200"/>
          </w:p>
          <w:p w14:paraId="4842F2F4" w14:textId="77777777" w:rsidR="00843768" w:rsidRPr="006645DC" w:rsidRDefault="00843768" w:rsidP="00FC552C">
            <w:pPr>
              <w:numPr>
                <w:ilvl w:val="0"/>
                <w:numId w:val="7"/>
              </w:numPr>
              <w:spacing w:before="0" w:after="0"/>
              <w:ind w:left="357" w:hanging="357"/>
              <w:rPr>
                <w:rFonts w:cs="Calibri"/>
                <w:b/>
                <w:bCs/>
                <w:lang w:val="en-GB"/>
              </w:rPr>
            </w:pPr>
            <w:r w:rsidRPr="006645DC">
              <w:rPr>
                <w:rFonts w:cs="Calibri"/>
                <w:lang w:val="en-GB"/>
              </w:rPr>
              <w:t>Special education</w:t>
            </w:r>
          </w:p>
          <w:p w14:paraId="4B6F60B1" w14:textId="77777777" w:rsidR="00843768" w:rsidRPr="006645DC" w:rsidRDefault="00843768" w:rsidP="00FC552C">
            <w:pPr>
              <w:numPr>
                <w:ilvl w:val="0"/>
                <w:numId w:val="7"/>
              </w:numPr>
              <w:spacing w:before="0" w:after="0"/>
              <w:ind w:left="357" w:hanging="357"/>
              <w:rPr>
                <w:rFonts w:cs="Calibri"/>
                <w:b/>
                <w:bCs/>
                <w:lang w:val="en-GB"/>
              </w:rPr>
            </w:pPr>
            <w:r w:rsidRPr="006645DC">
              <w:rPr>
                <w:rFonts w:cs="Calibri"/>
                <w:lang w:val="en-GB"/>
              </w:rPr>
              <w:t>Socio-medical care for people with social problems</w:t>
            </w:r>
          </w:p>
          <w:p w14:paraId="0ADD4F47" w14:textId="77777777" w:rsidR="00843768" w:rsidRPr="006645DC" w:rsidRDefault="00843768" w:rsidP="00FC552C">
            <w:pPr>
              <w:numPr>
                <w:ilvl w:val="0"/>
                <w:numId w:val="7"/>
              </w:numPr>
              <w:spacing w:before="0" w:after="0"/>
              <w:ind w:left="357" w:hanging="357"/>
              <w:rPr>
                <w:rFonts w:cs="Calibri"/>
                <w:b/>
                <w:bCs/>
                <w:lang w:val="en-GB"/>
              </w:rPr>
            </w:pPr>
            <w:r w:rsidRPr="006645DC">
              <w:rPr>
                <w:rFonts w:cs="Calibri"/>
                <w:lang w:val="en-GB"/>
              </w:rPr>
              <w:t xml:space="preserve">Special social care for children </w:t>
            </w:r>
          </w:p>
          <w:p w14:paraId="67371CA0" w14:textId="77777777" w:rsidR="00843768" w:rsidRPr="006645DC" w:rsidRDefault="00843768" w:rsidP="00FC552C">
            <w:pPr>
              <w:numPr>
                <w:ilvl w:val="0"/>
                <w:numId w:val="7"/>
              </w:numPr>
              <w:spacing w:before="0" w:after="0"/>
              <w:ind w:left="357" w:hanging="357"/>
              <w:rPr>
                <w:rFonts w:cs="Calibri"/>
                <w:lang w:val="en-GB"/>
              </w:rPr>
            </w:pPr>
            <w:r w:rsidRPr="006645DC">
              <w:rPr>
                <w:rFonts w:cs="Calibri"/>
                <w:lang w:val="en-GB"/>
              </w:rPr>
              <w:t>Special social care for people with disabilities</w:t>
            </w:r>
          </w:p>
        </w:tc>
      </w:tr>
    </w:tbl>
    <w:p w14:paraId="0E7EE544" w14:textId="77777777" w:rsidR="003C3D5A" w:rsidRPr="006645DC" w:rsidRDefault="003C3D5A" w:rsidP="00843768">
      <w:pPr>
        <w:spacing w:line="360" w:lineRule="auto"/>
        <w:rPr>
          <w:rFonts w:ascii="Times New Roman" w:hAnsi="Times New Roman"/>
          <w:lang w:val="en-GB"/>
        </w:rPr>
        <w:sectPr w:rsidR="003C3D5A" w:rsidRPr="006645DC" w:rsidSect="00187E88">
          <w:headerReference w:type="default" r:id="rId138"/>
          <w:footerReference w:type="default" r:id="rId139"/>
          <w:pgSz w:w="12240" w:h="15840"/>
          <w:pgMar w:top="1440" w:right="1440" w:bottom="1440" w:left="1440" w:header="720" w:footer="720" w:gutter="0"/>
          <w:cols w:space="720"/>
          <w:docGrid w:linePitch="360"/>
        </w:sectPr>
      </w:pPr>
    </w:p>
    <w:p w14:paraId="352E18A0" w14:textId="77777777" w:rsidR="00843768" w:rsidRPr="006645DC" w:rsidRDefault="00843768" w:rsidP="00843768">
      <w:pPr>
        <w:pStyle w:val="Heading5"/>
        <w:rPr>
          <w:lang w:val="en-GB"/>
        </w:rPr>
      </w:pPr>
      <w:r w:rsidRPr="006645DC">
        <w:rPr>
          <w:lang w:val="en-GB"/>
        </w:rPr>
        <w:lastRenderedPageBreak/>
        <w:t>Bulgaria</w:t>
      </w:r>
    </w:p>
    <w:p w14:paraId="4473916F" w14:textId="77777777" w:rsidR="00843768" w:rsidRPr="006645DC" w:rsidRDefault="00843768" w:rsidP="00843768">
      <w:pPr>
        <w:rPr>
          <w:lang w:val="en-GB"/>
        </w:rPr>
      </w:pPr>
      <w:r w:rsidRPr="006645DC">
        <w:rPr>
          <w:lang w:val="en-GB"/>
        </w:rPr>
        <w:t xml:space="preserve">Responsibilities undertaken by municipalities are divided into two categories: </w:t>
      </w:r>
    </w:p>
    <w:p w14:paraId="209F2AF7" w14:textId="77777777" w:rsidR="00843768" w:rsidRPr="006645DC" w:rsidRDefault="00843768" w:rsidP="00843768">
      <w:pPr>
        <w:rPr>
          <w:lang w:val="en-GB"/>
        </w:rPr>
      </w:pPr>
      <w:r w:rsidRPr="006645DC">
        <w:rPr>
          <w:lang w:val="en-GB"/>
        </w:rPr>
        <w:t xml:space="preserve">The first category includes </w:t>
      </w:r>
      <w:r w:rsidRPr="006645DC">
        <w:rPr>
          <w:b/>
          <w:bCs/>
          <w:lang w:val="en-GB"/>
        </w:rPr>
        <w:t>delegated responsibilities for state affairs</w:t>
      </w:r>
      <w:r w:rsidRPr="006645DC">
        <w:rPr>
          <w:lang w:val="en-GB"/>
        </w:rPr>
        <w:t xml:space="preserve">: </w:t>
      </w:r>
    </w:p>
    <w:p w14:paraId="153FFED4" w14:textId="77777777" w:rsidR="00843768" w:rsidRPr="006645DC" w:rsidRDefault="00843768" w:rsidP="00843768">
      <w:pPr>
        <w:pStyle w:val="ListParagraph"/>
        <w:ind w:left="867"/>
        <w:rPr>
          <w:lang w:val="en-GB"/>
        </w:rPr>
      </w:pPr>
      <w:r w:rsidRPr="006645DC">
        <w:rPr>
          <w:lang w:val="en-GB"/>
        </w:rPr>
        <w:t xml:space="preserve">The “first two levels” in the education system (construction and maintenance of school buildings, teacher salaries), </w:t>
      </w:r>
    </w:p>
    <w:p w14:paraId="531FCE3A" w14:textId="77777777" w:rsidR="00843768" w:rsidRPr="006645DC" w:rsidRDefault="00843768" w:rsidP="00843768">
      <w:pPr>
        <w:pStyle w:val="ListParagraph"/>
        <w:ind w:left="867"/>
        <w:rPr>
          <w:lang w:val="en-GB"/>
        </w:rPr>
      </w:pPr>
      <w:r w:rsidRPr="006645DC">
        <w:rPr>
          <w:lang w:val="en-GB"/>
        </w:rPr>
        <w:t xml:space="preserve">Adult training, </w:t>
      </w:r>
    </w:p>
    <w:p w14:paraId="06375E4A" w14:textId="77777777" w:rsidR="00843768" w:rsidRPr="006645DC" w:rsidRDefault="00843768" w:rsidP="00843768">
      <w:pPr>
        <w:pStyle w:val="ListParagraph"/>
        <w:ind w:left="867"/>
        <w:rPr>
          <w:lang w:val="en-GB"/>
        </w:rPr>
      </w:pPr>
      <w:r w:rsidRPr="006645DC">
        <w:rPr>
          <w:lang w:val="en-GB"/>
        </w:rPr>
        <w:t>Social security (protection of children and families and elderly care) and</w:t>
      </w:r>
    </w:p>
    <w:p w14:paraId="152900D9" w14:textId="77777777" w:rsidR="00843768" w:rsidRPr="006645DC" w:rsidRDefault="00843768" w:rsidP="00843768">
      <w:pPr>
        <w:pStyle w:val="ListParagraph"/>
        <w:ind w:left="867"/>
        <w:rPr>
          <w:lang w:val="en-GB"/>
        </w:rPr>
      </w:pPr>
      <w:r w:rsidRPr="006645DC">
        <w:rPr>
          <w:lang w:val="en-GB"/>
        </w:rPr>
        <w:t xml:space="preserve">Certain duties in the health sector </w:t>
      </w:r>
    </w:p>
    <w:p w14:paraId="61122EA4" w14:textId="77777777" w:rsidR="00843768" w:rsidRPr="006645DC" w:rsidRDefault="00843768" w:rsidP="00843768">
      <w:pPr>
        <w:rPr>
          <w:lang w:val="en-GB"/>
        </w:rPr>
      </w:pPr>
      <w:r w:rsidRPr="006645DC">
        <w:rPr>
          <w:lang w:val="en-GB"/>
        </w:rPr>
        <w:t>Municipal prerogatives concerning social allowances (“social benefits”) for deprived families and children, the elderly, etc., were transferred to state agencies. All social allowances duties of municipalities are financed by state subsidies and on municipality level by the personal income tax (personal income tax – PIT).</w:t>
      </w:r>
    </w:p>
    <w:p w14:paraId="1194310F" w14:textId="77777777" w:rsidR="00843768" w:rsidRPr="006645DC" w:rsidRDefault="00843768" w:rsidP="00843768">
      <w:pPr>
        <w:rPr>
          <w:lang w:val="en-GB"/>
        </w:rPr>
      </w:pPr>
      <w:r w:rsidRPr="006645DC">
        <w:rPr>
          <w:lang w:val="en-GB"/>
        </w:rPr>
        <w:t>The second category comprises relevant</w:t>
      </w:r>
      <w:r w:rsidRPr="006645DC">
        <w:rPr>
          <w:bCs/>
          <w:lang w:val="en-GB"/>
        </w:rPr>
        <w:t>duties such as</w:t>
      </w:r>
      <w:r w:rsidRPr="006645DC">
        <w:rPr>
          <w:lang w:val="en-GB"/>
        </w:rPr>
        <w:t>:</w:t>
      </w:r>
    </w:p>
    <w:p w14:paraId="7D2ABA01" w14:textId="77777777" w:rsidR="00843768" w:rsidRPr="006645DC" w:rsidRDefault="00843768" w:rsidP="00843768">
      <w:pPr>
        <w:pStyle w:val="ListParagraph"/>
        <w:ind w:left="867"/>
        <w:rPr>
          <w:lang w:val="en-GB"/>
        </w:rPr>
      </w:pPr>
      <w:r w:rsidRPr="006645DC">
        <w:rPr>
          <w:lang w:val="en-GB"/>
        </w:rPr>
        <w:t>Local infrastructure, local networks and public interest services (district heating and electricity, water and sanitation, waste disposal, urban transportation, construction and maintenance of municipal roads etc.).</w:t>
      </w:r>
    </w:p>
    <w:p w14:paraId="6B2EA2FC" w14:textId="77777777" w:rsidR="00843768" w:rsidRPr="006645DC" w:rsidRDefault="00843768" w:rsidP="00843768">
      <w:pPr>
        <w:pStyle w:val="ListParagraph"/>
        <w:ind w:left="867"/>
        <w:rPr>
          <w:lang w:val="en-GB"/>
        </w:rPr>
      </w:pPr>
      <w:r w:rsidRPr="006645DC">
        <w:rPr>
          <w:lang w:val="en-GB"/>
        </w:rPr>
        <w:t>Leisure &amp; recreation (tourism, culture and sport, etc. ).</w:t>
      </w:r>
    </w:p>
    <w:p w14:paraId="772F89AA" w14:textId="77777777" w:rsidR="00843768" w:rsidRPr="006645DC" w:rsidRDefault="00843768" w:rsidP="00843768">
      <w:pPr>
        <w:pStyle w:val="ListParagraph"/>
        <w:ind w:left="867"/>
        <w:rPr>
          <w:lang w:val="en-GB"/>
        </w:rPr>
      </w:pPr>
      <w:r w:rsidRPr="006645DC">
        <w:rPr>
          <w:lang w:val="en-GB"/>
        </w:rPr>
        <w:t xml:space="preserve">Certain environmental responsibilities, such as those for waste management sites (“waste processing plants”) were transferred to municipalities in the framework of the 2002 environmental law. </w:t>
      </w:r>
    </w:p>
    <w:p w14:paraId="75C14327" w14:textId="77777777" w:rsidR="00843768" w:rsidRPr="006645DC" w:rsidRDefault="00843768" w:rsidP="00843768">
      <w:pPr>
        <w:rPr>
          <w:lang w:val="en-GB"/>
        </w:rPr>
      </w:pPr>
      <w:r w:rsidRPr="006645DC">
        <w:rPr>
          <w:lang w:val="en-GB"/>
        </w:rPr>
        <w:t>In many cases, municipalities’ services are realized through a municipal enterprise/company in areas such as education, transport, culture and sport. The budget of the company is approved by the city council.</w:t>
      </w:r>
    </w:p>
    <w:p w14:paraId="123A2DE0" w14:textId="77777777" w:rsidR="00843768" w:rsidRPr="006645DC" w:rsidRDefault="00843768" w:rsidP="00843768">
      <w:pPr>
        <w:pStyle w:val="Heading2"/>
        <w:rPr>
          <w:lang w:val="en-GB"/>
        </w:rPr>
      </w:pPr>
      <w:bookmarkStart w:id="2201" w:name="_Toc373340870"/>
      <w:bookmarkStart w:id="2202" w:name="_Toc376200283"/>
      <w:bookmarkStart w:id="2203" w:name="_Toc254543852"/>
      <w:bookmarkStart w:id="2204" w:name="_Toc391150217"/>
      <w:r w:rsidRPr="006645DC">
        <w:rPr>
          <w:lang w:val="en-GB"/>
        </w:rPr>
        <w:t>The RO-BG cross-border area</w:t>
      </w:r>
      <w:bookmarkEnd w:id="2201"/>
      <w:bookmarkEnd w:id="2202"/>
      <w:bookmarkEnd w:id="2203"/>
      <w:bookmarkEnd w:id="2204"/>
    </w:p>
    <w:p w14:paraId="5CFEA3D8" w14:textId="77777777" w:rsidR="00843768" w:rsidRPr="006645DC" w:rsidRDefault="00843768" w:rsidP="00843768">
      <w:pPr>
        <w:rPr>
          <w:lang w:val="en-GB"/>
        </w:rPr>
      </w:pPr>
      <w:r w:rsidRPr="006645DC">
        <w:rPr>
          <w:lang w:val="en-GB"/>
        </w:rPr>
        <w:t xml:space="preserve">The Romania-Bulgaria cross-border area is based on NUTS3 units, both in Bulgaria and Romania. It is thus structured around counties (RO), districts (BG) (with their respective public administration). Counties and districts are made of municipalities (the smallest administrative units in both countries): </w:t>
      </w:r>
      <w:r w:rsidRPr="006645DC">
        <w:rPr>
          <w:i/>
          <w:lang w:val="en-GB"/>
        </w:rPr>
        <w:t xml:space="preserve">municipii </w:t>
      </w:r>
      <w:r w:rsidRPr="006645DC">
        <w:rPr>
          <w:lang w:val="en-GB"/>
        </w:rPr>
        <w:t xml:space="preserve">or smaller </w:t>
      </w:r>
      <w:r w:rsidRPr="006645DC">
        <w:rPr>
          <w:i/>
          <w:lang w:val="en-GB"/>
        </w:rPr>
        <w:t>orase</w:t>
      </w:r>
      <w:r w:rsidRPr="006645DC">
        <w:rPr>
          <w:lang w:val="en-GB"/>
        </w:rPr>
        <w:t xml:space="preserve"> for urban settlements or </w:t>
      </w:r>
      <w:r w:rsidRPr="006645DC">
        <w:rPr>
          <w:i/>
          <w:lang w:val="en-GB"/>
        </w:rPr>
        <w:t xml:space="preserve">commune </w:t>
      </w:r>
      <w:r w:rsidRPr="006645DC">
        <w:rPr>
          <w:lang w:val="en-GB"/>
        </w:rPr>
        <w:t xml:space="preserve">for rural settlements in Romania and </w:t>
      </w:r>
      <w:r w:rsidRPr="006645DC">
        <w:rPr>
          <w:i/>
          <w:lang w:val="en-GB"/>
        </w:rPr>
        <w:t xml:space="preserve">obshtina </w:t>
      </w:r>
      <w:r w:rsidRPr="006645DC">
        <w:rPr>
          <w:lang w:val="en-GB"/>
        </w:rPr>
        <w:t>in Bulgaria. Each of the counties is included in a NUTS 2 region that is not a full constitutional entity and that exists for the purpose of managing EU-funded programs or for statistical and planning purposes. The table below presents the administrative units that forms the RO-BG cross-border area.</w:t>
      </w:r>
    </w:p>
    <w:p w14:paraId="2FE07B86" w14:textId="77777777" w:rsidR="00843768" w:rsidRPr="006645DC" w:rsidRDefault="00843768" w:rsidP="00843768">
      <w:pPr>
        <w:rPr>
          <w:lang w:val="en-GB"/>
        </w:rPr>
      </w:pPr>
    </w:p>
    <w:p w14:paraId="51EF864A" w14:textId="77777777" w:rsidR="003C3D5A" w:rsidRPr="006645DC" w:rsidRDefault="003C3D5A" w:rsidP="00843768">
      <w:pPr>
        <w:rPr>
          <w:lang w:val="en-GB"/>
        </w:rPr>
      </w:pPr>
    </w:p>
    <w:tbl>
      <w:tblPr>
        <w:tblW w:w="0" w:type="auto"/>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3192"/>
        <w:gridCol w:w="3192"/>
        <w:gridCol w:w="3192"/>
      </w:tblGrid>
      <w:tr w:rsidR="00843768" w:rsidRPr="006645DC" w14:paraId="28393132" w14:textId="77777777" w:rsidTr="00393EB7">
        <w:trPr>
          <w:jc w:val="center"/>
        </w:trPr>
        <w:tc>
          <w:tcPr>
            <w:tcW w:w="9576" w:type="dxa"/>
            <w:gridSpan w:val="3"/>
            <w:shd w:val="clear" w:color="auto" w:fill="auto"/>
            <w:vAlign w:val="center"/>
          </w:tcPr>
          <w:p w14:paraId="6CFFB114" w14:textId="77777777" w:rsidR="00843768" w:rsidRPr="006645DC" w:rsidRDefault="00843768" w:rsidP="00393EB7">
            <w:pPr>
              <w:spacing w:before="0" w:after="0"/>
              <w:jc w:val="left"/>
              <w:rPr>
                <w:rFonts w:eastAsia="Times New Roman" w:cs="Calibri"/>
                <w:b/>
                <w:bCs/>
                <w:lang w:val="en-GB"/>
              </w:rPr>
            </w:pPr>
            <w:r w:rsidRPr="006645DC">
              <w:rPr>
                <w:rFonts w:eastAsia="Times New Roman" w:cs="Calibri"/>
                <w:b/>
                <w:bCs/>
                <w:lang w:val="en-GB"/>
              </w:rPr>
              <w:lastRenderedPageBreak/>
              <w:t>Romanian area</w:t>
            </w:r>
          </w:p>
        </w:tc>
      </w:tr>
      <w:tr w:rsidR="00843768" w:rsidRPr="006645DC" w14:paraId="267A1A8F" w14:textId="77777777" w:rsidTr="00393EB7">
        <w:trPr>
          <w:jc w:val="center"/>
        </w:trPr>
        <w:tc>
          <w:tcPr>
            <w:tcW w:w="3192" w:type="dxa"/>
            <w:shd w:val="clear" w:color="auto" w:fill="auto"/>
            <w:vAlign w:val="center"/>
          </w:tcPr>
          <w:p w14:paraId="3521186B" w14:textId="77777777" w:rsidR="00843768" w:rsidRPr="006645DC" w:rsidRDefault="00843768" w:rsidP="00393EB7">
            <w:pPr>
              <w:spacing w:before="0" w:after="0"/>
              <w:jc w:val="left"/>
              <w:rPr>
                <w:rFonts w:eastAsia="Times New Roman" w:cs="Calibri"/>
                <w:b/>
                <w:bCs/>
                <w:lang w:val="en-GB"/>
              </w:rPr>
            </w:pPr>
            <w:r w:rsidRPr="006645DC">
              <w:rPr>
                <w:rFonts w:eastAsia="Times New Roman" w:cs="Calibri"/>
                <w:b/>
                <w:bCs/>
                <w:lang w:val="en-GB"/>
              </w:rPr>
              <w:t>NUTS 2 area</w:t>
            </w:r>
          </w:p>
        </w:tc>
        <w:tc>
          <w:tcPr>
            <w:tcW w:w="3192" w:type="dxa"/>
            <w:shd w:val="clear" w:color="auto" w:fill="auto"/>
            <w:vAlign w:val="center"/>
          </w:tcPr>
          <w:p w14:paraId="51B27EC3" w14:textId="77777777" w:rsidR="00843768" w:rsidRPr="006645DC" w:rsidRDefault="00843768" w:rsidP="00393EB7">
            <w:pPr>
              <w:keepNext/>
              <w:keepLines/>
              <w:spacing w:before="0" w:after="0"/>
              <w:jc w:val="left"/>
              <w:outlineLvl w:val="1"/>
              <w:rPr>
                <w:rFonts w:cs="Calibri"/>
                <w:b/>
                <w:lang w:val="en-GB"/>
              </w:rPr>
            </w:pPr>
            <w:bookmarkStart w:id="2205" w:name="_Toc376200284"/>
            <w:r w:rsidRPr="006645DC">
              <w:rPr>
                <w:rFonts w:cs="Calibri"/>
                <w:b/>
                <w:lang w:val="en-GB"/>
              </w:rPr>
              <w:t>Counties</w:t>
            </w:r>
            <w:bookmarkEnd w:id="2205"/>
          </w:p>
        </w:tc>
        <w:tc>
          <w:tcPr>
            <w:tcW w:w="3192" w:type="dxa"/>
            <w:shd w:val="clear" w:color="auto" w:fill="auto"/>
            <w:vAlign w:val="center"/>
          </w:tcPr>
          <w:p w14:paraId="47B5DA07" w14:textId="77777777" w:rsidR="00843768" w:rsidRPr="006645DC" w:rsidRDefault="00843768" w:rsidP="00393EB7">
            <w:pPr>
              <w:spacing w:before="0" w:after="0"/>
              <w:jc w:val="left"/>
              <w:rPr>
                <w:rFonts w:cs="Calibri"/>
                <w:b/>
                <w:lang w:val="en-GB"/>
              </w:rPr>
            </w:pPr>
            <w:r w:rsidRPr="006645DC">
              <w:rPr>
                <w:rFonts w:cs="Calibri"/>
                <w:b/>
                <w:lang w:val="en-GB"/>
              </w:rPr>
              <w:t>Local level</w:t>
            </w:r>
          </w:p>
        </w:tc>
      </w:tr>
      <w:tr w:rsidR="00843768" w:rsidRPr="006645DC" w14:paraId="574A0A68" w14:textId="77777777" w:rsidTr="00393EB7">
        <w:trPr>
          <w:jc w:val="center"/>
        </w:trPr>
        <w:tc>
          <w:tcPr>
            <w:tcW w:w="3192" w:type="dxa"/>
            <w:vMerge w:val="restart"/>
            <w:shd w:val="clear" w:color="auto" w:fill="auto"/>
            <w:vAlign w:val="center"/>
          </w:tcPr>
          <w:p w14:paraId="35599586" w14:textId="77777777" w:rsidR="00843768" w:rsidRPr="006645DC" w:rsidRDefault="00843768" w:rsidP="00393EB7">
            <w:pPr>
              <w:spacing w:before="0" w:after="0"/>
              <w:jc w:val="left"/>
              <w:rPr>
                <w:rFonts w:eastAsia="Times New Roman" w:cs="Calibri"/>
                <w:b/>
                <w:bCs/>
                <w:lang w:val="en-GB"/>
              </w:rPr>
            </w:pPr>
            <w:r w:rsidRPr="006645DC">
              <w:rPr>
                <w:rFonts w:eastAsia="Times New Roman" w:cs="Calibri"/>
                <w:b/>
                <w:bCs/>
                <w:lang w:val="en-GB"/>
              </w:rPr>
              <w:t>Sud-Vest (South-West)</w:t>
            </w:r>
          </w:p>
        </w:tc>
        <w:tc>
          <w:tcPr>
            <w:tcW w:w="3192" w:type="dxa"/>
            <w:shd w:val="clear" w:color="auto" w:fill="auto"/>
            <w:vAlign w:val="center"/>
          </w:tcPr>
          <w:p w14:paraId="48CA0AA6" w14:textId="77777777" w:rsidR="00843768" w:rsidRPr="006645DC" w:rsidRDefault="00843768" w:rsidP="00393EB7">
            <w:pPr>
              <w:keepNext/>
              <w:keepLines/>
              <w:spacing w:before="0" w:after="0"/>
              <w:jc w:val="left"/>
              <w:outlineLvl w:val="1"/>
              <w:rPr>
                <w:rFonts w:cs="Calibri"/>
                <w:lang w:val="en-GB"/>
              </w:rPr>
            </w:pPr>
            <w:bookmarkStart w:id="2206" w:name="_Toc376200285"/>
            <w:r w:rsidRPr="006645DC">
              <w:rPr>
                <w:rFonts w:cs="Calibri"/>
                <w:lang w:val="en-GB"/>
              </w:rPr>
              <w:t>Mehedinti</w:t>
            </w:r>
            <w:bookmarkEnd w:id="2206"/>
          </w:p>
        </w:tc>
        <w:tc>
          <w:tcPr>
            <w:tcW w:w="3192" w:type="dxa"/>
            <w:shd w:val="clear" w:color="auto" w:fill="auto"/>
            <w:vAlign w:val="center"/>
          </w:tcPr>
          <w:p w14:paraId="0A075B66" w14:textId="77777777" w:rsidR="00843768" w:rsidRPr="006645DC" w:rsidRDefault="00843768" w:rsidP="00393EB7">
            <w:pPr>
              <w:keepNext/>
              <w:keepLines/>
              <w:spacing w:before="0" w:after="0"/>
              <w:jc w:val="left"/>
              <w:outlineLvl w:val="1"/>
              <w:rPr>
                <w:rFonts w:cs="Calibri"/>
                <w:lang w:val="en-GB"/>
              </w:rPr>
            </w:pPr>
            <w:bookmarkStart w:id="2207" w:name="_Toc376200286"/>
            <w:r w:rsidRPr="006645DC">
              <w:rPr>
                <w:rFonts w:cs="Calibri"/>
                <w:lang w:val="en-GB"/>
              </w:rPr>
              <w:t>2 muncipii, 3 orase, 61 comune</w:t>
            </w:r>
            <w:bookmarkEnd w:id="2207"/>
          </w:p>
        </w:tc>
      </w:tr>
      <w:tr w:rsidR="00843768" w:rsidRPr="006645DC" w14:paraId="3FFED232" w14:textId="77777777" w:rsidTr="00393EB7">
        <w:trPr>
          <w:jc w:val="center"/>
        </w:trPr>
        <w:tc>
          <w:tcPr>
            <w:tcW w:w="3192" w:type="dxa"/>
            <w:vMerge/>
            <w:shd w:val="clear" w:color="auto" w:fill="auto"/>
            <w:vAlign w:val="center"/>
          </w:tcPr>
          <w:p w14:paraId="4E7E1404" w14:textId="77777777" w:rsidR="00843768" w:rsidRPr="006645DC" w:rsidRDefault="00843768" w:rsidP="00393EB7">
            <w:pPr>
              <w:spacing w:before="0" w:after="0"/>
              <w:jc w:val="left"/>
              <w:rPr>
                <w:rFonts w:eastAsia="Times New Roman" w:cs="Calibri"/>
                <w:b/>
                <w:bCs/>
                <w:lang w:val="en-GB"/>
              </w:rPr>
            </w:pPr>
          </w:p>
        </w:tc>
        <w:tc>
          <w:tcPr>
            <w:tcW w:w="3192" w:type="dxa"/>
            <w:shd w:val="clear" w:color="auto" w:fill="auto"/>
            <w:vAlign w:val="center"/>
          </w:tcPr>
          <w:p w14:paraId="55D2CE4B" w14:textId="77777777" w:rsidR="00843768" w:rsidRPr="006645DC" w:rsidRDefault="00843768" w:rsidP="00393EB7">
            <w:pPr>
              <w:keepNext/>
              <w:keepLines/>
              <w:spacing w:before="0" w:after="0"/>
              <w:jc w:val="left"/>
              <w:outlineLvl w:val="1"/>
              <w:rPr>
                <w:rFonts w:cs="Calibri"/>
                <w:lang w:val="en-GB"/>
              </w:rPr>
            </w:pPr>
            <w:bookmarkStart w:id="2208" w:name="_Toc376200287"/>
            <w:r w:rsidRPr="006645DC">
              <w:rPr>
                <w:rFonts w:cs="Calibri"/>
                <w:lang w:val="en-GB"/>
              </w:rPr>
              <w:t>Dolj</w:t>
            </w:r>
            <w:bookmarkEnd w:id="2208"/>
          </w:p>
        </w:tc>
        <w:tc>
          <w:tcPr>
            <w:tcW w:w="3192" w:type="dxa"/>
            <w:shd w:val="clear" w:color="auto" w:fill="auto"/>
            <w:vAlign w:val="center"/>
          </w:tcPr>
          <w:p w14:paraId="13410238" w14:textId="77777777" w:rsidR="00843768" w:rsidRPr="006645DC" w:rsidRDefault="00843768" w:rsidP="00393EB7">
            <w:pPr>
              <w:keepNext/>
              <w:keepLines/>
              <w:spacing w:before="0" w:after="0"/>
              <w:jc w:val="left"/>
              <w:outlineLvl w:val="1"/>
              <w:rPr>
                <w:rFonts w:cs="Calibri"/>
                <w:lang w:val="en-GB"/>
              </w:rPr>
            </w:pPr>
            <w:bookmarkStart w:id="2209" w:name="_Toc376200288"/>
            <w:r w:rsidRPr="006645DC">
              <w:rPr>
                <w:rFonts w:cs="Calibri"/>
                <w:lang w:val="en-GB"/>
              </w:rPr>
              <w:t>3 municipii, 4 orase, 104 comune</w:t>
            </w:r>
            <w:bookmarkEnd w:id="2209"/>
          </w:p>
        </w:tc>
      </w:tr>
      <w:tr w:rsidR="00843768" w:rsidRPr="006645DC" w14:paraId="5A2D4DFD" w14:textId="77777777" w:rsidTr="00393EB7">
        <w:trPr>
          <w:jc w:val="center"/>
        </w:trPr>
        <w:tc>
          <w:tcPr>
            <w:tcW w:w="3192" w:type="dxa"/>
            <w:vMerge/>
            <w:shd w:val="clear" w:color="auto" w:fill="auto"/>
            <w:vAlign w:val="center"/>
          </w:tcPr>
          <w:p w14:paraId="2DD29651" w14:textId="77777777" w:rsidR="00843768" w:rsidRPr="006645DC" w:rsidRDefault="00843768" w:rsidP="00393EB7">
            <w:pPr>
              <w:spacing w:before="0" w:after="0"/>
              <w:jc w:val="left"/>
              <w:rPr>
                <w:rFonts w:eastAsia="Times New Roman" w:cs="Calibri"/>
                <w:b/>
                <w:bCs/>
                <w:lang w:val="en-GB"/>
              </w:rPr>
            </w:pPr>
          </w:p>
        </w:tc>
        <w:tc>
          <w:tcPr>
            <w:tcW w:w="3192" w:type="dxa"/>
            <w:shd w:val="clear" w:color="auto" w:fill="auto"/>
            <w:vAlign w:val="center"/>
          </w:tcPr>
          <w:p w14:paraId="02DD6637" w14:textId="77777777" w:rsidR="00843768" w:rsidRPr="006645DC" w:rsidRDefault="00843768" w:rsidP="00393EB7">
            <w:pPr>
              <w:keepNext/>
              <w:keepLines/>
              <w:spacing w:before="0" w:after="0"/>
              <w:jc w:val="left"/>
              <w:outlineLvl w:val="1"/>
              <w:rPr>
                <w:rFonts w:cs="Calibri"/>
                <w:lang w:val="en-GB"/>
              </w:rPr>
            </w:pPr>
            <w:bookmarkStart w:id="2210" w:name="_Toc376200289"/>
            <w:r w:rsidRPr="006645DC">
              <w:rPr>
                <w:rFonts w:cs="Calibri"/>
                <w:lang w:val="en-GB"/>
              </w:rPr>
              <w:t>Olt</w:t>
            </w:r>
            <w:bookmarkEnd w:id="2210"/>
          </w:p>
        </w:tc>
        <w:tc>
          <w:tcPr>
            <w:tcW w:w="3192" w:type="dxa"/>
            <w:shd w:val="clear" w:color="auto" w:fill="auto"/>
            <w:vAlign w:val="center"/>
          </w:tcPr>
          <w:p w14:paraId="02A6F5B8" w14:textId="77777777" w:rsidR="00843768" w:rsidRPr="006645DC" w:rsidRDefault="00843768" w:rsidP="00393EB7">
            <w:pPr>
              <w:keepNext/>
              <w:keepLines/>
              <w:spacing w:before="0" w:after="0"/>
              <w:jc w:val="left"/>
              <w:outlineLvl w:val="1"/>
              <w:rPr>
                <w:rFonts w:cs="Calibri"/>
                <w:lang w:val="en-GB"/>
              </w:rPr>
            </w:pPr>
            <w:bookmarkStart w:id="2211" w:name="_Toc376200290"/>
            <w:r w:rsidRPr="006645DC">
              <w:rPr>
                <w:rFonts w:cs="Calibri"/>
                <w:lang w:val="en-GB"/>
              </w:rPr>
              <w:t>2 municipii, 6 orase, 104 comune</w:t>
            </w:r>
            <w:bookmarkEnd w:id="2211"/>
          </w:p>
        </w:tc>
      </w:tr>
      <w:tr w:rsidR="00843768" w:rsidRPr="006645DC" w14:paraId="7FCA9BDD" w14:textId="77777777" w:rsidTr="00393EB7">
        <w:trPr>
          <w:jc w:val="center"/>
        </w:trPr>
        <w:tc>
          <w:tcPr>
            <w:tcW w:w="3192" w:type="dxa"/>
            <w:vMerge w:val="restart"/>
            <w:shd w:val="clear" w:color="auto" w:fill="auto"/>
            <w:vAlign w:val="center"/>
          </w:tcPr>
          <w:p w14:paraId="1715D1F4" w14:textId="77777777" w:rsidR="00843768" w:rsidRPr="006645DC" w:rsidRDefault="00843768" w:rsidP="00393EB7">
            <w:pPr>
              <w:keepNext/>
              <w:keepLines/>
              <w:spacing w:before="0" w:after="0"/>
              <w:jc w:val="left"/>
              <w:outlineLvl w:val="1"/>
              <w:rPr>
                <w:rFonts w:eastAsia="Times New Roman" w:cs="Calibri"/>
                <w:b/>
                <w:bCs/>
                <w:lang w:val="en-GB"/>
              </w:rPr>
            </w:pPr>
            <w:bookmarkStart w:id="2212" w:name="_Toc376200291"/>
            <w:r w:rsidRPr="006645DC">
              <w:rPr>
                <w:rFonts w:eastAsia="Times New Roman" w:cs="Calibri"/>
                <w:b/>
                <w:bCs/>
                <w:lang w:val="en-GB"/>
              </w:rPr>
              <w:t>Sud (South)</w:t>
            </w:r>
            <w:bookmarkEnd w:id="2212"/>
            <w:r w:rsidRPr="006645DC">
              <w:rPr>
                <w:rFonts w:eastAsia="Times New Roman" w:cs="Calibri"/>
                <w:b/>
                <w:bCs/>
                <w:lang w:val="en-GB"/>
              </w:rPr>
              <w:t xml:space="preserve"> </w:t>
            </w:r>
          </w:p>
        </w:tc>
        <w:tc>
          <w:tcPr>
            <w:tcW w:w="3192" w:type="dxa"/>
            <w:shd w:val="clear" w:color="auto" w:fill="auto"/>
            <w:vAlign w:val="center"/>
          </w:tcPr>
          <w:p w14:paraId="3B2430D1" w14:textId="77777777" w:rsidR="00843768" w:rsidRPr="006645DC" w:rsidRDefault="00843768" w:rsidP="00393EB7">
            <w:pPr>
              <w:keepNext/>
              <w:keepLines/>
              <w:spacing w:before="0" w:after="0"/>
              <w:jc w:val="left"/>
              <w:outlineLvl w:val="1"/>
              <w:rPr>
                <w:rFonts w:cs="Calibri"/>
                <w:lang w:val="en-GB"/>
              </w:rPr>
            </w:pPr>
            <w:bookmarkStart w:id="2213" w:name="_Toc376200292"/>
            <w:r w:rsidRPr="006645DC">
              <w:rPr>
                <w:rFonts w:cs="Calibri"/>
                <w:lang w:val="en-GB"/>
              </w:rPr>
              <w:t>Teleorman</w:t>
            </w:r>
            <w:bookmarkEnd w:id="2213"/>
          </w:p>
        </w:tc>
        <w:tc>
          <w:tcPr>
            <w:tcW w:w="3192" w:type="dxa"/>
            <w:shd w:val="clear" w:color="auto" w:fill="auto"/>
            <w:vAlign w:val="center"/>
          </w:tcPr>
          <w:p w14:paraId="76719E16" w14:textId="77777777" w:rsidR="00843768" w:rsidRPr="006645DC" w:rsidRDefault="00843768" w:rsidP="00393EB7">
            <w:pPr>
              <w:keepNext/>
              <w:keepLines/>
              <w:spacing w:before="0" w:after="0"/>
              <w:jc w:val="left"/>
              <w:outlineLvl w:val="1"/>
              <w:rPr>
                <w:rFonts w:cs="Calibri"/>
                <w:lang w:val="en-GB"/>
              </w:rPr>
            </w:pPr>
            <w:bookmarkStart w:id="2214" w:name="_Toc376200293"/>
            <w:r w:rsidRPr="006645DC">
              <w:rPr>
                <w:rFonts w:cs="Calibri"/>
                <w:lang w:val="en-GB"/>
              </w:rPr>
              <w:t>3 municipii, 2orase, 92 comune</w:t>
            </w:r>
            <w:bookmarkEnd w:id="2214"/>
          </w:p>
        </w:tc>
      </w:tr>
      <w:tr w:rsidR="00843768" w:rsidRPr="006645DC" w14:paraId="4C19EDA7" w14:textId="77777777" w:rsidTr="00393EB7">
        <w:trPr>
          <w:jc w:val="center"/>
        </w:trPr>
        <w:tc>
          <w:tcPr>
            <w:tcW w:w="3192" w:type="dxa"/>
            <w:vMerge/>
            <w:shd w:val="clear" w:color="auto" w:fill="auto"/>
            <w:vAlign w:val="center"/>
          </w:tcPr>
          <w:p w14:paraId="1ACA6074" w14:textId="77777777" w:rsidR="00843768" w:rsidRPr="006645DC" w:rsidRDefault="00843768" w:rsidP="00393EB7">
            <w:pPr>
              <w:spacing w:before="0" w:after="0"/>
              <w:jc w:val="left"/>
              <w:rPr>
                <w:rFonts w:eastAsia="Times New Roman" w:cs="Calibri"/>
                <w:b/>
                <w:bCs/>
                <w:lang w:val="en-GB"/>
              </w:rPr>
            </w:pPr>
          </w:p>
        </w:tc>
        <w:tc>
          <w:tcPr>
            <w:tcW w:w="3192" w:type="dxa"/>
            <w:shd w:val="clear" w:color="auto" w:fill="auto"/>
            <w:vAlign w:val="center"/>
          </w:tcPr>
          <w:p w14:paraId="60E2FCA8" w14:textId="77777777" w:rsidR="00843768" w:rsidRPr="006645DC" w:rsidRDefault="00843768" w:rsidP="00393EB7">
            <w:pPr>
              <w:keepNext/>
              <w:keepLines/>
              <w:spacing w:before="0" w:after="0"/>
              <w:jc w:val="left"/>
              <w:outlineLvl w:val="1"/>
              <w:rPr>
                <w:rFonts w:cs="Calibri"/>
                <w:lang w:val="en-GB"/>
              </w:rPr>
            </w:pPr>
            <w:bookmarkStart w:id="2215" w:name="_Toc376200294"/>
            <w:r w:rsidRPr="006645DC">
              <w:rPr>
                <w:rFonts w:cs="Calibri"/>
                <w:lang w:val="en-GB"/>
              </w:rPr>
              <w:t>Giurgiu</w:t>
            </w:r>
            <w:bookmarkEnd w:id="2215"/>
          </w:p>
        </w:tc>
        <w:tc>
          <w:tcPr>
            <w:tcW w:w="3192" w:type="dxa"/>
            <w:shd w:val="clear" w:color="auto" w:fill="auto"/>
            <w:vAlign w:val="center"/>
          </w:tcPr>
          <w:p w14:paraId="7F03B3E9" w14:textId="77777777" w:rsidR="00843768" w:rsidRPr="006645DC" w:rsidRDefault="00843768" w:rsidP="00393EB7">
            <w:pPr>
              <w:keepNext/>
              <w:keepLines/>
              <w:spacing w:before="0" w:after="0"/>
              <w:jc w:val="left"/>
              <w:outlineLvl w:val="1"/>
              <w:rPr>
                <w:rFonts w:cs="Calibri"/>
                <w:lang w:val="en-GB"/>
              </w:rPr>
            </w:pPr>
            <w:bookmarkStart w:id="2216" w:name="_Toc376200295"/>
            <w:r w:rsidRPr="006645DC">
              <w:rPr>
                <w:rFonts w:cs="Calibri"/>
                <w:lang w:val="en-GB"/>
              </w:rPr>
              <w:t>1 municipiu,2 orase, 51 comune</w:t>
            </w:r>
            <w:bookmarkEnd w:id="2216"/>
          </w:p>
        </w:tc>
      </w:tr>
      <w:tr w:rsidR="00843768" w:rsidRPr="006645DC" w14:paraId="418E4366" w14:textId="77777777" w:rsidTr="00393EB7">
        <w:trPr>
          <w:jc w:val="center"/>
        </w:trPr>
        <w:tc>
          <w:tcPr>
            <w:tcW w:w="3192" w:type="dxa"/>
            <w:vMerge/>
            <w:shd w:val="clear" w:color="auto" w:fill="auto"/>
            <w:vAlign w:val="center"/>
          </w:tcPr>
          <w:p w14:paraId="19BEEAD3" w14:textId="77777777" w:rsidR="00843768" w:rsidRPr="006645DC" w:rsidRDefault="00843768" w:rsidP="00393EB7">
            <w:pPr>
              <w:spacing w:before="0" w:after="0"/>
              <w:jc w:val="left"/>
              <w:rPr>
                <w:rFonts w:eastAsia="Times New Roman" w:cs="Calibri"/>
                <w:b/>
                <w:bCs/>
                <w:lang w:val="en-GB"/>
              </w:rPr>
            </w:pPr>
          </w:p>
        </w:tc>
        <w:tc>
          <w:tcPr>
            <w:tcW w:w="3192" w:type="dxa"/>
            <w:shd w:val="clear" w:color="auto" w:fill="auto"/>
            <w:vAlign w:val="center"/>
          </w:tcPr>
          <w:p w14:paraId="4C435B3F" w14:textId="77777777" w:rsidR="00843768" w:rsidRPr="006645DC" w:rsidRDefault="00843768" w:rsidP="00393EB7">
            <w:pPr>
              <w:keepNext/>
              <w:keepLines/>
              <w:spacing w:before="0" w:after="0"/>
              <w:jc w:val="left"/>
              <w:outlineLvl w:val="1"/>
              <w:rPr>
                <w:rFonts w:cs="Calibri"/>
                <w:lang w:val="en-GB"/>
              </w:rPr>
            </w:pPr>
            <w:bookmarkStart w:id="2217" w:name="_Toc376200296"/>
            <w:r w:rsidRPr="006645DC">
              <w:rPr>
                <w:rFonts w:cs="Calibri"/>
                <w:lang w:val="en-GB"/>
              </w:rPr>
              <w:t>Calarasi</w:t>
            </w:r>
            <w:bookmarkEnd w:id="2217"/>
          </w:p>
        </w:tc>
        <w:tc>
          <w:tcPr>
            <w:tcW w:w="3192" w:type="dxa"/>
            <w:shd w:val="clear" w:color="auto" w:fill="auto"/>
            <w:vAlign w:val="center"/>
          </w:tcPr>
          <w:p w14:paraId="4F105B60" w14:textId="77777777" w:rsidR="00843768" w:rsidRPr="006645DC" w:rsidRDefault="00843768" w:rsidP="00393EB7">
            <w:pPr>
              <w:keepNext/>
              <w:keepLines/>
              <w:spacing w:before="0" w:after="0"/>
              <w:jc w:val="left"/>
              <w:outlineLvl w:val="1"/>
              <w:rPr>
                <w:rFonts w:cs="Calibri"/>
                <w:lang w:val="en-GB"/>
              </w:rPr>
            </w:pPr>
            <w:bookmarkStart w:id="2218" w:name="_Toc376200297"/>
            <w:r w:rsidRPr="006645DC">
              <w:rPr>
                <w:rFonts w:cs="Calibri"/>
                <w:lang w:val="en-GB"/>
              </w:rPr>
              <w:t>2 municipii, 3 orase, 50 comune</w:t>
            </w:r>
            <w:bookmarkEnd w:id="2218"/>
          </w:p>
        </w:tc>
      </w:tr>
      <w:tr w:rsidR="00843768" w:rsidRPr="006645DC" w14:paraId="00995E25" w14:textId="77777777" w:rsidTr="00393EB7">
        <w:trPr>
          <w:jc w:val="center"/>
        </w:trPr>
        <w:tc>
          <w:tcPr>
            <w:tcW w:w="3192" w:type="dxa"/>
            <w:shd w:val="clear" w:color="auto" w:fill="auto"/>
            <w:vAlign w:val="center"/>
          </w:tcPr>
          <w:p w14:paraId="09BC6B83" w14:textId="77777777" w:rsidR="00843768" w:rsidRPr="006645DC" w:rsidRDefault="00843768" w:rsidP="00393EB7">
            <w:pPr>
              <w:keepNext/>
              <w:keepLines/>
              <w:spacing w:before="0" w:after="0"/>
              <w:jc w:val="left"/>
              <w:outlineLvl w:val="1"/>
              <w:rPr>
                <w:rFonts w:eastAsia="Times New Roman" w:cs="Calibri"/>
                <w:b/>
                <w:bCs/>
                <w:lang w:val="en-GB"/>
              </w:rPr>
            </w:pPr>
            <w:bookmarkStart w:id="2219" w:name="_Toc376200298"/>
            <w:r w:rsidRPr="006645DC">
              <w:rPr>
                <w:rFonts w:eastAsia="Times New Roman" w:cs="Calibri"/>
                <w:b/>
                <w:bCs/>
                <w:lang w:val="en-GB"/>
              </w:rPr>
              <w:t>Sud-Vest (South-West)</w:t>
            </w:r>
            <w:bookmarkEnd w:id="2219"/>
          </w:p>
        </w:tc>
        <w:tc>
          <w:tcPr>
            <w:tcW w:w="3192" w:type="dxa"/>
            <w:shd w:val="clear" w:color="auto" w:fill="auto"/>
            <w:vAlign w:val="center"/>
          </w:tcPr>
          <w:p w14:paraId="1C7530B2" w14:textId="77777777" w:rsidR="00843768" w:rsidRPr="006645DC" w:rsidRDefault="00843768" w:rsidP="00393EB7">
            <w:pPr>
              <w:keepNext/>
              <w:keepLines/>
              <w:spacing w:before="0" w:after="0"/>
              <w:jc w:val="left"/>
              <w:outlineLvl w:val="1"/>
              <w:rPr>
                <w:rFonts w:cs="Calibri"/>
                <w:lang w:val="en-GB"/>
              </w:rPr>
            </w:pPr>
            <w:bookmarkStart w:id="2220" w:name="_Toc376200299"/>
            <w:r w:rsidRPr="006645DC">
              <w:rPr>
                <w:rFonts w:cs="Calibri"/>
                <w:lang w:val="en-GB"/>
              </w:rPr>
              <w:t>Constanta</w:t>
            </w:r>
            <w:bookmarkEnd w:id="2220"/>
          </w:p>
        </w:tc>
        <w:tc>
          <w:tcPr>
            <w:tcW w:w="3192" w:type="dxa"/>
            <w:shd w:val="clear" w:color="auto" w:fill="auto"/>
            <w:vAlign w:val="center"/>
          </w:tcPr>
          <w:p w14:paraId="56D9E7AB" w14:textId="77777777" w:rsidR="00843768" w:rsidRPr="006645DC" w:rsidRDefault="00843768" w:rsidP="00393EB7">
            <w:pPr>
              <w:keepNext/>
              <w:keepLines/>
              <w:spacing w:before="0" w:after="0"/>
              <w:jc w:val="left"/>
              <w:outlineLvl w:val="1"/>
              <w:rPr>
                <w:rFonts w:cs="Calibri"/>
                <w:lang w:val="en-GB"/>
              </w:rPr>
            </w:pPr>
            <w:bookmarkStart w:id="2221" w:name="_Toc376200300"/>
            <w:r w:rsidRPr="006645DC">
              <w:rPr>
                <w:rFonts w:cs="Calibri"/>
                <w:lang w:val="en-GB"/>
              </w:rPr>
              <w:t>3 municipii, 9 orase, 58 comune</w:t>
            </w:r>
            <w:bookmarkEnd w:id="2221"/>
          </w:p>
        </w:tc>
      </w:tr>
    </w:tbl>
    <w:p w14:paraId="16BD6ECF" w14:textId="77777777" w:rsidR="00843768" w:rsidRPr="006645DC" w:rsidRDefault="00E302EF" w:rsidP="00E302EF">
      <w:pPr>
        <w:pStyle w:val="Caption"/>
        <w:rPr>
          <w:lang w:val="en-GB"/>
        </w:rPr>
      </w:pPr>
      <w:bookmarkStart w:id="2222" w:name="_Toc391150154"/>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57</w:t>
      </w:r>
      <w:r w:rsidR="005979EB" w:rsidRPr="006645DC">
        <w:rPr>
          <w:lang w:val="en-GB"/>
        </w:rPr>
        <w:fldChar w:fldCharType="end"/>
      </w:r>
      <w:r w:rsidRPr="006645DC">
        <w:rPr>
          <w:lang w:val="en-GB"/>
        </w:rPr>
        <w:t xml:space="preserve"> - The administrative units that forms the RO cross-border area</w:t>
      </w:r>
      <w:bookmarkEnd w:id="2222"/>
    </w:p>
    <w:p w14:paraId="7C50CBF8" w14:textId="77777777" w:rsidR="00E302EF" w:rsidRPr="006645DC" w:rsidRDefault="00E302EF" w:rsidP="00E302EF">
      <w:pPr>
        <w:pStyle w:val="Heading4"/>
        <w:rPr>
          <w:lang w:val="en-GB"/>
        </w:rPr>
      </w:pPr>
      <w:r w:rsidRPr="006645DC">
        <w:rPr>
          <w:lang w:val="en-GB"/>
        </w:rPr>
        <w:t>Source: Détente Consultants</w:t>
      </w:r>
    </w:p>
    <w:p w14:paraId="42ADED74" w14:textId="77777777" w:rsidR="001451D4" w:rsidRPr="006645DC" w:rsidRDefault="001451D4" w:rsidP="001451D4">
      <w:pPr>
        <w:rPr>
          <w:lang w:val="en-GB"/>
        </w:rPr>
      </w:pPr>
    </w:p>
    <w:tbl>
      <w:tblPr>
        <w:tblW w:w="0" w:type="auto"/>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3192"/>
        <w:gridCol w:w="3192"/>
        <w:gridCol w:w="3192"/>
      </w:tblGrid>
      <w:tr w:rsidR="00843768" w:rsidRPr="006645DC" w14:paraId="099A1A4A" w14:textId="77777777" w:rsidTr="00393EB7">
        <w:trPr>
          <w:jc w:val="center"/>
        </w:trPr>
        <w:tc>
          <w:tcPr>
            <w:tcW w:w="9576" w:type="dxa"/>
            <w:gridSpan w:val="3"/>
            <w:shd w:val="clear" w:color="auto" w:fill="auto"/>
            <w:vAlign w:val="center"/>
          </w:tcPr>
          <w:p w14:paraId="257B6338" w14:textId="77777777" w:rsidR="00843768" w:rsidRPr="006645DC" w:rsidRDefault="00843768" w:rsidP="00393EB7">
            <w:pPr>
              <w:spacing w:before="0" w:after="0"/>
              <w:jc w:val="left"/>
              <w:rPr>
                <w:rFonts w:eastAsia="Times New Roman" w:cs="Calibri"/>
                <w:b/>
                <w:bCs/>
                <w:lang w:val="en-GB"/>
              </w:rPr>
            </w:pPr>
            <w:r w:rsidRPr="006645DC">
              <w:rPr>
                <w:rFonts w:eastAsia="Times New Roman" w:cs="Calibri"/>
                <w:b/>
                <w:bCs/>
                <w:lang w:val="en-GB"/>
              </w:rPr>
              <w:t>Bulgarian area</w:t>
            </w:r>
          </w:p>
        </w:tc>
      </w:tr>
      <w:tr w:rsidR="00843768" w:rsidRPr="006645DC" w14:paraId="5C775D57" w14:textId="77777777" w:rsidTr="00393EB7">
        <w:trPr>
          <w:jc w:val="center"/>
        </w:trPr>
        <w:tc>
          <w:tcPr>
            <w:tcW w:w="3192" w:type="dxa"/>
            <w:shd w:val="clear" w:color="auto" w:fill="auto"/>
            <w:vAlign w:val="center"/>
          </w:tcPr>
          <w:p w14:paraId="77EF2C2C" w14:textId="77777777" w:rsidR="00843768" w:rsidRPr="006645DC" w:rsidRDefault="00843768" w:rsidP="00393EB7">
            <w:pPr>
              <w:spacing w:before="0" w:after="0"/>
              <w:jc w:val="left"/>
              <w:rPr>
                <w:rFonts w:eastAsia="Times New Roman" w:cs="Calibri"/>
                <w:b/>
                <w:bCs/>
                <w:lang w:val="en-GB"/>
              </w:rPr>
            </w:pPr>
            <w:r w:rsidRPr="006645DC">
              <w:rPr>
                <w:rFonts w:eastAsia="Times New Roman" w:cs="Calibri"/>
                <w:b/>
                <w:bCs/>
                <w:lang w:val="en-GB"/>
              </w:rPr>
              <w:t>NUTS 2 area</w:t>
            </w:r>
          </w:p>
        </w:tc>
        <w:tc>
          <w:tcPr>
            <w:tcW w:w="3192" w:type="dxa"/>
            <w:shd w:val="clear" w:color="auto" w:fill="auto"/>
            <w:vAlign w:val="center"/>
          </w:tcPr>
          <w:p w14:paraId="2D7E8308" w14:textId="77777777" w:rsidR="00843768" w:rsidRPr="006645DC" w:rsidRDefault="00843768" w:rsidP="00393EB7">
            <w:pPr>
              <w:keepNext/>
              <w:keepLines/>
              <w:spacing w:before="0" w:after="0"/>
              <w:jc w:val="left"/>
              <w:outlineLvl w:val="1"/>
              <w:rPr>
                <w:rFonts w:cs="Calibri"/>
                <w:b/>
                <w:lang w:val="en-GB"/>
              </w:rPr>
            </w:pPr>
            <w:bookmarkStart w:id="2223" w:name="_Toc376200301"/>
            <w:r w:rsidRPr="006645DC">
              <w:rPr>
                <w:rFonts w:cs="Calibri"/>
                <w:b/>
                <w:lang w:val="en-GB"/>
              </w:rPr>
              <w:t>Counties</w:t>
            </w:r>
            <w:bookmarkEnd w:id="2223"/>
          </w:p>
        </w:tc>
        <w:tc>
          <w:tcPr>
            <w:tcW w:w="3192" w:type="dxa"/>
            <w:shd w:val="clear" w:color="auto" w:fill="auto"/>
            <w:vAlign w:val="center"/>
          </w:tcPr>
          <w:p w14:paraId="697584DF" w14:textId="77777777" w:rsidR="00843768" w:rsidRPr="006645DC" w:rsidRDefault="00843768" w:rsidP="00393EB7">
            <w:pPr>
              <w:spacing w:before="0" w:after="0"/>
              <w:jc w:val="left"/>
              <w:rPr>
                <w:rFonts w:cs="Calibri"/>
                <w:b/>
                <w:lang w:val="en-GB"/>
              </w:rPr>
            </w:pPr>
            <w:r w:rsidRPr="006645DC">
              <w:rPr>
                <w:rFonts w:cs="Calibri"/>
                <w:b/>
                <w:lang w:val="en-GB"/>
              </w:rPr>
              <w:t>Local level</w:t>
            </w:r>
          </w:p>
        </w:tc>
      </w:tr>
      <w:tr w:rsidR="00843768" w:rsidRPr="006645DC" w14:paraId="29C32360" w14:textId="77777777" w:rsidTr="00393EB7">
        <w:trPr>
          <w:jc w:val="center"/>
        </w:trPr>
        <w:tc>
          <w:tcPr>
            <w:tcW w:w="3192" w:type="dxa"/>
            <w:vMerge w:val="restart"/>
            <w:shd w:val="clear" w:color="auto" w:fill="auto"/>
            <w:vAlign w:val="center"/>
          </w:tcPr>
          <w:p w14:paraId="6A44B5E2" w14:textId="77777777" w:rsidR="00843768" w:rsidRPr="006645DC" w:rsidRDefault="00843768" w:rsidP="00393EB7">
            <w:pPr>
              <w:spacing w:before="0" w:after="0"/>
              <w:jc w:val="left"/>
              <w:rPr>
                <w:rFonts w:eastAsia="Times New Roman" w:cs="Calibri"/>
                <w:b/>
                <w:bCs/>
                <w:lang w:val="en-GB"/>
              </w:rPr>
            </w:pPr>
            <w:r w:rsidRPr="006645DC">
              <w:rPr>
                <w:rFonts w:eastAsia="Times New Roman" w:cs="Calibri"/>
                <w:b/>
                <w:bCs/>
                <w:lang w:val="en-GB"/>
              </w:rPr>
              <w:t>Severen tsentralen (North center)</w:t>
            </w:r>
          </w:p>
        </w:tc>
        <w:tc>
          <w:tcPr>
            <w:tcW w:w="3192" w:type="dxa"/>
            <w:shd w:val="clear" w:color="auto" w:fill="auto"/>
            <w:vAlign w:val="center"/>
          </w:tcPr>
          <w:p w14:paraId="690292CA" w14:textId="77777777" w:rsidR="00843768" w:rsidRPr="006645DC" w:rsidRDefault="00843768" w:rsidP="00393EB7">
            <w:pPr>
              <w:keepNext/>
              <w:keepLines/>
              <w:spacing w:before="0" w:after="0"/>
              <w:jc w:val="left"/>
              <w:outlineLvl w:val="1"/>
              <w:rPr>
                <w:rFonts w:cs="Calibri"/>
                <w:lang w:val="en-GB"/>
              </w:rPr>
            </w:pPr>
            <w:bookmarkStart w:id="2224" w:name="_Toc376200302"/>
            <w:r w:rsidRPr="006645DC">
              <w:rPr>
                <w:rFonts w:cs="Calibri"/>
                <w:lang w:val="en-GB"/>
              </w:rPr>
              <w:t>Rusenska Oblast</w:t>
            </w:r>
            <w:bookmarkEnd w:id="2224"/>
          </w:p>
        </w:tc>
        <w:tc>
          <w:tcPr>
            <w:tcW w:w="3192" w:type="dxa"/>
            <w:shd w:val="clear" w:color="auto" w:fill="auto"/>
            <w:vAlign w:val="center"/>
          </w:tcPr>
          <w:p w14:paraId="22C63A9B" w14:textId="77777777" w:rsidR="00843768" w:rsidRPr="006645DC" w:rsidRDefault="00843768" w:rsidP="00393EB7">
            <w:pPr>
              <w:keepNext/>
              <w:keepLines/>
              <w:spacing w:before="0" w:after="0"/>
              <w:jc w:val="left"/>
              <w:outlineLvl w:val="1"/>
              <w:rPr>
                <w:rFonts w:cs="Calibri"/>
                <w:lang w:val="en-GB"/>
              </w:rPr>
            </w:pPr>
            <w:bookmarkStart w:id="2225" w:name="_Toc376200303"/>
            <w:r w:rsidRPr="006645DC">
              <w:rPr>
                <w:rFonts w:cs="Calibri"/>
                <w:lang w:val="en-GB"/>
              </w:rPr>
              <w:t>8 obshtini</w:t>
            </w:r>
            <w:bookmarkEnd w:id="2225"/>
          </w:p>
        </w:tc>
      </w:tr>
      <w:tr w:rsidR="00843768" w:rsidRPr="006645DC" w14:paraId="2F809D25" w14:textId="77777777" w:rsidTr="00393EB7">
        <w:trPr>
          <w:jc w:val="center"/>
        </w:trPr>
        <w:tc>
          <w:tcPr>
            <w:tcW w:w="3192" w:type="dxa"/>
            <w:vMerge/>
            <w:shd w:val="clear" w:color="auto" w:fill="auto"/>
            <w:vAlign w:val="center"/>
          </w:tcPr>
          <w:p w14:paraId="3E30F643" w14:textId="77777777" w:rsidR="00843768" w:rsidRPr="006645DC" w:rsidRDefault="00843768" w:rsidP="00393EB7">
            <w:pPr>
              <w:spacing w:before="0" w:after="0"/>
              <w:jc w:val="left"/>
              <w:rPr>
                <w:rFonts w:eastAsia="Times New Roman" w:cs="Calibri"/>
                <w:b/>
                <w:bCs/>
                <w:lang w:val="en-GB"/>
              </w:rPr>
            </w:pPr>
          </w:p>
        </w:tc>
        <w:tc>
          <w:tcPr>
            <w:tcW w:w="3192" w:type="dxa"/>
            <w:shd w:val="clear" w:color="auto" w:fill="auto"/>
            <w:vAlign w:val="center"/>
          </w:tcPr>
          <w:p w14:paraId="776440C1" w14:textId="77777777" w:rsidR="00843768" w:rsidRPr="006645DC" w:rsidRDefault="00843768" w:rsidP="00393EB7">
            <w:pPr>
              <w:keepNext/>
              <w:keepLines/>
              <w:spacing w:before="0" w:after="0"/>
              <w:jc w:val="left"/>
              <w:outlineLvl w:val="1"/>
              <w:rPr>
                <w:rFonts w:cs="Calibri"/>
                <w:lang w:val="en-GB"/>
              </w:rPr>
            </w:pPr>
            <w:bookmarkStart w:id="2226" w:name="_Toc376200304"/>
            <w:r w:rsidRPr="006645DC">
              <w:rPr>
                <w:rFonts w:cs="Calibri"/>
                <w:lang w:val="en-GB"/>
              </w:rPr>
              <w:t>Silistra Oblast</w:t>
            </w:r>
            <w:bookmarkEnd w:id="2226"/>
          </w:p>
        </w:tc>
        <w:tc>
          <w:tcPr>
            <w:tcW w:w="3192" w:type="dxa"/>
            <w:shd w:val="clear" w:color="auto" w:fill="auto"/>
            <w:vAlign w:val="center"/>
          </w:tcPr>
          <w:p w14:paraId="5C1512D7" w14:textId="77777777" w:rsidR="00843768" w:rsidRPr="006645DC" w:rsidRDefault="00843768" w:rsidP="00393EB7">
            <w:pPr>
              <w:keepNext/>
              <w:keepLines/>
              <w:spacing w:before="0" w:after="0"/>
              <w:jc w:val="left"/>
              <w:outlineLvl w:val="1"/>
              <w:rPr>
                <w:rFonts w:cs="Calibri"/>
                <w:lang w:val="en-GB"/>
              </w:rPr>
            </w:pPr>
            <w:bookmarkStart w:id="2227" w:name="_Toc376200305"/>
            <w:r w:rsidRPr="006645DC">
              <w:rPr>
                <w:rFonts w:cs="Calibri"/>
                <w:lang w:val="en-GB"/>
              </w:rPr>
              <w:t>7 obshtini</w:t>
            </w:r>
            <w:bookmarkEnd w:id="2227"/>
          </w:p>
        </w:tc>
      </w:tr>
      <w:tr w:rsidR="00843768" w:rsidRPr="006645DC" w14:paraId="3862530B" w14:textId="77777777" w:rsidTr="00393EB7">
        <w:trPr>
          <w:jc w:val="center"/>
        </w:trPr>
        <w:tc>
          <w:tcPr>
            <w:tcW w:w="3192" w:type="dxa"/>
            <w:vMerge/>
            <w:shd w:val="clear" w:color="auto" w:fill="auto"/>
            <w:vAlign w:val="center"/>
          </w:tcPr>
          <w:p w14:paraId="74196284" w14:textId="77777777" w:rsidR="00843768" w:rsidRPr="006645DC" w:rsidRDefault="00843768" w:rsidP="00393EB7">
            <w:pPr>
              <w:spacing w:before="0" w:after="0"/>
              <w:jc w:val="left"/>
              <w:rPr>
                <w:rFonts w:eastAsia="Times New Roman" w:cs="Calibri"/>
                <w:b/>
                <w:bCs/>
                <w:lang w:val="en-GB"/>
              </w:rPr>
            </w:pPr>
          </w:p>
        </w:tc>
        <w:tc>
          <w:tcPr>
            <w:tcW w:w="3192" w:type="dxa"/>
            <w:shd w:val="clear" w:color="auto" w:fill="auto"/>
            <w:vAlign w:val="center"/>
          </w:tcPr>
          <w:p w14:paraId="0CE54623" w14:textId="77777777" w:rsidR="00843768" w:rsidRPr="006645DC" w:rsidRDefault="00843768" w:rsidP="00393EB7">
            <w:pPr>
              <w:keepNext/>
              <w:keepLines/>
              <w:spacing w:before="0" w:after="0"/>
              <w:jc w:val="left"/>
              <w:outlineLvl w:val="1"/>
              <w:rPr>
                <w:rFonts w:cs="Calibri"/>
                <w:lang w:val="en-GB"/>
              </w:rPr>
            </w:pPr>
            <w:bookmarkStart w:id="2228" w:name="_Toc376200306"/>
            <w:r w:rsidRPr="006645DC">
              <w:rPr>
                <w:rFonts w:cs="Calibri"/>
                <w:lang w:val="en-GB"/>
              </w:rPr>
              <w:t>Veliko Tarnovo Oblast</w:t>
            </w:r>
            <w:bookmarkEnd w:id="2228"/>
          </w:p>
        </w:tc>
        <w:tc>
          <w:tcPr>
            <w:tcW w:w="3192" w:type="dxa"/>
            <w:shd w:val="clear" w:color="auto" w:fill="auto"/>
            <w:vAlign w:val="center"/>
          </w:tcPr>
          <w:p w14:paraId="52C05AA5" w14:textId="77777777" w:rsidR="00843768" w:rsidRPr="006645DC" w:rsidRDefault="00843768" w:rsidP="00393EB7">
            <w:pPr>
              <w:keepNext/>
              <w:keepLines/>
              <w:spacing w:before="0" w:after="0"/>
              <w:jc w:val="left"/>
              <w:outlineLvl w:val="1"/>
              <w:rPr>
                <w:rFonts w:cs="Calibri"/>
                <w:lang w:val="en-GB"/>
              </w:rPr>
            </w:pPr>
            <w:bookmarkStart w:id="2229" w:name="_Toc376200307"/>
            <w:r w:rsidRPr="006645DC">
              <w:rPr>
                <w:rFonts w:cs="Calibri"/>
                <w:lang w:val="en-GB"/>
              </w:rPr>
              <w:t>10 obshtini</w:t>
            </w:r>
            <w:bookmarkEnd w:id="2229"/>
          </w:p>
        </w:tc>
      </w:tr>
      <w:tr w:rsidR="00843768" w:rsidRPr="006645DC" w14:paraId="24D7A74B" w14:textId="77777777" w:rsidTr="00393EB7">
        <w:trPr>
          <w:jc w:val="center"/>
        </w:trPr>
        <w:tc>
          <w:tcPr>
            <w:tcW w:w="3192" w:type="dxa"/>
            <w:vMerge w:val="restart"/>
            <w:shd w:val="clear" w:color="auto" w:fill="auto"/>
            <w:vAlign w:val="center"/>
          </w:tcPr>
          <w:p w14:paraId="2F18A470" w14:textId="77777777" w:rsidR="00843768" w:rsidRPr="006645DC" w:rsidRDefault="00843768" w:rsidP="00393EB7">
            <w:pPr>
              <w:keepNext/>
              <w:keepLines/>
              <w:spacing w:before="0" w:after="0"/>
              <w:jc w:val="left"/>
              <w:outlineLvl w:val="1"/>
              <w:rPr>
                <w:rFonts w:eastAsia="Times New Roman" w:cs="Calibri"/>
                <w:b/>
                <w:bCs/>
                <w:lang w:val="en-GB"/>
              </w:rPr>
            </w:pPr>
            <w:bookmarkStart w:id="2230" w:name="_Toc376200308"/>
            <w:r w:rsidRPr="006645DC">
              <w:rPr>
                <w:rFonts w:eastAsia="Times New Roman" w:cs="Calibri"/>
                <w:b/>
                <w:bCs/>
                <w:lang w:val="en-GB"/>
              </w:rPr>
              <w:t>Severozapaden  (North-West)</w:t>
            </w:r>
            <w:bookmarkEnd w:id="2230"/>
          </w:p>
        </w:tc>
        <w:tc>
          <w:tcPr>
            <w:tcW w:w="3192" w:type="dxa"/>
            <w:shd w:val="clear" w:color="auto" w:fill="auto"/>
            <w:vAlign w:val="center"/>
          </w:tcPr>
          <w:p w14:paraId="5F69358D" w14:textId="77777777" w:rsidR="00843768" w:rsidRPr="006645DC" w:rsidRDefault="00843768" w:rsidP="00393EB7">
            <w:pPr>
              <w:keepNext/>
              <w:keepLines/>
              <w:spacing w:before="0" w:after="0"/>
              <w:jc w:val="left"/>
              <w:outlineLvl w:val="1"/>
              <w:rPr>
                <w:rFonts w:cs="Calibri"/>
                <w:lang w:val="en-GB"/>
              </w:rPr>
            </w:pPr>
            <w:bookmarkStart w:id="2231" w:name="_Toc376200309"/>
            <w:r w:rsidRPr="006645DC">
              <w:rPr>
                <w:rFonts w:cs="Calibri"/>
                <w:lang w:val="en-GB"/>
              </w:rPr>
              <w:t>Oblast Pleven</w:t>
            </w:r>
            <w:bookmarkEnd w:id="2231"/>
          </w:p>
        </w:tc>
        <w:tc>
          <w:tcPr>
            <w:tcW w:w="3192" w:type="dxa"/>
            <w:shd w:val="clear" w:color="auto" w:fill="auto"/>
            <w:vAlign w:val="center"/>
          </w:tcPr>
          <w:p w14:paraId="62384C65" w14:textId="77777777" w:rsidR="00843768" w:rsidRPr="006645DC" w:rsidRDefault="00843768" w:rsidP="00393EB7">
            <w:pPr>
              <w:keepNext/>
              <w:keepLines/>
              <w:spacing w:before="0" w:after="0"/>
              <w:jc w:val="left"/>
              <w:outlineLvl w:val="1"/>
              <w:rPr>
                <w:rFonts w:cs="Calibri"/>
                <w:lang w:val="en-GB"/>
              </w:rPr>
            </w:pPr>
            <w:bookmarkStart w:id="2232" w:name="_Toc376200310"/>
            <w:r w:rsidRPr="006645DC">
              <w:rPr>
                <w:rFonts w:cs="Calibri"/>
                <w:lang w:val="en-GB"/>
              </w:rPr>
              <w:t>11 obshtini</w:t>
            </w:r>
            <w:bookmarkEnd w:id="2232"/>
          </w:p>
        </w:tc>
      </w:tr>
      <w:tr w:rsidR="00843768" w:rsidRPr="006645DC" w14:paraId="217C57CF" w14:textId="77777777" w:rsidTr="00393EB7">
        <w:trPr>
          <w:jc w:val="center"/>
        </w:trPr>
        <w:tc>
          <w:tcPr>
            <w:tcW w:w="3192" w:type="dxa"/>
            <w:vMerge/>
            <w:shd w:val="clear" w:color="auto" w:fill="auto"/>
            <w:vAlign w:val="center"/>
          </w:tcPr>
          <w:p w14:paraId="0039B19B" w14:textId="77777777" w:rsidR="00843768" w:rsidRPr="006645DC" w:rsidRDefault="00843768" w:rsidP="00393EB7">
            <w:pPr>
              <w:spacing w:before="0" w:after="0"/>
              <w:jc w:val="left"/>
              <w:rPr>
                <w:rFonts w:eastAsia="Times New Roman" w:cs="Calibri"/>
                <w:b/>
                <w:bCs/>
                <w:lang w:val="en-GB"/>
              </w:rPr>
            </w:pPr>
          </w:p>
        </w:tc>
        <w:tc>
          <w:tcPr>
            <w:tcW w:w="3192" w:type="dxa"/>
            <w:shd w:val="clear" w:color="auto" w:fill="auto"/>
            <w:vAlign w:val="center"/>
          </w:tcPr>
          <w:p w14:paraId="405F341E" w14:textId="77777777" w:rsidR="00843768" w:rsidRPr="006645DC" w:rsidRDefault="00843768" w:rsidP="00393EB7">
            <w:pPr>
              <w:keepNext/>
              <w:keepLines/>
              <w:spacing w:before="0" w:after="0"/>
              <w:jc w:val="left"/>
              <w:outlineLvl w:val="1"/>
              <w:rPr>
                <w:rFonts w:cs="Calibri"/>
                <w:lang w:val="en-GB"/>
              </w:rPr>
            </w:pPr>
            <w:bookmarkStart w:id="2233" w:name="_Toc376200311"/>
            <w:r w:rsidRPr="006645DC">
              <w:rPr>
                <w:rFonts w:cs="Calibri"/>
                <w:lang w:val="en-GB"/>
              </w:rPr>
              <w:t>Oblast Vratsa</w:t>
            </w:r>
            <w:bookmarkEnd w:id="2233"/>
          </w:p>
        </w:tc>
        <w:tc>
          <w:tcPr>
            <w:tcW w:w="3192" w:type="dxa"/>
            <w:shd w:val="clear" w:color="auto" w:fill="auto"/>
            <w:vAlign w:val="center"/>
          </w:tcPr>
          <w:p w14:paraId="1F5F2E35" w14:textId="77777777" w:rsidR="00843768" w:rsidRPr="006645DC" w:rsidRDefault="00843768" w:rsidP="00393EB7">
            <w:pPr>
              <w:keepNext/>
              <w:keepLines/>
              <w:spacing w:before="0" w:after="0"/>
              <w:jc w:val="left"/>
              <w:outlineLvl w:val="1"/>
              <w:rPr>
                <w:rFonts w:cs="Calibri"/>
                <w:lang w:val="en-GB"/>
              </w:rPr>
            </w:pPr>
            <w:bookmarkStart w:id="2234" w:name="_Toc376200312"/>
            <w:r w:rsidRPr="006645DC">
              <w:rPr>
                <w:rFonts w:cs="Calibri"/>
                <w:lang w:val="en-GB"/>
              </w:rPr>
              <w:t>10 obshtini</w:t>
            </w:r>
            <w:bookmarkEnd w:id="2234"/>
          </w:p>
        </w:tc>
      </w:tr>
      <w:tr w:rsidR="00843768" w:rsidRPr="006645DC" w14:paraId="39BACF0D" w14:textId="77777777" w:rsidTr="00393EB7">
        <w:trPr>
          <w:jc w:val="center"/>
        </w:trPr>
        <w:tc>
          <w:tcPr>
            <w:tcW w:w="3192" w:type="dxa"/>
            <w:vMerge/>
            <w:shd w:val="clear" w:color="auto" w:fill="auto"/>
            <w:vAlign w:val="center"/>
          </w:tcPr>
          <w:p w14:paraId="3A416EA6" w14:textId="77777777" w:rsidR="00843768" w:rsidRPr="006645DC" w:rsidRDefault="00843768" w:rsidP="00393EB7">
            <w:pPr>
              <w:spacing w:before="0" w:after="0"/>
              <w:jc w:val="left"/>
              <w:rPr>
                <w:rFonts w:eastAsia="Times New Roman" w:cs="Calibri"/>
                <w:b/>
                <w:bCs/>
                <w:lang w:val="en-GB"/>
              </w:rPr>
            </w:pPr>
          </w:p>
        </w:tc>
        <w:tc>
          <w:tcPr>
            <w:tcW w:w="3192" w:type="dxa"/>
            <w:shd w:val="clear" w:color="auto" w:fill="auto"/>
            <w:vAlign w:val="center"/>
          </w:tcPr>
          <w:p w14:paraId="7B3EB6F5" w14:textId="77777777" w:rsidR="00843768" w:rsidRPr="006645DC" w:rsidRDefault="00843768" w:rsidP="00393EB7">
            <w:pPr>
              <w:keepNext/>
              <w:keepLines/>
              <w:spacing w:before="0" w:after="0"/>
              <w:jc w:val="left"/>
              <w:outlineLvl w:val="1"/>
              <w:rPr>
                <w:rFonts w:cs="Calibri"/>
                <w:lang w:val="en-GB"/>
              </w:rPr>
            </w:pPr>
            <w:bookmarkStart w:id="2235" w:name="_Toc376200313"/>
            <w:r w:rsidRPr="006645DC">
              <w:rPr>
                <w:rFonts w:cs="Calibri"/>
                <w:lang w:val="en-GB"/>
              </w:rPr>
              <w:t>Oblast Montana</w:t>
            </w:r>
            <w:bookmarkEnd w:id="2235"/>
          </w:p>
        </w:tc>
        <w:tc>
          <w:tcPr>
            <w:tcW w:w="3192" w:type="dxa"/>
            <w:shd w:val="clear" w:color="auto" w:fill="auto"/>
            <w:vAlign w:val="center"/>
          </w:tcPr>
          <w:p w14:paraId="2FFDE159" w14:textId="77777777" w:rsidR="00843768" w:rsidRPr="006645DC" w:rsidRDefault="00843768" w:rsidP="00393EB7">
            <w:pPr>
              <w:keepNext/>
              <w:keepLines/>
              <w:spacing w:before="0" w:after="0"/>
              <w:jc w:val="left"/>
              <w:outlineLvl w:val="1"/>
              <w:rPr>
                <w:rFonts w:cs="Calibri"/>
                <w:lang w:val="en-GB"/>
              </w:rPr>
            </w:pPr>
            <w:bookmarkStart w:id="2236" w:name="_Toc376200314"/>
            <w:r w:rsidRPr="006645DC">
              <w:rPr>
                <w:rFonts w:cs="Calibri"/>
                <w:lang w:val="en-GB"/>
              </w:rPr>
              <w:t>11 obshtini</w:t>
            </w:r>
            <w:bookmarkEnd w:id="2236"/>
          </w:p>
        </w:tc>
      </w:tr>
      <w:tr w:rsidR="00843768" w:rsidRPr="006645DC" w14:paraId="6A4A7148" w14:textId="77777777" w:rsidTr="00393EB7">
        <w:trPr>
          <w:jc w:val="center"/>
        </w:trPr>
        <w:tc>
          <w:tcPr>
            <w:tcW w:w="3192" w:type="dxa"/>
            <w:vMerge/>
            <w:shd w:val="clear" w:color="auto" w:fill="auto"/>
            <w:vAlign w:val="center"/>
          </w:tcPr>
          <w:p w14:paraId="4EA5F6A5" w14:textId="77777777" w:rsidR="00843768" w:rsidRPr="006645DC" w:rsidRDefault="00843768" w:rsidP="00393EB7">
            <w:pPr>
              <w:spacing w:before="0" w:after="0"/>
              <w:jc w:val="left"/>
              <w:rPr>
                <w:rFonts w:eastAsia="Times New Roman" w:cs="Calibri"/>
                <w:b/>
                <w:bCs/>
                <w:lang w:val="en-GB"/>
              </w:rPr>
            </w:pPr>
          </w:p>
        </w:tc>
        <w:tc>
          <w:tcPr>
            <w:tcW w:w="3192" w:type="dxa"/>
            <w:shd w:val="clear" w:color="auto" w:fill="auto"/>
            <w:vAlign w:val="center"/>
          </w:tcPr>
          <w:p w14:paraId="4FF3F860" w14:textId="77777777" w:rsidR="00843768" w:rsidRPr="006645DC" w:rsidRDefault="00843768" w:rsidP="00393EB7">
            <w:pPr>
              <w:keepNext/>
              <w:keepLines/>
              <w:spacing w:before="0" w:after="0"/>
              <w:jc w:val="left"/>
              <w:outlineLvl w:val="1"/>
              <w:rPr>
                <w:rFonts w:cs="Calibri"/>
                <w:lang w:val="en-GB"/>
              </w:rPr>
            </w:pPr>
            <w:bookmarkStart w:id="2237" w:name="_Toc376200315"/>
            <w:r w:rsidRPr="006645DC">
              <w:rPr>
                <w:rFonts w:cs="Calibri"/>
                <w:lang w:val="en-GB"/>
              </w:rPr>
              <w:t>Oblast Vidin</w:t>
            </w:r>
            <w:bookmarkEnd w:id="2237"/>
          </w:p>
        </w:tc>
        <w:tc>
          <w:tcPr>
            <w:tcW w:w="3192" w:type="dxa"/>
            <w:shd w:val="clear" w:color="auto" w:fill="auto"/>
            <w:vAlign w:val="center"/>
          </w:tcPr>
          <w:p w14:paraId="5D8C4BF2" w14:textId="77777777" w:rsidR="00843768" w:rsidRPr="006645DC" w:rsidRDefault="00843768" w:rsidP="00393EB7">
            <w:pPr>
              <w:keepNext/>
              <w:keepLines/>
              <w:spacing w:before="0" w:after="0"/>
              <w:jc w:val="left"/>
              <w:outlineLvl w:val="1"/>
              <w:rPr>
                <w:rFonts w:cs="Calibri"/>
                <w:lang w:val="en-GB"/>
              </w:rPr>
            </w:pPr>
            <w:bookmarkStart w:id="2238" w:name="_Toc376200316"/>
            <w:r w:rsidRPr="006645DC">
              <w:rPr>
                <w:rFonts w:cs="Calibri"/>
                <w:lang w:val="en-GB"/>
              </w:rPr>
              <w:t>11 obshtini</w:t>
            </w:r>
            <w:bookmarkEnd w:id="2238"/>
          </w:p>
        </w:tc>
      </w:tr>
      <w:tr w:rsidR="00843768" w:rsidRPr="006645DC" w14:paraId="7B22325E" w14:textId="77777777" w:rsidTr="00393EB7">
        <w:trPr>
          <w:jc w:val="center"/>
        </w:trPr>
        <w:tc>
          <w:tcPr>
            <w:tcW w:w="3192" w:type="dxa"/>
            <w:shd w:val="clear" w:color="auto" w:fill="auto"/>
            <w:vAlign w:val="center"/>
          </w:tcPr>
          <w:p w14:paraId="44E8C65A" w14:textId="77777777" w:rsidR="00843768" w:rsidRPr="006645DC" w:rsidRDefault="00843768" w:rsidP="00393EB7">
            <w:pPr>
              <w:keepNext/>
              <w:keepLines/>
              <w:spacing w:before="0" w:after="0"/>
              <w:jc w:val="left"/>
              <w:outlineLvl w:val="1"/>
              <w:rPr>
                <w:rFonts w:eastAsia="Times New Roman" w:cs="Calibri"/>
                <w:b/>
                <w:bCs/>
                <w:lang w:val="en-GB"/>
              </w:rPr>
            </w:pPr>
            <w:bookmarkStart w:id="2239" w:name="_Toc376200317"/>
            <w:r w:rsidRPr="006645DC">
              <w:rPr>
                <w:rFonts w:eastAsia="Times New Roman" w:cs="Calibri"/>
                <w:b/>
                <w:bCs/>
                <w:lang w:val="en-GB"/>
              </w:rPr>
              <w:t>Severoiztochen (North East)</w:t>
            </w:r>
            <w:bookmarkEnd w:id="2239"/>
          </w:p>
        </w:tc>
        <w:tc>
          <w:tcPr>
            <w:tcW w:w="3192" w:type="dxa"/>
            <w:shd w:val="clear" w:color="auto" w:fill="auto"/>
            <w:vAlign w:val="center"/>
          </w:tcPr>
          <w:p w14:paraId="310E3374" w14:textId="77777777" w:rsidR="00843768" w:rsidRPr="006645DC" w:rsidRDefault="00843768" w:rsidP="00393EB7">
            <w:pPr>
              <w:keepNext/>
              <w:keepLines/>
              <w:spacing w:before="0" w:after="0"/>
              <w:jc w:val="left"/>
              <w:outlineLvl w:val="1"/>
              <w:rPr>
                <w:rFonts w:cs="Calibri"/>
                <w:lang w:val="en-GB"/>
              </w:rPr>
            </w:pPr>
            <w:bookmarkStart w:id="2240" w:name="_Toc376200318"/>
            <w:r w:rsidRPr="006645DC">
              <w:rPr>
                <w:rFonts w:cs="Calibri"/>
                <w:lang w:val="en-GB"/>
              </w:rPr>
              <w:t>Dobrich Oblast</w:t>
            </w:r>
            <w:bookmarkEnd w:id="2240"/>
          </w:p>
        </w:tc>
        <w:tc>
          <w:tcPr>
            <w:tcW w:w="3192" w:type="dxa"/>
            <w:shd w:val="clear" w:color="auto" w:fill="auto"/>
            <w:vAlign w:val="center"/>
          </w:tcPr>
          <w:p w14:paraId="08D8AAEE" w14:textId="77777777" w:rsidR="00843768" w:rsidRPr="006645DC" w:rsidRDefault="00843768" w:rsidP="00393EB7">
            <w:pPr>
              <w:keepNext/>
              <w:keepLines/>
              <w:spacing w:before="0" w:after="0"/>
              <w:jc w:val="left"/>
              <w:outlineLvl w:val="1"/>
              <w:rPr>
                <w:rFonts w:cs="Calibri"/>
                <w:lang w:val="en-GB"/>
              </w:rPr>
            </w:pPr>
            <w:bookmarkStart w:id="2241" w:name="_Toc376200319"/>
            <w:r w:rsidRPr="006645DC">
              <w:rPr>
                <w:rFonts w:cs="Calibri"/>
                <w:lang w:val="en-GB"/>
              </w:rPr>
              <w:t>8 obshtini</w:t>
            </w:r>
            <w:bookmarkEnd w:id="2241"/>
          </w:p>
        </w:tc>
      </w:tr>
    </w:tbl>
    <w:p w14:paraId="69F32C0B" w14:textId="77777777" w:rsidR="00E302EF" w:rsidRPr="006645DC" w:rsidRDefault="00E302EF" w:rsidP="00E302EF">
      <w:pPr>
        <w:pStyle w:val="Caption"/>
        <w:rPr>
          <w:lang w:val="en-GB"/>
        </w:rPr>
      </w:pPr>
      <w:bookmarkStart w:id="2242" w:name="_Toc391150155"/>
      <w:r w:rsidRPr="006645DC">
        <w:rPr>
          <w:lang w:val="en-GB"/>
        </w:rPr>
        <w:t xml:space="preserve">Table </w:t>
      </w:r>
      <w:r w:rsidR="005979EB" w:rsidRPr="006645DC">
        <w:rPr>
          <w:lang w:val="en-GB"/>
        </w:rPr>
        <w:fldChar w:fldCharType="begin"/>
      </w:r>
      <w:r w:rsidRPr="006645DC">
        <w:rPr>
          <w:lang w:val="en-GB"/>
        </w:rPr>
        <w:instrText xml:space="preserve"> SEQ Table \* ARABIC </w:instrText>
      </w:r>
      <w:r w:rsidR="005979EB" w:rsidRPr="006645DC">
        <w:rPr>
          <w:lang w:val="en-GB"/>
        </w:rPr>
        <w:fldChar w:fldCharType="separate"/>
      </w:r>
      <w:r w:rsidR="00523DE6">
        <w:rPr>
          <w:noProof/>
          <w:lang w:val="en-GB"/>
        </w:rPr>
        <w:t>58</w:t>
      </w:r>
      <w:r w:rsidR="005979EB" w:rsidRPr="006645DC">
        <w:rPr>
          <w:lang w:val="en-GB"/>
        </w:rPr>
        <w:fldChar w:fldCharType="end"/>
      </w:r>
      <w:r w:rsidRPr="006645DC">
        <w:rPr>
          <w:lang w:val="en-GB"/>
        </w:rPr>
        <w:t xml:space="preserve"> - The administrative units that forms the BG cross-border area</w:t>
      </w:r>
      <w:bookmarkEnd w:id="2242"/>
    </w:p>
    <w:p w14:paraId="30ED916A" w14:textId="77777777" w:rsidR="00E302EF" w:rsidRPr="006645DC" w:rsidRDefault="00E302EF" w:rsidP="00E302EF">
      <w:pPr>
        <w:pStyle w:val="Heading4"/>
        <w:rPr>
          <w:lang w:val="en-GB"/>
        </w:rPr>
      </w:pPr>
      <w:r w:rsidRPr="006645DC">
        <w:rPr>
          <w:lang w:val="en-GB"/>
        </w:rPr>
        <w:t>Source: Détente Consultants</w:t>
      </w:r>
    </w:p>
    <w:p w14:paraId="24F06D2C" w14:textId="77777777" w:rsidR="00843768" w:rsidRPr="006645DC" w:rsidRDefault="00843768" w:rsidP="00843768">
      <w:pPr>
        <w:rPr>
          <w:lang w:val="en-GB"/>
        </w:rPr>
      </w:pPr>
    </w:p>
    <w:p w14:paraId="3698E669" w14:textId="77777777" w:rsidR="00843768" w:rsidRPr="006645DC" w:rsidRDefault="00843768" w:rsidP="00843768">
      <w:pPr>
        <w:rPr>
          <w:lang w:val="en-GB"/>
        </w:rPr>
      </w:pPr>
    </w:p>
    <w:p w14:paraId="22CC112E" w14:textId="77777777" w:rsidR="00843768" w:rsidRPr="006645DC" w:rsidRDefault="00843768" w:rsidP="00843768">
      <w:pPr>
        <w:rPr>
          <w:lang w:val="en-GB"/>
        </w:rPr>
      </w:pPr>
    </w:p>
    <w:p w14:paraId="09BBCCAF" w14:textId="77777777" w:rsidR="00843768" w:rsidRPr="006645DC" w:rsidRDefault="00843768" w:rsidP="00843768">
      <w:pPr>
        <w:rPr>
          <w:lang w:val="en-GB"/>
        </w:rPr>
      </w:pPr>
    </w:p>
    <w:p w14:paraId="04A8072E" w14:textId="77777777" w:rsidR="00843768" w:rsidRPr="006645DC" w:rsidRDefault="00843768" w:rsidP="00843768">
      <w:pPr>
        <w:rPr>
          <w:lang w:val="en-GB"/>
        </w:rPr>
      </w:pPr>
    </w:p>
    <w:p w14:paraId="3D282CA1" w14:textId="77777777" w:rsidR="00843768" w:rsidRPr="006645DC" w:rsidRDefault="00843768" w:rsidP="00843768">
      <w:pPr>
        <w:rPr>
          <w:lang w:val="en-GB"/>
        </w:rPr>
      </w:pPr>
    </w:p>
    <w:p w14:paraId="4944E9D0" w14:textId="77777777" w:rsidR="00843768" w:rsidRPr="006645DC" w:rsidRDefault="00843768" w:rsidP="00843768">
      <w:pPr>
        <w:rPr>
          <w:lang w:val="en-GB"/>
        </w:rPr>
      </w:pPr>
    </w:p>
    <w:p w14:paraId="73CABBC8" w14:textId="77777777" w:rsidR="00843768" w:rsidRPr="006645DC" w:rsidRDefault="00843768" w:rsidP="00843768">
      <w:pPr>
        <w:rPr>
          <w:lang w:val="en-GB"/>
        </w:rPr>
      </w:pPr>
    </w:p>
    <w:p w14:paraId="4392E516" w14:textId="77777777" w:rsidR="00843768" w:rsidRPr="006645DC" w:rsidRDefault="00843768" w:rsidP="00843768">
      <w:pPr>
        <w:rPr>
          <w:lang w:val="en-GB"/>
        </w:rPr>
      </w:pPr>
    </w:p>
    <w:p w14:paraId="756B5987" w14:textId="77777777" w:rsidR="00843768" w:rsidRPr="006645DC" w:rsidRDefault="00843768" w:rsidP="00843768">
      <w:pPr>
        <w:rPr>
          <w:lang w:val="en-GB"/>
        </w:rPr>
      </w:pPr>
    </w:p>
    <w:p w14:paraId="32567665" w14:textId="77777777" w:rsidR="00843768" w:rsidRPr="006645DC" w:rsidRDefault="00843768" w:rsidP="00843768">
      <w:pPr>
        <w:rPr>
          <w:lang w:val="en-GB"/>
        </w:rPr>
      </w:pPr>
    </w:p>
    <w:p w14:paraId="3A08DF54" w14:textId="77777777" w:rsidR="00843768" w:rsidRPr="006645DC" w:rsidRDefault="00843768" w:rsidP="00843768">
      <w:pPr>
        <w:pStyle w:val="Caption"/>
        <w:rPr>
          <w:lang w:val="en-GB"/>
        </w:rPr>
      </w:pPr>
      <w:bookmarkStart w:id="2243" w:name="_Toc391150044"/>
      <w:r w:rsidRPr="006645DC">
        <w:rPr>
          <w:lang w:val="en-GB"/>
        </w:rPr>
        <w:lastRenderedPageBreak/>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40</w:t>
      </w:r>
      <w:r w:rsidR="005979EB" w:rsidRPr="006645DC">
        <w:rPr>
          <w:lang w:val="en-GB"/>
        </w:rPr>
        <w:fldChar w:fldCharType="end"/>
      </w:r>
      <w:r w:rsidRPr="006645DC">
        <w:rPr>
          <w:lang w:val="en-GB"/>
        </w:rPr>
        <w:t xml:space="preserve"> - NUTS 3 and NUTS 2 – an issue for planning and management</w:t>
      </w:r>
      <w:bookmarkEnd w:id="2243"/>
    </w:p>
    <w:p w14:paraId="016C5CCE" w14:textId="77777777" w:rsidR="00843768" w:rsidRPr="006645DC" w:rsidRDefault="00AA4C82" w:rsidP="00843768">
      <w:pPr>
        <w:jc w:val="center"/>
        <w:rPr>
          <w:lang w:val="en-GB"/>
        </w:rPr>
      </w:pPr>
      <w:r w:rsidRPr="006645DC">
        <w:rPr>
          <w:noProof/>
          <w:lang w:val="bg-BG" w:eastAsia="bg-BG"/>
        </w:rPr>
        <w:drawing>
          <wp:inline distT="0" distB="0" distL="0" distR="0" wp14:anchorId="51DABC22" wp14:editId="4F704CCD">
            <wp:extent cx="5086350" cy="3524250"/>
            <wp:effectExtent l="19050" t="0" r="0" b="0"/>
            <wp:docPr id="99" name="Picture 11" descr="Description: http://upload.wikimedia.org/wikipedia/commons/e/e7/NUTS_BG_Level_1_and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cription: http://upload.wikimedia.org/wikipedia/commons/e/e7/NUTS_BG_Level_1_and_2.png"/>
                    <pic:cNvPicPr>
                      <a:picLocks noChangeAspect="1" noChangeArrowheads="1"/>
                    </pic:cNvPicPr>
                  </pic:nvPicPr>
                  <pic:blipFill>
                    <a:blip r:embed="rId140"/>
                    <a:srcRect/>
                    <a:stretch>
                      <a:fillRect/>
                    </a:stretch>
                  </pic:blipFill>
                  <pic:spPr bwMode="auto">
                    <a:xfrm>
                      <a:off x="0" y="0"/>
                      <a:ext cx="5086350" cy="3524250"/>
                    </a:xfrm>
                    <a:prstGeom prst="rect">
                      <a:avLst/>
                    </a:prstGeom>
                    <a:noFill/>
                    <a:ln w="9525">
                      <a:noFill/>
                      <a:miter lim="800000"/>
                      <a:headEnd/>
                      <a:tailEnd/>
                    </a:ln>
                  </pic:spPr>
                </pic:pic>
              </a:graphicData>
            </a:graphic>
          </wp:inline>
        </w:drawing>
      </w:r>
    </w:p>
    <w:p w14:paraId="353102A9" w14:textId="77777777" w:rsidR="00843768" w:rsidRPr="006645DC" w:rsidRDefault="00AA4C82" w:rsidP="00843768">
      <w:pPr>
        <w:jc w:val="center"/>
        <w:rPr>
          <w:lang w:val="en-GB"/>
        </w:rPr>
      </w:pPr>
      <w:r w:rsidRPr="006645DC">
        <w:rPr>
          <w:noProof/>
          <w:lang w:val="bg-BG" w:eastAsia="bg-BG"/>
        </w:rPr>
        <w:drawing>
          <wp:inline distT="0" distB="0" distL="0" distR="0" wp14:anchorId="223F3642" wp14:editId="6E113706">
            <wp:extent cx="3057525" cy="2352675"/>
            <wp:effectExtent l="19050" t="0" r="9525" b="0"/>
            <wp:docPr id="10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1"/>
                    <a:srcRect/>
                    <a:stretch>
                      <a:fillRect/>
                    </a:stretch>
                  </pic:blipFill>
                  <pic:spPr bwMode="auto">
                    <a:xfrm>
                      <a:off x="0" y="0"/>
                      <a:ext cx="3057525" cy="2352675"/>
                    </a:xfrm>
                    <a:prstGeom prst="rect">
                      <a:avLst/>
                    </a:prstGeom>
                    <a:noFill/>
                    <a:ln w="9525">
                      <a:noFill/>
                      <a:miter lim="800000"/>
                      <a:headEnd/>
                      <a:tailEnd/>
                    </a:ln>
                  </pic:spPr>
                </pic:pic>
              </a:graphicData>
            </a:graphic>
          </wp:inline>
        </w:drawing>
      </w:r>
    </w:p>
    <w:p w14:paraId="343FCD3C" w14:textId="77777777" w:rsidR="00843768" w:rsidRPr="006645DC" w:rsidRDefault="00843768" w:rsidP="00843768">
      <w:pPr>
        <w:pStyle w:val="Heading4"/>
        <w:rPr>
          <w:lang w:val="en-GB"/>
        </w:rPr>
      </w:pPr>
      <w:r w:rsidRPr="006645DC">
        <w:rPr>
          <w:lang w:val="en-GB"/>
        </w:rPr>
        <w:t>Source: Wikipedia</w:t>
      </w:r>
    </w:p>
    <w:p w14:paraId="0EB152DA" w14:textId="77777777" w:rsidR="00843768" w:rsidRPr="006645DC" w:rsidRDefault="00843768" w:rsidP="00843768">
      <w:pPr>
        <w:rPr>
          <w:lang w:val="en-GB"/>
        </w:rPr>
      </w:pPr>
    </w:p>
    <w:p w14:paraId="43C41B12" w14:textId="77777777" w:rsidR="00843768" w:rsidRPr="006645DC" w:rsidRDefault="00843768" w:rsidP="00843768">
      <w:pPr>
        <w:rPr>
          <w:lang w:val="en-GB"/>
        </w:rPr>
      </w:pPr>
      <w:r w:rsidRPr="006645DC">
        <w:rPr>
          <w:lang w:val="en-GB"/>
        </w:rPr>
        <w:t xml:space="preserve">The images above present the NUTS 3 level administrative units (with legal personality under Public Law) of Bulgaria and Romania as constitutive parts of the NUTS 2 level units (associations under Private </w:t>
      </w:r>
      <w:r w:rsidRPr="006645DC">
        <w:rPr>
          <w:lang w:val="en-GB"/>
        </w:rPr>
        <w:lastRenderedPageBreak/>
        <w:t xml:space="preserve">Law in Romania with no administrative real power). The NUTS 2 regions are the main focus of European Regional Policy, representing the beneficiary territorial units for the implementation of Cohesion and Convergence Policies of each country, with the funds allocated under these goals being managed by Intermediary bodies established at each region’s level (the Agencies for Regional Development in Romania (ADR), the Regional Departments in Bulgaria). The decentralization process and debate is centred in each country around the NUTS 2 units, even though they have no administrative powers. This introduces a wide gap between the real administrative capacity and its associated cooperation mechanisms (that are centred on the NUTS 3 level) and the EU policies objectives and Operational Programs (that are based on the NUTS 2 level). Applied to the RO-BG cross-border area, this situation entails even bigger difficulties. The eligible area of the 2007-2014 RO-BG Operational Program as well as that of the 2014-2020 RO-BG OP is made up, both in Bulgaria and Romania, from NUTS 3 units while the programming units for the Regional Development OPs in both countries are the NUTS 2 units. </w:t>
      </w:r>
      <w:r w:rsidR="009E6218" w:rsidRPr="006645DC">
        <w:rPr>
          <w:lang w:val="en-GB"/>
        </w:rPr>
        <w:t xml:space="preserve">Additionally, statistical information, especially in Bulgaria, is increasingly focusing on NUTS 2 units. </w:t>
      </w:r>
      <w:r w:rsidRPr="006645DC">
        <w:rPr>
          <w:lang w:val="en-GB"/>
        </w:rPr>
        <w:t xml:space="preserve">The differences between these levels (in the case of Romania there are major differences as for example NUTS 2 South Region includes 7 NUTS 3 units, out of which only 3 are part of the cross-border area) make irrelevant the use of statistics and indicators (on all the fields, from demography to the economy and the environment) for the cross-border OP planning, management and control.  Even though the BG NUTS 2 units are closer to the cross-border area dimension, they also include districts like Razgrad and Shumen, Targovishte, Lovech that are not included in the area and can falsify the conclusions. </w:t>
      </w:r>
    </w:p>
    <w:p w14:paraId="554F67A1" w14:textId="77777777" w:rsidR="00843768" w:rsidRPr="006645DC" w:rsidRDefault="00843768" w:rsidP="00843768">
      <w:pPr>
        <w:pStyle w:val="Heading2"/>
        <w:rPr>
          <w:lang w:val="en-GB"/>
        </w:rPr>
      </w:pPr>
      <w:bookmarkStart w:id="2244" w:name="_Toc373340871"/>
      <w:bookmarkStart w:id="2245" w:name="_Toc376200320"/>
      <w:bookmarkStart w:id="2246" w:name="_Toc254543853"/>
      <w:bookmarkStart w:id="2247" w:name="_Toc391150218"/>
      <w:r w:rsidRPr="006645DC">
        <w:rPr>
          <w:lang w:val="en-GB"/>
        </w:rPr>
        <w:t>Decentralization and cooperation</w:t>
      </w:r>
      <w:bookmarkEnd w:id="2244"/>
      <w:bookmarkEnd w:id="2245"/>
      <w:bookmarkEnd w:id="2246"/>
      <w:bookmarkEnd w:id="2247"/>
    </w:p>
    <w:p w14:paraId="624764CD" w14:textId="77777777" w:rsidR="00843768" w:rsidRPr="006645DC" w:rsidRDefault="00843768" w:rsidP="00843768">
      <w:pPr>
        <w:rPr>
          <w:lang w:val="en-GB"/>
        </w:rPr>
      </w:pPr>
      <w:r w:rsidRPr="006645DC">
        <w:rPr>
          <w:lang w:val="en-GB"/>
        </w:rPr>
        <w:t>The decentralization process, a public debate topic for several years now, is conducted in different manners in each country but is generally under a double conceptual influence:</w:t>
      </w:r>
    </w:p>
    <w:p w14:paraId="67F2FA17" w14:textId="77777777" w:rsidR="00843768" w:rsidRPr="006645DC" w:rsidRDefault="00843768" w:rsidP="00843768">
      <w:pPr>
        <w:pStyle w:val="ListParagraph"/>
        <w:ind w:left="867"/>
        <w:rPr>
          <w:lang w:val="en-GB"/>
        </w:rPr>
      </w:pPr>
      <w:r w:rsidRPr="006645DC">
        <w:rPr>
          <w:lang w:val="en-GB"/>
        </w:rPr>
        <w:t xml:space="preserve">The decentralization trend that was advocated during the transition from the highly centralized Communist State in the 90s </w:t>
      </w:r>
    </w:p>
    <w:p w14:paraId="6F713A97" w14:textId="77777777" w:rsidR="00843768" w:rsidRPr="006645DC" w:rsidRDefault="00843768" w:rsidP="00843768">
      <w:pPr>
        <w:pStyle w:val="ListParagraph"/>
        <w:ind w:left="867"/>
        <w:rPr>
          <w:lang w:val="en-GB"/>
        </w:rPr>
      </w:pPr>
      <w:r w:rsidRPr="006645DC">
        <w:rPr>
          <w:lang w:val="en-GB"/>
        </w:rPr>
        <w:t>The influence of the EU subsidiarity concept before and after the 2007 EU accession of both countries</w:t>
      </w:r>
    </w:p>
    <w:p w14:paraId="65E1A4D2" w14:textId="77777777" w:rsidR="00843768" w:rsidRPr="006645DC" w:rsidRDefault="00843768" w:rsidP="00843768">
      <w:pPr>
        <w:rPr>
          <w:lang w:val="en-GB"/>
        </w:rPr>
      </w:pPr>
      <w:r w:rsidRPr="006645DC">
        <w:rPr>
          <w:lang w:val="en-GB"/>
        </w:rPr>
        <w:t xml:space="preserve">Nevertheless, given their relative low fiscal autonomy and their heavy dependence on central government subsidies and financial redistribution at national level, both municipal/local and county/district administrative levels remain in a </w:t>
      </w:r>
      <w:r w:rsidRPr="006645DC">
        <w:rPr>
          <w:i/>
          <w:lang w:val="en-GB"/>
        </w:rPr>
        <w:t xml:space="preserve">de facto </w:t>
      </w:r>
      <w:r w:rsidRPr="006645DC">
        <w:rPr>
          <w:lang w:val="en-GB"/>
        </w:rPr>
        <w:t xml:space="preserve">subsidiary position towards the central government.   </w:t>
      </w:r>
    </w:p>
    <w:p w14:paraId="1C7CF0C5" w14:textId="77777777" w:rsidR="00843768" w:rsidRPr="006645DC" w:rsidRDefault="00843768" w:rsidP="00843768">
      <w:pPr>
        <w:rPr>
          <w:lang w:val="en-GB"/>
        </w:rPr>
      </w:pPr>
      <w:r w:rsidRPr="006645DC">
        <w:rPr>
          <w:lang w:val="en-GB"/>
        </w:rPr>
        <w:t xml:space="preserve">Thus, the vertical public administration cooperation is very hierarchical, while the horizontal cooperation (with other public or private stakeholders) is limited and very formal (dictated by law). The cooperation arrangements at territorial administrative level are nevertheless not entirely regulated by particular national constitutional forms and administrative law provisions but the national political and social traditions doesn’t incite private stakeholders’ participation in decision-making and bottom-up approach for public policy formulation. </w:t>
      </w:r>
    </w:p>
    <w:p w14:paraId="002D7F4D" w14:textId="77777777" w:rsidR="00843768" w:rsidRPr="006645DC" w:rsidRDefault="00AA4C82" w:rsidP="00843768">
      <w:pPr>
        <w:jc w:val="center"/>
        <w:rPr>
          <w:lang w:val="en-GB"/>
        </w:rPr>
      </w:pPr>
      <w:r w:rsidRPr="006645DC">
        <w:rPr>
          <w:noProof/>
          <w:lang w:val="bg-BG" w:eastAsia="bg-BG"/>
        </w:rPr>
        <w:lastRenderedPageBreak/>
        <w:drawing>
          <wp:inline distT="0" distB="0" distL="0" distR="0" wp14:anchorId="2578D219" wp14:editId="2720D8BC">
            <wp:extent cx="4495800" cy="2095500"/>
            <wp:effectExtent l="19050" t="19050" r="19050" b="19050"/>
            <wp:docPr id="10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2"/>
                    <a:srcRect/>
                    <a:stretch>
                      <a:fillRect/>
                    </a:stretch>
                  </pic:blipFill>
                  <pic:spPr bwMode="auto">
                    <a:xfrm>
                      <a:off x="0" y="0"/>
                      <a:ext cx="4495800" cy="2095500"/>
                    </a:xfrm>
                    <a:prstGeom prst="rect">
                      <a:avLst/>
                    </a:prstGeom>
                    <a:noFill/>
                    <a:ln w="3175" cmpd="sng">
                      <a:solidFill>
                        <a:srgbClr val="000000"/>
                      </a:solidFill>
                      <a:miter lim="800000"/>
                      <a:headEnd/>
                      <a:tailEnd/>
                    </a:ln>
                    <a:effectLst/>
                  </pic:spPr>
                </pic:pic>
              </a:graphicData>
            </a:graphic>
          </wp:inline>
        </w:drawing>
      </w:r>
    </w:p>
    <w:p w14:paraId="6C795641" w14:textId="77777777" w:rsidR="00843768" w:rsidRPr="006645DC" w:rsidRDefault="008E6A19" w:rsidP="008E6A19">
      <w:pPr>
        <w:pStyle w:val="Caption"/>
        <w:rPr>
          <w:lang w:val="en-GB"/>
        </w:rPr>
      </w:pPr>
      <w:bookmarkStart w:id="2248" w:name="_Toc391150094"/>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45</w:t>
      </w:r>
      <w:r w:rsidR="005979EB" w:rsidRPr="006645DC">
        <w:rPr>
          <w:lang w:val="en-GB"/>
        </w:rPr>
        <w:fldChar w:fldCharType="end"/>
      </w:r>
      <w:r w:rsidRPr="006645DC">
        <w:rPr>
          <w:lang w:val="en-GB"/>
        </w:rPr>
        <w:t xml:space="preserve"> - </w:t>
      </w:r>
      <w:r w:rsidR="00843768" w:rsidRPr="006645DC">
        <w:rPr>
          <w:lang w:val="en-GB"/>
        </w:rPr>
        <w:t>Involvement degree of population in local administration projects (2011)</w:t>
      </w:r>
      <w:bookmarkEnd w:id="2248"/>
    </w:p>
    <w:p w14:paraId="05EEFF0B" w14:textId="77777777" w:rsidR="00843768" w:rsidRPr="006645DC" w:rsidRDefault="00843768" w:rsidP="00843768">
      <w:pPr>
        <w:pStyle w:val="Heading4"/>
        <w:rPr>
          <w:lang w:val="en-GB"/>
        </w:rPr>
      </w:pPr>
      <w:r w:rsidRPr="006645DC">
        <w:rPr>
          <w:lang w:val="en-GB"/>
        </w:rPr>
        <w:t>Source: EVOLUTION household survey</w:t>
      </w:r>
    </w:p>
    <w:p w14:paraId="3CBAFB6C" w14:textId="77777777" w:rsidR="00843768" w:rsidRPr="006645DC" w:rsidRDefault="00843768" w:rsidP="00C951D5">
      <w:pPr>
        <w:pStyle w:val="Heading3"/>
        <w:numPr>
          <w:ilvl w:val="0"/>
          <w:numId w:val="133"/>
        </w:numPr>
        <w:rPr>
          <w:lang w:val="en-GB"/>
        </w:rPr>
      </w:pPr>
      <w:bookmarkStart w:id="2249" w:name="_Toc254543854"/>
      <w:r w:rsidRPr="006645DC">
        <w:rPr>
          <w:lang w:val="en-GB"/>
        </w:rPr>
        <w:t>The enhanced cooperation possibilities: Danube macro-region &amp; the RO-BG Cross Border area in conjunction with TO11</w:t>
      </w:r>
      <w:bookmarkEnd w:id="2249"/>
    </w:p>
    <w:p w14:paraId="6C4C4170" w14:textId="77777777" w:rsidR="00843768" w:rsidRPr="006645DC" w:rsidRDefault="00843768" w:rsidP="00843768">
      <w:pPr>
        <w:rPr>
          <w:lang w:val="en-GB"/>
        </w:rPr>
      </w:pPr>
      <w:r w:rsidRPr="006645DC">
        <w:rPr>
          <w:lang w:val="en-GB"/>
        </w:rPr>
        <w:t>The purpose of macro-regions is to bring together a coherent group of territories with a view to cooperating to solve common economic and environmental problems. When the macro-regions were created, the Commission stressed the fact that there would be no new funds, no new legislation, and no new institutions (the three “no’s”). The macro-regions thus open up new prospects in territorial cooperative projects and may make it possible to strengthen the links between cross border programmes, regional programmes, with a view to meeting Europe 2020 strategy objectives. They can also dovetail with other major European strategies (Trans-European transport networks or integrated maritime policy for example).</w:t>
      </w:r>
    </w:p>
    <w:p w14:paraId="44775269" w14:textId="77777777" w:rsidR="00843768" w:rsidRPr="006645DC" w:rsidRDefault="00843768" w:rsidP="00843768">
      <w:pPr>
        <w:rPr>
          <w:lang w:val="en-GB"/>
        </w:rPr>
      </w:pPr>
      <w:r w:rsidRPr="006645DC">
        <w:rPr>
          <w:lang w:val="en-GB"/>
        </w:rPr>
        <w:t>The concept incorporates principles of</w:t>
      </w:r>
      <w:r w:rsidRPr="006645DC">
        <w:rPr>
          <w:rStyle w:val="FootnoteReference"/>
          <w:lang w:val="en-GB"/>
        </w:rPr>
        <w:footnoteReference w:id="54"/>
      </w:r>
      <w:r w:rsidRPr="006645DC">
        <w:rPr>
          <w:lang w:val="en-GB"/>
        </w:rPr>
        <w:t>:</w:t>
      </w:r>
    </w:p>
    <w:p w14:paraId="30A14F33" w14:textId="77777777" w:rsidR="00843768" w:rsidRPr="006645DC" w:rsidRDefault="00843768" w:rsidP="00843768">
      <w:pPr>
        <w:pStyle w:val="ListParagraph"/>
        <w:ind w:left="867"/>
        <w:rPr>
          <w:lang w:val="en-GB"/>
        </w:rPr>
      </w:pPr>
      <w:r w:rsidRPr="006645DC">
        <w:rPr>
          <w:lang w:val="en-GB"/>
        </w:rPr>
        <w:t>"Integration-objectives should be embedded in existing policy frameworks (EU, regional, national, local, pre-accession), programmes (EU, country-specific, territorial cooperation, sectorial), and financial instruments;</w:t>
      </w:r>
    </w:p>
    <w:p w14:paraId="37683530" w14:textId="77777777" w:rsidR="00843768" w:rsidRPr="006645DC" w:rsidRDefault="00843768" w:rsidP="00843768">
      <w:pPr>
        <w:pStyle w:val="ListParagraph"/>
        <w:ind w:left="867"/>
        <w:rPr>
          <w:lang w:val="en-GB"/>
        </w:rPr>
      </w:pPr>
      <w:r w:rsidRPr="006645DC">
        <w:rPr>
          <w:lang w:val="en-GB"/>
        </w:rPr>
        <w:t>Coordination-policies, strategies and funding resources should avoid compartmentalisation whether between sectorial policies, actors or different tiers of government;</w:t>
      </w:r>
    </w:p>
    <w:p w14:paraId="33CD4E3A" w14:textId="77777777" w:rsidR="00843768" w:rsidRPr="006645DC" w:rsidRDefault="00843768" w:rsidP="00843768">
      <w:pPr>
        <w:pStyle w:val="ListParagraph"/>
        <w:ind w:left="867"/>
        <w:rPr>
          <w:lang w:val="en-GB"/>
        </w:rPr>
      </w:pPr>
      <w:r w:rsidRPr="006645DC">
        <w:rPr>
          <w:lang w:val="en-GB"/>
        </w:rPr>
        <w:t>Cooperation- countries should cooperate, and sectors also, across the region, changing the "mindset" from inward to outward-looking regional development ideas;</w:t>
      </w:r>
    </w:p>
    <w:p w14:paraId="663ECE1A" w14:textId="77777777" w:rsidR="00843768" w:rsidRPr="006645DC" w:rsidRDefault="00843768" w:rsidP="00843768">
      <w:pPr>
        <w:pStyle w:val="ListParagraph"/>
        <w:ind w:left="867"/>
        <w:rPr>
          <w:lang w:val="en-GB"/>
        </w:rPr>
      </w:pPr>
      <w:r w:rsidRPr="006645DC">
        <w:rPr>
          <w:lang w:val="en-GB"/>
        </w:rPr>
        <w:lastRenderedPageBreak/>
        <w:t>Multi-level governance different levels of policymakers should work better together, without creating new tiers of decision-making;</w:t>
      </w:r>
    </w:p>
    <w:p w14:paraId="12759CC8" w14:textId="77777777" w:rsidR="00843768" w:rsidRPr="006645DC" w:rsidRDefault="00843768" w:rsidP="00843768">
      <w:pPr>
        <w:pStyle w:val="ListParagraph"/>
        <w:ind w:left="867"/>
        <w:rPr>
          <w:lang w:val="en-GB"/>
        </w:rPr>
      </w:pPr>
      <w:r w:rsidRPr="006645DC">
        <w:rPr>
          <w:lang w:val="en-GB"/>
        </w:rPr>
        <w:t>Partnership- EU and non-EU countries can work together on the basis of mutual interest and respect.</w:t>
      </w:r>
    </w:p>
    <w:p w14:paraId="450C5642" w14:textId="77777777" w:rsidR="00843768" w:rsidRPr="006645DC" w:rsidRDefault="00843768" w:rsidP="00843768">
      <w:pPr>
        <w:rPr>
          <w:lang w:val="en-GB"/>
        </w:rPr>
      </w:pPr>
      <w:r w:rsidRPr="006645DC">
        <w:rPr>
          <w:lang w:val="en-GB"/>
        </w:rPr>
        <w:t xml:space="preserve">The experience gained in the Baltic and the Danube shows seven areas where macro-regions offer </w:t>
      </w:r>
      <w:r w:rsidR="009E6218" w:rsidRPr="006645DC">
        <w:rPr>
          <w:lang w:val="en-GB"/>
        </w:rPr>
        <w:t>added value</w:t>
      </w:r>
      <w:r w:rsidRPr="006645DC">
        <w:rPr>
          <w:rStyle w:val="FootnoteReference"/>
          <w:lang w:val="en-GB"/>
        </w:rPr>
        <w:footnoteReference w:id="55"/>
      </w:r>
      <w:r w:rsidR="009E6218" w:rsidRPr="006645DC">
        <w:rPr>
          <w:lang w:val="en-GB"/>
        </w:rPr>
        <w:t>:</w:t>
      </w:r>
    </w:p>
    <w:p w14:paraId="05560543" w14:textId="77777777" w:rsidR="00843768" w:rsidRPr="006645DC" w:rsidRDefault="00843768" w:rsidP="00843768">
      <w:pPr>
        <w:pStyle w:val="ListParagraph"/>
        <w:ind w:left="867"/>
        <w:rPr>
          <w:lang w:val="en-GB"/>
        </w:rPr>
      </w:pPr>
      <w:r w:rsidRPr="006645DC">
        <w:rPr>
          <w:lang w:val="en-GB"/>
        </w:rPr>
        <w:t>Results in terms of projects, actions, decisions, networks: macro-regional strategies have helped to develop new projects or have given momentum to existing transnational projects</w:t>
      </w:r>
      <w:r w:rsidR="009E6218" w:rsidRPr="006645DC">
        <w:rPr>
          <w:lang w:val="en-GB"/>
        </w:rPr>
        <w:t>;</w:t>
      </w:r>
    </w:p>
    <w:p w14:paraId="5014824D" w14:textId="77777777" w:rsidR="00843768" w:rsidRPr="006645DC" w:rsidRDefault="00843768" w:rsidP="00843768">
      <w:pPr>
        <w:pStyle w:val="ListParagraph"/>
        <w:ind w:left="867"/>
        <w:rPr>
          <w:lang w:val="en-GB"/>
        </w:rPr>
      </w:pPr>
      <w:r w:rsidRPr="006645DC">
        <w:rPr>
          <w:lang w:val="en-GB"/>
        </w:rPr>
        <w:t>Improved policy development: marshalling national and regional approaches into more coherent EU-level implementation;</w:t>
      </w:r>
    </w:p>
    <w:p w14:paraId="3DD7AF32" w14:textId="77777777" w:rsidR="00843768" w:rsidRPr="006645DC" w:rsidRDefault="00843768" w:rsidP="00843768">
      <w:pPr>
        <w:pStyle w:val="ListParagraph"/>
        <w:ind w:left="867"/>
        <w:rPr>
          <w:lang w:val="en-GB"/>
        </w:rPr>
      </w:pPr>
      <w:r w:rsidRPr="006645DC">
        <w:rPr>
          <w:lang w:val="en-GB"/>
        </w:rPr>
        <w:t>Improved value for money: through the creation of synergies between programmes, which helps to achieve the critical mass that attract external financing;</w:t>
      </w:r>
    </w:p>
    <w:p w14:paraId="1668E83C" w14:textId="77777777" w:rsidR="00843768" w:rsidRPr="006645DC" w:rsidRDefault="00843768" w:rsidP="00843768">
      <w:pPr>
        <w:pStyle w:val="ListParagraph"/>
        <w:ind w:left="867"/>
        <w:rPr>
          <w:lang w:val="en-GB"/>
        </w:rPr>
      </w:pPr>
      <w:r w:rsidRPr="006645DC">
        <w:rPr>
          <w:lang w:val="en-GB"/>
        </w:rPr>
        <w:t>Greater integration and coordination, both between countries and between authorities inside countries, as well as a more cross-sectorial approach to policy in a given territory;</w:t>
      </w:r>
    </w:p>
    <w:p w14:paraId="51A1FBD2" w14:textId="77777777" w:rsidR="00843768" w:rsidRPr="006645DC" w:rsidRDefault="00843768" w:rsidP="00843768">
      <w:pPr>
        <w:pStyle w:val="ListParagraph"/>
        <w:ind w:left="867"/>
        <w:rPr>
          <w:lang w:val="en-GB"/>
        </w:rPr>
      </w:pPr>
      <w:r w:rsidRPr="006645DC">
        <w:rPr>
          <w:lang w:val="en-GB"/>
        </w:rPr>
        <w:t>Tackling regional inequality and promoting territorial cohesion through i) identifying economic, social and territorial disparities and ii) delivering real solutions;</w:t>
      </w:r>
    </w:p>
    <w:p w14:paraId="4E467FB4" w14:textId="77777777" w:rsidR="00843768" w:rsidRPr="006645DC" w:rsidRDefault="00843768" w:rsidP="00843768">
      <w:pPr>
        <w:pStyle w:val="ListParagraph"/>
        <w:ind w:left="867"/>
        <w:rPr>
          <w:lang w:val="en-GB"/>
        </w:rPr>
      </w:pPr>
      <w:r w:rsidRPr="006645DC">
        <w:rPr>
          <w:lang w:val="en-GB"/>
        </w:rPr>
        <w:t>Promoting multi-level governance through coordination between national, regional and local authorities on planning and funding;</w:t>
      </w:r>
    </w:p>
    <w:p w14:paraId="019E031F" w14:textId="77777777" w:rsidR="00843768" w:rsidRPr="006645DC" w:rsidRDefault="00843768" w:rsidP="00843768">
      <w:pPr>
        <w:pStyle w:val="ListParagraph"/>
        <w:ind w:left="867"/>
        <w:rPr>
          <w:lang w:val="en-GB"/>
        </w:rPr>
      </w:pPr>
      <w:r w:rsidRPr="006645DC">
        <w:rPr>
          <w:lang w:val="en-GB"/>
        </w:rPr>
        <w:t>Improved cooperation with neighbouring countries, both with EU candidate (Serbia, Bosnia-Herzegovina, Montenegro, etc.) and non-candidate countries (Norway, Russia, Moldova, etc.).</w:t>
      </w:r>
    </w:p>
    <w:p w14:paraId="25EA70DD" w14:textId="77777777" w:rsidR="00843768" w:rsidRPr="006645DC" w:rsidRDefault="00843768" w:rsidP="00843768">
      <w:pPr>
        <w:rPr>
          <w:lang w:val="en-GB"/>
        </w:rPr>
      </w:pPr>
      <w:r w:rsidRPr="006645DC">
        <w:rPr>
          <w:lang w:val="en-GB"/>
        </w:rPr>
        <w:t>The question of the articulation with the EUSDR is important for the Romania Bulgaria programme programme, and is a multifold one: how can the RO BG OP’s strategy be coordinated and articulated with those of the EUSDR? How can the initiatives and projects in the Danube macro-region be supported? How, in the longer-term, can the strategy of the Danube macro-region be coordinated within the Romanian Bulgarian Cross Border area? While macro-region can bring a relevant local governance dimension, making it possible to bring a more transregional complementary, the RO BG programme can offer its experience of cross border cooperation and funding to projects pursuing common objectives.</w:t>
      </w:r>
    </w:p>
    <w:p w14:paraId="2DF89565" w14:textId="77777777" w:rsidR="00843768" w:rsidRPr="006645DC" w:rsidRDefault="00843768" w:rsidP="00843768">
      <w:pPr>
        <w:rPr>
          <w:lang w:val="en-GB"/>
        </w:rPr>
      </w:pPr>
      <w:r w:rsidRPr="006645DC">
        <w:rPr>
          <w:lang w:val="en-GB"/>
        </w:rPr>
        <w:t xml:space="preserve">At this stage, as the RO BG programme and the EUSDR are currently developing their strategies in parallel, it will be necessary to identify the areas of and conditions for strategic coordination in order to pave the way for integrating the macro-regional dimension to the 2014-2020 RO-BG OP. </w:t>
      </w:r>
    </w:p>
    <w:p w14:paraId="34881121" w14:textId="77777777" w:rsidR="00843768" w:rsidRPr="006645DC" w:rsidRDefault="00843768" w:rsidP="00843768">
      <w:pPr>
        <w:rPr>
          <w:lang w:val="en-GB"/>
        </w:rPr>
      </w:pPr>
      <w:r w:rsidRPr="006645DC">
        <w:rPr>
          <w:lang w:val="en-GB"/>
        </w:rPr>
        <w:lastRenderedPageBreak/>
        <w:t xml:space="preserve">Therefore, one of the challenges for the cross border governance will be to strengthen coordination with the EUSDR. </w:t>
      </w:r>
    </w:p>
    <w:p w14:paraId="6306017B" w14:textId="77777777" w:rsidR="00843768" w:rsidRPr="006645DC" w:rsidRDefault="00843768" w:rsidP="00843768">
      <w:pPr>
        <w:pStyle w:val="Heading2"/>
        <w:rPr>
          <w:lang w:val="en-GB"/>
        </w:rPr>
      </w:pPr>
      <w:bookmarkStart w:id="2250" w:name="_Toc376200321"/>
      <w:bookmarkStart w:id="2251" w:name="_Toc254543855"/>
      <w:bookmarkStart w:id="2252" w:name="_Toc391150219"/>
      <w:bookmarkStart w:id="2253" w:name="_Toc373340872"/>
      <w:r w:rsidRPr="006645DC">
        <w:rPr>
          <w:lang w:val="en-GB"/>
        </w:rPr>
        <w:t>SWOT and problem tree</w:t>
      </w:r>
      <w:bookmarkEnd w:id="2250"/>
      <w:bookmarkEnd w:id="2251"/>
      <w:bookmarkEnd w:id="2252"/>
    </w:p>
    <w:tbl>
      <w:tblPr>
        <w:tblW w:w="9108" w:type="dxa"/>
        <w:jc w:val="center"/>
        <w:tblCellMar>
          <w:left w:w="0" w:type="dxa"/>
          <w:right w:w="0" w:type="dxa"/>
        </w:tblCellMar>
        <w:tblLook w:val="0600" w:firstRow="0" w:lastRow="0" w:firstColumn="0" w:lastColumn="0" w:noHBand="1" w:noVBand="1"/>
      </w:tblPr>
      <w:tblGrid>
        <w:gridCol w:w="4788"/>
        <w:gridCol w:w="4320"/>
      </w:tblGrid>
      <w:tr w:rsidR="008E6A19" w:rsidRPr="006645DC" w14:paraId="3359773A" w14:textId="77777777" w:rsidTr="008E6A19">
        <w:trPr>
          <w:trHeight w:val="398"/>
          <w:jc w:val="center"/>
        </w:trPr>
        <w:tc>
          <w:tcPr>
            <w:tcW w:w="4788" w:type="dxa"/>
            <w:tcBorders>
              <w:top w:val="single" w:sz="8" w:space="0" w:color="000000"/>
              <w:left w:val="single" w:sz="8" w:space="0" w:color="000000"/>
              <w:bottom w:val="single" w:sz="8" w:space="0" w:color="000000"/>
              <w:right w:val="single" w:sz="8" w:space="0" w:color="000000"/>
            </w:tcBorders>
            <w:shd w:val="clear" w:color="auto" w:fill="9BBB59"/>
            <w:tcMar>
              <w:top w:w="15" w:type="dxa"/>
              <w:left w:w="108" w:type="dxa"/>
              <w:bottom w:w="0" w:type="dxa"/>
              <w:right w:w="108" w:type="dxa"/>
            </w:tcMar>
            <w:vAlign w:val="center"/>
            <w:hideMark/>
          </w:tcPr>
          <w:p w14:paraId="7873AFBF" w14:textId="77777777" w:rsidR="00843768" w:rsidRPr="006645DC" w:rsidRDefault="00843768" w:rsidP="008E6A19">
            <w:pPr>
              <w:spacing w:after="0"/>
              <w:ind w:left="340" w:hanging="227"/>
              <w:jc w:val="center"/>
              <w:rPr>
                <w:color w:val="FFFFFF"/>
                <w:lang w:val="en-GB"/>
              </w:rPr>
            </w:pPr>
            <w:r w:rsidRPr="006645DC">
              <w:rPr>
                <w:b/>
                <w:bCs/>
                <w:color w:val="FFFFFF"/>
                <w:lang w:val="en-GB"/>
              </w:rPr>
              <w:t>Strengths</w:t>
            </w:r>
          </w:p>
        </w:tc>
        <w:tc>
          <w:tcPr>
            <w:tcW w:w="4320" w:type="dxa"/>
            <w:tcBorders>
              <w:top w:val="single" w:sz="8" w:space="0" w:color="000000"/>
              <w:left w:val="single" w:sz="8" w:space="0" w:color="000000"/>
              <w:bottom w:val="single" w:sz="8" w:space="0" w:color="000000"/>
              <w:right w:val="single" w:sz="8" w:space="0" w:color="000000"/>
            </w:tcBorders>
            <w:shd w:val="clear" w:color="auto" w:fill="F79646"/>
            <w:tcMar>
              <w:top w:w="15" w:type="dxa"/>
              <w:left w:w="108" w:type="dxa"/>
              <w:bottom w:w="0" w:type="dxa"/>
              <w:right w:w="108" w:type="dxa"/>
            </w:tcMar>
            <w:vAlign w:val="center"/>
            <w:hideMark/>
          </w:tcPr>
          <w:p w14:paraId="092A35AA" w14:textId="77777777" w:rsidR="00843768" w:rsidRPr="006645DC" w:rsidRDefault="00843768" w:rsidP="008E6A19">
            <w:pPr>
              <w:spacing w:after="0"/>
              <w:ind w:left="340" w:hanging="227"/>
              <w:jc w:val="center"/>
              <w:rPr>
                <w:color w:val="FFFFFF"/>
                <w:lang w:val="en-GB"/>
              </w:rPr>
            </w:pPr>
            <w:r w:rsidRPr="006645DC">
              <w:rPr>
                <w:b/>
                <w:bCs/>
                <w:color w:val="FFFFFF"/>
                <w:lang w:val="en-GB"/>
              </w:rPr>
              <w:t>Weaknesses</w:t>
            </w:r>
          </w:p>
        </w:tc>
      </w:tr>
      <w:tr w:rsidR="00843768" w:rsidRPr="006645DC" w14:paraId="0A149070" w14:textId="77777777" w:rsidTr="008E6A19">
        <w:trPr>
          <w:trHeight w:val="3119"/>
          <w:jc w:val="center"/>
        </w:trPr>
        <w:tc>
          <w:tcPr>
            <w:tcW w:w="47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A3FB5F4" w14:textId="7723C02F" w:rsidR="00843768" w:rsidRPr="006645DC" w:rsidRDefault="00B21137" w:rsidP="00C22A61">
            <w:pPr>
              <w:numPr>
                <w:ilvl w:val="0"/>
                <w:numId w:val="28"/>
              </w:numPr>
              <w:spacing w:before="0" w:after="0"/>
              <w:ind w:left="283" w:hanging="170"/>
              <w:jc w:val="left"/>
              <w:rPr>
                <w:lang w:val="en-GB"/>
              </w:rPr>
            </w:pPr>
            <w:r>
              <w:rPr>
                <w:lang w:val="en-GB"/>
              </w:rPr>
              <w:t>Previous</w:t>
            </w:r>
            <w:r w:rsidR="00843768" w:rsidRPr="006645DC">
              <w:rPr>
                <w:lang w:val="en-GB"/>
              </w:rPr>
              <w:t xml:space="preserve"> experience in cross-</w:t>
            </w:r>
            <w:r w:rsidR="009E6218" w:rsidRPr="006645DC">
              <w:rPr>
                <w:lang w:val="en-GB"/>
              </w:rPr>
              <w:t>border</w:t>
            </w:r>
            <w:r w:rsidR="00843768" w:rsidRPr="006645DC">
              <w:rPr>
                <w:lang w:val="en-GB"/>
              </w:rPr>
              <w:t xml:space="preserve"> </w:t>
            </w:r>
            <w:r>
              <w:rPr>
                <w:lang w:val="en-GB"/>
              </w:rPr>
              <w:t>cooperation projects</w:t>
            </w:r>
          </w:p>
          <w:p w14:paraId="6C44DB1A" w14:textId="77777777" w:rsidR="00843768" w:rsidRPr="006645DC" w:rsidRDefault="00843768" w:rsidP="00C22A61">
            <w:pPr>
              <w:numPr>
                <w:ilvl w:val="0"/>
                <w:numId w:val="28"/>
              </w:numPr>
              <w:spacing w:before="0" w:after="0"/>
              <w:ind w:left="283" w:hanging="170"/>
              <w:jc w:val="left"/>
              <w:rPr>
                <w:lang w:val="en-GB"/>
              </w:rPr>
            </w:pPr>
            <w:r w:rsidRPr="006645DC">
              <w:rPr>
                <w:lang w:val="en-GB"/>
              </w:rPr>
              <w:t xml:space="preserve">Existing NGOs </w:t>
            </w:r>
          </w:p>
        </w:tc>
        <w:tc>
          <w:tcPr>
            <w:tcW w:w="4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9665F7" w14:textId="77777777" w:rsidR="00843768" w:rsidRPr="006645DC" w:rsidRDefault="00843768" w:rsidP="00C22A61">
            <w:pPr>
              <w:keepNext/>
              <w:keepLines/>
              <w:numPr>
                <w:ilvl w:val="0"/>
                <w:numId w:val="28"/>
              </w:numPr>
              <w:spacing w:before="0" w:after="0"/>
              <w:ind w:left="283" w:hanging="170"/>
              <w:jc w:val="left"/>
              <w:outlineLvl w:val="1"/>
              <w:rPr>
                <w:lang w:val="en-GB"/>
              </w:rPr>
            </w:pPr>
            <w:bookmarkStart w:id="2254" w:name="_Toc376200322"/>
            <w:r w:rsidRPr="006645DC">
              <w:rPr>
                <w:lang w:val="en-GB"/>
              </w:rPr>
              <w:t>Too centralized public authorities structure;</w:t>
            </w:r>
            <w:bookmarkEnd w:id="2254"/>
          </w:p>
          <w:p w14:paraId="2CD26F67" w14:textId="77777777" w:rsidR="00843768" w:rsidRPr="006645DC" w:rsidRDefault="00843768" w:rsidP="00C22A61">
            <w:pPr>
              <w:numPr>
                <w:ilvl w:val="0"/>
                <w:numId w:val="28"/>
              </w:numPr>
              <w:spacing w:before="0" w:after="0"/>
              <w:ind w:left="283" w:hanging="170"/>
              <w:jc w:val="left"/>
              <w:rPr>
                <w:lang w:val="en-GB"/>
              </w:rPr>
            </w:pPr>
            <w:r w:rsidRPr="006645DC">
              <w:rPr>
                <w:lang w:val="en-GB"/>
              </w:rPr>
              <w:t>Low administrative capacity in the rural or smaller cities public administration</w:t>
            </w:r>
          </w:p>
          <w:p w14:paraId="20087E83" w14:textId="77777777" w:rsidR="00843768" w:rsidRPr="006645DC" w:rsidRDefault="00843768" w:rsidP="00C22A61">
            <w:pPr>
              <w:numPr>
                <w:ilvl w:val="0"/>
                <w:numId w:val="28"/>
              </w:numPr>
              <w:spacing w:before="0" w:after="0"/>
              <w:ind w:left="283" w:hanging="170"/>
              <w:jc w:val="left"/>
              <w:rPr>
                <w:lang w:val="en-GB"/>
              </w:rPr>
            </w:pPr>
            <w:r w:rsidRPr="006645DC">
              <w:rPr>
                <w:lang w:val="en-GB"/>
              </w:rPr>
              <w:t>Low capacity for absorption of EU funds;</w:t>
            </w:r>
          </w:p>
          <w:p w14:paraId="00EA34FF" w14:textId="77777777" w:rsidR="00843768" w:rsidRPr="006645DC" w:rsidRDefault="00843768" w:rsidP="00C22A61">
            <w:pPr>
              <w:numPr>
                <w:ilvl w:val="0"/>
                <w:numId w:val="28"/>
              </w:numPr>
              <w:spacing w:before="0" w:after="0"/>
              <w:ind w:left="283" w:hanging="170"/>
              <w:jc w:val="left"/>
              <w:rPr>
                <w:lang w:val="en-GB"/>
              </w:rPr>
            </w:pPr>
            <w:r w:rsidRPr="006645DC">
              <w:rPr>
                <w:lang w:val="en-GB"/>
              </w:rPr>
              <w:t>No regional smart specialization strategies;</w:t>
            </w:r>
          </w:p>
          <w:p w14:paraId="33FFC01A" w14:textId="77777777" w:rsidR="00843768" w:rsidRPr="006645DC" w:rsidRDefault="00843768" w:rsidP="00C22A61">
            <w:pPr>
              <w:numPr>
                <w:ilvl w:val="0"/>
                <w:numId w:val="28"/>
              </w:numPr>
              <w:spacing w:before="0" w:after="0"/>
              <w:ind w:left="283" w:hanging="170"/>
              <w:jc w:val="left"/>
              <w:rPr>
                <w:lang w:val="en-GB"/>
              </w:rPr>
            </w:pPr>
            <w:r w:rsidRPr="006645DC">
              <w:rPr>
                <w:lang w:val="en-GB"/>
              </w:rPr>
              <w:t>Low level of public-private partnerships;</w:t>
            </w:r>
          </w:p>
          <w:p w14:paraId="75797864" w14:textId="77777777" w:rsidR="00843768" w:rsidRPr="006645DC" w:rsidRDefault="00843768" w:rsidP="00C22A61">
            <w:pPr>
              <w:numPr>
                <w:ilvl w:val="0"/>
                <w:numId w:val="28"/>
              </w:numPr>
              <w:spacing w:before="0" w:after="0"/>
              <w:ind w:left="283" w:hanging="170"/>
              <w:jc w:val="left"/>
              <w:rPr>
                <w:lang w:val="en-GB"/>
              </w:rPr>
            </w:pPr>
            <w:r w:rsidRPr="006645DC">
              <w:rPr>
                <w:lang w:val="en-GB"/>
              </w:rPr>
              <w:t>Low level of interactive policy making (stakeholders are consulted but taking into consideration of their opinion in policy decision-making is limited)</w:t>
            </w:r>
          </w:p>
          <w:p w14:paraId="500C7C97" w14:textId="77777777" w:rsidR="001D6ECC" w:rsidRPr="006645DC" w:rsidRDefault="002C3A29" w:rsidP="002C3A29">
            <w:pPr>
              <w:numPr>
                <w:ilvl w:val="0"/>
                <w:numId w:val="28"/>
              </w:numPr>
              <w:spacing w:before="0" w:after="0"/>
              <w:ind w:left="283" w:hanging="170"/>
              <w:jc w:val="left"/>
              <w:rPr>
                <w:lang w:val="en-GB"/>
              </w:rPr>
            </w:pPr>
            <w:r w:rsidRPr="006645DC">
              <w:rPr>
                <w:lang w:val="en-GB"/>
              </w:rPr>
              <w:t>Uncoordinated regulatory frameworks</w:t>
            </w:r>
          </w:p>
        </w:tc>
      </w:tr>
      <w:tr w:rsidR="008E6A19" w:rsidRPr="006645DC" w14:paraId="1B45A770" w14:textId="77777777" w:rsidTr="008E6A19">
        <w:trPr>
          <w:trHeight w:val="398"/>
          <w:jc w:val="center"/>
        </w:trPr>
        <w:tc>
          <w:tcPr>
            <w:tcW w:w="4788" w:type="dxa"/>
            <w:tcBorders>
              <w:top w:val="single" w:sz="8" w:space="0" w:color="000000"/>
              <w:left w:val="single" w:sz="8" w:space="0" w:color="000000"/>
              <w:bottom w:val="single" w:sz="8" w:space="0" w:color="000000"/>
              <w:right w:val="single" w:sz="8" w:space="0" w:color="000000"/>
            </w:tcBorders>
            <w:shd w:val="clear" w:color="auto" w:fill="4BACC6"/>
            <w:tcMar>
              <w:top w:w="15" w:type="dxa"/>
              <w:left w:w="108" w:type="dxa"/>
              <w:bottom w:w="0" w:type="dxa"/>
              <w:right w:w="108" w:type="dxa"/>
            </w:tcMar>
            <w:vAlign w:val="center"/>
            <w:hideMark/>
          </w:tcPr>
          <w:p w14:paraId="51F5DB86" w14:textId="77777777" w:rsidR="00843768" w:rsidRPr="006645DC" w:rsidRDefault="00843768" w:rsidP="008E6A19">
            <w:pPr>
              <w:keepNext/>
              <w:keepLines/>
              <w:spacing w:after="0"/>
              <w:ind w:left="340" w:hanging="227"/>
              <w:jc w:val="center"/>
              <w:outlineLvl w:val="1"/>
              <w:rPr>
                <w:color w:val="FFFFFF"/>
                <w:lang w:val="en-GB"/>
              </w:rPr>
            </w:pPr>
            <w:bookmarkStart w:id="2255" w:name="_Toc376200323"/>
            <w:r w:rsidRPr="006645DC">
              <w:rPr>
                <w:b/>
                <w:bCs/>
                <w:color w:val="FFFFFF"/>
                <w:lang w:val="en-GB"/>
              </w:rPr>
              <w:t>Opportunities</w:t>
            </w:r>
            <w:bookmarkEnd w:id="2255"/>
          </w:p>
        </w:tc>
        <w:tc>
          <w:tcPr>
            <w:tcW w:w="4320" w:type="dxa"/>
            <w:tcBorders>
              <w:top w:val="single" w:sz="8" w:space="0" w:color="000000"/>
              <w:left w:val="single" w:sz="8" w:space="0" w:color="000000"/>
              <w:bottom w:val="single" w:sz="8" w:space="0" w:color="000000"/>
              <w:right w:val="single" w:sz="8" w:space="0" w:color="000000"/>
            </w:tcBorders>
            <w:shd w:val="clear" w:color="auto" w:fill="B2A1C7"/>
            <w:tcMar>
              <w:top w:w="15" w:type="dxa"/>
              <w:left w:w="108" w:type="dxa"/>
              <w:bottom w:w="0" w:type="dxa"/>
              <w:right w:w="108" w:type="dxa"/>
            </w:tcMar>
            <w:vAlign w:val="center"/>
            <w:hideMark/>
          </w:tcPr>
          <w:p w14:paraId="5FF37E6B" w14:textId="77777777" w:rsidR="00843768" w:rsidRPr="006645DC" w:rsidRDefault="00843768" w:rsidP="008E6A19">
            <w:pPr>
              <w:keepNext/>
              <w:keepLines/>
              <w:spacing w:after="0"/>
              <w:ind w:left="340" w:hanging="227"/>
              <w:jc w:val="center"/>
              <w:outlineLvl w:val="1"/>
              <w:rPr>
                <w:color w:val="FFFFFF"/>
                <w:lang w:val="en-GB"/>
              </w:rPr>
            </w:pPr>
            <w:bookmarkStart w:id="2256" w:name="_Toc376200324"/>
            <w:r w:rsidRPr="006645DC">
              <w:rPr>
                <w:b/>
                <w:bCs/>
                <w:color w:val="FFFFFF"/>
                <w:lang w:val="en-GB"/>
              </w:rPr>
              <w:t>Threats</w:t>
            </w:r>
            <w:bookmarkEnd w:id="2256"/>
          </w:p>
        </w:tc>
      </w:tr>
      <w:tr w:rsidR="00843768" w:rsidRPr="006645DC" w14:paraId="5C949636" w14:textId="77777777" w:rsidTr="008E6A19">
        <w:trPr>
          <w:trHeight w:val="2613"/>
          <w:jc w:val="center"/>
        </w:trPr>
        <w:tc>
          <w:tcPr>
            <w:tcW w:w="478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A3541FC" w14:textId="77777777" w:rsidR="00843768" w:rsidRPr="006645DC" w:rsidRDefault="00843768" w:rsidP="00C22A61">
            <w:pPr>
              <w:keepNext/>
              <w:keepLines/>
              <w:numPr>
                <w:ilvl w:val="0"/>
                <w:numId w:val="29"/>
              </w:numPr>
              <w:spacing w:before="0" w:after="0"/>
              <w:ind w:left="283" w:hanging="170"/>
              <w:jc w:val="left"/>
              <w:outlineLvl w:val="1"/>
              <w:rPr>
                <w:lang w:val="en-GB"/>
              </w:rPr>
            </w:pPr>
            <w:bookmarkStart w:id="2257" w:name="_Toc376200325"/>
            <w:r w:rsidRPr="006645DC">
              <w:rPr>
                <w:lang w:val="en-GB"/>
              </w:rPr>
              <w:t>Development of the participatory governance</w:t>
            </w:r>
            <w:bookmarkEnd w:id="2257"/>
          </w:p>
          <w:p w14:paraId="483159A1" w14:textId="177D7AE1" w:rsidR="00843768" w:rsidRPr="006645DC" w:rsidRDefault="00843768" w:rsidP="00C22A61">
            <w:pPr>
              <w:numPr>
                <w:ilvl w:val="0"/>
                <w:numId w:val="29"/>
              </w:numPr>
              <w:spacing w:before="0" w:after="0"/>
              <w:ind w:left="283" w:hanging="170"/>
              <w:jc w:val="left"/>
              <w:rPr>
                <w:lang w:val="en-GB"/>
              </w:rPr>
            </w:pPr>
            <w:r w:rsidRPr="006645DC">
              <w:rPr>
                <w:lang w:val="en-GB"/>
              </w:rPr>
              <w:t>Strategic, integrated and  cross-border urban and territorial planning</w:t>
            </w:r>
          </w:p>
          <w:p w14:paraId="284863B6" w14:textId="77777777" w:rsidR="00B82E52" w:rsidRPr="006645DC" w:rsidRDefault="00843768" w:rsidP="00C22A61">
            <w:pPr>
              <w:numPr>
                <w:ilvl w:val="0"/>
                <w:numId w:val="29"/>
              </w:numPr>
              <w:spacing w:before="0" w:after="0"/>
              <w:ind w:left="283" w:hanging="170"/>
              <w:jc w:val="left"/>
              <w:rPr>
                <w:lang w:val="en-GB"/>
              </w:rPr>
            </w:pPr>
            <w:r w:rsidRPr="006645DC">
              <w:rPr>
                <w:lang w:val="en-GB"/>
              </w:rPr>
              <w:t>Transfer of best practices for the delivery of key public services for a depopulating territory</w:t>
            </w:r>
          </w:p>
          <w:p w14:paraId="7C25F802" w14:textId="77777777" w:rsidR="00B82E52" w:rsidRPr="006645DC" w:rsidRDefault="00B82E52" w:rsidP="00C22A61">
            <w:pPr>
              <w:numPr>
                <w:ilvl w:val="0"/>
                <w:numId w:val="29"/>
              </w:numPr>
              <w:spacing w:before="0" w:after="0"/>
              <w:ind w:left="283" w:hanging="170"/>
              <w:jc w:val="left"/>
              <w:rPr>
                <w:lang w:val="en-GB"/>
              </w:rPr>
            </w:pPr>
            <w:r w:rsidRPr="006645DC">
              <w:rPr>
                <w:lang w:val="en-GB"/>
              </w:rPr>
              <w:t>Reduction of the administrative burden on citizens</w:t>
            </w:r>
          </w:p>
          <w:p w14:paraId="57A85C16" w14:textId="77777777" w:rsidR="00843768" w:rsidRPr="006645DC" w:rsidRDefault="00B82E52" w:rsidP="00B82E52">
            <w:pPr>
              <w:numPr>
                <w:ilvl w:val="0"/>
                <w:numId w:val="29"/>
              </w:numPr>
              <w:spacing w:before="0" w:after="0"/>
              <w:ind w:left="283" w:hanging="170"/>
              <w:jc w:val="left"/>
              <w:rPr>
                <w:lang w:val="en-GB"/>
              </w:rPr>
            </w:pPr>
            <w:r w:rsidRPr="006645DC">
              <w:rPr>
                <w:lang w:val="en-GB"/>
              </w:rPr>
              <w:t>Establish common structures and mechanisms to support long-term and secure cooperation on cross-border level</w:t>
            </w:r>
            <w:r w:rsidR="00843768" w:rsidRPr="006645DC">
              <w:rPr>
                <w:lang w:val="en-GB"/>
              </w:rPr>
              <w:t xml:space="preserve"> </w:t>
            </w:r>
          </w:p>
        </w:tc>
        <w:tc>
          <w:tcPr>
            <w:tcW w:w="4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0E19F77" w14:textId="77777777" w:rsidR="00843768" w:rsidRPr="006645DC" w:rsidRDefault="00843768" w:rsidP="00C22A61">
            <w:pPr>
              <w:keepNext/>
              <w:keepLines/>
              <w:numPr>
                <w:ilvl w:val="0"/>
                <w:numId w:val="29"/>
              </w:numPr>
              <w:spacing w:before="0" w:after="0"/>
              <w:ind w:left="283" w:hanging="170"/>
              <w:jc w:val="left"/>
              <w:outlineLvl w:val="1"/>
              <w:rPr>
                <w:lang w:val="en-GB"/>
              </w:rPr>
            </w:pPr>
            <w:bookmarkStart w:id="2258" w:name="_Toc376200326"/>
            <w:r w:rsidRPr="006645DC">
              <w:rPr>
                <w:lang w:val="en-GB"/>
              </w:rPr>
              <w:t>Continued and deepening centralization of the governance processes</w:t>
            </w:r>
            <w:bookmarkEnd w:id="2258"/>
          </w:p>
          <w:p w14:paraId="1AAF9284" w14:textId="78CC9FC3" w:rsidR="00843768" w:rsidRPr="006645DC" w:rsidRDefault="00843768" w:rsidP="00B21137">
            <w:pPr>
              <w:numPr>
                <w:ilvl w:val="0"/>
                <w:numId w:val="29"/>
              </w:numPr>
              <w:spacing w:before="0" w:after="0"/>
              <w:ind w:left="283" w:hanging="170"/>
              <w:jc w:val="left"/>
              <w:rPr>
                <w:lang w:val="en-GB"/>
              </w:rPr>
            </w:pPr>
            <w:r w:rsidRPr="006645DC">
              <w:rPr>
                <w:lang w:val="en-GB"/>
              </w:rPr>
              <w:t xml:space="preserve">Political advocacy and lobbying organizations </w:t>
            </w:r>
            <w:r w:rsidR="00B21137">
              <w:rPr>
                <w:lang w:val="en-GB"/>
              </w:rPr>
              <w:t>acting in place of the</w:t>
            </w:r>
            <w:r w:rsidRPr="006645DC">
              <w:rPr>
                <w:lang w:val="en-GB"/>
              </w:rPr>
              <w:t xml:space="preserve"> real civil society</w:t>
            </w:r>
          </w:p>
        </w:tc>
      </w:tr>
    </w:tbl>
    <w:p w14:paraId="4B5381AA" w14:textId="77777777" w:rsidR="00843768" w:rsidRPr="006645DC" w:rsidRDefault="00843768" w:rsidP="00843768">
      <w:pPr>
        <w:rPr>
          <w:lang w:val="en-GB"/>
        </w:rPr>
      </w:pPr>
    </w:p>
    <w:p w14:paraId="5DA22DC0" w14:textId="77777777" w:rsidR="00843768" w:rsidRPr="006645DC" w:rsidRDefault="00843768" w:rsidP="00843768">
      <w:pPr>
        <w:rPr>
          <w:lang w:val="en-GB"/>
        </w:rPr>
      </w:pPr>
    </w:p>
    <w:p w14:paraId="31C1F42B" w14:textId="77777777" w:rsidR="00843768" w:rsidRPr="006645DC" w:rsidRDefault="00843768" w:rsidP="00843768">
      <w:pPr>
        <w:rPr>
          <w:lang w:val="en-GB"/>
        </w:rPr>
      </w:pPr>
    </w:p>
    <w:p w14:paraId="78C0F228" w14:textId="77777777" w:rsidR="00843768" w:rsidRPr="006645DC" w:rsidRDefault="00AA4C82" w:rsidP="00843768">
      <w:pPr>
        <w:jc w:val="center"/>
        <w:rPr>
          <w:lang w:val="en-GB"/>
        </w:rPr>
      </w:pPr>
      <w:r w:rsidRPr="006645DC">
        <w:rPr>
          <w:noProof/>
          <w:lang w:val="bg-BG" w:eastAsia="bg-BG"/>
        </w:rPr>
        <w:lastRenderedPageBreak/>
        <w:drawing>
          <wp:anchor distT="0" distB="0" distL="114300" distR="114300" simplePos="0" relativeHeight="251662336" behindDoc="0" locked="0" layoutInCell="1" allowOverlap="1" wp14:anchorId="32275AFF" wp14:editId="2ADAB30B">
            <wp:simplePos x="0" y="0"/>
            <wp:positionH relativeFrom="margin">
              <wp:align>center</wp:align>
            </wp:positionH>
            <wp:positionV relativeFrom="margin">
              <wp:align>center</wp:align>
            </wp:positionV>
            <wp:extent cx="6511925" cy="5812155"/>
            <wp:effectExtent l="19050" t="0" r="3175" b="0"/>
            <wp:wrapSquare wrapText="bothSides"/>
            <wp:docPr id="35"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43"/>
                    <a:srcRect/>
                    <a:stretch>
                      <a:fillRect/>
                    </a:stretch>
                  </pic:blipFill>
                  <pic:spPr bwMode="auto">
                    <a:xfrm>
                      <a:off x="0" y="0"/>
                      <a:ext cx="6511925" cy="5812155"/>
                    </a:xfrm>
                    <a:prstGeom prst="rect">
                      <a:avLst/>
                    </a:prstGeom>
                    <a:noFill/>
                    <a:ln w="9525">
                      <a:noFill/>
                      <a:miter lim="800000"/>
                      <a:headEnd/>
                      <a:tailEnd/>
                    </a:ln>
                  </pic:spPr>
                </pic:pic>
              </a:graphicData>
            </a:graphic>
          </wp:anchor>
        </w:drawing>
      </w:r>
    </w:p>
    <w:p w14:paraId="1D16CEE3" w14:textId="77777777" w:rsidR="00843768" w:rsidRPr="006645DC" w:rsidRDefault="00843768" w:rsidP="00843768">
      <w:pPr>
        <w:rPr>
          <w:lang w:val="en-GB"/>
        </w:rPr>
      </w:pPr>
    </w:p>
    <w:p w14:paraId="0F0B92BD" w14:textId="77777777" w:rsidR="00843768" w:rsidRPr="006645DC" w:rsidRDefault="00843768" w:rsidP="00843768">
      <w:pPr>
        <w:rPr>
          <w:lang w:val="en-GB"/>
        </w:rPr>
      </w:pPr>
    </w:p>
    <w:p w14:paraId="4A091FF2" w14:textId="77777777" w:rsidR="00843768" w:rsidRPr="006645DC" w:rsidRDefault="00843768" w:rsidP="00843768">
      <w:pPr>
        <w:rPr>
          <w:lang w:val="en-GB"/>
        </w:rPr>
      </w:pPr>
    </w:p>
    <w:p w14:paraId="5B1B6519" w14:textId="77777777" w:rsidR="00843768" w:rsidRPr="006645DC" w:rsidRDefault="00843768" w:rsidP="00843768">
      <w:pPr>
        <w:pStyle w:val="Heading2"/>
        <w:rPr>
          <w:lang w:val="en-GB"/>
        </w:rPr>
      </w:pPr>
      <w:bookmarkStart w:id="2259" w:name="_Toc376200327"/>
      <w:bookmarkStart w:id="2260" w:name="_Toc254543856"/>
      <w:bookmarkStart w:id="2261" w:name="_Toc391150220"/>
      <w:r w:rsidRPr="006645DC">
        <w:rPr>
          <w:lang w:val="en-GB"/>
        </w:rPr>
        <w:lastRenderedPageBreak/>
        <w:t>Challenges and needs</w:t>
      </w:r>
      <w:bookmarkEnd w:id="2253"/>
      <w:bookmarkEnd w:id="2259"/>
      <w:bookmarkEnd w:id="2260"/>
      <w:bookmarkEnd w:id="2261"/>
    </w:p>
    <w:p w14:paraId="45025649" w14:textId="77777777" w:rsidR="00843768" w:rsidRPr="006645DC" w:rsidRDefault="00843768" w:rsidP="00C22A61">
      <w:pPr>
        <w:pStyle w:val="Heading3"/>
        <w:numPr>
          <w:ilvl w:val="0"/>
          <w:numId w:val="18"/>
        </w:numPr>
        <w:rPr>
          <w:lang w:val="en-GB"/>
        </w:rPr>
      </w:pPr>
      <w:bookmarkStart w:id="2262" w:name="_Toc254543857"/>
      <w:r w:rsidRPr="006645DC">
        <w:rPr>
          <w:lang w:val="en-GB"/>
        </w:rPr>
        <w:t>Territorial challenges</w:t>
      </w:r>
      <w:bookmarkEnd w:id="2262"/>
    </w:p>
    <w:p w14:paraId="05B4FF12" w14:textId="77777777" w:rsidR="00843768" w:rsidRPr="006645DC" w:rsidRDefault="00843768" w:rsidP="00843768">
      <w:pPr>
        <w:pStyle w:val="ListParagraph"/>
        <w:rPr>
          <w:lang w:val="en-GB"/>
        </w:rPr>
      </w:pPr>
      <w:r w:rsidRPr="006645DC">
        <w:rPr>
          <w:lang w:val="en-GB"/>
        </w:rPr>
        <w:t>The continuation of cross-border cooperation between public and private stakeholders in different fields linked to the territorial governance is necessary and need to be ensured and reinforced as the area has a more recent tradition of cooperation than other EU cross-border areas.</w:t>
      </w:r>
    </w:p>
    <w:p w14:paraId="0BAA1322" w14:textId="1A90CD23" w:rsidR="00843768" w:rsidRPr="006645DC" w:rsidRDefault="00843768" w:rsidP="00843768">
      <w:pPr>
        <w:pStyle w:val="ListParagraph"/>
        <w:rPr>
          <w:lang w:val="en-GB"/>
        </w:rPr>
      </w:pPr>
      <w:r w:rsidRPr="006645DC">
        <w:rPr>
          <w:lang w:val="en-GB"/>
        </w:rPr>
        <w:t>The territorial and urban planning prerogatives, regulations and practices are different in the two countries. This leads to difficulties in cooperation in territorial planning</w:t>
      </w:r>
      <w:r w:rsidR="00B21137">
        <w:rPr>
          <w:lang w:val="en-GB"/>
        </w:rPr>
        <w:t xml:space="preserve"> while it becomes more and more necessary especially for the twin cities located along the Danube in order to increase economic development opportunities.</w:t>
      </w:r>
    </w:p>
    <w:p w14:paraId="16ACBEAB" w14:textId="77777777" w:rsidR="00843768" w:rsidRPr="006645DC" w:rsidRDefault="00843768" w:rsidP="00843768">
      <w:pPr>
        <w:pStyle w:val="ListParagraph"/>
        <w:rPr>
          <w:lang w:val="en-GB"/>
        </w:rPr>
      </w:pPr>
      <w:r w:rsidRPr="006645DC">
        <w:rPr>
          <w:lang w:val="en-GB"/>
        </w:rPr>
        <w:t>The multi-level and horizontal cooperation inside the governance structure is limited and has to be further developed, especially at cross-border level:</w:t>
      </w:r>
    </w:p>
    <w:p w14:paraId="7C1B6C40" w14:textId="77777777" w:rsidR="00843768" w:rsidRPr="006645DC" w:rsidRDefault="00843768" w:rsidP="00FC552C">
      <w:pPr>
        <w:pStyle w:val="ListParagraph"/>
        <w:numPr>
          <w:ilvl w:val="1"/>
          <w:numId w:val="8"/>
        </w:numPr>
        <w:ind w:left="1604" w:hanging="357"/>
        <w:rPr>
          <w:lang w:val="en-GB"/>
        </w:rPr>
      </w:pPr>
      <w:r w:rsidRPr="006645DC">
        <w:rPr>
          <w:lang w:val="en-GB"/>
        </w:rPr>
        <w:t>The private stakeholders participation in public decision-making is limited and must gradually become a governance practice</w:t>
      </w:r>
    </w:p>
    <w:p w14:paraId="4314D40D" w14:textId="77777777" w:rsidR="00843768" w:rsidRPr="006645DC" w:rsidRDefault="00843768" w:rsidP="00FC552C">
      <w:pPr>
        <w:pStyle w:val="ListParagraph"/>
        <w:numPr>
          <w:ilvl w:val="1"/>
          <w:numId w:val="8"/>
        </w:numPr>
        <w:ind w:left="1604" w:hanging="357"/>
        <w:rPr>
          <w:lang w:val="en-GB"/>
        </w:rPr>
      </w:pPr>
      <w:r w:rsidRPr="006645DC">
        <w:rPr>
          <w:lang w:val="en-GB"/>
        </w:rPr>
        <w:t>The vertical cooperation between national public authorities involved in the cross-border territorial development is very hierarchical and has a legalistic and not a local development approach</w:t>
      </w:r>
    </w:p>
    <w:p w14:paraId="1117D9DB" w14:textId="77777777" w:rsidR="00843768" w:rsidRPr="006645DC" w:rsidRDefault="00843768" w:rsidP="00FC552C">
      <w:pPr>
        <w:pStyle w:val="ListParagraph"/>
        <w:numPr>
          <w:ilvl w:val="1"/>
          <w:numId w:val="8"/>
        </w:numPr>
        <w:ind w:left="1604" w:hanging="357"/>
        <w:rPr>
          <w:lang w:val="en-GB"/>
        </w:rPr>
      </w:pPr>
      <w:r w:rsidRPr="006645DC">
        <w:rPr>
          <w:lang w:val="en-GB"/>
        </w:rPr>
        <w:t xml:space="preserve">The horizontal direct cooperation between Romanian and Bulgarian country/district or local authorities needs to be further developed and less dependent on central initiatives  </w:t>
      </w:r>
    </w:p>
    <w:p w14:paraId="5B0D65F2" w14:textId="77777777" w:rsidR="00843768" w:rsidRPr="006645DC" w:rsidRDefault="00843768" w:rsidP="00843768">
      <w:pPr>
        <w:pStyle w:val="ListParagraph"/>
        <w:rPr>
          <w:lang w:val="en-GB"/>
        </w:rPr>
      </w:pPr>
      <w:r w:rsidRPr="006645DC">
        <w:rPr>
          <w:lang w:val="en-GB"/>
        </w:rPr>
        <w:t>The territorial structure of the cross-border area requires the creation of joint urban development plans</w:t>
      </w:r>
    </w:p>
    <w:p w14:paraId="2C0CE861" w14:textId="77777777" w:rsidR="00843768" w:rsidRPr="006645DC" w:rsidRDefault="00843768" w:rsidP="00843768">
      <w:pPr>
        <w:pStyle w:val="ListParagraph"/>
        <w:rPr>
          <w:lang w:val="en-GB"/>
        </w:rPr>
      </w:pPr>
      <w:r w:rsidRPr="006645DC">
        <w:rPr>
          <w:lang w:val="en-GB"/>
        </w:rPr>
        <w:t>The efficiency and accessibility of public administration need to be enhanced</w:t>
      </w:r>
    </w:p>
    <w:p w14:paraId="063BA78F" w14:textId="77777777" w:rsidR="001D6ECC" w:rsidRPr="006645DC" w:rsidRDefault="001D6ECC" w:rsidP="00843768">
      <w:pPr>
        <w:pStyle w:val="ListParagraph"/>
        <w:rPr>
          <w:lang w:val="en-GB"/>
        </w:rPr>
      </w:pPr>
      <w:r w:rsidRPr="006645DC">
        <w:rPr>
          <w:lang w:val="en-GB"/>
        </w:rPr>
        <w:t>The regulatory frameworks need to be harmonised</w:t>
      </w:r>
    </w:p>
    <w:p w14:paraId="3997D604" w14:textId="77777777" w:rsidR="00843768" w:rsidRPr="006645DC" w:rsidRDefault="00843768" w:rsidP="00843768">
      <w:pPr>
        <w:rPr>
          <w:lang w:val="en-GB"/>
        </w:rPr>
      </w:pPr>
    </w:p>
    <w:p w14:paraId="10FA32B8" w14:textId="77777777" w:rsidR="00843768" w:rsidRPr="006645DC" w:rsidRDefault="00843768" w:rsidP="00843768">
      <w:pPr>
        <w:rPr>
          <w:lang w:val="en-GB"/>
        </w:rPr>
      </w:pPr>
    </w:p>
    <w:p w14:paraId="69787975" w14:textId="77777777" w:rsidR="00843768" w:rsidRPr="006645DC" w:rsidRDefault="00843768" w:rsidP="00843768">
      <w:pPr>
        <w:rPr>
          <w:lang w:val="en-GB"/>
        </w:rPr>
      </w:pPr>
    </w:p>
    <w:p w14:paraId="4DD87BAF" w14:textId="77777777" w:rsidR="00843768" w:rsidRPr="006645DC" w:rsidRDefault="00843768" w:rsidP="00843768">
      <w:pPr>
        <w:rPr>
          <w:lang w:val="en-GB"/>
        </w:rPr>
      </w:pPr>
    </w:p>
    <w:p w14:paraId="050DBDEC" w14:textId="77777777" w:rsidR="00843768" w:rsidRPr="006645DC" w:rsidRDefault="00843768" w:rsidP="00843768">
      <w:pPr>
        <w:rPr>
          <w:lang w:val="en-GB"/>
        </w:rPr>
        <w:sectPr w:rsidR="00843768" w:rsidRPr="006645DC" w:rsidSect="00187E88">
          <w:pgSz w:w="12240" w:h="15840"/>
          <w:pgMar w:top="1440" w:right="1440" w:bottom="1440" w:left="1440" w:header="720" w:footer="720" w:gutter="0"/>
          <w:cols w:space="720"/>
          <w:docGrid w:linePitch="360"/>
        </w:sectPr>
      </w:pPr>
    </w:p>
    <w:p w14:paraId="7B3BB5F0" w14:textId="42FA49C3" w:rsidR="00B21137" w:rsidRDefault="00843768" w:rsidP="00843768">
      <w:pPr>
        <w:pStyle w:val="Heading3"/>
        <w:rPr>
          <w:lang w:val="en-GB"/>
        </w:rPr>
      </w:pPr>
      <w:bookmarkStart w:id="2263" w:name="_Toc371007003"/>
      <w:bookmarkStart w:id="2264" w:name="_Toc254543858"/>
      <w:r w:rsidRPr="006645DC">
        <w:rPr>
          <w:lang w:val="en-GB"/>
        </w:rPr>
        <w:lastRenderedPageBreak/>
        <w:t>Needs</w:t>
      </w:r>
      <w:bookmarkEnd w:id="2263"/>
      <w:bookmarkEnd w:id="2264"/>
    </w:p>
    <w:tbl>
      <w:tblPr>
        <w:tblW w:w="5000" w:type="pct"/>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539"/>
        <w:gridCol w:w="5644"/>
        <w:gridCol w:w="850"/>
        <w:gridCol w:w="850"/>
        <w:gridCol w:w="1693"/>
      </w:tblGrid>
      <w:tr w:rsidR="00B21137" w:rsidRPr="00B21137" w14:paraId="2F0D5DF6" w14:textId="77777777" w:rsidTr="00B21137">
        <w:trPr>
          <w:trHeight w:val="826"/>
          <w:jc w:val="center"/>
        </w:trPr>
        <w:tc>
          <w:tcPr>
            <w:tcW w:w="281" w:type="pct"/>
            <w:vMerge w:val="restart"/>
            <w:shd w:val="clear" w:color="auto" w:fill="auto"/>
            <w:vAlign w:val="center"/>
          </w:tcPr>
          <w:p w14:paraId="2988D440" w14:textId="77777777" w:rsidR="00B21137" w:rsidRPr="00B21137" w:rsidRDefault="00B21137" w:rsidP="00B21137">
            <w:pPr>
              <w:spacing w:before="0" w:after="0"/>
              <w:jc w:val="center"/>
              <w:rPr>
                <w:rFonts w:eastAsia="Times New Roman" w:cs="Calibri"/>
                <w:b/>
                <w:bCs/>
                <w:lang w:val="en-GB"/>
              </w:rPr>
            </w:pPr>
            <w:r w:rsidRPr="00B21137">
              <w:rPr>
                <w:rFonts w:eastAsia="Times New Roman" w:cs="Calibri"/>
                <w:b/>
                <w:bCs/>
                <w:lang w:val="en-GB"/>
              </w:rPr>
              <w:t>No.</w:t>
            </w:r>
          </w:p>
        </w:tc>
        <w:tc>
          <w:tcPr>
            <w:tcW w:w="2947" w:type="pct"/>
            <w:vMerge w:val="restart"/>
            <w:shd w:val="clear" w:color="auto" w:fill="auto"/>
            <w:vAlign w:val="center"/>
          </w:tcPr>
          <w:p w14:paraId="01436266" w14:textId="77777777" w:rsidR="00B21137" w:rsidRPr="00B21137" w:rsidRDefault="00B21137" w:rsidP="00B21137">
            <w:pPr>
              <w:spacing w:before="0" w:after="0"/>
              <w:jc w:val="left"/>
              <w:rPr>
                <w:rFonts w:eastAsia="Times New Roman" w:cs="Calibri"/>
                <w:b/>
                <w:bCs/>
                <w:lang w:val="en-GB"/>
              </w:rPr>
            </w:pPr>
            <w:r w:rsidRPr="00B21137">
              <w:rPr>
                <w:rFonts w:eastAsia="Times New Roman" w:cs="Calibri"/>
                <w:b/>
                <w:bCs/>
                <w:lang w:val="en-GB"/>
              </w:rPr>
              <w:t>Identified need</w:t>
            </w:r>
          </w:p>
        </w:tc>
        <w:tc>
          <w:tcPr>
            <w:tcW w:w="888" w:type="pct"/>
            <w:gridSpan w:val="2"/>
            <w:shd w:val="clear" w:color="auto" w:fill="auto"/>
            <w:vAlign w:val="center"/>
          </w:tcPr>
          <w:p w14:paraId="1122954C" w14:textId="77777777" w:rsidR="00B21137" w:rsidRPr="00B21137" w:rsidRDefault="00B21137" w:rsidP="00B21137">
            <w:pPr>
              <w:spacing w:before="0" w:after="0"/>
              <w:jc w:val="center"/>
              <w:rPr>
                <w:rFonts w:eastAsia="Times New Roman" w:cs="Calibri"/>
                <w:b/>
                <w:bCs/>
                <w:lang w:val="en-GB"/>
              </w:rPr>
            </w:pPr>
            <w:r w:rsidRPr="00B21137">
              <w:rPr>
                <w:rFonts w:eastAsia="Times New Roman" w:cs="Calibri"/>
                <w:b/>
                <w:bCs/>
                <w:lang w:val="en-GB"/>
              </w:rPr>
              <w:t>Relevance for each national cross-border area</w:t>
            </w:r>
          </w:p>
        </w:tc>
        <w:tc>
          <w:tcPr>
            <w:tcW w:w="884" w:type="pct"/>
            <w:shd w:val="clear" w:color="auto" w:fill="auto"/>
            <w:vAlign w:val="center"/>
          </w:tcPr>
          <w:p w14:paraId="76C64336" w14:textId="77777777" w:rsidR="00B21137" w:rsidRPr="00B21137" w:rsidRDefault="00B21137" w:rsidP="00B21137">
            <w:pPr>
              <w:spacing w:before="0" w:after="0"/>
              <w:jc w:val="center"/>
              <w:rPr>
                <w:rFonts w:eastAsia="Times New Roman" w:cs="Calibri"/>
                <w:b/>
                <w:bCs/>
                <w:lang w:val="en-GB"/>
              </w:rPr>
            </w:pPr>
            <w:r w:rsidRPr="00B21137">
              <w:rPr>
                <w:rFonts w:eastAsia="Times New Roman" w:cs="Calibri"/>
                <w:b/>
                <w:bCs/>
                <w:lang w:val="en-GB"/>
              </w:rPr>
              <w:t>Relevance for the ERDF Thematic Objectives</w:t>
            </w:r>
          </w:p>
        </w:tc>
      </w:tr>
      <w:tr w:rsidR="00B21137" w:rsidRPr="00B21137" w14:paraId="6C0A9800" w14:textId="77777777" w:rsidTr="00B21137">
        <w:trPr>
          <w:trHeight w:val="334"/>
          <w:jc w:val="center"/>
        </w:trPr>
        <w:tc>
          <w:tcPr>
            <w:tcW w:w="281" w:type="pct"/>
            <w:vMerge/>
            <w:shd w:val="clear" w:color="auto" w:fill="auto"/>
            <w:vAlign w:val="center"/>
          </w:tcPr>
          <w:p w14:paraId="2EDA7D10" w14:textId="77777777" w:rsidR="00B21137" w:rsidRPr="00B21137" w:rsidRDefault="00B21137" w:rsidP="00B21137">
            <w:pPr>
              <w:spacing w:before="0" w:after="0"/>
              <w:jc w:val="center"/>
              <w:rPr>
                <w:rFonts w:eastAsia="Times New Roman" w:cs="Calibri"/>
                <w:b/>
                <w:bCs/>
                <w:lang w:val="en-GB"/>
              </w:rPr>
            </w:pPr>
          </w:p>
        </w:tc>
        <w:tc>
          <w:tcPr>
            <w:tcW w:w="2947" w:type="pct"/>
            <w:vMerge/>
            <w:shd w:val="clear" w:color="auto" w:fill="auto"/>
            <w:vAlign w:val="center"/>
          </w:tcPr>
          <w:p w14:paraId="0EFC885C" w14:textId="77777777" w:rsidR="00B21137" w:rsidRPr="00B21137" w:rsidRDefault="00B21137" w:rsidP="00B21137">
            <w:pPr>
              <w:spacing w:before="0" w:after="0"/>
              <w:jc w:val="left"/>
              <w:rPr>
                <w:rFonts w:cs="Calibri"/>
                <w:lang w:val="en-GB"/>
              </w:rPr>
            </w:pPr>
          </w:p>
        </w:tc>
        <w:tc>
          <w:tcPr>
            <w:tcW w:w="444" w:type="pct"/>
            <w:shd w:val="clear" w:color="auto" w:fill="auto"/>
            <w:vAlign w:val="center"/>
          </w:tcPr>
          <w:p w14:paraId="0907F815"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RO</w:t>
            </w:r>
          </w:p>
        </w:tc>
        <w:tc>
          <w:tcPr>
            <w:tcW w:w="444" w:type="pct"/>
            <w:shd w:val="clear" w:color="auto" w:fill="auto"/>
            <w:vAlign w:val="center"/>
          </w:tcPr>
          <w:p w14:paraId="11C4FC1F"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BG</w:t>
            </w:r>
          </w:p>
        </w:tc>
        <w:tc>
          <w:tcPr>
            <w:tcW w:w="884" w:type="pct"/>
            <w:shd w:val="clear" w:color="auto" w:fill="auto"/>
            <w:vAlign w:val="center"/>
          </w:tcPr>
          <w:p w14:paraId="4D08F778"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TO11</w:t>
            </w:r>
          </w:p>
        </w:tc>
      </w:tr>
      <w:tr w:rsidR="00B21137" w:rsidRPr="00B21137" w14:paraId="64FD4A41" w14:textId="77777777" w:rsidTr="00B21137">
        <w:trPr>
          <w:jc w:val="center"/>
        </w:trPr>
        <w:tc>
          <w:tcPr>
            <w:tcW w:w="281" w:type="pct"/>
            <w:shd w:val="clear" w:color="auto" w:fill="auto"/>
            <w:vAlign w:val="center"/>
          </w:tcPr>
          <w:p w14:paraId="6D7616EF" w14:textId="77777777" w:rsidR="00B21137" w:rsidRPr="00B21137" w:rsidRDefault="00B21137" w:rsidP="00B21137">
            <w:pPr>
              <w:spacing w:before="0" w:after="0"/>
              <w:jc w:val="center"/>
              <w:rPr>
                <w:rFonts w:eastAsia="Times New Roman" w:cs="Calibri"/>
                <w:b/>
                <w:bCs/>
                <w:lang w:val="en-GB"/>
              </w:rPr>
            </w:pPr>
            <w:r w:rsidRPr="00B21137">
              <w:rPr>
                <w:rFonts w:eastAsia="Times New Roman" w:cs="Calibri"/>
                <w:b/>
                <w:bCs/>
                <w:lang w:val="en-GB"/>
              </w:rPr>
              <w:t>1</w:t>
            </w:r>
          </w:p>
        </w:tc>
        <w:tc>
          <w:tcPr>
            <w:tcW w:w="2947" w:type="pct"/>
            <w:shd w:val="clear" w:color="auto" w:fill="auto"/>
            <w:vAlign w:val="center"/>
          </w:tcPr>
          <w:p w14:paraId="665AAE0E" w14:textId="77777777" w:rsidR="00B21137" w:rsidRPr="00B21137" w:rsidRDefault="00B21137" w:rsidP="00B21137">
            <w:pPr>
              <w:keepNext/>
              <w:keepLines/>
              <w:spacing w:before="0" w:after="0"/>
              <w:jc w:val="left"/>
              <w:outlineLvl w:val="1"/>
              <w:rPr>
                <w:rFonts w:cs="Calibri"/>
                <w:lang w:val="en-GB"/>
              </w:rPr>
            </w:pPr>
            <w:r w:rsidRPr="00B21137">
              <w:rPr>
                <w:rFonts w:cs="Calibri"/>
                <w:lang w:val="en-GB"/>
              </w:rPr>
              <w:t>Reinforcing the existing local and regional cross-border cooperation networks and promote the formation of new thematic ones (e.g. provide common structures, mechanisms, tools, etc.)</w:t>
            </w:r>
          </w:p>
        </w:tc>
        <w:tc>
          <w:tcPr>
            <w:tcW w:w="444" w:type="pct"/>
            <w:shd w:val="clear" w:color="auto" w:fill="auto"/>
            <w:vAlign w:val="center"/>
          </w:tcPr>
          <w:p w14:paraId="3FD44A32"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444" w:type="pct"/>
            <w:shd w:val="clear" w:color="auto" w:fill="auto"/>
            <w:vAlign w:val="center"/>
          </w:tcPr>
          <w:p w14:paraId="4E2F2459"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884" w:type="pct"/>
            <w:shd w:val="clear" w:color="auto" w:fill="auto"/>
            <w:vAlign w:val="center"/>
          </w:tcPr>
          <w:p w14:paraId="01924F6A"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w:t>
            </w:r>
          </w:p>
        </w:tc>
      </w:tr>
      <w:tr w:rsidR="00B21137" w:rsidRPr="00B21137" w14:paraId="314962F0" w14:textId="77777777" w:rsidTr="00B21137">
        <w:trPr>
          <w:jc w:val="center"/>
        </w:trPr>
        <w:tc>
          <w:tcPr>
            <w:tcW w:w="281" w:type="pct"/>
            <w:shd w:val="clear" w:color="auto" w:fill="auto"/>
            <w:vAlign w:val="center"/>
          </w:tcPr>
          <w:p w14:paraId="64169B05" w14:textId="77777777" w:rsidR="00B21137" w:rsidRPr="00B21137" w:rsidRDefault="00B21137" w:rsidP="00B21137">
            <w:pPr>
              <w:keepNext/>
              <w:keepLines/>
              <w:spacing w:before="0" w:after="0"/>
              <w:jc w:val="center"/>
              <w:outlineLvl w:val="1"/>
              <w:rPr>
                <w:rFonts w:eastAsia="Times New Roman" w:cs="Calibri"/>
                <w:b/>
                <w:bCs/>
                <w:lang w:val="en-GB"/>
              </w:rPr>
            </w:pPr>
            <w:r w:rsidRPr="00B21137">
              <w:rPr>
                <w:rFonts w:eastAsia="Times New Roman" w:cs="Calibri"/>
                <w:b/>
                <w:bCs/>
                <w:lang w:val="en-GB"/>
              </w:rPr>
              <w:t>2</w:t>
            </w:r>
          </w:p>
        </w:tc>
        <w:tc>
          <w:tcPr>
            <w:tcW w:w="2947" w:type="pct"/>
            <w:shd w:val="clear" w:color="auto" w:fill="auto"/>
            <w:vAlign w:val="center"/>
          </w:tcPr>
          <w:p w14:paraId="5245FA56" w14:textId="77777777" w:rsidR="00B21137" w:rsidRPr="00B21137" w:rsidRDefault="00B21137" w:rsidP="00B21137">
            <w:pPr>
              <w:keepNext/>
              <w:keepLines/>
              <w:spacing w:before="0" w:after="0"/>
              <w:jc w:val="left"/>
              <w:outlineLvl w:val="1"/>
              <w:rPr>
                <w:rFonts w:cs="Calibri"/>
                <w:lang w:val="en-GB"/>
              </w:rPr>
            </w:pPr>
            <w:r w:rsidRPr="00B21137">
              <w:rPr>
                <w:rFonts w:cs="Calibri"/>
                <w:lang w:val="en-GB"/>
              </w:rPr>
              <w:t>Promote the cross-border horizontal cooperation between lower administrative public actors in key territorial planning aspects (e.g. establish models for institutional cooperation and spatial organisation)</w:t>
            </w:r>
          </w:p>
        </w:tc>
        <w:tc>
          <w:tcPr>
            <w:tcW w:w="444" w:type="pct"/>
            <w:shd w:val="clear" w:color="auto" w:fill="auto"/>
            <w:vAlign w:val="center"/>
          </w:tcPr>
          <w:p w14:paraId="61A1A82E"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444" w:type="pct"/>
            <w:shd w:val="clear" w:color="auto" w:fill="auto"/>
            <w:vAlign w:val="center"/>
          </w:tcPr>
          <w:p w14:paraId="11BDDEFB"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884" w:type="pct"/>
            <w:shd w:val="clear" w:color="auto" w:fill="auto"/>
            <w:vAlign w:val="center"/>
          </w:tcPr>
          <w:p w14:paraId="3C1FF6BC"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w:t>
            </w:r>
          </w:p>
        </w:tc>
      </w:tr>
      <w:tr w:rsidR="00B21137" w:rsidRPr="00B21137" w14:paraId="563D3D31" w14:textId="77777777" w:rsidTr="00B21137">
        <w:trPr>
          <w:jc w:val="center"/>
        </w:trPr>
        <w:tc>
          <w:tcPr>
            <w:tcW w:w="281" w:type="pct"/>
            <w:shd w:val="clear" w:color="auto" w:fill="auto"/>
            <w:vAlign w:val="center"/>
          </w:tcPr>
          <w:p w14:paraId="67656674" w14:textId="77777777" w:rsidR="00B21137" w:rsidRPr="00B21137" w:rsidRDefault="00B21137" w:rsidP="00B21137">
            <w:pPr>
              <w:keepNext/>
              <w:keepLines/>
              <w:spacing w:before="0" w:after="0"/>
              <w:jc w:val="center"/>
              <w:outlineLvl w:val="1"/>
              <w:rPr>
                <w:rFonts w:eastAsia="Times New Roman" w:cs="Calibri"/>
                <w:b/>
                <w:bCs/>
                <w:lang w:val="en-GB"/>
              </w:rPr>
            </w:pPr>
            <w:r w:rsidRPr="00B21137">
              <w:rPr>
                <w:rFonts w:eastAsia="Times New Roman" w:cs="Calibri"/>
                <w:b/>
                <w:bCs/>
                <w:lang w:val="en-GB"/>
              </w:rPr>
              <w:t>3</w:t>
            </w:r>
          </w:p>
        </w:tc>
        <w:tc>
          <w:tcPr>
            <w:tcW w:w="2947" w:type="pct"/>
            <w:shd w:val="clear" w:color="auto" w:fill="auto"/>
            <w:vAlign w:val="center"/>
          </w:tcPr>
          <w:p w14:paraId="3818651B" w14:textId="77777777" w:rsidR="00B21137" w:rsidRPr="00B21137" w:rsidRDefault="00B21137" w:rsidP="00B21137">
            <w:pPr>
              <w:keepNext/>
              <w:keepLines/>
              <w:spacing w:before="0" w:after="0"/>
              <w:jc w:val="left"/>
              <w:outlineLvl w:val="1"/>
              <w:rPr>
                <w:rFonts w:cs="Calibri"/>
                <w:lang w:val="en-GB"/>
              </w:rPr>
            </w:pPr>
            <w:r w:rsidRPr="00B21137">
              <w:rPr>
                <w:rFonts w:cs="Calibri"/>
                <w:lang w:val="en-GB"/>
              </w:rPr>
              <w:t>Develop public-private partnerships</w:t>
            </w:r>
          </w:p>
        </w:tc>
        <w:tc>
          <w:tcPr>
            <w:tcW w:w="444" w:type="pct"/>
            <w:shd w:val="clear" w:color="auto" w:fill="auto"/>
            <w:vAlign w:val="center"/>
          </w:tcPr>
          <w:p w14:paraId="1AEB850B"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444" w:type="pct"/>
            <w:shd w:val="clear" w:color="auto" w:fill="auto"/>
            <w:vAlign w:val="center"/>
          </w:tcPr>
          <w:p w14:paraId="585BAE5E"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884" w:type="pct"/>
            <w:shd w:val="clear" w:color="auto" w:fill="auto"/>
            <w:vAlign w:val="center"/>
          </w:tcPr>
          <w:p w14:paraId="503D2EE7"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w:t>
            </w:r>
          </w:p>
        </w:tc>
      </w:tr>
      <w:tr w:rsidR="00B21137" w:rsidRPr="00B21137" w14:paraId="3576C003" w14:textId="77777777" w:rsidTr="00B21137">
        <w:trPr>
          <w:jc w:val="center"/>
        </w:trPr>
        <w:tc>
          <w:tcPr>
            <w:tcW w:w="281" w:type="pct"/>
            <w:shd w:val="clear" w:color="auto" w:fill="auto"/>
            <w:vAlign w:val="center"/>
          </w:tcPr>
          <w:p w14:paraId="06616283" w14:textId="77777777" w:rsidR="00B21137" w:rsidRPr="00B21137" w:rsidRDefault="00B21137" w:rsidP="00B21137">
            <w:pPr>
              <w:keepNext/>
              <w:keepLines/>
              <w:spacing w:before="0" w:after="0"/>
              <w:jc w:val="center"/>
              <w:outlineLvl w:val="1"/>
              <w:rPr>
                <w:rFonts w:eastAsia="Times New Roman" w:cs="Calibri"/>
                <w:b/>
                <w:bCs/>
                <w:lang w:val="en-GB"/>
              </w:rPr>
            </w:pPr>
            <w:r w:rsidRPr="00B21137">
              <w:rPr>
                <w:rFonts w:eastAsia="Times New Roman" w:cs="Calibri"/>
                <w:b/>
                <w:bCs/>
                <w:lang w:val="en-GB"/>
              </w:rPr>
              <w:t>4</w:t>
            </w:r>
          </w:p>
        </w:tc>
        <w:tc>
          <w:tcPr>
            <w:tcW w:w="2947" w:type="pct"/>
            <w:shd w:val="clear" w:color="auto" w:fill="auto"/>
            <w:vAlign w:val="center"/>
          </w:tcPr>
          <w:p w14:paraId="610CE9AB" w14:textId="38151402" w:rsidR="00B21137" w:rsidRPr="00B21137" w:rsidRDefault="00B21137" w:rsidP="00B21137">
            <w:pPr>
              <w:keepNext/>
              <w:keepLines/>
              <w:spacing w:before="0" w:after="0"/>
              <w:jc w:val="left"/>
              <w:outlineLvl w:val="1"/>
              <w:rPr>
                <w:rFonts w:cs="Calibri"/>
                <w:lang w:val="en-GB"/>
              </w:rPr>
            </w:pPr>
            <w:r w:rsidRPr="00B21137">
              <w:rPr>
                <w:rFonts w:cs="Calibri"/>
                <w:lang w:val="en-GB"/>
              </w:rPr>
              <w:t xml:space="preserve">Foster civil society participation in public decision-making </w:t>
            </w:r>
          </w:p>
        </w:tc>
        <w:tc>
          <w:tcPr>
            <w:tcW w:w="444" w:type="pct"/>
            <w:shd w:val="clear" w:color="auto" w:fill="auto"/>
            <w:vAlign w:val="center"/>
          </w:tcPr>
          <w:p w14:paraId="476D3A29"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444" w:type="pct"/>
            <w:shd w:val="clear" w:color="auto" w:fill="auto"/>
            <w:vAlign w:val="center"/>
          </w:tcPr>
          <w:p w14:paraId="445D0618"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884" w:type="pct"/>
            <w:shd w:val="clear" w:color="auto" w:fill="auto"/>
            <w:vAlign w:val="center"/>
          </w:tcPr>
          <w:p w14:paraId="3FBFA055"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w:t>
            </w:r>
          </w:p>
        </w:tc>
      </w:tr>
      <w:tr w:rsidR="00B21137" w:rsidRPr="00B21137" w14:paraId="5E3EC7AD" w14:textId="77777777" w:rsidTr="00B21137">
        <w:trPr>
          <w:trHeight w:val="553"/>
          <w:jc w:val="center"/>
        </w:trPr>
        <w:tc>
          <w:tcPr>
            <w:tcW w:w="281" w:type="pct"/>
            <w:shd w:val="clear" w:color="auto" w:fill="auto"/>
            <w:vAlign w:val="center"/>
          </w:tcPr>
          <w:p w14:paraId="7CEE1EDA" w14:textId="77777777" w:rsidR="00B21137" w:rsidRPr="00B21137" w:rsidRDefault="00B21137" w:rsidP="00B21137">
            <w:pPr>
              <w:keepNext/>
              <w:keepLines/>
              <w:spacing w:before="0" w:after="0"/>
              <w:jc w:val="center"/>
              <w:outlineLvl w:val="1"/>
              <w:rPr>
                <w:rFonts w:eastAsia="Times New Roman" w:cs="Calibri"/>
                <w:b/>
                <w:bCs/>
                <w:lang w:val="en-GB"/>
              </w:rPr>
            </w:pPr>
            <w:r w:rsidRPr="00B21137">
              <w:rPr>
                <w:rFonts w:eastAsia="Times New Roman" w:cs="Calibri"/>
                <w:b/>
                <w:bCs/>
                <w:lang w:val="en-GB"/>
              </w:rPr>
              <w:t>6</w:t>
            </w:r>
          </w:p>
        </w:tc>
        <w:tc>
          <w:tcPr>
            <w:tcW w:w="2947" w:type="pct"/>
            <w:shd w:val="clear" w:color="auto" w:fill="auto"/>
            <w:vAlign w:val="center"/>
          </w:tcPr>
          <w:p w14:paraId="56228D47" w14:textId="3043E781" w:rsidR="00B21137" w:rsidRPr="00B21137" w:rsidRDefault="00B21137" w:rsidP="00B21137">
            <w:pPr>
              <w:keepNext/>
              <w:keepLines/>
              <w:spacing w:before="0" w:after="0"/>
              <w:jc w:val="left"/>
              <w:outlineLvl w:val="1"/>
              <w:rPr>
                <w:rFonts w:cs="Calibri"/>
                <w:lang w:val="en-GB"/>
              </w:rPr>
            </w:pPr>
            <w:r w:rsidRPr="00B21137">
              <w:rPr>
                <w:rFonts w:cs="Calibri"/>
                <w:lang w:val="en-GB"/>
              </w:rPr>
              <w:t xml:space="preserve">Increase the efficiency of the public sector through  the adoption and diffusion of e-government and through capacity-building for public authorities </w:t>
            </w:r>
          </w:p>
        </w:tc>
        <w:tc>
          <w:tcPr>
            <w:tcW w:w="444" w:type="pct"/>
            <w:shd w:val="clear" w:color="auto" w:fill="auto"/>
            <w:vAlign w:val="center"/>
          </w:tcPr>
          <w:p w14:paraId="0692AED8"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444" w:type="pct"/>
            <w:shd w:val="clear" w:color="auto" w:fill="auto"/>
            <w:vAlign w:val="center"/>
          </w:tcPr>
          <w:p w14:paraId="444A43F9"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884" w:type="pct"/>
            <w:shd w:val="clear" w:color="auto" w:fill="auto"/>
            <w:vAlign w:val="center"/>
          </w:tcPr>
          <w:p w14:paraId="701E8770"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w:t>
            </w:r>
          </w:p>
        </w:tc>
      </w:tr>
      <w:tr w:rsidR="00B21137" w:rsidRPr="00B21137" w14:paraId="535CA069" w14:textId="77777777" w:rsidTr="00B21137">
        <w:trPr>
          <w:trHeight w:val="553"/>
          <w:jc w:val="center"/>
        </w:trPr>
        <w:tc>
          <w:tcPr>
            <w:tcW w:w="281" w:type="pct"/>
            <w:shd w:val="clear" w:color="auto" w:fill="auto"/>
            <w:vAlign w:val="center"/>
          </w:tcPr>
          <w:p w14:paraId="297F1895" w14:textId="77777777" w:rsidR="00B21137" w:rsidRPr="00B21137" w:rsidRDefault="00B21137" w:rsidP="00B21137">
            <w:pPr>
              <w:keepNext/>
              <w:keepLines/>
              <w:spacing w:before="0" w:after="0"/>
              <w:jc w:val="center"/>
              <w:outlineLvl w:val="1"/>
              <w:rPr>
                <w:rFonts w:eastAsia="Times New Roman" w:cs="Calibri"/>
                <w:b/>
                <w:bCs/>
                <w:lang w:val="en-GB"/>
              </w:rPr>
            </w:pPr>
          </w:p>
        </w:tc>
        <w:tc>
          <w:tcPr>
            <w:tcW w:w="2947" w:type="pct"/>
            <w:shd w:val="clear" w:color="auto" w:fill="auto"/>
            <w:vAlign w:val="center"/>
          </w:tcPr>
          <w:p w14:paraId="0BDED2B7" w14:textId="77777777" w:rsidR="00B21137" w:rsidRPr="00B21137" w:rsidRDefault="00B21137" w:rsidP="00B21137">
            <w:pPr>
              <w:keepNext/>
              <w:keepLines/>
              <w:spacing w:before="0" w:after="0"/>
              <w:jc w:val="left"/>
              <w:outlineLvl w:val="1"/>
              <w:rPr>
                <w:rFonts w:cs="Calibri"/>
                <w:lang w:val="en-GB"/>
              </w:rPr>
            </w:pPr>
            <w:r w:rsidRPr="00B21137">
              <w:rPr>
                <w:rFonts w:cs="Calibri"/>
                <w:lang w:val="en-GB"/>
              </w:rPr>
              <w:t>Promote innovations in services of general interest, social services and public administration by elaborating, testing, and evaluating innovations (e.g. tools, processes, interfaces)</w:t>
            </w:r>
          </w:p>
        </w:tc>
        <w:tc>
          <w:tcPr>
            <w:tcW w:w="444" w:type="pct"/>
            <w:shd w:val="clear" w:color="auto" w:fill="auto"/>
            <w:vAlign w:val="center"/>
          </w:tcPr>
          <w:p w14:paraId="7E466E00"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444" w:type="pct"/>
            <w:shd w:val="clear" w:color="auto" w:fill="auto"/>
            <w:vAlign w:val="center"/>
          </w:tcPr>
          <w:p w14:paraId="6EF6E6B1"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884" w:type="pct"/>
            <w:shd w:val="clear" w:color="auto" w:fill="auto"/>
            <w:vAlign w:val="center"/>
          </w:tcPr>
          <w:p w14:paraId="10FCF556"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w:t>
            </w:r>
          </w:p>
        </w:tc>
      </w:tr>
      <w:tr w:rsidR="00B21137" w:rsidRPr="00B21137" w14:paraId="43254B01" w14:textId="77777777" w:rsidTr="00B21137">
        <w:trPr>
          <w:jc w:val="center"/>
        </w:trPr>
        <w:tc>
          <w:tcPr>
            <w:tcW w:w="281" w:type="pct"/>
            <w:shd w:val="clear" w:color="auto" w:fill="auto"/>
            <w:vAlign w:val="center"/>
          </w:tcPr>
          <w:p w14:paraId="2382B084" w14:textId="77777777" w:rsidR="00B21137" w:rsidRPr="00B21137" w:rsidRDefault="00B21137" w:rsidP="00B21137">
            <w:pPr>
              <w:keepNext/>
              <w:keepLines/>
              <w:spacing w:before="0" w:after="0"/>
              <w:jc w:val="center"/>
              <w:outlineLvl w:val="1"/>
              <w:rPr>
                <w:rFonts w:eastAsia="Times New Roman" w:cs="Calibri"/>
                <w:b/>
                <w:bCs/>
                <w:lang w:val="en-GB"/>
              </w:rPr>
            </w:pPr>
            <w:r w:rsidRPr="00B21137">
              <w:rPr>
                <w:rFonts w:eastAsia="Times New Roman" w:cs="Calibri"/>
                <w:b/>
                <w:bCs/>
                <w:lang w:val="en-GB"/>
              </w:rPr>
              <w:t>7</w:t>
            </w:r>
          </w:p>
        </w:tc>
        <w:tc>
          <w:tcPr>
            <w:tcW w:w="2947" w:type="pct"/>
            <w:shd w:val="clear" w:color="auto" w:fill="auto"/>
            <w:vAlign w:val="center"/>
          </w:tcPr>
          <w:p w14:paraId="67BA7FA8" w14:textId="77777777" w:rsidR="00B21137" w:rsidRPr="00B21137" w:rsidRDefault="00B21137" w:rsidP="00B21137">
            <w:pPr>
              <w:keepNext/>
              <w:keepLines/>
              <w:spacing w:before="0" w:after="0"/>
              <w:jc w:val="left"/>
              <w:outlineLvl w:val="1"/>
              <w:rPr>
                <w:rFonts w:cs="Calibri"/>
                <w:lang w:val="en-GB"/>
              </w:rPr>
            </w:pPr>
            <w:r w:rsidRPr="00B21137">
              <w:rPr>
                <w:rFonts w:cs="Calibri"/>
                <w:lang w:val="en-GB"/>
              </w:rPr>
              <w:t>Creation of evolved territorial development and investment plan and structures: EGTC, ITI, CLLD</w:t>
            </w:r>
          </w:p>
        </w:tc>
        <w:tc>
          <w:tcPr>
            <w:tcW w:w="444" w:type="pct"/>
            <w:shd w:val="clear" w:color="auto" w:fill="auto"/>
            <w:vAlign w:val="center"/>
          </w:tcPr>
          <w:p w14:paraId="78C049B6"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444" w:type="pct"/>
            <w:shd w:val="clear" w:color="auto" w:fill="auto"/>
            <w:vAlign w:val="center"/>
          </w:tcPr>
          <w:p w14:paraId="03D8CAB9"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884" w:type="pct"/>
            <w:shd w:val="clear" w:color="auto" w:fill="auto"/>
            <w:vAlign w:val="center"/>
          </w:tcPr>
          <w:p w14:paraId="2EE5DB92"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w:t>
            </w:r>
          </w:p>
        </w:tc>
      </w:tr>
      <w:tr w:rsidR="00B21137" w:rsidRPr="00B21137" w14:paraId="6A9A5188" w14:textId="77777777" w:rsidTr="00B21137">
        <w:trPr>
          <w:jc w:val="center"/>
        </w:trPr>
        <w:tc>
          <w:tcPr>
            <w:tcW w:w="281" w:type="pct"/>
            <w:shd w:val="clear" w:color="auto" w:fill="auto"/>
            <w:vAlign w:val="center"/>
          </w:tcPr>
          <w:p w14:paraId="08BB2C79" w14:textId="77777777" w:rsidR="00B21137" w:rsidRPr="00B21137" w:rsidRDefault="00B21137" w:rsidP="00B21137">
            <w:pPr>
              <w:keepNext/>
              <w:keepLines/>
              <w:spacing w:before="0" w:after="0"/>
              <w:jc w:val="center"/>
              <w:outlineLvl w:val="1"/>
              <w:rPr>
                <w:rFonts w:eastAsia="Times New Roman" w:cs="Calibri"/>
                <w:b/>
                <w:bCs/>
                <w:lang w:val="en-GB"/>
              </w:rPr>
            </w:pPr>
            <w:r w:rsidRPr="00B21137">
              <w:rPr>
                <w:rFonts w:eastAsia="Times New Roman" w:cs="Calibri"/>
                <w:b/>
                <w:bCs/>
                <w:lang w:val="en-GB"/>
              </w:rPr>
              <w:t>8</w:t>
            </w:r>
          </w:p>
        </w:tc>
        <w:tc>
          <w:tcPr>
            <w:tcW w:w="2947" w:type="pct"/>
            <w:shd w:val="clear" w:color="auto" w:fill="auto"/>
            <w:vAlign w:val="center"/>
          </w:tcPr>
          <w:p w14:paraId="0FA5DFE6" w14:textId="77777777" w:rsidR="00B21137" w:rsidRPr="00B21137" w:rsidRDefault="00B21137" w:rsidP="00B21137">
            <w:pPr>
              <w:keepNext/>
              <w:keepLines/>
              <w:spacing w:before="0" w:after="0"/>
              <w:jc w:val="left"/>
              <w:outlineLvl w:val="1"/>
              <w:rPr>
                <w:rFonts w:cs="Calibri"/>
                <w:lang w:val="en-GB"/>
              </w:rPr>
            </w:pPr>
            <w:r w:rsidRPr="00B21137">
              <w:rPr>
                <w:rFonts w:cs="Calibri"/>
                <w:lang w:val="en-GB"/>
              </w:rPr>
              <w:t>Improve the policy development and implementation on cross-border level as well as coordination of policies and investments related to education, health, etc.</w:t>
            </w:r>
          </w:p>
        </w:tc>
        <w:tc>
          <w:tcPr>
            <w:tcW w:w="444" w:type="pct"/>
            <w:shd w:val="clear" w:color="auto" w:fill="auto"/>
            <w:vAlign w:val="center"/>
          </w:tcPr>
          <w:p w14:paraId="698B2809"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444" w:type="pct"/>
            <w:shd w:val="clear" w:color="auto" w:fill="auto"/>
            <w:vAlign w:val="center"/>
          </w:tcPr>
          <w:p w14:paraId="1A8BC4ED"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884" w:type="pct"/>
            <w:shd w:val="clear" w:color="auto" w:fill="auto"/>
            <w:vAlign w:val="center"/>
          </w:tcPr>
          <w:p w14:paraId="7F0E81E6"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w:t>
            </w:r>
          </w:p>
        </w:tc>
      </w:tr>
      <w:tr w:rsidR="00B21137" w:rsidRPr="00B21137" w14:paraId="5C571270" w14:textId="77777777" w:rsidTr="00B21137">
        <w:trPr>
          <w:jc w:val="center"/>
        </w:trPr>
        <w:tc>
          <w:tcPr>
            <w:tcW w:w="281" w:type="pct"/>
            <w:shd w:val="clear" w:color="auto" w:fill="auto"/>
            <w:vAlign w:val="center"/>
          </w:tcPr>
          <w:p w14:paraId="3D36CDB6" w14:textId="77777777" w:rsidR="00B21137" w:rsidRPr="00B21137" w:rsidRDefault="00B21137" w:rsidP="00B21137">
            <w:pPr>
              <w:keepNext/>
              <w:keepLines/>
              <w:spacing w:before="0" w:after="0"/>
              <w:jc w:val="center"/>
              <w:outlineLvl w:val="1"/>
              <w:rPr>
                <w:rFonts w:eastAsia="Times New Roman" w:cs="Calibri"/>
                <w:b/>
                <w:bCs/>
                <w:lang w:val="en-GB"/>
              </w:rPr>
            </w:pPr>
            <w:r w:rsidRPr="00B21137">
              <w:rPr>
                <w:rFonts w:eastAsia="Times New Roman" w:cs="Calibri"/>
                <w:b/>
                <w:bCs/>
                <w:lang w:val="en-GB"/>
              </w:rPr>
              <w:t>9</w:t>
            </w:r>
          </w:p>
        </w:tc>
        <w:tc>
          <w:tcPr>
            <w:tcW w:w="2947" w:type="pct"/>
            <w:shd w:val="clear" w:color="auto" w:fill="auto"/>
            <w:vAlign w:val="center"/>
          </w:tcPr>
          <w:p w14:paraId="7A7E89E4" w14:textId="77777777" w:rsidR="00B21137" w:rsidRPr="00B21137" w:rsidRDefault="00B21137" w:rsidP="00B21137">
            <w:pPr>
              <w:keepNext/>
              <w:keepLines/>
              <w:spacing w:before="0" w:after="0"/>
              <w:jc w:val="left"/>
              <w:outlineLvl w:val="1"/>
              <w:rPr>
                <w:rFonts w:cs="Calibri"/>
                <w:lang w:val="en-GB"/>
              </w:rPr>
            </w:pPr>
            <w:r w:rsidRPr="00B21137">
              <w:rPr>
                <w:rFonts w:cs="Calibri"/>
                <w:lang w:val="en-GB"/>
              </w:rPr>
              <w:t>Awareness-raising on cross-border opportunities (employment, health care, etc.)</w:t>
            </w:r>
          </w:p>
        </w:tc>
        <w:tc>
          <w:tcPr>
            <w:tcW w:w="444" w:type="pct"/>
            <w:shd w:val="clear" w:color="auto" w:fill="auto"/>
            <w:vAlign w:val="center"/>
          </w:tcPr>
          <w:p w14:paraId="637CFAAB"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444" w:type="pct"/>
            <w:shd w:val="clear" w:color="auto" w:fill="auto"/>
            <w:vAlign w:val="center"/>
          </w:tcPr>
          <w:p w14:paraId="4CA9624A"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884" w:type="pct"/>
            <w:shd w:val="clear" w:color="auto" w:fill="auto"/>
            <w:vAlign w:val="center"/>
          </w:tcPr>
          <w:p w14:paraId="192C8781"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w:t>
            </w:r>
          </w:p>
        </w:tc>
      </w:tr>
      <w:tr w:rsidR="00B21137" w:rsidRPr="00B21137" w14:paraId="0B4499E4" w14:textId="77777777" w:rsidTr="00B21137">
        <w:trPr>
          <w:jc w:val="center"/>
        </w:trPr>
        <w:tc>
          <w:tcPr>
            <w:tcW w:w="281" w:type="pct"/>
            <w:shd w:val="clear" w:color="auto" w:fill="auto"/>
            <w:vAlign w:val="center"/>
          </w:tcPr>
          <w:p w14:paraId="136B43D5" w14:textId="77777777" w:rsidR="00B21137" w:rsidRPr="00B21137" w:rsidRDefault="00B21137" w:rsidP="00B21137">
            <w:pPr>
              <w:keepNext/>
              <w:keepLines/>
              <w:spacing w:before="0" w:after="0"/>
              <w:jc w:val="center"/>
              <w:outlineLvl w:val="1"/>
              <w:rPr>
                <w:rFonts w:eastAsia="Times New Roman" w:cs="Calibri"/>
                <w:b/>
                <w:bCs/>
                <w:lang w:val="en-GB"/>
              </w:rPr>
            </w:pPr>
            <w:r w:rsidRPr="00B21137">
              <w:rPr>
                <w:rFonts w:eastAsia="Times New Roman" w:cs="Calibri"/>
                <w:b/>
                <w:bCs/>
                <w:lang w:val="en-GB"/>
              </w:rPr>
              <w:t>10</w:t>
            </w:r>
          </w:p>
        </w:tc>
        <w:tc>
          <w:tcPr>
            <w:tcW w:w="2947" w:type="pct"/>
            <w:shd w:val="clear" w:color="auto" w:fill="auto"/>
            <w:vAlign w:val="center"/>
          </w:tcPr>
          <w:p w14:paraId="1516007F" w14:textId="77777777" w:rsidR="00B21137" w:rsidRPr="00B21137" w:rsidRDefault="00B21137" w:rsidP="00B21137">
            <w:pPr>
              <w:keepNext/>
              <w:keepLines/>
              <w:spacing w:before="0" w:after="0"/>
              <w:jc w:val="left"/>
              <w:outlineLvl w:val="1"/>
              <w:rPr>
                <w:rFonts w:cs="Calibri"/>
                <w:lang w:val="en-GB"/>
              </w:rPr>
            </w:pPr>
            <w:r w:rsidRPr="00B21137">
              <w:rPr>
                <w:rFonts w:cs="Calibri"/>
                <w:lang w:val="en-GB"/>
              </w:rPr>
              <w:t>Promote the modernisation of the public services by developing infrastructure and tools and purchasing equipment</w:t>
            </w:r>
          </w:p>
        </w:tc>
        <w:tc>
          <w:tcPr>
            <w:tcW w:w="444" w:type="pct"/>
            <w:shd w:val="clear" w:color="auto" w:fill="auto"/>
            <w:vAlign w:val="center"/>
          </w:tcPr>
          <w:p w14:paraId="081DD1DF"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444" w:type="pct"/>
            <w:shd w:val="clear" w:color="auto" w:fill="auto"/>
            <w:vAlign w:val="center"/>
          </w:tcPr>
          <w:p w14:paraId="7B09014B" w14:textId="77777777" w:rsidR="00B21137" w:rsidRPr="00B21137" w:rsidRDefault="00B21137" w:rsidP="00B21137">
            <w:pPr>
              <w:keepNext/>
              <w:keepLines/>
              <w:spacing w:before="0" w:after="0"/>
              <w:jc w:val="center"/>
              <w:outlineLvl w:val="1"/>
              <w:rPr>
                <w:rFonts w:cs="Calibri"/>
                <w:lang w:val="en-GB"/>
              </w:rPr>
            </w:pPr>
            <w:r w:rsidRPr="00B21137">
              <w:rPr>
                <w:rFonts w:cs="Calibri"/>
                <w:lang w:val="en-GB"/>
              </w:rPr>
              <w:t>+++</w:t>
            </w:r>
          </w:p>
        </w:tc>
        <w:tc>
          <w:tcPr>
            <w:tcW w:w="884" w:type="pct"/>
            <w:shd w:val="clear" w:color="auto" w:fill="auto"/>
            <w:vAlign w:val="center"/>
          </w:tcPr>
          <w:p w14:paraId="23839DAC" w14:textId="77777777" w:rsidR="00B21137" w:rsidRPr="00B21137" w:rsidRDefault="00B21137" w:rsidP="00B21137">
            <w:pPr>
              <w:keepNext/>
              <w:keepLines/>
              <w:spacing w:before="0" w:after="0"/>
              <w:jc w:val="center"/>
              <w:outlineLvl w:val="1"/>
              <w:rPr>
                <w:rFonts w:cs="Calibri"/>
                <w:b/>
                <w:lang w:val="en-GB"/>
              </w:rPr>
            </w:pPr>
            <w:r w:rsidRPr="00B21137">
              <w:rPr>
                <w:rFonts w:cs="Calibri"/>
                <w:b/>
                <w:lang w:val="en-GB"/>
              </w:rPr>
              <w:t>√</w:t>
            </w:r>
          </w:p>
        </w:tc>
      </w:tr>
    </w:tbl>
    <w:p w14:paraId="3AC4C1E4" w14:textId="77777777" w:rsidR="00843768" w:rsidRPr="006645DC" w:rsidRDefault="00843768" w:rsidP="00843768">
      <w:pPr>
        <w:rPr>
          <w:b/>
          <w:lang w:val="en-GB"/>
        </w:rPr>
      </w:pPr>
      <w:r w:rsidRPr="006645DC">
        <w:rPr>
          <w:b/>
          <w:lang w:val="en-GB"/>
        </w:rPr>
        <w:t>Table key:</w:t>
      </w:r>
    </w:p>
    <w:tbl>
      <w:tblPr>
        <w:tblW w:w="0" w:type="auto"/>
        <w:jc w:val="center"/>
        <w:tblLook w:val="04A0" w:firstRow="1" w:lastRow="0" w:firstColumn="1" w:lastColumn="0" w:noHBand="0" w:noVBand="1"/>
      </w:tblPr>
      <w:tblGrid>
        <w:gridCol w:w="3192"/>
        <w:gridCol w:w="3192"/>
        <w:gridCol w:w="3192"/>
      </w:tblGrid>
      <w:tr w:rsidR="00843768" w:rsidRPr="006645DC" w14:paraId="0F773166" w14:textId="77777777" w:rsidTr="00393EB7">
        <w:trPr>
          <w:trHeight w:val="283"/>
          <w:jc w:val="center"/>
        </w:trPr>
        <w:tc>
          <w:tcPr>
            <w:tcW w:w="3192" w:type="dxa"/>
            <w:shd w:val="clear" w:color="auto" w:fill="auto"/>
            <w:vAlign w:val="center"/>
          </w:tcPr>
          <w:p w14:paraId="294F1DC6" w14:textId="3C4312DB" w:rsidR="00843768" w:rsidRPr="006645DC" w:rsidRDefault="00982AD8" w:rsidP="00393EB7">
            <w:pPr>
              <w:spacing w:before="0" w:after="0"/>
              <w:jc w:val="center"/>
              <w:rPr>
                <w:b/>
                <w:lang w:val="en-GB"/>
              </w:rPr>
            </w:pPr>
            <w:r w:rsidRPr="006645DC">
              <w:rPr>
                <w:b/>
                <w:noProof/>
                <w:lang w:val="bg-BG" w:eastAsia="bg-BG"/>
              </w:rPr>
              <mc:AlternateContent>
                <mc:Choice Requires="wps">
                  <w:drawing>
                    <wp:anchor distT="0" distB="0" distL="114300" distR="114300" simplePos="0" relativeHeight="251651072" behindDoc="0" locked="0" layoutInCell="1" allowOverlap="1" wp14:anchorId="23136EA3" wp14:editId="3E757CD7">
                      <wp:simplePos x="0" y="0"/>
                      <wp:positionH relativeFrom="column">
                        <wp:posOffset>135255</wp:posOffset>
                      </wp:positionH>
                      <wp:positionV relativeFrom="paragraph">
                        <wp:posOffset>150495</wp:posOffset>
                      </wp:positionV>
                      <wp:extent cx="5848350" cy="179705"/>
                      <wp:effectExtent l="0" t="0" r="0" b="48895"/>
                      <wp:wrapNone/>
                      <wp:docPr id="489" name="Right Arrow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8350" cy="179705"/>
                              </a:xfrm>
                              <a:prstGeom prst="rightArrow">
                                <a:avLst>
                                  <a:gd name="adj1" fmla="val 50000"/>
                                  <a:gd name="adj2" fmla="val 50022"/>
                                </a:avLst>
                              </a:prstGeom>
                              <a:gradFill rotWithShape="1">
                                <a:gsLst>
                                  <a:gs pos="0">
                                    <a:srgbClr val="FF0000"/>
                                  </a:gs>
                                  <a:gs pos="74001">
                                    <a:srgbClr val="C2D1ED"/>
                                  </a:gs>
                                  <a:gs pos="100000">
                                    <a:srgbClr val="E1E8F5"/>
                                  </a:gs>
                                </a:gsLst>
                                <a:lin ang="10800000" scaled="1"/>
                              </a:gradFill>
                              <a:ln>
                                <a:noFill/>
                              </a:ln>
                              <a:effectLst>
                                <a:outerShdw dist="50800" dir="5400000" algn="ctr" rotWithShape="0">
                                  <a:srgbClr val="808080"/>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14:paraId="4900416C" w14:textId="77777777" w:rsidR="00F14D1E" w:rsidRDefault="00F14D1E" w:rsidP="00843768">
                                  <w:pPr>
                                    <w:jc w:val="center"/>
                                  </w:pPr>
                                  <w:r w:rsidRPr="00393EB7">
                                    <w:rPr>
                                      <w:color w:val="000000"/>
                                    </w:rPr>
                                    <w:t>ImportaceImportance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Right Arrow 139" o:spid="_x0000_s1033" type="#_x0000_t13" style="position:absolute;left:0;text-align:left;margin-left:10.65pt;margin-top:11.85pt;width:460.5pt;height:14.1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" adj="21268" fillcolor="red" stroked="f" strokeweight="2pt">
                      <v:fill color2="#e1e8f5" rotate="t" angle="270" colors="0 red;48497f #c2d1ed;1 #e1e8f5" focus="100%" type="gradient"/>
                      <v:shadow on="t" offset="0,4pt"/>
                      <v:textbox>
                        <w:txbxContent>
                          <w:p w14:paraId="4900416C" w14:textId="77777777" w:rsidR="00F14D1E" w:rsidRDefault="00F14D1E" w:rsidP="00843768">
                            <w:pPr>
                              <w:jc w:val="center"/>
                            </w:pPr>
                            <w:r w:rsidRPr="00393EB7">
                              <w:rPr>
                                <w:color w:val="000000"/>
                              </w:rPr>
                              <w:t>ImportaceImportance</w:t>
                            </w:r>
                          </w:p>
                        </w:txbxContent>
                      </v:textbox>
                    </v:shape>
                  </w:pict>
                </mc:Fallback>
              </mc:AlternateContent>
            </w:r>
            <w:r w:rsidR="00843768" w:rsidRPr="006645DC">
              <w:rPr>
                <w:b/>
                <w:lang w:val="en-GB"/>
              </w:rPr>
              <w:t>+</w:t>
            </w:r>
          </w:p>
        </w:tc>
        <w:tc>
          <w:tcPr>
            <w:tcW w:w="3192" w:type="dxa"/>
            <w:shd w:val="clear" w:color="auto" w:fill="auto"/>
            <w:vAlign w:val="center"/>
          </w:tcPr>
          <w:p w14:paraId="5B35F584" w14:textId="77777777" w:rsidR="00843768" w:rsidRPr="006645DC" w:rsidRDefault="00843768" w:rsidP="00393EB7">
            <w:pPr>
              <w:spacing w:before="0" w:after="0"/>
              <w:jc w:val="center"/>
              <w:rPr>
                <w:b/>
                <w:lang w:val="en-GB"/>
              </w:rPr>
            </w:pPr>
            <w:r w:rsidRPr="006645DC">
              <w:rPr>
                <w:b/>
                <w:lang w:val="en-GB"/>
              </w:rPr>
              <w:t>++</w:t>
            </w:r>
          </w:p>
        </w:tc>
        <w:tc>
          <w:tcPr>
            <w:tcW w:w="3192" w:type="dxa"/>
            <w:shd w:val="clear" w:color="auto" w:fill="auto"/>
            <w:vAlign w:val="center"/>
          </w:tcPr>
          <w:p w14:paraId="4018B8D2" w14:textId="77777777" w:rsidR="00843768" w:rsidRPr="006645DC" w:rsidRDefault="00843768" w:rsidP="00393EB7">
            <w:pPr>
              <w:spacing w:before="0" w:after="0"/>
              <w:jc w:val="center"/>
              <w:rPr>
                <w:b/>
                <w:lang w:val="en-GB"/>
              </w:rPr>
            </w:pPr>
            <w:r w:rsidRPr="006645DC">
              <w:rPr>
                <w:b/>
                <w:lang w:val="en-GB"/>
              </w:rPr>
              <w:t>+++</w:t>
            </w:r>
          </w:p>
        </w:tc>
      </w:tr>
    </w:tbl>
    <w:p w14:paraId="6AAED91D" w14:textId="389532D5" w:rsidR="00843768" w:rsidRPr="006645DC" w:rsidRDefault="00982AD8" w:rsidP="00843768">
      <w:pPr>
        <w:rPr>
          <w:lang w:val="en-GB"/>
        </w:rPr>
      </w:pPr>
      <w:r w:rsidRPr="006645DC">
        <w:rPr>
          <w:b/>
          <w:noProof/>
          <w:lang w:val="bg-BG" w:eastAsia="bg-BG"/>
        </w:rPr>
        <mc:AlternateContent>
          <mc:Choice Requires="wps">
            <w:drawing>
              <wp:anchor distT="0" distB="0" distL="114300" distR="114300" simplePos="0" relativeHeight="251650048" behindDoc="0" locked="0" layoutInCell="1" allowOverlap="1" wp14:anchorId="3B881B30" wp14:editId="09BD2731">
                <wp:simplePos x="0" y="0"/>
                <wp:positionH relativeFrom="column">
                  <wp:posOffset>198755</wp:posOffset>
                </wp:positionH>
                <wp:positionV relativeFrom="paragraph">
                  <wp:posOffset>6186170</wp:posOffset>
                </wp:positionV>
                <wp:extent cx="5848350" cy="232410"/>
                <wp:effectExtent l="0" t="0" r="0" b="53340"/>
                <wp:wrapNone/>
                <wp:docPr id="488" name="Right Arrow 1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48350" cy="232410"/>
                        </a:xfrm>
                        <a:prstGeom prst="rightArrow">
                          <a:avLst>
                            <a:gd name="adj1" fmla="val 50000"/>
                            <a:gd name="adj2" fmla="val 49978"/>
                          </a:avLst>
                        </a:prstGeom>
                        <a:gradFill rotWithShape="1">
                          <a:gsLst>
                            <a:gs pos="0">
                              <a:srgbClr val="FF0000"/>
                            </a:gs>
                            <a:gs pos="74001">
                              <a:srgbClr val="C2D1ED"/>
                            </a:gs>
                            <a:gs pos="100000">
                              <a:srgbClr val="E1E8F5"/>
                            </a:gs>
                          </a:gsLst>
                          <a:lin ang="10800000" scaled="1"/>
                        </a:gradFill>
                        <a:ln>
                          <a:noFill/>
                        </a:ln>
                        <a:effectLst>
                          <a:outerShdw dist="50800" dir="5400000" algn="ctr" rotWithShape="0">
                            <a:srgbClr val="808080"/>
                          </a:outerShdw>
                        </a:effectLst>
                        <a:extLst>
                          <a:ext uri="{91240B29-F687-4F45-9708-019B960494DF}">
                            <a14:hiddenLine xmlns:a14="http://schemas.microsoft.com/office/drawing/2010/main" w="25400">
                              <a:solidFill>
                                <a:srgbClr val="000000"/>
                              </a:solidFill>
                              <a:miter lim="800000"/>
                              <a:headEnd/>
                              <a:tailEnd/>
                            </a14:hiddenLine>
                          </a:ext>
                        </a:extLst>
                      </wps:spPr>
                      <wps:txbx>
                        <w:txbxContent>
                          <w:p w14:paraId="45136DB6" w14:textId="77777777" w:rsidR="00F14D1E" w:rsidRDefault="00F14D1E" w:rsidP="00843768">
                            <w:pPr>
                              <w:jc w:val="center"/>
                            </w:pPr>
                            <w:r w:rsidRPr="00393EB7">
                              <w:rPr>
                                <w:color w:val="000000"/>
                              </w:rPr>
                              <w:t>ImportaceImportance</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Right Arrow 137" o:spid="_x0000_s1034" type="#_x0000_t13" style="position:absolute;left:0;text-align:left;margin-left:15.65pt;margin-top:487.1pt;width:460.5pt;height:18.3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" adj="21171" fillcolor="red" stroked="f" strokeweight="2pt">
                <v:fill color2="#e1e8f5" rotate="t" angle="270" colors="0 red;48497f #c2d1ed;1 #e1e8f5" focus="100%" type="gradient"/>
                <v:shadow on="t" offset="0,4pt"/>
                <v:textbox>
                  <w:txbxContent>
                    <w:p w14:paraId="45136DB6" w14:textId="77777777" w:rsidR="00F14D1E" w:rsidRDefault="00F14D1E" w:rsidP="00843768">
                      <w:pPr>
                        <w:jc w:val="center"/>
                      </w:pPr>
                      <w:r w:rsidRPr="00393EB7">
                        <w:rPr>
                          <w:color w:val="000000"/>
                        </w:rPr>
                        <w:t>ImportaceImportance</w:t>
                      </w:r>
                    </w:p>
                  </w:txbxContent>
                </v:textbox>
              </v:shape>
            </w:pict>
          </mc:Fallback>
        </mc:AlternateContent>
      </w:r>
    </w:p>
    <w:p w14:paraId="50CC1D2D" w14:textId="77777777" w:rsidR="00843768" w:rsidRPr="006645DC" w:rsidRDefault="00843768" w:rsidP="00843768">
      <w:pPr>
        <w:spacing w:before="0" w:after="0"/>
        <w:jc w:val="center"/>
        <w:rPr>
          <w:i/>
          <w:lang w:val="en-GB"/>
        </w:rPr>
      </w:pPr>
      <w:r w:rsidRPr="006645DC">
        <w:rPr>
          <w:i/>
          <w:lang w:val="en-GB"/>
        </w:rPr>
        <w:t xml:space="preserve">Degrees of each need’s territorial relevance </w:t>
      </w:r>
    </w:p>
    <w:p w14:paraId="418839EA" w14:textId="77777777" w:rsidR="00843768" w:rsidRPr="006645DC" w:rsidRDefault="00843768" w:rsidP="00843768">
      <w:pPr>
        <w:spacing w:before="0" w:after="0"/>
        <w:jc w:val="left"/>
        <w:rPr>
          <w:lang w:val="en-GB"/>
        </w:rPr>
      </w:pPr>
      <w:r w:rsidRPr="006645DC">
        <w:rPr>
          <w:b/>
          <w:lang w:val="en-GB"/>
        </w:rPr>
        <w:t>TO11 – Enhancing institutional capacity and en efficient public administration</w:t>
      </w:r>
    </w:p>
    <w:p w14:paraId="2222956F" w14:textId="77777777" w:rsidR="00843768" w:rsidRPr="006645DC" w:rsidRDefault="00843768" w:rsidP="00843768">
      <w:pPr>
        <w:rPr>
          <w:lang w:val="en-GB"/>
        </w:rPr>
      </w:pPr>
    </w:p>
    <w:p w14:paraId="52B2C473" w14:textId="77777777" w:rsidR="0033167C" w:rsidRPr="006645DC" w:rsidRDefault="00A943EA" w:rsidP="00A943EA">
      <w:pPr>
        <w:pStyle w:val="Heading1"/>
        <w:rPr>
          <w:lang w:val="en-GB"/>
        </w:rPr>
      </w:pPr>
      <w:bookmarkStart w:id="2265" w:name="_Toc376200365"/>
      <w:bookmarkStart w:id="2266" w:name="_Toc254543859"/>
      <w:bookmarkStart w:id="2267" w:name="_Toc391150221"/>
      <w:r w:rsidRPr="006645DC">
        <w:rPr>
          <w:lang w:val="en-GB"/>
        </w:rPr>
        <w:lastRenderedPageBreak/>
        <w:t>The stakeholders` point of view</w:t>
      </w:r>
      <w:bookmarkEnd w:id="2265"/>
      <w:bookmarkEnd w:id="2266"/>
      <w:bookmarkEnd w:id="2267"/>
    </w:p>
    <w:p w14:paraId="2F2756A8" w14:textId="77777777" w:rsidR="00AE4572" w:rsidRPr="006645DC" w:rsidRDefault="00AE4572" w:rsidP="00C951D5">
      <w:pPr>
        <w:pStyle w:val="Heading2"/>
        <w:numPr>
          <w:ilvl w:val="0"/>
          <w:numId w:val="57"/>
        </w:numPr>
        <w:rPr>
          <w:lang w:val="en-GB"/>
        </w:rPr>
      </w:pPr>
      <w:bookmarkStart w:id="2268" w:name="_Toc376200366"/>
      <w:bookmarkStart w:id="2269" w:name="_Toc254543860"/>
      <w:bookmarkStart w:id="2270" w:name="_Toc391150222"/>
      <w:r w:rsidRPr="006645DC">
        <w:rPr>
          <w:lang w:val="en-GB"/>
        </w:rPr>
        <w:t>The methodology</w:t>
      </w:r>
      <w:bookmarkEnd w:id="2268"/>
      <w:bookmarkEnd w:id="2269"/>
      <w:bookmarkEnd w:id="2270"/>
    </w:p>
    <w:p w14:paraId="13342D92" w14:textId="77777777" w:rsidR="00AE4572" w:rsidRPr="006645DC" w:rsidRDefault="00AE4572" w:rsidP="00EB4797">
      <w:pPr>
        <w:rPr>
          <w:lang w:val="en-GB"/>
        </w:rPr>
      </w:pPr>
      <w:r w:rsidRPr="006645DC">
        <w:rPr>
          <w:lang w:val="en-GB"/>
        </w:rPr>
        <w:t>The stakeholders’ point of view on the Romania-Bulgaria cross-border area’s challenges and needs was investigated through two instruments:</w:t>
      </w:r>
    </w:p>
    <w:p w14:paraId="53C4F8E7" w14:textId="77777777" w:rsidR="00AE4572" w:rsidRPr="006645DC" w:rsidRDefault="00AE4572" w:rsidP="00821048">
      <w:pPr>
        <w:pStyle w:val="ListParagraph"/>
        <w:rPr>
          <w:lang w:val="en-GB"/>
        </w:rPr>
      </w:pPr>
      <w:r w:rsidRPr="006645DC">
        <w:rPr>
          <w:lang w:val="en-GB"/>
        </w:rPr>
        <w:t>An on-line questionnaire</w:t>
      </w:r>
    </w:p>
    <w:p w14:paraId="468D9EF8" w14:textId="77777777" w:rsidR="00AE4572" w:rsidRPr="006645DC" w:rsidRDefault="00AE4572" w:rsidP="00821048">
      <w:pPr>
        <w:pStyle w:val="ListParagraph"/>
        <w:rPr>
          <w:lang w:val="en-GB"/>
        </w:rPr>
      </w:pPr>
      <w:r w:rsidRPr="006645DC">
        <w:rPr>
          <w:lang w:val="en-GB"/>
        </w:rPr>
        <w:t>A series of one to one interviews</w:t>
      </w:r>
    </w:p>
    <w:p w14:paraId="42185CE5" w14:textId="77777777" w:rsidR="00AE4572" w:rsidRPr="006645DC" w:rsidRDefault="003D33E9" w:rsidP="00C951D5">
      <w:pPr>
        <w:pStyle w:val="Heading3"/>
        <w:numPr>
          <w:ilvl w:val="0"/>
          <w:numId w:val="134"/>
        </w:numPr>
        <w:rPr>
          <w:lang w:val="en-GB"/>
        </w:rPr>
      </w:pPr>
      <w:bookmarkStart w:id="2271" w:name="_Toc376200367"/>
      <w:bookmarkStart w:id="2272" w:name="_Toc254543861"/>
      <w:r w:rsidRPr="006645DC">
        <w:rPr>
          <w:lang w:val="en-GB"/>
        </w:rPr>
        <w:t>The on-line questionnaire</w:t>
      </w:r>
      <w:bookmarkEnd w:id="2271"/>
      <w:bookmarkEnd w:id="2272"/>
    </w:p>
    <w:p w14:paraId="3BB09E00" w14:textId="77777777" w:rsidR="00102604" w:rsidRPr="006645DC" w:rsidRDefault="00A87E7B" w:rsidP="00102604">
      <w:pPr>
        <w:rPr>
          <w:lang w:val="en-GB"/>
        </w:rPr>
      </w:pPr>
      <w:r w:rsidRPr="006645DC">
        <w:rPr>
          <w:lang w:val="en-GB"/>
        </w:rPr>
        <w:t xml:space="preserve">The on-line questionnaire targeted </w:t>
      </w:r>
      <w:r w:rsidR="00102604" w:rsidRPr="006645DC">
        <w:rPr>
          <w:lang w:val="en-GB"/>
        </w:rPr>
        <w:t>a vast part of the</w:t>
      </w:r>
      <w:r w:rsidRPr="006645DC">
        <w:rPr>
          <w:lang w:val="en-GB"/>
        </w:rPr>
        <w:t xml:space="preserve"> pool of the current Romania-Bulgaria Cross-Border Programme potential</w:t>
      </w:r>
      <w:r w:rsidR="00102604" w:rsidRPr="006645DC">
        <w:rPr>
          <w:lang w:val="en-GB"/>
        </w:rPr>
        <w:t xml:space="preserve"> and/or effective</w:t>
      </w:r>
      <w:r w:rsidRPr="006645DC">
        <w:rPr>
          <w:lang w:val="en-GB"/>
        </w:rPr>
        <w:t xml:space="preserve"> beneficiaries</w:t>
      </w:r>
      <w:r w:rsidR="00102604" w:rsidRPr="006645DC">
        <w:rPr>
          <w:lang w:val="en-GB"/>
        </w:rPr>
        <w:t>.</w:t>
      </w:r>
      <w:r w:rsidR="0040323B" w:rsidRPr="006645DC">
        <w:rPr>
          <w:lang w:val="en-GB"/>
        </w:rPr>
        <w:t xml:space="preserve"> Nevertheless, even if the sample might be</w:t>
      </w:r>
      <w:r w:rsidR="00EB4797" w:rsidRPr="006645DC">
        <w:rPr>
          <w:lang w:val="en-GB"/>
        </w:rPr>
        <w:t xml:space="preserve"> statistically relevant</w:t>
      </w:r>
      <w:r w:rsidR="0040323B" w:rsidRPr="006645DC">
        <w:rPr>
          <w:lang w:val="en-GB"/>
        </w:rPr>
        <w:t>, the limited number of answers obtained makes the results irrelevant from a purely statistical point of view</w:t>
      </w:r>
      <w:r w:rsidR="00EB4797" w:rsidRPr="006645DC">
        <w:rPr>
          <w:lang w:val="en-GB"/>
        </w:rPr>
        <w:t>.</w:t>
      </w:r>
      <w:r w:rsidR="0040323B" w:rsidRPr="006645DC">
        <w:rPr>
          <w:lang w:val="en-GB"/>
        </w:rPr>
        <w:t xml:space="preserve"> However, some additional “qualitative” objective factors enable the reasonable use of these results as an “orientation” tool for programming purposes. </w:t>
      </w:r>
      <w:r w:rsidR="00812AF8" w:rsidRPr="006645DC">
        <w:rPr>
          <w:lang w:val="en-GB"/>
        </w:rPr>
        <w:t xml:space="preserve">The figure </w:t>
      </w:r>
      <w:r w:rsidR="00AB0589" w:rsidRPr="006645DC">
        <w:rPr>
          <w:lang w:val="en-GB"/>
        </w:rPr>
        <w:t xml:space="preserve">below </w:t>
      </w:r>
      <w:r w:rsidR="009E6218" w:rsidRPr="006645DC">
        <w:rPr>
          <w:lang w:val="en-GB"/>
        </w:rPr>
        <w:t>presents the</w:t>
      </w:r>
      <w:r w:rsidR="00AB0589" w:rsidRPr="006645DC">
        <w:rPr>
          <w:lang w:val="en-GB"/>
        </w:rPr>
        <w:t xml:space="preserve"> methodological</w:t>
      </w:r>
      <w:r w:rsidR="00812AF8" w:rsidRPr="006645DC">
        <w:rPr>
          <w:lang w:val="en-GB"/>
        </w:rPr>
        <w:t xml:space="preserve"> interrelationship</w:t>
      </w:r>
      <w:r w:rsidR="00AB0589" w:rsidRPr="006645DC">
        <w:rPr>
          <w:lang w:val="en-GB"/>
        </w:rPr>
        <w:t xml:space="preserve"> on which the results are based</w:t>
      </w:r>
      <w:r w:rsidR="00812AF8" w:rsidRPr="006645DC">
        <w:rPr>
          <w:lang w:val="en-GB"/>
        </w:rPr>
        <w:t>:</w:t>
      </w:r>
    </w:p>
    <w:p w14:paraId="01AA338E" w14:textId="49CE6378" w:rsidR="00812AF8" w:rsidRPr="006645DC" w:rsidRDefault="00982AD8" w:rsidP="00102604">
      <w:pPr>
        <w:rPr>
          <w:lang w:val="en-GB"/>
        </w:rPr>
      </w:pPr>
      <w:r w:rsidRPr="006645DC">
        <w:rPr>
          <w:noProof/>
          <w:lang w:val="bg-BG" w:eastAsia="bg-BG"/>
        </w:rPr>
        <mc:AlternateContent>
          <mc:Choice Requires="wpg">
            <w:drawing>
              <wp:anchor distT="0" distB="0" distL="114300" distR="114300" simplePos="0" relativeHeight="251668480" behindDoc="0" locked="0" layoutInCell="1" allowOverlap="1" wp14:anchorId="6F87CE36" wp14:editId="79D3B4DC">
                <wp:simplePos x="0" y="0"/>
                <wp:positionH relativeFrom="column">
                  <wp:posOffset>-91440</wp:posOffset>
                </wp:positionH>
                <wp:positionV relativeFrom="paragraph">
                  <wp:posOffset>67310</wp:posOffset>
                </wp:positionV>
                <wp:extent cx="6126480" cy="3531235"/>
                <wp:effectExtent l="0" t="0" r="45720" b="50165"/>
                <wp:wrapNone/>
                <wp:docPr id="446" name="Group 4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26480" cy="3531235"/>
                          <a:chOff x="0" y="0"/>
                          <a:chExt cx="6126480" cy="3531235"/>
                        </a:xfrm>
                      </wpg:grpSpPr>
                      <wps:wsp>
                        <wps:cNvPr id="480" name="Right Arrow 236"/>
                        <wps:cNvSpPr>
                          <a:spLocks noChangeArrowheads="1"/>
                        </wps:cNvSpPr>
                        <wps:spPr bwMode="auto">
                          <a:xfrm>
                            <a:off x="2105025" y="1162050"/>
                            <a:ext cx="2560320" cy="551815"/>
                          </a:xfrm>
                          <a:prstGeom prst="rightArrow">
                            <a:avLst>
                              <a:gd name="adj1" fmla="val 50000"/>
                              <a:gd name="adj2" fmla="val 41071"/>
                            </a:avLst>
                          </a:prstGeom>
                          <a:solidFill>
                            <a:srgbClr val="4F81BD"/>
                          </a:solidFill>
                          <a:ln w="25400">
                            <a:solidFill>
                              <a:srgbClr val="243F60"/>
                            </a:solidFill>
                            <a:miter lim="800000"/>
                            <a:headEnd/>
                            <a:tailEnd/>
                          </a:ln>
                        </wps:spPr>
                        <wps:txbx>
                          <w:txbxContent>
                            <w:p w14:paraId="53E4A301" w14:textId="77777777" w:rsidR="00F14D1E" w:rsidRPr="00393EB7" w:rsidRDefault="00F14D1E" w:rsidP="002A6427">
                              <w:pPr>
                                <w:spacing w:before="0" w:after="0"/>
                                <w:jc w:val="center"/>
                                <w:rPr>
                                  <w:color w:val="FFFFFF"/>
                                  <w:sz w:val="20"/>
                                  <w:szCs w:val="20"/>
                                </w:rPr>
                              </w:pPr>
                              <w:r w:rsidRPr="00393EB7">
                                <w:rPr>
                                  <w:color w:val="FFFFFF"/>
                                  <w:sz w:val="20"/>
                                  <w:szCs w:val="20"/>
                                </w:rPr>
                                <w:t xml:space="preserve">Qualitative relevance of the sample </w:t>
                              </w:r>
                            </w:p>
                          </w:txbxContent>
                        </wps:txbx>
                        <wps:bodyPr rot="0" vert="horz" wrap="square" lIns="91440" tIns="45720" rIns="91440" bIns="45720" anchor="t" anchorCtr="0" upright="1">
                          <a:noAutofit/>
                        </wps:bodyPr>
                      </wps:wsp>
                      <wpg:grpSp>
                        <wpg:cNvPr id="481" name="Group 20"/>
                        <wpg:cNvGrpSpPr>
                          <a:grpSpLocks/>
                        </wpg:cNvGrpSpPr>
                        <wpg:grpSpPr bwMode="auto">
                          <a:xfrm>
                            <a:off x="0" y="0"/>
                            <a:ext cx="6126480" cy="3531235"/>
                            <a:chOff x="907" y="8651"/>
                            <a:chExt cx="9648" cy="5561"/>
                          </a:xfrm>
                        </wpg:grpSpPr>
                        <wps:wsp>
                          <wps:cNvPr id="482" name="Rounded Rectangle 20"/>
                          <wps:cNvSpPr>
                            <a:spLocks noChangeArrowheads="1"/>
                          </wps:cNvSpPr>
                          <wps:spPr bwMode="auto">
                            <a:xfrm>
                              <a:off x="945" y="8651"/>
                              <a:ext cx="3121" cy="1296"/>
                            </a:xfrm>
                            <a:prstGeom prst="roundRect">
                              <a:avLst>
                                <a:gd name="adj" fmla="val 16667"/>
                              </a:avLst>
                            </a:prstGeom>
                            <a:solidFill>
                              <a:srgbClr val="4F81BD"/>
                            </a:solidFill>
                            <a:ln w="25400">
                              <a:solidFill>
                                <a:srgbClr val="243F60"/>
                              </a:solidFill>
                              <a:round/>
                              <a:headEnd/>
                              <a:tailEnd/>
                            </a:ln>
                          </wps:spPr>
                          <wps:txbx>
                            <w:txbxContent>
                              <w:p w14:paraId="24359CBD" w14:textId="77777777" w:rsidR="00F14D1E" w:rsidRPr="00393EB7" w:rsidRDefault="00F14D1E" w:rsidP="00683761">
                                <w:pPr>
                                  <w:spacing w:before="0" w:after="0"/>
                                  <w:jc w:val="center"/>
                                  <w:rPr>
                                    <w:color w:val="FFFFFF"/>
                                    <w:sz w:val="20"/>
                                    <w:szCs w:val="20"/>
                                  </w:rPr>
                                </w:pPr>
                                <w:r w:rsidRPr="00393EB7">
                                  <w:rPr>
                                    <w:color w:val="FFFFFF"/>
                                    <w:sz w:val="20"/>
                                    <w:szCs w:val="20"/>
                                  </w:rPr>
                                  <w:t>The target population that includes only public or not-for-profit entities is a limited one</w:t>
                                </w:r>
                              </w:p>
                            </w:txbxContent>
                          </wps:txbx>
                          <wps:bodyPr rot="0" vert="horz" wrap="square" lIns="91440" tIns="45720" rIns="91440" bIns="45720" anchor="ctr" anchorCtr="0" upright="1">
                            <a:noAutofit/>
                          </wps:bodyPr>
                        </wps:wsp>
                        <wps:wsp>
                          <wps:cNvPr id="483" name="Rounded Rectangle 23"/>
                          <wps:cNvSpPr>
                            <a:spLocks noChangeArrowheads="1"/>
                          </wps:cNvSpPr>
                          <wps:spPr bwMode="auto">
                            <a:xfrm>
                              <a:off x="922" y="10114"/>
                              <a:ext cx="3168" cy="1584"/>
                            </a:xfrm>
                            <a:prstGeom prst="roundRect">
                              <a:avLst>
                                <a:gd name="adj" fmla="val 16667"/>
                              </a:avLst>
                            </a:prstGeom>
                            <a:solidFill>
                              <a:srgbClr val="4F81BD"/>
                            </a:solidFill>
                            <a:ln w="25400">
                              <a:solidFill>
                                <a:srgbClr val="243F60"/>
                              </a:solidFill>
                              <a:round/>
                              <a:headEnd/>
                              <a:tailEnd/>
                            </a:ln>
                          </wps:spPr>
                          <wps:txbx>
                            <w:txbxContent>
                              <w:p w14:paraId="77C46781" w14:textId="77777777" w:rsidR="00F14D1E" w:rsidRPr="00393EB7" w:rsidRDefault="00F14D1E" w:rsidP="00683761">
                                <w:pPr>
                                  <w:spacing w:before="0" w:after="0"/>
                                  <w:jc w:val="center"/>
                                  <w:rPr>
                                    <w:color w:val="FFFFFF"/>
                                    <w:sz w:val="20"/>
                                    <w:szCs w:val="20"/>
                                  </w:rPr>
                                </w:pPr>
                                <w:r w:rsidRPr="00393EB7">
                                  <w:rPr>
                                    <w:color w:val="FFFFFF"/>
                                    <w:sz w:val="20"/>
                                    <w:szCs w:val="20"/>
                                  </w:rPr>
                                  <w:t>The target population has a high degree of homogeneity (in terms of type of territorial competencies, activities, concerns, presence)</w:t>
                                </w:r>
                              </w:p>
                            </w:txbxContent>
                          </wps:txbx>
                          <wps:bodyPr rot="0" vert="horz" wrap="square" lIns="91440" tIns="45720" rIns="91440" bIns="45720" anchor="t" anchorCtr="0" upright="1">
                            <a:noAutofit/>
                          </wps:bodyPr>
                        </wps:wsp>
                        <wps:wsp>
                          <wps:cNvPr id="484" name="Rounded Rectangle 25"/>
                          <wps:cNvSpPr>
                            <a:spLocks noChangeArrowheads="1"/>
                          </wps:cNvSpPr>
                          <wps:spPr bwMode="auto">
                            <a:xfrm>
                              <a:off x="907" y="12628"/>
                              <a:ext cx="9648" cy="1584"/>
                            </a:xfrm>
                            <a:prstGeom prst="roundRect">
                              <a:avLst>
                                <a:gd name="adj" fmla="val 16667"/>
                              </a:avLst>
                            </a:prstGeom>
                            <a:gradFill rotWithShape="0">
                              <a:gsLst>
                                <a:gs pos="0">
                                  <a:srgbClr val="FFFFFF"/>
                                </a:gs>
                                <a:gs pos="100000">
                                  <a:srgbClr val="999999"/>
                                </a:gs>
                              </a:gsLst>
                              <a:lin ang="5400000" scaled="1"/>
                            </a:gradFill>
                            <a:ln w="12700">
                              <a:solidFill>
                                <a:srgbClr val="666666"/>
                              </a:solidFill>
                              <a:round/>
                              <a:headEnd/>
                              <a:tailEnd/>
                            </a:ln>
                            <a:effectLst>
                              <a:outerShdw dist="28398" dir="3806097" algn="ctr" rotWithShape="0">
                                <a:srgbClr val="7F7F7F">
                                  <a:alpha val="50000"/>
                                </a:srgbClr>
                              </a:outerShdw>
                            </a:effectLst>
                          </wps:spPr>
                          <wps:txbx>
                            <w:txbxContent>
                              <w:p w14:paraId="20ACCBF7" w14:textId="77777777" w:rsidR="00F14D1E" w:rsidRPr="00683761" w:rsidRDefault="00F14D1E" w:rsidP="00683761">
                                <w:pPr>
                                  <w:spacing w:before="0" w:after="0"/>
                                  <w:rPr>
                                    <w:sz w:val="20"/>
                                    <w:szCs w:val="20"/>
                                  </w:rPr>
                                </w:pPr>
                                <w:r w:rsidRPr="00683761">
                                  <w:rPr>
                                    <w:sz w:val="20"/>
                                    <w:szCs w:val="20"/>
                                  </w:rPr>
                                  <w:t xml:space="preserve">The targeted population includes institutional/organization future potential beneficiaries, a fact which supposes that individuals within it are pro-active and display a higher capacity to express options for the strategic and operational orientations of the ROBG 2014-2020 cross-border programme (many of them are involved in local governance either as public actor or civil society actor, formulating local/regional public policies or implementing national public policies).  </w:t>
                                </w:r>
                              </w:p>
                            </w:txbxContent>
                          </wps:txbx>
                          <wps:bodyPr rot="0" vert="horz" wrap="square" lIns="91440" tIns="45720" rIns="91440" bIns="45720" anchor="t" anchorCtr="0" upright="1">
                            <a:noAutofit/>
                          </wps:bodyPr>
                        </wps:wsp>
                        <wps:wsp>
                          <wps:cNvPr id="485" name="Right Arrow 235"/>
                          <wps:cNvSpPr>
                            <a:spLocks noChangeArrowheads="1"/>
                          </wps:cNvSpPr>
                          <wps:spPr bwMode="auto">
                            <a:xfrm>
                              <a:off x="4214" y="8833"/>
                              <a:ext cx="4032" cy="864"/>
                            </a:xfrm>
                            <a:prstGeom prst="rightArrow">
                              <a:avLst>
                                <a:gd name="adj1" fmla="val 50000"/>
                                <a:gd name="adj2" fmla="val 54596"/>
                              </a:avLst>
                            </a:prstGeom>
                            <a:solidFill>
                              <a:srgbClr val="4F81BD"/>
                            </a:solidFill>
                            <a:ln w="25400">
                              <a:solidFill>
                                <a:srgbClr val="243F60"/>
                              </a:solidFill>
                              <a:miter lim="800000"/>
                              <a:headEnd/>
                              <a:tailEnd/>
                            </a:ln>
                          </wps:spPr>
                          <wps:txbx>
                            <w:txbxContent>
                              <w:p w14:paraId="0E3725A4" w14:textId="77777777" w:rsidR="00F14D1E" w:rsidRPr="00393EB7" w:rsidRDefault="00F14D1E" w:rsidP="002A6427">
                                <w:pPr>
                                  <w:spacing w:before="0" w:after="0"/>
                                  <w:jc w:val="center"/>
                                  <w:rPr>
                                    <w:color w:val="FFFFFF"/>
                                    <w:sz w:val="20"/>
                                    <w:szCs w:val="20"/>
                                  </w:rPr>
                                </w:pPr>
                                <w:r w:rsidRPr="00393EB7">
                                  <w:rPr>
                                    <w:color w:val="FFFFFF"/>
                                    <w:sz w:val="20"/>
                                    <w:szCs w:val="20"/>
                                  </w:rPr>
                                  <w:t xml:space="preserve">Quantitative relevance of the sample </w:t>
                                </w:r>
                              </w:p>
                            </w:txbxContent>
                          </wps:txbx>
                          <wps:bodyPr rot="0" vert="horz" wrap="square" lIns="91440" tIns="45720" rIns="91440" bIns="45720" anchor="t" anchorCtr="0" upright="1">
                            <a:noAutofit/>
                          </wps:bodyPr>
                        </wps:wsp>
                        <wps:wsp>
                          <wps:cNvPr id="486" name="Rounded Rectangle 241"/>
                          <wps:cNvSpPr>
                            <a:spLocks noChangeArrowheads="1"/>
                          </wps:cNvSpPr>
                          <wps:spPr bwMode="auto">
                            <a:xfrm>
                              <a:off x="8447" y="8825"/>
                              <a:ext cx="2085" cy="2304"/>
                            </a:xfrm>
                            <a:prstGeom prst="roundRect">
                              <a:avLst>
                                <a:gd name="adj" fmla="val 16667"/>
                              </a:avLst>
                            </a:prstGeom>
                            <a:solidFill>
                              <a:srgbClr val="C0504D"/>
                            </a:solidFill>
                            <a:ln w="25400">
                              <a:solidFill>
                                <a:srgbClr val="622423"/>
                              </a:solidFill>
                              <a:round/>
                              <a:headEnd/>
                              <a:tailEnd/>
                            </a:ln>
                          </wps:spPr>
                          <wps:txbx>
                            <w:txbxContent>
                              <w:p w14:paraId="7C9B0D6A" w14:textId="77777777" w:rsidR="00F14D1E" w:rsidRPr="00393EB7" w:rsidRDefault="00F14D1E" w:rsidP="001451D4">
                                <w:pPr>
                                  <w:spacing w:before="0" w:after="0"/>
                                  <w:jc w:val="center"/>
                                  <w:rPr>
                                    <w:color w:val="FFFFFF"/>
                                    <w:sz w:val="20"/>
                                    <w:szCs w:val="20"/>
                                  </w:rPr>
                                </w:pPr>
                                <w:r w:rsidRPr="00393EB7">
                                  <w:rPr>
                                    <w:color w:val="FFFFFF"/>
                                    <w:sz w:val="20"/>
                                    <w:szCs w:val="20"/>
                                  </w:rPr>
                                  <w:t>Answers obtained are reasonably representative of the whole territorial development debate and options.</w:t>
                                </w:r>
                              </w:p>
                              <w:p w14:paraId="635EA5E6" w14:textId="77777777" w:rsidR="00F14D1E" w:rsidRPr="00393EB7" w:rsidRDefault="00F14D1E" w:rsidP="001451D4">
                                <w:pPr>
                                  <w:spacing w:before="0" w:after="0"/>
                                  <w:jc w:val="center"/>
                                  <w:rPr>
                                    <w:color w:val="FFFFFF"/>
                                    <w:sz w:val="20"/>
                                    <w:szCs w:val="20"/>
                                    <w:lang w:val="ro-RO"/>
                                  </w:rPr>
                                </w:pPr>
                              </w:p>
                            </w:txbxContent>
                          </wps:txbx>
                          <wps:bodyPr rot="0" vert="horz" wrap="square" lIns="91440" tIns="45720" rIns="91440" bIns="45720" anchor="ctr" anchorCtr="0" upright="1">
                            <a:noAutofit/>
                          </wps:bodyPr>
                        </wps:wsp>
                        <wps:wsp>
                          <wps:cNvPr id="487" name="Right Arrow 238"/>
                          <wps:cNvSpPr>
                            <a:spLocks noChangeArrowheads="1"/>
                          </wps:cNvSpPr>
                          <wps:spPr bwMode="auto">
                            <a:xfrm rot="16200000">
                              <a:off x="5496" y="10295"/>
                              <a:ext cx="1296" cy="3312"/>
                            </a:xfrm>
                            <a:prstGeom prst="rightArrow">
                              <a:avLst>
                                <a:gd name="adj1" fmla="val 79343"/>
                                <a:gd name="adj2" fmla="val 36708"/>
                              </a:avLst>
                            </a:prstGeom>
                            <a:gradFill rotWithShape="0">
                              <a:gsLst>
                                <a:gs pos="0">
                                  <a:srgbClr val="F79646"/>
                                </a:gs>
                                <a:gs pos="100000">
                                  <a:srgbClr val="974706"/>
                                </a:gs>
                              </a:gsLst>
                              <a:lin ang="2700000" scaled="1"/>
                            </a:gradFill>
                            <a:ln w="12700">
                              <a:solidFill>
                                <a:srgbClr val="F2F2F2"/>
                              </a:solidFill>
                              <a:miter lim="800000"/>
                              <a:headEnd/>
                              <a:tailEnd/>
                            </a:ln>
                            <a:effectLst>
                              <a:outerShdw sy="50000" kx="-2453608" rotWithShape="0">
                                <a:srgbClr val="FBD4B4">
                                  <a:alpha val="50000"/>
                                </a:srgbClr>
                              </a:outerShdw>
                            </a:effectLst>
                          </wps:spPr>
                          <wps:txbx>
                            <w:txbxContent>
                              <w:p w14:paraId="04474DC7" w14:textId="77777777" w:rsidR="00F14D1E" w:rsidRPr="00393EB7" w:rsidRDefault="00F14D1E" w:rsidP="00710CE3">
                                <w:pPr>
                                  <w:jc w:val="center"/>
                                  <w:rPr>
                                    <w:color w:val="FFFFFF"/>
                                    <w:sz w:val="20"/>
                                    <w:szCs w:val="20"/>
                                  </w:rPr>
                                </w:pPr>
                                <w:r>
                                  <w:rPr>
                                    <w:color w:val="FFFFFF"/>
                                    <w:sz w:val="20"/>
                                    <w:szCs w:val="20"/>
                                  </w:rPr>
                                  <w:t xml:space="preserve">    </w:t>
                                </w:r>
                                <w:r w:rsidRPr="00393EB7">
                                  <w:rPr>
                                    <w:color w:val="FFFFFF"/>
                                    <w:sz w:val="20"/>
                                    <w:szCs w:val="20"/>
                                  </w:rPr>
                                  <w:t xml:space="preserve">Capacity of respondents to </w:t>
                                </w:r>
                                <w:r>
                                  <w:rPr>
                                    <w:color w:val="FFFFFF"/>
                                    <w:sz w:val="20"/>
                                    <w:szCs w:val="20"/>
                                  </w:rPr>
                                  <w:t xml:space="preserve">   </w:t>
                                </w:r>
                                <w:r w:rsidRPr="00393EB7">
                                  <w:rPr>
                                    <w:color w:val="FFFFFF"/>
                                    <w:sz w:val="20"/>
                                    <w:szCs w:val="20"/>
                                  </w:rPr>
                                  <w:t>understand the questions</w:t>
                                </w:r>
                              </w:p>
                            </w:txbxContent>
                          </wps:txbx>
                          <wps:bodyPr rot="0" vert="horz" wrap="square" lIns="91440" tIns="45720" rIns="91440" bIns="45720" anchor="ctr" anchorCtr="0" upright="1">
                            <a:noAutofit/>
                          </wps:bodyPr>
                        </wps:wsp>
                      </wpg:grpSp>
                    </wpg:wgp>
                  </a:graphicData>
                </a:graphic>
                <wp14:sizeRelH relativeFrom="page">
                  <wp14:pctWidth>0</wp14:pctWidth>
                </wp14:sizeRelH>
                <wp14:sizeRelV relativeFrom="margin">
                  <wp14:pctHeight>0</wp14:pctHeight>
                </wp14:sizeRelV>
              </wp:anchor>
            </w:drawing>
          </mc:Choice>
          <mc:Fallback>
            <w:pict>
              <v:group id="Group 446" o:spid="_x0000_s1035" style="position:absolute;left:0;text-align:left;margin-left:-7.2pt;margin-top:5.3pt;width:482.4pt;height:278.05pt;z-index:251668480;mso-height-relative:margin" coordsize="61264,35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">
                <v:shape id="Right Arrow 236" o:spid="_x0000_s1036" type="#_x0000_t13" style="position:absolute;left:21050;top:11620;width:25603;height:55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I2mMQA&#10;AADcAAAADwAAAGRycy9kb3ducmV2LnhtbERPz2vCMBS+C/sfwhvsIjN1yiadUaYgKLqDboXt9mje&#10;2rLmpSSxVv96cxA8fny/p/PO1KIl5yvLCoaDBARxbnXFhYLvr9XzBIQPyBpry6TgTB7ms4feFFNt&#10;T7yn9hAKEUPYp6igDKFJpfR5SQb9wDbEkfuzzmCI0BVSOzzFcFPLlyR5lQYrjg0lNrQsKf8/HI2C&#10;7O3nsz9qXTvc7LKML79uz4utUk+P3cc7iEBduItv7rVWMJ7E+fFMPAJyd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SNpjEAAAA3AAAAA8AAAAAAAAAAAAAAAAAmAIAAGRycy9k&#10;b3ducmV2LnhtbFBLBQYAAAAABAAEAPUAAACJAwAAAAA=&#10;" adj="19688" fillcolor="#4f81bd" strokecolor="#243f60" strokeweight="2pt">
                  <v:textbox>
                    <w:txbxContent>
                      <w:p w14:paraId="53E4A301" w14:textId="77777777" w:rsidR="00F14D1E" w:rsidRPr="00393EB7" w:rsidRDefault="00F14D1E" w:rsidP="002A6427">
                        <w:pPr>
                          <w:spacing w:before="0" w:after="0"/>
                          <w:jc w:val="center"/>
                          <w:rPr>
                            <w:color w:val="FFFFFF"/>
                            <w:sz w:val="20"/>
                            <w:szCs w:val="20"/>
                          </w:rPr>
                        </w:pPr>
                        <w:r w:rsidRPr="00393EB7">
                          <w:rPr>
                            <w:color w:val="FFFFFF"/>
                            <w:sz w:val="20"/>
                            <w:szCs w:val="20"/>
                          </w:rPr>
                          <w:t xml:space="preserve">Qualitative relevance of the sample </w:t>
                        </w:r>
                      </w:p>
                    </w:txbxContent>
                  </v:textbox>
                </v:shape>
                <v:group id="Group 20" o:spid="_x0000_s1037" style="position:absolute;width:61264;height:35312" coordorigin="907,8651" coordsize="9648,55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WfGcQAAADcAAAADwAAAGRycy9kb3ducmV2LnhtbESPQYvCMBSE78L+h/CE&#10;vWnaXV2kGkXEXTyIoC6It0fzbIvNS2liW/+9EQSPw8x8w8wWnSlFQ7UrLCuIhxEI4tTqgjMF/8ff&#10;wQSE88gaS8uk4E4OFvOP3gwTbVveU3PwmQgQdgkqyL2vEildmpNBN7QVcfAutjbog6wzqWtsA9yU&#10;8iuKfqTBgsNCjhWtckqvh5tR8Ndiu/yO1832elndz8fx7rSNSanPfrecgvDU+Xf41d5oBaN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WfGcQAAADcAAAA&#10;DwAAAAAAAAAAAAAAAACqAgAAZHJzL2Rvd25yZXYueG1sUEsFBgAAAAAEAAQA+gAAAJsDAAAAAA==&#10;">
                  <v:roundrect id="Rounded Rectangle 20" o:spid="_x0000_s1038" style="position:absolute;left:945;top:8651;width:3121;height:129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J688YA&#10;AADcAAAADwAAAGRycy9kb3ducmV2LnhtbESP3WrCQBSE7wXfYTmF3ummaSsSXUWEUqFF/ANvD9lj&#10;Nm32bJrdJunbu0LBy2FmvmHmy95WoqXGl44VPI0TEMS50yUXCk7Ht9EUhA/IGivHpOCPPCwXw8Ec&#10;M+063lN7CIWIEPYZKjAh1JmUPjdk0Y9dTRy9i2sshiibQuoGuwi3lUyTZCItlhwXDNa0NpR/H36t&#10;gvb887xZmd3759ex+6i2xWu639ZKPT70qxmIQH24h//bG63gZZrC7Uw8AnJx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4J688YAAADcAAAADwAAAAAAAAAAAAAAAACYAgAAZHJz&#10;L2Rvd25yZXYueG1sUEsFBgAAAAAEAAQA9QAAAIsDAAAAAA==&#10;" fillcolor="#4f81bd" strokecolor="#243f60" strokeweight="2pt">
                    <v:textbox>
                      <w:txbxContent>
                        <w:p w14:paraId="24359CBD" w14:textId="77777777" w:rsidR="00F14D1E" w:rsidRPr="00393EB7" w:rsidRDefault="00F14D1E" w:rsidP="00683761">
                          <w:pPr>
                            <w:spacing w:before="0" w:after="0"/>
                            <w:jc w:val="center"/>
                            <w:rPr>
                              <w:color w:val="FFFFFF"/>
                              <w:sz w:val="20"/>
                              <w:szCs w:val="20"/>
                            </w:rPr>
                          </w:pPr>
                          <w:r w:rsidRPr="00393EB7">
                            <w:rPr>
                              <w:color w:val="FFFFFF"/>
                              <w:sz w:val="20"/>
                              <w:szCs w:val="20"/>
                            </w:rPr>
                            <w:t>The target population that includes only public or not-for-profit entities is a limited one</w:t>
                          </w:r>
                        </w:p>
                      </w:txbxContent>
                    </v:textbox>
                  </v:roundrect>
                  <v:roundrect id="Rounded Rectangle 23" o:spid="_x0000_s1039" style="position:absolute;left:922;top:10114;width:3168;height:158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7RhMQA&#10;AADcAAAADwAAAGRycy9kb3ducmV2LnhtbESPwWrDMBBE74H+g9hCb4nUpJTgRDEmEGgvhbqFktti&#10;bS1ja2UsxXb+vioEchxm5g2zz2fXiZGG0HjW8LxSIIgrbxquNXx/nZZbECEiG+w8k4YrBcgPD4s9&#10;ZsZP/EljGWuRIBwy1GBj7DMpQ2XJYVj5njh5v35wGJMcamkGnBLcdXKt1Kt02HBasNjT0VLVlhen&#10;oeLi43TupvfWt6O9Hie1+SmV1k+Pc7EDEWmO9/Ct/WY0vGw38H8mHQF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0YTEAAAA3AAAAA8AAAAAAAAAAAAAAAAAmAIAAGRycy9k&#10;b3ducmV2LnhtbFBLBQYAAAAABAAEAPUAAACJAwAAAAA=&#10;" fillcolor="#4f81bd" strokecolor="#243f60" strokeweight="2pt">
                    <v:textbox>
                      <w:txbxContent>
                        <w:p w14:paraId="77C46781" w14:textId="77777777" w:rsidR="00F14D1E" w:rsidRPr="00393EB7" w:rsidRDefault="00F14D1E" w:rsidP="00683761">
                          <w:pPr>
                            <w:spacing w:before="0" w:after="0"/>
                            <w:jc w:val="center"/>
                            <w:rPr>
                              <w:color w:val="FFFFFF"/>
                              <w:sz w:val="20"/>
                              <w:szCs w:val="20"/>
                            </w:rPr>
                          </w:pPr>
                          <w:r w:rsidRPr="00393EB7">
                            <w:rPr>
                              <w:color w:val="FFFFFF"/>
                              <w:sz w:val="20"/>
                              <w:szCs w:val="20"/>
                            </w:rPr>
                            <w:t>The target population has a high degree of homogeneity (in terms of type of territorial competencies, activities, concerns, presence)</w:t>
                          </w:r>
                        </w:p>
                      </w:txbxContent>
                    </v:textbox>
                  </v:roundrect>
                  <v:roundrect id="Rounded Rectangle 25" o:spid="_x0000_s1040" style="position:absolute;left:907;top:12628;width:9648;height:158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jlXMUA&#10;AADcAAAADwAAAGRycy9kb3ducmV2LnhtbESP3WrCQBSE7wu+w3IEb0qzUVQ0dRUJSFvwxrQPcMie&#10;/GD27JpdY/r23UKhl8PMfMPsDqPpxEC9by0rmCcpCOLS6pZrBV+fp5cNCB+QNXaWScE3eTjsJ087&#10;zLR98IWGItQiQthnqKAJwWVS+rIhgz6xjjh6le0Nhij7WuoeHxFuOrlI07U02HJcaNBR3lB5Le5G&#10;gfvIt9vTvTrXb+vbc2cHl5fFSqnZdDy+ggg0hv/wX/tdK1hulvB7Jh4Bu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qOVcxQAAANwAAAAPAAAAAAAAAAAAAAAAAJgCAABkcnMv&#10;ZG93bnJldi54bWxQSwUGAAAAAAQABAD1AAAAigMAAAAA&#10;" strokecolor="#666" strokeweight="1pt">
                    <v:fill color2="#999" focus="100%" type="gradient"/>
                    <v:shadow on="t" color="#7f7f7f" opacity=".5" offset="1pt"/>
                    <v:textbox>
                      <w:txbxContent>
                        <w:p w14:paraId="20ACCBF7" w14:textId="77777777" w:rsidR="00F14D1E" w:rsidRPr="00683761" w:rsidRDefault="00F14D1E" w:rsidP="00683761">
                          <w:pPr>
                            <w:spacing w:before="0" w:after="0"/>
                            <w:rPr>
                              <w:sz w:val="20"/>
                              <w:szCs w:val="20"/>
                            </w:rPr>
                          </w:pPr>
                          <w:r w:rsidRPr="00683761">
                            <w:rPr>
                              <w:sz w:val="20"/>
                              <w:szCs w:val="20"/>
                            </w:rPr>
                            <w:t xml:space="preserve">The targeted population includes institutional/organization future potential beneficiaries, a fact which supposes that individuals within it are pro-active and display a higher capacity to express options for the strategic and operational orientations of the ROBG 2014-2020 cross-border programme (many of them are involved in local governance either as public actor or civil society actor, formulating local/regional public policies or implementing national public policies).  </w:t>
                          </w:r>
                        </w:p>
                      </w:txbxContent>
                    </v:textbox>
                  </v:roundrect>
                  <v:shape id="Right Arrow 235" o:spid="_x0000_s1041" type="#_x0000_t13" style="position:absolute;left:4214;top:8833;width:4032;height: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9UP8UA&#10;AADcAAAADwAAAGRycy9kb3ducmV2LnhtbESPQWvCQBSE74L/YXmCN90obQmpq6ggrSdr9NLbI/ua&#10;bM2+jdlV03/fFQSPw8x8w8wWna3FlVpvHCuYjBMQxIXThksFx8NmlILwAVlj7ZgU/JGHxbzfm2Gm&#10;3Y33dM1DKSKEfYYKqhCaTEpfVGTRj11DHL0f11oMUbal1C3eItzWcpokb9Ki4bhQYUPriopTfrEK&#10;0rM25uObvvbH03I3Wa235W+xVWo46JbvIAJ14Rl+tD+1gpf0Fe5n4hGQ8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1Q/xQAAANwAAAAPAAAAAAAAAAAAAAAAAJgCAABkcnMv&#10;ZG93bnJldi54bWxQSwUGAAAAAAQABAD1AAAAigMAAAAA&#10;" adj="19073" fillcolor="#4f81bd" strokecolor="#243f60" strokeweight="2pt">
                    <v:textbox>
                      <w:txbxContent>
                        <w:p w14:paraId="0E3725A4" w14:textId="77777777" w:rsidR="00F14D1E" w:rsidRPr="00393EB7" w:rsidRDefault="00F14D1E" w:rsidP="002A6427">
                          <w:pPr>
                            <w:spacing w:before="0" w:after="0"/>
                            <w:jc w:val="center"/>
                            <w:rPr>
                              <w:color w:val="FFFFFF"/>
                              <w:sz w:val="20"/>
                              <w:szCs w:val="20"/>
                            </w:rPr>
                          </w:pPr>
                          <w:r w:rsidRPr="00393EB7">
                            <w:rPr>
                              <w:color w:val="FFFFFF"/>
                              <w:sz w:val="20"/>
                              <w:szCs w:val="20"/>
                            </w:rPr>
                            <w:t xml:space="preserve">Quantitative relevance of the sample </w:t>
                          </w:r>
                        </w:p>
                      </w:txbxContent>
                    </v:textbox>
                  </v:shape>
                  <v:roundrect id="Rounded Rectangle 241" o:spid="_x0000_s1042" style="position:absolute;left:8447;top:8825;width:2085;height:230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NzFMcA&#10;AADcAAAADwAAAGRycy9kb3ducmV2LnhtbESPQWvCQBSE70L/w/IK3szGIhKiq4hQqCKUxhb19sw+&#10;k9js25jdxvTfdwuFHoeZ+YaZL3tTi45aV1lWMI5iEMS51RUXCt73z6MEhPPIGmvLpOCbHCwXD4M5&#10;ptre+Y26zBciQNilqKD0vkmldHlJBl1kG+LgXWxr0AfZFlK3eA9wU8unOJ5KgxWHhRIbWpeUf2Zf&#10;RkF8rrvN+gMn++Pu+jo+HW7bJLspNXzsVzMQnnr/H/5rv2gFk2QKv2fCEZ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5TcxTHAAAA3AAAAA8AAAAAAAAAAAAAAAAAmAIAAGRy&#10;cy9kb3ducmV2LnhtbFBLBQYAAAAABAAEAPUAAACMAwAAAAA=&#10;" fillcolor="#c0504d" strokecolor="#622423" strokeweight="2pt">
                    <v:textbox>
                      <w:txbxContent>
                        <w:p w14:paraId="7C9B0D6A" w14:textId="77777777" w:rsidR="00F14D1E" w:rsidRPr="00393EB7" w:rsidRDefault="00F14D1E" w:rsidP="001451D4">
                          <w:pPr>
                            <w:spacing w:before="0" w:after="0"/>
                            <w:jc w:val="center"/>
                            <w:rPr>
                              <w:color w:val="FFFFFF"/>
                              <w:sz w:val="20"/>
                              <w:szCs w:val="20"/>
                            </w:rPr>
                          </w:pPr>
                          <w:r w:rsidRPr="00393EB7">
                            <w:rPr>
                              <w:color w:val="FFFFFF"/>
                              <w:sz w:val="20"/>
                              <w:szCs w:val="20"/>
                            </w:rPr>
                            <w:t>Answers obtained are reasonably representative of the whole territorial development debate and options.</w:t>
                          </w:r>
                        </w:p>
                        <w:p w14:paraId="635EA5E6" w14:textId="77777777" w:rsidR="00F14D1E" w:rsidRPr="00393EB7" w:rsidRDefault="00F14D1E" w:rsidP="001451D4">
                          <w:pPr>
                            <w:spacing w:before="0" w:after="0"/>
                            <w:jc w:val="center"/>
                            <w:rPr>
                              <w:color w:val="FFFFFF"/>
                              <w:sz w:val="20"/>
                              <w:szCs w:val="20"/>
                              <w:lang w:val="ro-RO"/>
                            </w:rPr>
                          </w:pPr>
                        </w:p>
                      </w:txbxContent>
                    </v:textbox>
                  </v:roundrect>
                  <v:shape id="Right Arrow 238" o:spid="_x0000_s1043" type="#_x0000_t13" style="position:absolute;left:5496;top:10295;width:1296;height:3312;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5fFMUA&#10;AADcAAAADwAAAGRycy9kb3ducmV2LnhtbESPQWvCQBSE74X+h+UJvdWNUq1EV2kKgQpeTPXg7ZF9&#10;JsHs25DdJqm/3hUEj8PMfMOsNoOpRUetqywrmIwjEMS51RUXCg6/6fsChPPIGmvLpOCfHGzWry8r&#10;jLXteU9d5gsRIOxiVFB638RSurwkg25sG+LgnW1r0AfZFlK32Ae4qeU0iubSYMVhocSGvkvKL9mf&#10;UTDPkvxApjoNsySb7q7p9uSOjVJvo+FrCcLT4J/hR/tHK/hYfML9TDgC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Xl8UxQAAANwAAAAPAAAAAAAAAAAAAAAAAJgCAABkcnMv&#10;ZG93bnJldi54bWxQSwUGAAAAAAQABAD1AAAAigMAAAAA&#10;" adj="13671,2231" fillcolor="#f79646" strokecolor="#f2f2f2" strokeweight="1pt">
                    <v:fill color2="#974706" angle="45" focus="100%" type="gradient"/>
                    <v:shadow on="t" type="perspective" color="#fbd4b4" opacity=".5" origin=",.5" offset="0,0" matrix=",-56756f,,.5"/>
                    <v:textbox>
                      <w:txbxContent>
                        <w:p w14:paraId="04474DC7" w14:textId="77777777" w:rsidR="00F14D1E" w:rsidRPr="00393EB7" w:rsidRDefault="00F14D1E" w:rsidP="00710CE3">
                          <w:pPr>
                            <w:jc w:val="center"/>
                            <w:rPr>
                              <w:color w:val="FFFFFF"/>
                              <w:sz w:val="20"/>
                              <w:szCs w:val="20"/>
                            </w:rPr>
                          </w:pPr>
                          <w:r>
                            <w:rPr>
                              <w:color w:val="FFFFFF"/>
                              <w:sz w:val="20"/>
                              <w:szCs w:val="20"/>
                            </w:rPr>
                            <w:t xml:space="preserve">    </w:t>
                          </w:r>
                          <w:r w:rsidRPr="00393EB7">
                            <w:rPr>
                              <w:color w:val="FFFFFF"/>
                              <w:sz w:val="20"/>
                              <w:szCs w:val="20"/>
                            </w:rPr>
                            <w:t xml:space="preserve">Capacity of respondents to </w:t>
                          </w:r>
                          <w:r>
                            <w:rPr>
                              <w:color w:val="FFFFFF"/>
                              <w:sz w:val="20"/>
                              <w:szCs w:val="20"/>
                            </w:rPr>
                            <w:t xml:space="preserve">   </w:t>
                          </w:r>
                          <w:r w:rsidRPr="00393EB7">
                            <w:rPr>
                              <w:color w:val="FFFFFF"/>
                              <w:sz w:val="20"/>
                              <w:szCs w:val="20"/>
                            </w:rPr>
                            <w:t>understand the questions</w:t>
                          </w:r>
                        </w:p>
                      </w:txbxContent>
                    </v:textbox>
                  </v:shape>
                </v:group>
              </v:group>
            </w:pict>
          </mc:Fallback>
        </mc:AlternateContent>
      </w:r>
    </w:p>
    <w:p w14:paraId="798881FC" w14:textId="77777777" w:rsidR="00AB0589" w:rsidRPr="006645DC" w:rsidRDefault="00AB0589" w:rsidP="00102604">
      <w:pPr>
        <w:rPr>
          <w:lang w:val="en-GB"/>
        </w:rPr>
      </w:pPr>
    </w:p>
    <w:p w14:paraId="04EF919E" w14:textId="77777777" w:rsidR="00AB0589" w:rsidRPr="006645DC" w:rsidRDefault="00AB0589" w:rsidP="00102604">
      <w:pPr>
        <w:rPr>
          <w:lang w:val="en-GB"/>
        </w:rPr>
      </w:pPr>
    </w:p>
    <w:p w14:paraId="75B21D28" w14:textId="77777777" w:rsidR="00AB0589" w:rsidRPr="006645DC" w:rsidRDefault="00AB0589" w:rsidP="00102604">
      <w:pPr>
        <w:rPr>
          <w:lang w:val="en-GB"/>
        </w:rPr>
      </w:pPr>
    </w:p>
    <w:p w14:paraId="4D1581AA" w14:textId="77777777" w:rsidR="00AB0589" w:rsidRPr="006645DC" w:rsidRDefault="00AB0589" w:rsidP="00102604">
      <w:pPr>
        <w:rPr>
          <w:lang w:val="en-GB"/>
        </w:rPr>
      </w:pPr>
    </w:p>
    <w:p w14:paraId="4D1C3398" w14:textId="77777777" w:rsidR="00AB0589" w:rsidRPr="006645DC" w:rsidRDefault="00AB0589" w:rsidP="00102604">
      <w:pPr>
        <w:rPr>
          <w:lang w:val="en-GB"/>
        </w:rPr>
      </w:pPr>
    </w:p>
    <w:p w14:paraId="4DF42A15" w14:textId="77777777" w:rsidR="00AB0589" w:rsidRPr="006645DC" w:rsidRDefault="00AB0589" w:rsidP="00102604">
      <w:pPr>
        <w:rPr>
          <w:lang w:val="en-GB"/>
        </w:rPr>
      </w:pPr>
    </w:p>
    <w:p w14:paraId="2AFF35A2" w14:textId="77777777" w:rsidR="00AB0589" w:rsidRPr="006645DC" w:rsidRDefault="00AB0589" w:rsidP="00102604">
      <w:pPr>
        <w:rPr>
          <w:lang w:val="en-GB"/>
        </w:rPr>
      </w:pPr>
    </w:p>
    <w:p w14:paraId="1BB93EB4" w14:textId="77777777" w:rsidR="00AB0589" w:rsidRPr="006645DC" w:rsidRDefault="00AB0589" w:rsidP="00102604">
      <w:pPr>
        <w:rPr>
          <w:lang w:val="en-GB"/>
        </w:rPr>
      </w:pPr>
    </w:p>
    <w:p w14:paraId="2CA7315F" w14:textId="77777777" w:rsidR="00AB0589" w:rsidRPr="006645DC" w:rsidRDefault="00AB0589" w:rsidP="00102604">
      <w:pPr>
        <w:rPr>
          <w:lang w:val="en-GB"/>
        </w:rPr>
      </w:pPr>
    </w:p>
    <w:p w14:paraId="251DC2E9" w14:textId="77777777" w:rsidR="00AB0589" w:rsidRPr="006645DC" w:rsidRDefault="00AB0589" w:rsidP="00102604">
      <w:pPr>
        <w:rPr>
          <w:lang w:val="en-GB"/>
        </w:rPr>
      </w:pPr>
    </w:p>
    <w:p w14:paraId="01CB1D5F" w14:textId="77777777" w:rsidR="00AB0589" w:rsidRPr="006645DC" w:rsidRDefault="00AB0589" w:rsidP="00102604">
      <w:pPr>
        <w:rPr>
          <w:lang w:val="en-GB"/>
        </w:rPr>
      </w:pPr>
    </w:p>
    <w:p w14:paraId="683265E1" w14:textId="77777777" w:rsidR="00AB0589" w:rsidRPr="006645DC" w:rsidRDefault="00AB0589" w:rsidP="00102604">
      <w:pPr>
        <w:rPr>
          <w:lang w:val="en-GB"/>
        </w:rPr>
      </w:pPr>
    </w:p>
    <w:p w14:paraId="707B548F" w14:textId="77777777" w:rsidR="00EB4797" w:rsidRPr="006645DC" w:rsidRDefault="00EB36D7" w:rsidP="00EB36D7">
      <w:pPr>
        <w:tabs>
          <w:tab w:val="left" w:pos="6106"/>
        </w:tabs>
        <w:rPr>
          <w:lang w:val="en-GB"/>
        </w:rPr>
      </w:pPr>
      <w:r w:rsidRPr="006645DC">
        <w:rPr>
          <w:lang w:val="en-GB"/>
        </w:rPr>
        <w:tab/>
      </w:r>
    </w:p>
    <w:p w14:paraId="4667F167" w14:textId="77777777" w:rsidR="00710CE3" w:rsidRPr="006645DC" w:rsidRDefault="00710CE3" w:rsidP="00102604">
      <w:pPr>
        <w:rPr>
          <w:lang w:val="en-GB"/>
        </w:rPr>
      </w:pPr>
    </w:p>
    <w:p w14:paraId="1CA4D536" w14:textId="77777777" w:rsidR="00710CE3" w:rsidRPr="006645DC" w:rsidRDefault="00710CE3" w:rsidP="00102604">
      <w:pPr>
        <w:rPr>
          <w:lang w:val="en-GB"/>
        </w:rPr>
      </w:pPr>
    </w:p>
    <w:p w14:paraId="7A943575" w14:textId="77777777" w:rsidR="00710CE3" w:rsidRPr="006645DC" w:rsidRDefault="00710CE3" w:rsidP="00102604">
      <w:pPr>
        <w:rPr>
          <w:lang w:val="en-GB"/>
        </w:rPr>
      </w:pPr>
    </w:p>
    <w:p w14:paraId="22D3B63A" w14:textId="77777777" w:rsidR="002C59FB" w:rsidRPr="006645DC" w:rsidRDefault="007723F6" w:rsidP="00102604">
      <w:pPr>
        <w:rPr>
          <w:lang w:val="en-GB"/>
        </w:rPr>
      </w:pPr>
      <w:r w:rsidRPr="006645DC">
        <w:rPr>
          <w:lang w:val="en-GB"/>
        </w:rPr>
        <w:lastRenderedPageBreak/>
        <w:t xml:space="preserve">As we </w:t>
      </w:r>
      <w:r w:rsidR="002C59FB" w:rsidRPr="006645DC">
        <w:rPr>
          <w:lang w:val="en-GB"/>
        </w:rPr>
        <w:t>mentioned above the sample cannot be ascertained to be statistically representative, mainly because the exact numbers of the stakeholder’s population (present</w:t>
      </w:r>
      <w:r w:rsidR="001570C3" w:rsidRPr="006645DC">
        <w:rPr>
          <w:lang w:val="en-GB"/>
        </w:rPr>
        <w:t xml:space="preserve"> programme</w:t>
      </w:r>
      <w:r w:rsidR="002C59FB" w:rsidRPr="006645DC">
        <w:rPr>
          <w:lang w:val="en-GB"/>
        </w:rPr>
        <w:t xml:space="preserve"> eligible beneficiaries) are not readily available. Nevertheless the questionnaire was addressed to all the 2007-2013 ROBG Cross-border Cooperation Programme’s beneficiaries</w:t>
      </w:r>
      <w:r w:rsidR="001570C3" w:rsidRPr="006645DC">
        <w:rPr>
          <w:lang w:val="en-GB"/>
        </w:rPr>
        <w:t xml:space="preserve"> (list provided by the MA)</w:t>
      </w:r>
      <w:r w:rsidR="002C59FB" w:rsidRPr="006645DC">
        <w:rPr>
          <w:lang w:val="en-GB"/>
        </w:rPr>
        <w:t xml:space="preserve"> and to additionally identified stakeholders from the mentioned group that included from both sides of the border:</w:t>
      </w:r>
    </w:p>
    <w:p w14:paraId="2F029820" w14:textId="77777777" w:rsidR="002C59FB" w:rsidRPr="006645DC" w:rsidRDefault="002C59FB" w:rsidP="00821048">
      <w:pPr>
        <w:pStyle w:val="ListParagraph"/>
        <w:rPr>
          <w:lang w:val="en-GB"/>
        </w:rPr>
      </w:pPr>
      <w:r w:rsidRPr="006645DC">
        <w:rPr>
          <w:lang w:val="en-GB"/>
        </w:rPr>
        <w:t>County Councils/ District Administrations;</w:t>
      </w:r>
    </w:p>
    <w:p w14:paraId="1192E14A" w14:textId="77777777" w:rsidR="002C59FB" w:rsidRPr="006645DC" w:rsidRDefault="002C59FB" w:rsidP="00821048">
      <w:pPr>
        <w:pStyle w:val="ListParagraph"/>
        <w:rPr>
          <w:lang w:val="en-GB"/>
        </w:rPr>
      </w:pPr>
      <w:r w:rsidRPr="006645DC">
        <w:rPr>
          <w:lang w:val="en-GB"/>
        </w:rPr>
        <w:t>Local Councils/Municipalities;</w:t>
      </w:r>
    </w:p>
    <w:p w14:paraId="4AD9894E" w14:textId="77777777" w:rsidR="002C59FB" w:rsidRPr="006645DC" w:rsidRDefault="002C59FB" w:rsidP="00821048">
      <w:pPr>
        <w:pStyle w:val="ListParagraph"/>
        <w:rPr>
          <w:lang w:val="en-GB"/>
        </w:rPr>
      </w:pPr>
      <w:r w:rsidRPr="006645DC">
        <w:rPr>
          <w:lang w:val="en-GB"/>
        </w:rPr>
        <w:t>Associations of local public authorities;</w:t>
      </w:r>
    </w:p>
    <w:p w14:paraId="167562BC" w14:textId="77777777" w:rsidR="002C59FB" w:rsidRPr="006645DC" w:rsidRDefault="002C59FB" w:rsidP="00821048">
      <w:pPr>
        <w:pStyle w:val="ListParagraph"/>
        <w:rPr>
          <w:lang w:val="en-GB"/>
        </w:rPr>
      </w:pPr>
      <w:r w:rsidRPr="006645DC">
        <w:rPr>
          <w:lang w:val="en-GB"/>
        </w:rPr>
        <w:t>Chambers of Commerce/ SMEs associations;</w:t>
      </w:r>
    </w:p>
    <w:p w14:paraId="30598144" w14:textId="77777777" w:rsidR="002C59FB" w:rsidRPr="006645DC" w:rsidRDefault="002C59FB" w:rsidP="00821048">
      <w:pPr>
        <w:pStyle w:val="ListParagraph"/>
        <w:rPr>
          <w:lang w:val="en-GB"/>
        </w:rPr>
      </w:pPr>
      <w:r w:rsidRPr="006645DC">
        <w:rPr>
          <w:lang w:val="en-GB"/>
        </w:rPr>
        <w:t>Universities;</w:t>
      </w:r>
    </w:p>
    <w:p w14:paraId="74C0E5AB" w14:textId="77777777" w:rsidR="002C59FB" w:rsidRPr="006645DC" w:rsidRDefault="002C59FB" w:rsidP="00821048">
      <w:pPr>
        <w:pStyle w:val="ListParagraph"/>
        <w:rPr>
          <w:lang w:val="en-GB"/>
        </w:rPr>
      </w:pPr>
      <w:r w:rsidRPr="006645DC">
        <w:rPr>
          <w:lang w:val="en-GB"/>
        </w:rPr>
        <w:t>Ministries and their local/regional departments/bodies;</w:t>
      </w:r>
    </w:p>
    <w:p w14:paraId="2737B467" w14:textId="77777777" w:rsidR="002C59FB" w:rsidRPr="006645DC" w:rsidRDefault="002C59FB" w:rsidP="00821048">
      <w:pPr>
        <w:pStyle w:val="ListParagraph"/>
        <w:rPr>
          <w:lang w:val="en-GB"/>
        </w:rPr>
      </w:pPr>
      <w:r w:rsidRPr="006645DC">
        <w:rPr>
          <w:lang w:val="en-GB"/>
        </w:rPr>
        <w:t>Non-profit research institutes;</w:t>
      </w:r>
    </w:p>
    <w:p w14:paraId="1F10A0D2" w14:textId="77777777" w:rsidR="001570C3" w:rsidRPr="006645DC" w:rsidRDefault="002C59FB" w:rsidP="00566B12">
      <w:pPr>
        <w:pStyle w:val="ListParagraph"/>
        <w:rPr>
          <w:lang w:val="en-GB"/>
        </w:rPr>
      </w:pPr>
      <w:r w:rsidRPr="006645DC">
        <w:rPr>
          <w:lang w:val="en-GB"/>
        </w:rPr>
        <w:t xml:space="preserve">Other NGO’s acting in the fields financed by the </w:t>
      </w:r>
      <w:r w:rsidR="008A71AC" w:rsidRPr="006645DC">
        <w:rPr>
          <w:lang w:val="en-GB"/>
        </w:rPr>
        <w:t xml:space="preserve">2007-2013 </w:t>
      </w:r>
      <w:r w:rsidRPr="006645DC">
        <w:rPr>
          <w:lang w:val="en-GB"/>
        </w:rPr>
        <w:t xml:space="preserve">programme  </w:t>
      </w:r>
    </w:p>
    <w:p w14:paraId="5BF6641D" w14:textId="77777777" w:rsidR="001570C3" w:rsidRPr="006645DC" w:rsidRDefault="001570C3" w:rsidP="00566B12">
      <w:pPr>
        <w:rPr>
          <w:lang w:val="en-GB"/>
        </w:rPr>
      </w:pPr>
      <w:r w:rsidRPr="006645DC">
        <w:rPr>
          <w:lang w:val="en-GB"/>
        </w:rPr>
        <w:t xml:space="preserve">The targeted stakeholders </w:t>
      </w:r>
      <w:r w:rsidR="00CD7138" w:rsidRPr="006645DC">
        <w:rPr>
          <w:lang w:val="en-GB"/>
        </w:rPr>
        <w:t>were:</w:t>
      </w:r>
    </w:p>
    <w:p w14:paraId="166BA5D9" w14:textId="77777777" w:rsidR="001570C3" w:rsidRPr="006645DC" w:rsidRDefault="001570C3" w:rsidP="00821048">
      <w:pPr>
        <w:pStyle w:val="ListParagraph"/>
        <w:rPr>
          <w:lang w:val="en-GB"/>
        </w:rPr>
      </w:pPr>
      <w:r w:rsidRPr="006645DC">
        <w:rPr>
          <w:lang w:val="en-GB"/>
        </w:rPr>
        <w:t>All the county/district administrations</w:t>
      </w:r>
    </w:p>
    <w:p w14:paraId="3AC62C3B" w14:textId="77777777" w:rsidR="001570C3" w:rsidRPr="006645DC" w:rsidRDefault="001570C3" w:rsidP="00821048">
      <w:pPr>
        <w:pStyle w:val="ListParagraph"/>
        <w:rPr>
          <w:lang w:val="en-GB"/>
        </w:rPr>
      </w:pPr>
      <w:r w:rsidRPr="006645DC">
        <w:rPr>
          <w:lang w:val="en-GB"/>
        </w:rPr>
        <w:t>All the municipalities that were included in the 2007-2013 beneficiaries list and if not already included in the list:</w:t>
      </w:r>
    </w:p>
    <w:p w14:paraId="5F9BA853" w14:textId="77777777" w:rsidR="001570C3" w:rsidRPr="006645DC" w:rsidRDefault="009E6218" w:rsidP="00C951D5">
      <w:pPr>
        <w:pStyle w:val="ListParagraph"/>
        <w:numPr>
          <w:ilvl w:val="1"/>
          <w:numId w:val="70"/>
        </w:numPr>
        <w:rPr>
          <w:lang w:val="en-GB"/>
        </w:rPr>
      </w:pPr>
      <w:r w:rsidRPr="006645DC">
        <w:rPr>
          <w:lang w:val="en-GB"/>
        </w:rPr>
        <w:t>The</w:t>
      </w:r>
      <w:r w:rsidR="001570C3" w:rsidRPr="006645DC">
        <w:rPr>
          <w:lang w:val="en-GB"/>
        </w:rPr>
        <w:t xml:space="preserve"> ma</w:t>
      </w:r>
      <w:r w:rsidR="004705E4" w:rsidRPr="006645DC">
        <w:rPr>
          <w:lang w:val="en-GB"/>
        </w:rPr>
        <w:t>jor municipalities in the cross-border area</w:t>
      </w:r>
    </w:p>
    <w:p w14:paraId="719570A2" w14:textId="77777777" w:rsidR="001570C3" w:rsidRPr="006645DC" w:rsidRDefault="009E6218" w:rsidP="00C951D5">
      <w:pPr>
        <w:pStyle w:val="ListParagraph"/>
        <w:numPr>
          <w:ilvl w:val="1"/>
          <w:numId w:val="70"/>
        </w:numPr>
        <w:rPr>
          <w:lang w:val="en-GB"/>
        </w:rPr>
      </w:pPr>
      <w:r w:rsidRPr="006645DC">
        <w:rPr>
          <w:lang w:val="en-GB"/>
        </w:rPr>
        <w:t>The</w:t>
      </w:r>
      <w:r w:rsidR="004705E4" w:rsidRPr="006645DC">
        <w:rPr>
          <w:lang w:val="en-GB"/>
        </w:rPr>
        <w:t xml:space="preserve"> </w:t>
      </w:r>
      <w:r w:rsidR="0039494C" w:rsidRPr="006645DC">
        <w:rPr>
          <w:lang w:val="en-GB"/>
        </w:rPr>
        <w:t>little and medium-size municipalities in the cross-border area that could be identified</w:t>
      </w:r>
    </w:p>
    <w:p w14:paraId="0D0EFA0E" w14:textId="77777777" w:rsidR="0039494C" w:rsidRPr="006645DC" w:rsidRDefault="0039494C" w:rsidP="00821048">
      <w:pPr>
        <w:pStyle w:val="ListParagraph"/>
        <w:rPr>
          <w:lang w:val="en-GB"/>
        </w:rPr>
      </w:pPr>
      <w:r w:rsidRPr="006645DC">
        <w:rPr>
          <w:lang w:val="en-GB"/>
        </w:rPr>
        <w:t>Associations of public authorities (municipalities and counties/districts)</w:t>
      </w:r>
    </w:p>
    <w:p w14:paraId="129BA0AA" w14:textId="77777777" w:rsidR="0039494C" w:rsidRPr="006645DC" w:rsidRDefault="008A71AC" w:rsidP="00821048">
      <w:pPr>
        <w:pStyle w:val="ListParagraph"/>
        <w:rPr>
          <w:lang w:val="en-GB"/>
        </w:rPr>
      </w:pPr>
      <w:r w:rsidRPr="006645DC">
        <w:rPr>
          <w:lang w:val="en-GB"/>
        </w:rPr>
        <w:t>T</w:t>
      </w:r>
      <w:r w:rsidR="0039494C" w:rsidRPr="006645DC">
        <w:rPr>
          <w:lang w:val="en-GB"/>
        </w:rPr>
        <w:t>he deconcentrated public authorities (of Ministries like Ministry of Health, Ministry of Work and Social Protection, Ministry of Environment, etc.)</w:t>
      </w:r>
    </w:p>
    <w:p w14:paraId="776F485C" w14:textId="77777777" w:rsidR="0039494C" w:rsidRPr="006645DC" w:rsidRDefault="008A71AC" w:rsidP="00821048">
      <w:pPr>
        <w:pStyle w:val="ListParagraph"/>
        <w:rPr>
          <w:lang w:val="en-GB"/>
        </w:rPr>
      </w:pPr>
      <w:r w:rsidRPr="006645DC">
        <w:rPr>
          <w:lang w:val="en-GB"/>
        </w:rPr>
        <w:t>T</w:t>
      </w:r>
      <w:r w:rsidR="0039494C" w:rsidRPr="006645DC">
        <w:rPr>
          <w:lang w:val="en-GB"/>
        </w:rPr>
        <w:t>he frontier police and the customs</w:t>
      </w:r>
    </w:p>
    <w:p w14:paraId="0337F0E1" w14:textId="77777777" w:rsidR="0039494C" w:rsidRPr="006645DC" w:rsidRDefault="0039494C" w:rsidP="00821048">
      <w:pPr>
        <w:pStyle w:val="ListParagraph"/>
        <w:rPr>
          <w:lang w:val="en-GB"/>
        </w:rPr>
      </w:pPr>
      <w:r w:rsidRPr="006645DC">
        <w:rPr>
          <w:lang w:val="en-GB"/>
        </w:rPr>
        <w:t>The Chambers of Commerce, Industry and Agriculture</w:t>
      </w:r>
    </w:p>
    <w:p w14:paraId="14209A2B" w14:textId="77777777" w:rsidR="0039494C" w:rsidRPr="006645DC" w:rsidRDefault="0039494C" w:rsidP="00821048">
      <w:pPr>
        <w:pStyle w:val="ListParagraph"/>
        <w:rPr>
          <w:lang w:val="en-GB"/>
        </w:rPr>
      </w:pPr>
      <w:r w:rsidRPr="006645DC">
        <w:rPr>
          <w:lang w:val="en-GB"/>
        </w:rPr>
        <w:t>The Business Associations</w:t>
      </w:r>
    </w:p>
    <w:p w14:paraId="41C72077" w14:textId="77777777" w:rsidR="0039494C" w:rsidRPr="006645DC" w:rsidRDefault="0039494C" w:rsidP="00821048">
      <w:pPr>
        <w:pStyle w:val="ListParagraph"/>
        <w:rPr>
          <w:lang w:val="en-GB"/>
        </w:rPr>
      </w:pPr>
      <w:r w:rsidRPr="006645DC">
        <w:rPr>
          <w:lang w:val="en-GB"/>
        </w:rPr>
        <w:t>The Universities and their departments in the area</w:t>
      </w:r>
    </w:p>
    <w:p w14:paraId="0F355298" w14:textId="77777777" w:rsidR="0039494C" w:rsidRPr="006645DC" w:rsidRDefault="0039494C" w:rsidP="00821048">
      <w:pPr>
        <w:pStyle w:val="ListParagraph"/>
        <w:rPr>
          <w:lang w:val="en-GB"/>
        </w:rPr>
      </w:pPr>
      <w:r w:rsidRPr="006645DC">
        <w:rPr>
          <w:lang w:val="en-GB"/>
        </w:rPr>
        <w:t>The R&amp;D institutes in the area</w:t>
      </w:r>
    </w:p>
    <w:p w14:paraId="0BAE5123" w14:textId="77777777" w:rsidR="0039494C" w:rsidRPr="006645DC" w:rsidRDefault="0039494C" w:rsidP="00821048">
      <w:pPr>
        <w:pStyle w:val="ListParagraph"/>
        <w:rPr>
          <w:lang w:val="en-GB"/>
        </w:rPr>
      </w:pPr>
      <w:r w:rsidRPr="006645DC">
        <w:rPr>
          <w:lang w:val="en-GB"/>
        </w:rPr>
        <w:t>The main NGOs active in the area (mainly linked to social services, R&amp;D, tourism, economic development, culture, etc.</w:t>
      </w:r>
      <w:r w:rsidR="0084625A" w:rsidRPr="006645DC">
        <w:rPr>
          <w:lang w:val="en-GB"/>
        </w:rPr>
        <w:t>)</w:t>
      </w:r>
      <w:r w:rsidRPr="006645DC">
        <w:rPr>
          <w:lang w:val="en-GB"/>
        </w:rPr>
        <w:t xml:space="preserve">, </w:t>
      </w:r>
      <w:r w:rsidR="006A4B51" w:rsidRPr="006645DC">
        <w:rPr>
          <w:lang w:val="en-GB"/>
        </w:rPr>
        <w:t>and their releva</w:t>
      </w:r>
      <w:r w:rsidRPr="006645DC">
        <w:rPr>
          <w:lang w:val="en-GB"/>
        </w:rPr>
        <w:t xml:space="preserve">nt </w:t>
      </w:r>
      <w:r w:rsidR="00E6001B" w:rsidRPr="006645DC">
        <w:rPr>
          <w:lang w:val="en-GB"/>
        </w:rPr>
        <w:t>subsidiaries</w:t>
      </w:r>
    </w:p>
    <w:p w14:paraId="396B5CDE" w14:textId="77777777" w:rsidR="00710CE3" w:rsidRPr="006645DC" w:rsidRDefault="00710CE3" w:rsidP="00710CE3">
      <w:pPr>
        <w:rPr>
          <w:lang w:val="en-GB"/>
        </w:rPr>
      </w:pPr>
    </w:p>
    <w:p w14:paraId="66D6907B" w14:textId="77777777" w:rsidR="00710CE3" w:rsidRPr="006645DC" w:rsidRDefault="00710CE3" w:rsidP="00710CE3">
      <w:pPr>
        <w:rPr>
          <w:lang w:val="en-GB"/>
        </w:rPr>
      </w:pPr>
    </w:p>
    <w:tbl>
      <w:tblPr>
        <w:tblW w:w="0" w:type="auto"/>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firstRow="1" w:lastRow="0" w:firstColumn="1" w:lastColumn="0" w:noHBand="0" w:noVBand="1"/>
      </w:tblPr>
      <w:tblGrid>
        <w:gridCol w:w="4140"/>
        <w:gridCol w:w="4410"/>
      </w:tblGrid>
      <w:tr w:rsidR="00E1106B" w:rsidRPr="006645DC" w14:paraId="32C9A946" w14:textId="77777777" w:rsidTr="00393EB7">
        <w:trPr>
          <w:jc w:val="center"/>
        </w:trPr>
        <w:tc>
          <w:tcPr>
            <w:tcW w:w="8550" w:type="dxa"/>
            <w:gridSpan w:val="2"/>
            <w:shd w:val="clear" w:color="auto" w:fill="auto"/>
          </w:tcPr>
          <w:p w14:paraId="5071A4BC" w14:textId="77777777" w:rsidR="00E1106B" w:rsidRPr="006645DC" w:rsidRDefault="00E1106B" w:rsidP="00393EB7">
            <w:pPr>
              <w:jc w:val="center"/>
              <w:rPr>
                <w:b/>
                <w:lang w:val="en-GB"/>
              </w:rPr>
            </w:pPr>
            <w:r w:rsidRPr="006645DC">
              <w:rPr>
                <w:b/>
                <w:lang w:val="en-GB"/>
              </w:rPr>
              <w:lastRenderedPageBreak/>
              <w:t xml:space="preserve">Number of targeted institutions/organizations </w:t>
            </w:r>
          </w:p>
        </w:tc>
      </w:tr>
      <w:tr w:rsidR="00E1106B" w:rsidRPr="006645DC" w14:paraId="1D98DF52" w14:textId="77777777" w:rsidTr="00393EB7">
        <w:trPr>
          <w:jc w:val="center"/>
        </w:trPr>
        <w:tc>
          <w:tcPr>
            <w:tcW w:w="4140" w:type="dxa"/>
            <w:shd w:val="clear" w:color="auto" w:fill="auto"/>
          </w:tcPr>
          <w:p w14:paraId="7D6FA842" w14:textId="77777777" w:rsidR="00E1106B" w:rsidRPr="006645DC" w:rsidRDefault="00E1106B" w:rsidP="00393EB7">
            <w:pPr>
              <w:jc w:val="center"/>
              <w:rPr>
                <w:b/>
                <w:lang w:val="en-GB"/>
              </w:rPr>
            </w:pPr>
            <w:r w:rsidRPr="006645DC">
              <w:rPr>
                <w:b/>
                <w:lang w:val="en-GB"/>
              </w:rPr>
              <w:t>Romania</w:t>
            </w:r>
          </w:p>
        </w:tc>
        <w:tc>
          <w:tcPr>
            <w:tcW w:w="4410" w:type="dxa"/>
            <w:shd w:val="clear" w:color="auto" w:fill="auto"/>
          </w:tcPr>
          <w:p w14:paraId="3F96F745" w14:textId="77777777" w:rsidR="00E1106B" w:rsidRPr="006645DC" w:rsidRDefault="00E1106B" w:rsidP="00393EB7">
            <w:pPr>
              <w:jc w:val="center"/>
              <w:rPr>
                <w:b/>
                <w:lang w:val="en-GB"/>
              </w:rPr>
            </w:pPr>
            <w:r w:rsidRPr="006645DC">
              <w:rPr>
                <w:b/>
                <w:lang w:val="en-GB"/>
              </w:rPr>
              <w:t>Bulgaria</w:t>
            </w:r>
          </w:p>
        </w:tc>
      </w:tr>
      <w:tr w:rsidR="00E1106B" w:rsidRPr="006645DC" w14:paraId="089A7512" w14:textId="77777777" w:rsidTr="00393EB7">
        <w:trPr>
          <w:jc w:val="center"/>
        </w:trPr>
        <w:tc>
          <w:tcPr>
            <w:tcW w:w="4140" w:type="dxa"/>
            <w:shd w:val="clear" w:color="auto" w:fill="auto"/>
          </w:tcPr>
          <w:p w14:paraId="0CBC0AAF" w14:textId="77777777" w:rsidR="00E1106B" w:rsidRPr="006645DC" w:rsidRDefault="00E1106B" w:rsidP="00393EB7">
            <w:pPr>
              <w:jc w:val="center"/>
              <w:rPr>
                <w:b/>
                <w:lang w:val="en-GB"/>
              </w:rPr>
            </w:pPr>
            <w:r w:rsidRPr="006645DC">
              <w:rPr>
                <w:b/>
                <w:lang w:val="en-GB"/>
              </w:rPr>
              <w:t>470</w:t>
            </w:r>
          </w:p>
        </w:tc>
        <w:tc>
          <w:tcPr>
            <w:tcW w:w="4410" w:type="dxa"/>
            <w:shd w:val="clear" w:color="auto" w:fill="auto"/>
          </w:tcPr>
          <w:p w14:paraId="24F29067" w14:textId="77777777" w:rsidR="00E1106B" w:rsidRPr="006645DC" w:rsidRDefault="00E1106B" w:rsidP="00393EB7">
            <w:pPr>
              <w:jc w:val="center"/>
              <w:rPr>
                <w:b/>
                <w:lang w:val="en-GB"/>
              </w:rPr>
            </w:pPr>
            <w:r w:rsidRPr="006645DC">
              <w:rPr>
                <w:b/>
                <w:lang w:val="en-GB"/>
              </w:rPr>
              <w:t>140</w:t>
            </w:r>
          </w:p>
        </w:tc>
      </w:tr>
    </w:tbl>
    <w:p w14:paraId="2889E91D" w14:textId="77777777" w:rsidR="00566B12" w:rsidRPr="006645DC" w:rsidRDefault="00566B12" w:rsidP="00566B12">
      <w:pPr>
        <w:rPr>
          <w:lang w:val="en-GB"/>
        </w:rPr>
      </w:pPr>
    </w:p>
    <w:p w14:paraId="4DC0D281" w14:textId="77777777" w:rsidR="008C173F" w:rsidRPr="006645DC" w:rsidRDefault="008C173F" w:rsidP="00102604">
      <w:pPr>
        <w:rPr>
          <w:lang w:val="en-GB"/>
        </w:rPr>
      </w:pPr>
      <w:r w:rsidRPr="006645DC">
        <w:rPr>
          <w:lang w:val="en-GB"/>
        </w:rPr>
        <w:t>The table below presents the quantitative results of the questionnaire campaign</w:t>
      </w:r>
      <w:r w:rsidR="00A416E0" w:rsidRPr="006645DC">
        <w:rPr>
          <w:lang w:val="en-GB"/>
        </w:rPr>
        <w:t xml:space="preserve"> and the period </w:t>
      </w:r>
      <w:r w:rsidR="00481779" w:rsidRPr="006645DC">
        <w:rPr>
          <w:lang w:val="en-GB"/>
        </w:rPr>
        <w:t xml:space="preserve">when </w:t>
      </w:r>
      <w:r w:rsidR="00A416E0" w:rsidRPr="006645DC">
        <w:rPr>
          <w:lang w:val="en-GB"/>
        </w:rPr>
        <w:t xml:space="preserve">it </w:t>
      </w:r>
      <w:r w:rsidR="00481779" w:rsidRPr="006645DC">
        <w:rPr>
          <w:lang w:val="en-GB"/>
        </w:rPr>
        <w:t>was implemented</w:t>
      </w:r>
      <w:r w:rsidRPr="006645DC">
        <w:rPr>
          <w:lang w:val="en-GB"/>
        </w:rPr>
        <w:t xml:space="preserve">.  </w:t>
      </w:r>
    </w:p>
    <w:tbl>
      <w:tblPr>
        <w:tblW w:w="0" w:type="auto"/>
        <w:jc w:val="center"/>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Look w:val="04A0" w:firstRow="1" w:lastRow="0" w:firstColumn="1" w:lastColumn="0" w:noHBand="0" w:noVBand="1"/>
      </w:tblPr>
      <w:tblGrid>
        <w:gridCol w:w="2527"/>
        <w:gridCol w:w="2526"/>
        <w:gridCol w:w="3335"/>
        <w:gridCol w:w="1188"/>
      </w:tblGrid>
      <w:tr w:rsidR="003B3227" w:rsidRPr="006645DC" w14:paraId="5856DBF6" w14:textId="77777777" w:rsidTr="00393EB7">
        <w:trPr>
          <w:jc w:val="center"/>
        </w:trPr>
        <w:tc>
          <w:tcPr>
            <w:tcW w:w="2527" w:type="dxa"/>
            <w:shd w:val="clear" w:color="auto" w:fill="auto"/>
            <w:vAlign w:val="center"/>
          </w:tcPr>
          <w:p w14:paraId="795877F3" w14:textId="77777777" w:rsidR="00647487" w:rsidRPr="006645DC" w:rsidRDefault="00647487" w:rsidP="00393EB7">
            <w:pPr>
              <w:spacing w:before="0" w:after="0"/>
              <w:jc w:val="center"/>
              <w:rPr>
                <w:b/>
                <w:lang w:val="en-GB"/>
              </w:rPr>
            </w:pPr>
            <w:r w:rsidRPr="006645DC">
              <w:rPr>
                <w:b/>
                <w:lang w:val="en-GB"/>
              </w:rPr>
              <w:t>Type of stakeholders targeted</w:t>
            </w:r>
          </w:p>
        </w:tc>
        <w:tc>
          <w:tcPr>
            <w:tcW w:w="2526" w:type="dxa"/>
            <w:shd w:val="clear" w:color="auto" w:fill="auto"/>
            <w:vAlign w:val="center"/>
          </w:tcPr>
          <w:p w14:paraId="51FEA45B" w14:textId="77777777" w:rsidR="00647487" w:rsidRPr="006645DC" w:rsidRDefault="00647487" w:rsidP="00393EB7">
            <w:pPr>
              <w:spacing w:before="0" w:after="0"/>
              <w:jc w:val="center"/>
              <w:rPr>
                <w:b/>
                <w:lang w:val="en-GB"/>
              </w:rPr>
            </w:pPr>
            <w:r w:rsidRPr="006645DC">
              <w:rPr>
                <w:b/>
                <w:lang w:val="en-GB"/>
              </w:rPr>
              <w:t>Numbers of</w:t>
            </w:r>
            <w:r w:rsidR="003B3227" w:rsidRPr="006645DC">
              <w:rPr>
                <w:b/>
                <w:lang w:val="en-GB"/>
              </w:rPr>
              <w:t xml:space="preserve"> valid</w:t>
            </w:r>
            <w:r w:rsidRPr="006645DC">
              <w:rPr>
                <w:b/>
                <w:lang w:val="en-GB"/>
              </w:rPr>
              <w:t xml:space="preserve"> answers obtained from Romanian stakeholders</w:t>
            </w:r>
          </w:p>
        </w:tc>
        <w:tc>
          <w:tcPr>
            <w:tcW w:w="3335" w:type="dxa"/>
            <w:shd w:val="clear" w:color="auto" w:fill="auto"/>
            <w:vAlign w:val="center"/>
          </w:tcPr>
          <w:p w14:paraId="30F4134C" w14:textId="77777777" w:rsidR="00647487" w:rsidRPr="006645DC" w:rsidRDefault="00647487" w:rsidP="00393EB7">
            <w:pPr>
              <w:spacing w:before="0" w:after="0"/>
              <w:jc w:val="center"/>
              <w:rPr>
                <w:b/>
                <w:lang w:val="en-GB"/>
              </w:rPr>
            </w:pPr>
            <w:r w:rsidRPr="006645DC">
              <w:rPr>
                <w:b/>
                <w:lang w:val="en-GB"/>
              </w:rPr>
              <w:t>Number of</w:t>
            </w:r>
            <w:r w:rsidR="003B3227" w:rsidRPr="006645DC">
              <w:rPr>
                <w:b/>
                <w:lang w:val="en-GB"/>
              </w:rPr>
              <w:t xml:space="preserve"> valid</w:t>
            </w:r>
            <w:r w:rsidRPr="006645DC">
              <w:rPr>
                <w:b/>
                <w:lang w:val="en-GB"/>
              </w:rPr>
              <w:t xml:space="preserve"> answers obtained from Bulgarian stakeholders</w:t>
            </w:r>
          </w:p>
        </w:tc>
        <w:tc>
          <w:tcPr>
            <w:tcW w:w="1188" w:type="dxa"/>
            <w:shd w:val="clear" w:color="auto" w:fill="auto"/>
            <w:vAlign w:val="center"/>
          </w:tcPr>
          <w:p w14:paraId="1E951517" w14:textId="77777777" w:rsidR="00647487" w:rsidRPr="006645DC" w:rsidRDefault="00647487" w:rsidP="00393EB7">
            <w:pPr>
              <w:spacing w:before="0" w:after="0"/>
              <w:jc w:val="center"/>
              <w:rPr>
                <w:b/>
                <w:lang w:val="en-GB"/>
              </w:rPr>
            </w:pPr>
            <w:r w:rsidRPr="006645DC">
              <w:rPr>
                <w:b/>
                <w:lang w:val="en-GB"/>
              </w:rPr>
              <w:t xml:space="preserve">Overall cross-border area – </w:t>
            </w:r>
            <w:r w:rsidR="003B3227" w:rsidRPr="006645DC">
              <w:rPr>
                <w:b/>
                <w:lang w:val="en-GB"/>
              </w:rPr>
              <w:t xml:space="preserve">valid </w:t>
            </w:r>
            <w:r w:rsidRPr="006645DC">
              <w:rPr>
                <w:b/>
                <w:lang w:val="en-GB"/>
              </w:rPr>
              <w:t>answers obtained</w:t>
            </w:r>
          </w:p>
        </w:tc>
      </w:tr>
      <w:tr w:rsidR="003B3227" w:rsidRPr="006645DC" w14:paraId="5A2227D0" w14:textId="77777777" w:rsidTr="00393EB7">
        <w:trPr>
          <w:jc w:val="center"/>
        </w:trPr>
        <w:tc>
          <w:tcPr>
            <w:tcW w:w="2527" w:type="dxa"/>
            <w:shd w:val="clear" w:color="auto" w:fill="auto"/>
            <w:vAlign w:val="center"/>
          </w:tcPr>
          <w:p w14:paraId="17414695" w14:textId="77777777" w:rsidR="00647487" w:rsidRPr="006645DC" w:rsidRDefault="00647487" w:rsidP="00393EB7">
            <w:pPr>
              <w:spacing w:before="0" w:after="0"/>
              <w:jc w:val="center"/>
              <w:rPr>
                <w:rFonts w:eastAsia="Times New Roman"/>
                <w:b/>
                <w:lang w:val="en-GB" w:eastAsia="en-GB"/>
              </w:rPr>
            </w:pPr>
            <w:r w:rsidRPr="006645DC">
              <w:rPr>
                <w:rFonts w:eastAsia="Times New Roman"/>
                <w:b/>
                <w:lang w:val="en-GB" w:eastAsia="en-GB"/>
              </w:rPr>
              <w:t>All</w:t>
            </w:r>
          </w:p>
        </w:tc>
        <w:tc>
          <w:tcPr>
            <w:tcW w:w="2526" w:type="dxa"/>
            <w:shd w:val="clear" w:color="auto" w:fill="auto"/>
            <w:vAlign w:val="center"/>
          </w:tcPr>
          <w:p w14:paraId="3E3D9048" w14:textId="77777777" w:rsidR="00647487" w:rsidRPr="006645DC" w:rsidRDefault="003B3227" w:rsidP="00393EB7">
            <w:pPr>
              <w:spacing w:before="0" w:after="0"/>
              <w:jc w:val="center"/>
              <w:rPr>
                <w:rFonts w:eastAsia="Times New Roman"/>
                <w:b/>
                <w:lang w:val="en-GB" w:eastAsia="en-GB"/>
              </w:rPr>
            </w:pPr>
            <w:r w:rsidRPr="006645DC">
              <w:rPr>
                <w:rFonts w:eastAsia="Times New Roman"/>
                <w:b/>
                <w:lang w:val="en-GB" w:eastAsia="en-GB"/>
              </w:rPr>
              <w:t>51</w:t>
            </w:r>
          </w:p>
        </w:tc>
        <w:tc>
          <w:tcPr>
            <w:tcW w:w="3335" w:type="dxa"/>
            <w:shd w:val="clear" w:color="auto" w:fill="auto"/>
            <w:vAlign w:val="center"/>
          </w:tcPr>
          <w:p w14:paraId="5AD4DEF0" w14:textId="77777777" w:rsidR="00647487" w:rsidRPr="006645DC" w:rsidRDefault="003B3227" w:rsidP="00393EB7">
            <w:pPr>
              <w:spacing w:before="0" w:after="0"/>
              <w:jc w:val="center"/>
              <w:rPr>
                <w:rFonts w:eastAsia="Times New Roman"/>
                <w:b/>
                <w:lang w:val="en-GB" w:eastAsia="en-GB"/>
              </w:rPr>
            </w:pPr>
            <w:r w:rsidRPr="006645DC">
              <w:rPr>
                <w:rFonts w:eastAsia="Times New Roman"/>
                <w:b/>
                <w:lang w:val="en-GB" w:eastAsia="en-GB"/>
              </w:rPr>
              <w:t>34</w:t>
            </w:r>
          </w:p>
        </w:tc>
        <w:tc>
          <w:tcPr>
            <w:tcW w:w="1188" w:type="dxa"/>
            <w:shd w:val="clear" w:color="auto" w:fill="auto"/>
            <w:vAlign w:val="center"/>
          </w:tcPr>
          <w:p w14:paraId="337993A6" w14:textId="77777777" w:rsidR="00647487" w:rsidRPr="006645DC" w:rsidRDefault="003B3227" w:rsidP="00393EB7">
            <w:pPr>
              <w:spacing w:before="0" w:after="0"/>
              <w:jc w:val="center"/>
              <w:rPr>
                <w:rFonts w:eastAsia="Times New Roman"/>
                <w:b/>
                <w:lang w:val="en-GB" w:eastAsia="en-GB"/>
              </w:rPr>
            </w:pPr>
            <w:r w:rsidRPr="006645DC">
              <w:rPr>
                <w:rFonts w:eastAsia="Times New Roman"/>
                <w:b/>
                <w:lang w:val="en-GB" w:eastAsia="en-GB"/>
              </w:rPr>
              <w:t>85</w:t>
            </w:r>
          </w:p>
        </w:tc>
      </w:tr>
      <w:tr w:rsidR="003B3227" w:rsidRPr="006645DC" w14:paraId="538BE6DD" w14:textId="77777777" w:rsidTr="00393EB7">
        <w:trPr>
          <w:jc w:val="center"/>
        </w:trPr>
        <w:tc>
          <w:tcPr>
            <w:tcW w:w="2527" w:type="dxa"/>
            <w:shd w:val="clear" w:color="auto" w:fill="auto"/>
            <w:vAlign w:val="center"/>
          </w:tcPr>
          <w:p w14:paraId="6B5E2E9A" w14:textId="77777777" w:rsidR="00647487" w:rsidRPr="006645DC" w:rsidRDefault="003B3227" w:rsidP="00393EB7">
            <w:pPr>
              <w:spacing w:before="0" w:after="0"/>
              <w:jc w:val="center"/>
              <w:rPr>
                <w:rFonts w:eastAsia="Times New Roman"/>
                <w:lang w:val="en-GB" w:eastAsia="en-GB"/>
              </w:rPr>
            </w:pPr>
            <w:r w:rsidRPr="006645DC">
              <w:rPr>
                <w:rFonts w:eastAsia="Times New Roman"/>
                <w:lang w:val="en-GB" w:eastAsia="en-GB"/>
              </w:rPr>
              <w:t>Public authorities (central-deconcentrated, county/district, local, associations of public authorities, etc.)</w:t>
            </w:r>
          </w:p>
        </w:tc>
        <w:tc>
          <w:tcPr>
            <w:tcW w:w="2526" w:type="dxa"/>
            <w:shd w:val="clear" w:color="auto" w:fill="auto"/>
            <w:vAlign w:val="center"/>
          </w:tcPr>
          <w:p w14:paraId="172EB432" w14:textId="77777777" w:rsidR="00647487" w:rsidRPr="006645DC" w:rsidRDefault="003B3227" w:rsidP="00393EB7">
            <w:pPr>
              <w:spacing w:before="0" w:after="0"/>
              <w:jc w:val="center"/>
              <w:rPr>
                <w:rFonts w:eastAsia="Times New Roman"/>
                <w:lang w:val="en-GB" w:eastAsia="en-GB"/>
              </w:rPr>
            </w:pPr>
            <w:r w:rsidRPr="006645DC">
              <w:rPr>
                <w:rFonts w:eastAsia="Times New Roman"/>
                <w:lang w:val="en-GB" w:eastAsia="en-GB"/>
              </w:rPr>
              <w:t>17</w:t>
            </w:r>
          </w:p>
        </w:tc>
        <w:tc>
          <w:tcPr>
            <w:tcW w:w="3335" w:type="dxa"/>
            <w:shd w:val="clear" w:color="auto" w:fill="auto"/>
            <w:vAlign w:val="center"/>
          </w:tcPr>
          <w:p w14:paraId="75C3AB84" w14:textId="77777777" w:rsidR="00647487" w:rsidRPr="006645DC" w:rsidRDefault="003B3227" w:rsidP="00393EB7">
            <w:pPr>
              <w:spacing w:before="0" w:after="0"/>
              <w:jc w:val="center"/>
              <w:rPr>
                <w:rFonts w:eastAsia="Times New Roman"/>
                <w:lang w:val="en-GB" w:eastAsia="en-GB"/>
              </w:rPr>
            </w:pPr>
            <w:r w:rsidRPr="006645DC">
              <w:rPr>
                <w:rFonts w:eastAsia="Times New Roman"/>
                <w:lang w:val="en-GB" w:eastAsia="en-GB"/>
              </w:rPr>
              <w:t>14</w:t>
            </w:r>
          </w:p>
        </w:tc>
        <w:tc>
          <w:tcPr>
            <w:tcW w:w="1188" w:type="dxa"/>
            <w:shd w:val="clear" w:color="auto" w:fill="auto"/>
            <w:vAlign w:val="center"/>
          </w:tcPr>
          <w:p w14:paraId="6E97E07C" w14:textId="77777777" w:rsidR="00647487" w:rsidRPr="006645DC" w:rsidRDefault="003B3227" w:rsidP="00393EB7">
            <w:pPr>
              <w:spacing w:before="0" w:after="0"/>
              <w:jc w:val="center"/>
              <w:rPr>
                <w:rFonts w:eastAsia="Times New Roman"/>
                <w:lang w:val="en-GB" w:eastAsia="en-GB"/>
              </w:rPr>
            </w:pPr>
            <w:r w:rsidRPr="006645DC">
              <w:rPr>
                <w:rFonts w:eastAsia="Times New Roman"/>
                <w:lang w:val="en-GB" w:eastAsia="en-GB"/>
              </w:rPr>
              <w:t>31</w:t>
            </w:r>
          </w:p>
        </w:tc>
      </w:tr>
      <w:tr w:rsidR="003B3227" w:rsidRPr="006645DC" w14:paraId="2977AA97" w14:textId="77777777" w:rsidTr="00393EB7">
        <w:trPr>
          <w:jc w:val="center"/>
        </w:trPr>
        <w:tc>
          <w:tcPr>
            <w:tcW w:w="2527" w:type="dxa"/>
            <w:shd w:val="clear" w:color="auto" w:fill="auto"/>
            <w:vAlign w:val="center"/>
          </w:tcPr>
          <w:p w14:paraId="392482D4" w14:textId="77777777" w:rsidR="00647487" w:rsidRPr="006645DC" w:rsidRDefault="003B3227" w:rsidP="00393EB7">
            <w:pPr>
              <w:spacing w:before="0" w:after="0"/>
              <w:jc w:val="center"/>
              <w:rPr>
                <w:rFonts w:eastAsia="Times New Roman"/>
                <w:lang w:val="en-GB" w:eastAsia="en-GB"/>
              </w:rPr>
            </w:pPr>
            <w:r w:rsidRPr="006645DC">
              <w:rPr>
                <w:rFonts w:eastAsia="Times New Roman"/>
                <w:lang w:val="en-GB" w:eastAsia="en-GB"/>
              </w:rPr>
              <w:t>Academia and R&amp;D institutions</w:t>
            </w:r>
          </w:p>
        </w:tc>
        <w:tc>
          <w:tcPr>
            <w:tcW w:w="2526" w:type="dxa"/>
            <w:shd w:val="clear" w:color="auto" w:fill="auto"/>
            <w:vAlign w:val="center"/>
          </w:tcPr>
          <w:p w14:paraId="48BBD0FD" w14:textId="77777777" w:rsidR="00647487" w:rsidRPr="006645DC" w:rsidRDefault="0071614C" w:rsidP="00393EB7">
            <w:pPr>
              <w:spacing w:before="0" w:after="0"/>
              <w:jc w:val="center"/>
              <w:rPr>
                <w:rFonts w:eastAsia="Times New Roman"/>
                <w:lang w:val="en-GB" w:eastAsia="en-GB"/>
              </w:rPr>
            </w:pPr>
            <w:r w:rsidRPr="006645DC">
              <w:rPr>
                <w:rFonts w:eastAsia="Times New Roman"/>
                <w:lang w:val="en-GB" w:eastAsia="en-GB"/>
              </w:rPr>
              <w:t>20</w:t>
            </w:r>
          </w:p>
        </w:tc>
        <w:tc>
          <w:tcPr>
            <w:tcW w:w="3335" w:type="dxa"/>
            <w:shd w:val="clear" w:color="auto" w:fill="auto"/>
            <w:vAlign w:val="center"/>
          </w:tcPr>
          <w:p w14:paraId="684D48CF" w14:textId="77777777" w:rsidR="00647487" w:rsidRPr="006645DC" w:rsidRDefault="0071614C" w:rsidP="00393EB7">
            <w:pPr>
              <w:spacing w:before="0" w:after="0"/>
              <w:jc w:val="center"/>
              <w:rPr>
                <w:rFonts w:eastAsia="Times New Roman"/>
                <w:lang w:val="en-GB" w:eastAsia="en-GB"/>
              </w:rPr>
            </w:pPr>
            <w:r w:rsidRPr="006645DC">
              <w:rPr>
                <w:rFonts w:eastAsia="Times New Roman"/>
                <w:lang w:val="en-GB" w:eastAsia="en-GB"/>
              </w:rPr>
              <w:t>6</w:t>
            </w:r>
          </w:p>
        </w:tc>
        <w:tc>
          <w:tcPr>
            <w:tcW w:w="1188" w:type="dxa"/>
            <w:shd w:val="clear" w:color="auto" w:fill="auto"/>
            <w:vAlign w:val="center"/>
          </w:tcPr>
          <w:p w14:paraId="77EF114D" w14:textId="77777777" w:rsidR="00647487" w:rsidRPr="006645DC" w:rsidRDefault="0071614C" w:rsidP="00393EB7">
            <w:pPr>
              <w:spacing w:before="0" w:after="0"/>
              <w:jc w:val="center"/>
              <w:rPr>
                <w:rFonts w:eastAsia="Times New Roman"/>
                <w:lang w:val="en-GB" w:eastAsia="en-GB"/>
              </w:rPr>
            </w:pPr>
            <w:r w:rsidRPr="006645DC">
              <w:rPr>
                <w:rFonts w:eastAsia="Times New Roman"/>
                <w:lang w:val="en-GB" w:eastAsia="en-GB"/>
              </w:rPr>
              <w:t>26</w:t>
            </w:r>
          </w:p>
        </w:tc>
      </w:tr>
      <w:tr w:rsidR="003B3227" w:rsidRPr="006645DC" w14:paraId="79603867" w14:textId="77777777" w:rsidTr="00393EB7">
        <w:trPr>
          <w:jc w:val="center"/>
        </w:trPr>
        <w:tc>
          <w:tcPr>
            <w:tcW w:w="2527" w:type="dxa"/>
            <w:shd w:val="clear" w:color="auto" w:fill="auto"/>
            <w:vAlign w:val="center"/>
          </w:tcPr>
          <w:p w14:paraId="6ED820D2" w14:textId="77777777" w:rsidR="00647487" w:rsidRPr="006645DC" w:rsidRDefault="000F6A60" w:rsidP="00393EB7">
            <w:pPr>
              <w:spacing w:before="0" w:after="0"/>
              <w:jc w:val="center"/>
              <w:rPr>
                <w:rFonts w:eastAsia="Times New Roman"/>
                <w:lang w:val="en-GB" w:eastAsia="en-GB"/>
              </w:rPr>
            </w:pPr>
            <w:r w:rsidRPr="006645DC">
              <w:rPr>
                <w:rFonts w:eastAsia="Times New Roman"/>
                <w:lang w:val="en-GB" w:eastAsia="en-GB"/>
              </w:rPr>
              <w:t>Chambers of commerce, associations of SMEs and NGOs</w:t>
            </w:r>
          </w:p>
        </w:tc>
        <w:tc>
          <w:tcPr>
            <w:tcW w:w="2526" w:type="dxa"/>
            <w:shd w:val="clear" w:color="auto" w:fill="auto"/>
            <w:vAlign w:val="center"/>
          </w:tcPr>
          <w:p w14:paraId="746FFA71" w14:textId="77777777" w:rsidR="00647487" w:rsidRPr="006645DC" w:rsidRDefault="0071614C" w:rsidP="00393EB7">
            <w:pPr>
              <w:spacing w:before="0" w:after="0"/>
              <w:jc w:val="center"/>
              <w:rPr>
                <w:rFonts w:eastAsia="Times New Roman"/>
                <w:lang w:val="en-GB" w:eastAsia="en-GB"/>
              </w:rPr>
            </w:pPr>
            <w:r w:rsidRPr="006645DC">
              <w:rPr>
                <w:rFonts w:eastAsia="Times New Roman"/>
                <w:lang w:val="en-GB" w:eastAsia="en-GB"/>
              </w:rPr>
              <w:t>13</w:t>
            </w:r>
          </w:p>
        </w:tc>
        <w:tc>
          <w:tcPr>
            <w:tcW w:w="3335" w:type="dxa"/>
            <w:shd w:val="clear" w:color="auto" w:fill="auto"/>
            <w:vAlign w:val="center"/>
          </w:tcPr>
          <w:p w14:paraId="06E7BF75" w14:textId="77777777" w:rsidR="00647487" w:rsidRPr="006645DC" w:rsidRDefault="0071614C" w:rsidP="00393EB7">
            <w:pPr>
              <w:spacing w:before="0" w:after="0"/>
              <w:jc w:val="center"/>
              <w:rPr>
                <w:rFonts w:eastAsia="Times New Roman"/>
                <w:lang w:val="en-GB" w:eastAsia="en-GB"/>
              </w:rPr>
            </w:pPr>
            <w:r w:rsidRPr="006645DC">
              <w:rPr>
                <w:rFonts w:eastAsia="Times New Roman"/>
                <w:lang w:val="en-GB" w:eastAsia="en-GB"/>
              </w:rPr>
              <w:t>14</w:t>
            </w:r>
          </w:p>
        </w:tc>
        <w:tc>
          <w:tcPr>
            <w:tcW w:w="1188" w:type="dxa"/>
            <w:shd w:val="clear" w:color="auto" w:fill="auto"/>
            <w:vAlign w:val="center"/>
          </w:tcPr>
          <w:p w14:paraId="03A8AF78" w14:textId="77777777" w:rsidR="00647487" w:rsidRPr="006645DC" w:rsidRDefault="0071614C" w:rsidP="00393EB7">
            <w:pPr>
              <w:spacing w:before="0" w:after="0"/>
              <w:jc w:val="center"/>
              <w:rPr>
                <w:rFonts w:eastAsia="Times New Roman"/>
                <w:lang w:val="en-GB" w:eastAsia="en-GB"/>
              </w:rPr>
            </w:pPr>
            <w:r w:rsidRPr="006645DC">
              <w:rPr>
                <w:rFonts w:eastAsia="Times New Roman"/>
                <w:lang w:val="en-GB" w:eastAsia="en-GB"/>
              </w:rPr>
              <w:t>27</w:t>
            </w:r>
          </w:p>
        </w:tc>
      </w:tr>
      <w:tr w:rsidR="0071614C" w:rsidRPr="006645DC" w14:paraId="47225B30" w14:textId="77777777" w:rsidTr="00393EB7">
        <w:trPr>
          <w:jc w:val="center"/>
        </w:trPr>
        <w:tc>
          <w:tcPr>
            <w:tcW w:w="9576" w:type="dxa"/>
            <w:gridSpan w:val="4"/>
            <w:shd w:val="clear" w:color="auto" w:fill="auto"/>
            <w:vAlign w:val="center"/>
          </w:tcPr>
          <w:p w14:paraId="7B60AEE4" w14:textId="77777777" w:rsidR="0071614C" w:rsidRPr="006645DC" w:rsidRDefault="0071614C" w:rsidP="00393EB7">
            <w:pPr>
              <w:spacing w:before="0" w:after="0"/>
              <w:jc w:val="center"/>
              <w:rPr>
                <w:rFonts w:ascii="Cambria" w:eastAsia="Times New Roman" w:hAnsi="Cambria"/>
                <w:b/>
                <w:bCs/>
                <w:lang w:val="en-GB" w:eastAsia="en-GB"/>
              </w:rPr>
            </w:pPr>
            <w:r w:rsidRPr="006645DC">
              <w:rPr>
                <w:rFonts w:eastAsia="Times New Roman"/>
                <w:b/>
                <w:lang w:val="en-GB" w:eastAsia="en-GB"/>
              </w:rPr>
              <w:t>Surveying period: 18/11/2013-30/11/2013 (answers taken into account until the 02/12/2013)</w:t>
            </w:r>
          </w:p>
        </w:tc>
      </w:tr>
    </w:tbl>
    <w:p w14:paraId="0C110BBE" w14:textId="77777777" w:rsidR="00297D3E" w:rsidRPr="006645DC" w:rsidRDefault="00297D3E" w:rsidP="000B2353">
      <w:pPr>
        <w:rPr>
          <w:lang w:val="en-GB"/>
        </w:rPr>
      </w:pPr>
    </w:p>
    <w:p w14:paraId="04FC408F" w14:textId="77777777" w:rsidR="00AE6879" w:rsidRPr="006645DC" w:rsidRDefault="003D33E9" w:rsidP="00710CE3">
      <w:pPr>
        <w:pStyle w:val="Heading3"/>
        <w:rPr>
          <w:lang w:val="en-GB"/>
        </w:rPr>
      </w:pPr>
      <w:bookmarkStart w:id="2273" w:name="_Toc376200368"/>
      <w:bookmarkStart w:id="2274" w:name="_Toc254543862"/>
      <w:r w:rsidRPr="006645DC">
        <w:rPr>
          <w:lang w:val="en-GB"/>
        </w:rPr>
        <w:t>The interviews</w:t>
      </w:r>
      <w:bookmarkEnd w:id="2273"/>
      <w:bookmarkEnd w:id="2274"/>
    </w:p>
    <w:p w14:paraId="5C455AD4" w14:textId="77777777" w:rsidR="00B90E0F" w:rsidRPr="006645DC" w:rsidRDefault="00B90E0F" w:rsidP="00B90E0F">
      <w:pPr>
        <w:rPr>
          <w:lang w:val="en-GB"/>
        </w:rPr>
      </w:pPr>
      <w:r w:rsidRPr="006645DC">
        <w:rPr>
          <w:lang w:val="en-GB"/>
        </w:rPr>
        <w:t>The interviews were conducted on the basis of the on-line questionnaire in order to tackle the same topics and identify in a more qualitative way the ROBG cross-border area territorial challenges and needs according to relevant stakeholders. Given the fact that the interviews were conducted during the second half of November and the first half of December, a period during which the first results of the Territorial Analysis that were based on the desk research (statistical hard data, documents concerning local and regional development strategies, national strategic documentation, etc.) were already available, the interviews added to the on-line questionnaire a qualitative touch by instating on the following key topics that were identified as such during the Territorial Analysis:</w:t>
      </w:r>
    </w:p>
    <w:p w14:paraId="6BBA6FA6" w14:textId="77777777" w:rsidR="00B90E0F" w:rsidRPr="006645DC" w:rsidRDefault="00B90E0F" w:rsidP="00821048">
      <w:pPr>
        <w:pStyle w:val="ListParagraph"/>
        <w:rPr>
          <w:lang w:val="en-GB"/>
        </w:rPr>
      </w:pPr>
      <w:r w:rsidRPr="006645DC">
        <w:rPr>
          <w:lang w:val="en-GB"/>
        </w:rPr>
        <w:t xml:space="preserve">The problem of the R&amp;I </w:t>
      </w:r>
      <w:r w:rsidR="009E6218" w:rsidRPr="006645DC">
        <w:rPr>
          <w:lang w:val="en-GB"/>
        </w:rPr>
        <w:t>development</w:t>
      </w:r>
      <w:r w:rsidRPr="006645DC">
        <w:rPr>
          <w:lang w:val="en-GB"/>
        </w:rPr>
        <w:t xml:space="preserve"> through its better connection to the world of business</w:t>
      </w:r>
    </w:p>
    <w:p w14:paraId="6A5A1E13" w14:textId="77777777" w:rsidR="00B90E0F" w:rsidRPr="006645DC" w:rsidRDefault="00B90E0F" w:rsidP="00821048">
      <w:pPr>
        <w:pStyle w:val="ListParagraph"/>
        <w:rPr>
          <w:lang w:val="en-GB"/>
        </w:rPr>
      </w:pPr>
      <w:r w:rsidRPr="006645DC">
        <w:rPr>
          <w:lang w:val="en-GB"/>
        </w:rPr>
        <w:lastRenderedPageBreak/>
        <w:t>The transport, territorial connectivity and cross-border accessibility issues</w:t>
      </w:r>
    </w:p>
    <w:p w14:paraId="1E40B8F7" w14:textId="77777777" w:rsidR="00B90E0F" w:rsidRPr="006645DC" w:rsidRDefault="00B90E0F" w:rsidP="004C13F6">
      <w:pPr>
        <w:pStyle w:val="ListParagraph"/>
        <w:rPr>
          <w:lang w:val="en-GB"/>
        </w:rPr>
      </w:pPr>
      <w:r w:rsidRPr="006645DC">
        <w:rPr>
          <w:lang w:val="en-GB"/>
        </w:rPr>
        <w:t>The environmental risks and outstanding problems in the cross-border area</w:t>
      </w:r>
    </w:p>
    <w:p w14:paraId="34048B16" w14:textId="77777777" w:rsidR="00B90E0F" w:rsidRPr="006645DC" w:rsidRDefault="00B90E0F" w:rsidP="00B90E0F">
      <w:pPr>
        <w:rPr>
          <w:lang w:val="en-GB"/>
        </w:rPr>
      </w:pPr>
      <w:r w:rsidRPr="006645DC">
        <w:rPr>
          <w:lang w:val="en-GB"/>
        </w:rPr>
        <w:t xml:space="preserve">20 interviews were conducted in the Romanian part and 20 in the Bulgarian part. The complete list of the respondents is available in the Annexes. </w:t>
      </w:r>
    </w:p>
    <w:p w14:paraId="2D589D0A" w14:textId="77777777" w:rsidR="00B90E0F" w:rsidRPr="006645DC" w:rsidRDefault="00B90E0F" w:rsidP="00B90E0F">
      <w:pPr>
        <w:rPr>
          <w:lang w:val="en-GB"/>
        </w:rPr>
      </w:pPr>
      <w:r w:rsidRPr="006645DC">
        <w:rPr>
          <w:lang w:val="en-GB"/>
        </w:rPr>
        <w:t>The results of the interviews were summarized in a short presentation here below after the illustration of the quantitative results of the on-line questionnaire.</w:t>
      </w:r>
    </w:p>
    <w:p w14:paraId="3B8D5E80" w14:textId="77777777" w:rsidR="00A943EA" w:rsidRPr="006645DC" w:rsidRDefault="00A943EA" w:rsidP="00C951D5">
      <w:pPr>
        <w:pStyle w:val="Heading2"/>
        <w:numPr>
          <w:ilvl w:val="0"/>
          <w:numId w:val="57"/>
        </w:numPr>
        <w:rPr>
          <w:lang w:val="en-GB"/>
        </w:rPr>
      </w:pPr>
      <w:bookmarkStart w:id="2275" w:name="_Toc376200369"/>
      <w:bookmarkStart w:id="2276" w:name="_Toc254543863"/>
      <w:bookmarkStart w:id="2277" w:name="_Toc391150223"/>
      <w:r w:rsidRPr="006645DC">
        <w:rPr>
          <w:lang w:val="en-GB"/>
        </w:rPr>
        <w:t>The territorial challenges according to stakeholders</w:t>
      </w:r>
      <w:r w:rsidR="0090434E" w:rsidRPr="006645DC">
        <w:rPr>
          <w:lang w:val="en-GB"/>
        </w:rPr>
        <w:t xml:space="preserve"> (on-line questionnaire)</w:t>
      </w:r>
      <w:bookmarkEnd w:id="2275"/>
      <w:bookmarkEnd w:id="2276"/>
      <w:bookmarkEnd w:id="2277"/>
    </w:p>
    <w:p w14:paraId="396F347C" w14:textId="77777777" w:rsidR="00A943EA" w:rsidRPr="006645DC" w:rsidRDefault="00A943EA" w:rsidP="00821048">
      <w:pPr>
        <w:rPr>
          <w:lang w:val="en-GB"/>
        </w:rPr>
      </w:pPr>
      <w:r w:rsidRPr="006645DC">
        <w:rPr>
          <w:lang w:val="en-GB"/>
        </w:rPr>
        <w:t>We need, first of all, to emphasize the methodological choice to ask the stakeholders’ point of view on the ERDF categories and not on the challenges of the territorial analysis. The reasons for this are threefold:</w:t>
      </w:r>
    </w:p>
    <w:p w14:paraId="7A3D46AB" w14:textId="77777777" w:rsidR="00A943EA" w:rsidRPr="006645DC" w:rsidRDefault="00A943EA" w:rsidP="00821048">
      <w:pPr>
        <w:pStyle w:val="ListParagraph"/>
        <w:rPr>
          <w:lang w:val="en-GB"/>
        </w:rPr>
      </w:pPr>
      <w:r w:rsidRPr="006645DC">
        <w:rPr>
          <w:lang w:val="en-GB"/>
        </w:rPr>
        <w:t>Using the ERDF categories streamlines the stakeholders opinion on the „problems” of the territory and connects it to the terms of the future EU regulations</w:t>
      </w:r>
    </w:p>
    <w:p w14:paraId="1BCD1538" w14:textId="77777777" w:rsidR="00A943EA" w:rsidRPr="006645DC" w:rsidRDefault="00A943EA" w:rsidP="00821048">
      <w:pPr>
        <w:pStyle w:val="ListParagraph"/>
        <w:rPr>
          <w:lang w:val="en-GB"/>
        </w:rPr>
      </w:pPr>
      <w:r w:rsidRPr="006645DC">
        <w:rPr>
          <w:lang w:val="en-GB"/>
        </w:rPr>
        <w:t xml:space="preserve">It is much more fertile (stakeholders understand them better in practical terms) given the degree of precision of the ERDF sub-categories of territorial challenges compared to the categories of the territorial analysis. </w:t>
      </w:r>
    </w:p>
    <w:p w14:paraId="25B3CC01" w14:textId="77777777" w:rsidR="00A943EA" w:rsidRPr="006645DC" w:rsidRDefault="00A943EA" w:rsidP="00821048">
      <w:pPr>
        <w:pStyle w:val="ListParagraph"/>
        <w:rPr>
          <w:lang w:val="en-GB"/>
        </w:rPr>
      </w:pPr>
      <w:r w:rsidRPr="006645DC">
        <w:rPr>
          <w:lang w:val="en-GB"/>
        </w:rPr>
        <w:t xml:space="preserve">The importance of public authorities or institutions entrusted with the management of the public interest in many areas, inside the eligible beneficiaries group. This group is naturally more acquainted to the EU regulation terms. </w:t>
      </w:r>
    </w:p>
    <w:p w14:paraId="7DA600DA" w14:textId="77777777" w:rsidR="00A943EA" w:rsidRPr="006645DC" w:rsidRDefault="00A943EA" w:rsidP="00821048">
      <w:pPr>
        <w:rPr>
          <w:lang w:val="en-GB"/>
        </w:rPr>
      </w:pPr>
      <w:r w:rsidRPr="006645DC">
        <w:rPr>
          <w:lang w:val="en-GB"/>
        </w:rPr>
        <w:t>We will analyse here briefly the results of the on-line survey. We will look at both the overall (RO+BG) results (in terms of prioritisation of challenges) and the results for each of the 3 main categories of stakeholders:</w:t>
      </w:r>
    </w:p>
    <w:p w14:paraId="647B97C4" w14:textId="77777777" w:rsidR="00A943EA" w:rsidRPr="006645DC" w:rsidRDefault="00A943EA" w:rsidP="00821048">
      <w:pPr>
        <w:pStyle w:val="ListParagraph"/>
        <w:rPr>
          <w:lang w:val="en-GB"/>
        </w:rPr>
      </w:pPr>
      <w:r w:rsidRPr="006645DC">
        <w:rPr>
          <w:lang w:val="en-GB"/>
        </w:rPr>
        <w:t xml:space="preserve">The public authorities (central/deconcentrated, regional/districts/county, local) </w:t>
      </w:r>
    </w:p>
    <w:p w14:paraId="747A1BAF" w14:textId="77777777" w:rsidR="00A943EA" w:rsidRPr="006645DC" w:rsidRDefault="00A943EA" w:rsidP="00821048">
      <w:pPr>
        <w:pStyle w:val="ListParagraph"/>
        <w:rPr>
          <w:lang w:val="en-GB"/>
        </w:rPr>
      </w:pPr>
      <w:r w:rsidRPr="006645DC">
        <w:rPr>
          <w:lang w:val="en-GB"/>
        </w:rPr>
        <w:t xml:space="preserve">The university/academia and R&amp;D institutions </w:t>
      </w:r>
    </w:p>
    <w:p w14:paraId="0B84EE7B" w14:textId="77777777" w:rsidR="00A943EA" w:rsidRPr="006645DC" w:rsidRDefault="00A943EA" w:rsidP="00821048">
      <w:pPr>
        <w:pStyle w:val="ListParagraph"/>
        <w:rPr>
          <w:lang w:val="en-GB"/>
        </w:rPr>
      </w:pPr>
      <w:r w:rsidRPr="006645DC">
        <w:rPr>
          <w:lang w:val="en-GB"/>
        </w:rPr>
        <w:t xml:space="preserve">The Chambers of Commerce/associations of SMEs and NGOs </w:t>
      </w:r>
    </w:p>
    <w:p w14:paraId="05BD995D" w14:textId="77777777" w:rsidR="00A943EA" w:rsidRPr="006645DC" w:rsidRDefault="00A943EA" w:rsidP="00A943EA">
      <w:pPr>
        <w:rPr>
          <w:lang w:val="en-GB"/>
        </w:rPr>
      </w:pPr>
      <w:r w:rsidRPr="006645DC">
        <w:rPr>
          <w:lang w:val="en-GB"/>
        </w:rPr>
        <w:t xml:space="preserve">The figure below present the opinion of all the stakeholders on the main challenges that the Romania-Bulgaria cross-border area is facing (a 1 to 5 scale with 1 = least important, 5 = most important).  </w:t>
      </w:r>
    </w:p>
    <w:p w14:paraId="55B12C7F" w14:textId="77777777" w:rsidR="00A943EA" w:rsidRPr="006645DC" w:rsidRDefault="00A943EA" w:rsidP="00A943EA">
      <w:pPr>
        <w:rPr>
          <w:lang w:val="en-GB"/>
        </w:rPr>
      </w:pPr>
      <w:r w:rsidRPr="006645DC">
        <w:rPr>
          <w:lang w:val="en-GB"/>
        </w:rPr>
        <w:t xml:space="preserve">All the ERDF territorial challenges are seen as important or very important (almost none displays marks of 1 to 3 for more than 30% of all its scoring), as they are all important aspects for the cross-border area. Nevertheless some have better scores than others. </w:t>
      </w:r>
    </w:p>
    <w:p w14:paraId="0904E852" w14:textId="77777777" w:rsidR="00A943EA" w:rsidRPr="006645DC" w:rsidRDefault="00A943EA" w:rsidP="00A943EA">
      <w:pPr>
        <w:rPr>
          <w:lang w:val="en-GB"/>
        </w:rPr>
      </w:pPr>
    </w:p>
    <w:p w14:paraId="1C513FA6" w14:textId="77777777" w:rsidR="00BB0A11" w:rsidRPr="006645DC" w:rsidRDefault="00BB0A11" w:rsidP="00A943EA">
      <w:pPr>
        <w:rPr>
          <w:lang w:val="en-GB"/>
        </w:rPr>
        <w:sectPr w:rsidR="00BB0A11" w:rsidRPr="006645DC" w:rsidSect="00A943EA">
          <w:headerReference w:type="default" r:id="rId144"/>
          <w:footerReference w:type="default" r:id="rId145"/>
          <w:pgSz w:w="12240" w:h="15840"/>
          <w:pgMar w:top="1440" w:right="1440" w:bottom="1440" w:left="1440" w:header="720" w:footer="720" w:gutter="0"/>
          <w:cols w:space="720"/>
          <w:docGrid w:linePitch="360"/>
        </w:sectPr>
      </w:pPr>
    </w:p>
    <w:p w14:paraId="74037D12" w14:textId="77777777" w:rsidR="00BB0A11" w:rsidRPr="006645DC" w:rsidRDefault="00BB0A11" w:rsidP="00BB0A11">
      <w:pPr>
        <w:jc w:val="center"/>
        <w:rPr>
          <w:lang w:val="en-GB"/>
        </w:rPr>
        <w:sectPr w:rsidR="00BB0A11" w:rsidRPr="006645DC" w:rsidSect="00A943EA">
          <w:pgSz w:w="12240" w:h="15840"/>
          <w:pgMar w:top="1440" w:right="1440" w:bottom="1440" w:left="1440" w:header="720" w:footer="720" w:gutter="0"/>
          <w:cols w:space="720"/>
          <w:docGrid w:linePitch="360"/>
        </w:sectPr>
      </w:pPr>
      <w:r w:rsidRPr="006645DC">
        <w:rPr>
          <w:noProof/>
          <w:lang w:val="bg-BG" w:eastAsia="bg-BG"/>
        </w:rPr>
        <w:lastRenderedPageBreak/>
        <w:drawing>
          <wp:inline distT="0" distB="0" distL="0" distR="0" wp14:anchorId="47FEDC49" wp14:editId="1755C14D">
            <wp:extent cx="6304280" cy="7132320"/>
            <wp:effectExtent l="19050" t="0" r="1270" b="0"/>
            <wp:docPr id="45"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6"/>
                    <a:srcRect/>
                    <a:stretch>
                      <a:fillRect/>
                    </a:stretch>
                  </pic:blipFill>
                  <pic:spPr bwMode="auto">
                    <a:xfrm>
                      <a:off x="0" y="0"/>
                      <a:ext cx="6304280" cy="7132320"/>
                    </a:xfrm>
                    <a:prstGeom prst="rect">
                      <a:avLst/>
                    </a:prstGeom>
                    <a:noFill/>
                  </pic:spPr>
                </pic:pic>
              </a:graphicData>
            </a:graphic>
          </wp:inline>
        </w:drawing>
      </w:r>
    </w:p>
    <w:p w14:paraId="44E21D77" w14:textId="77777777" w:rsidR="00BB0A11" w:rsidRPr="006645DC" w:rsidRDefault="00BB0A11" w:rsidP="00BB0A11">
      <w:pPr>
        <w:jc w:val="center"/>
        <w:rPr>
          <w:lang w:val="en-GB"/>
        </w:rPr>
        <w:sectPr w:rsidR="00BB0A11" w:rsidRPr="006645DC" w:rsidSect="00A943EA">
          <w:pgSz w:w="12240" w:h="15840"/>
          <w:pgMar w:top="1440" w:right="1440" w:bottom="1440" w:left="1440" w:header="720" w:footer="720" w:gutter="0"/>
          <w:cols w:space="720"/>
          <w:docGrid w:linePitch="360"/>
        </w:sectPr>
      </w:pPr>
      <w:r w:rsidRPr="006645DC">
        <w:rPr>
          <w:noProof/>
          <w:lang w:val="bg-BG" w:eastAsia="bg-BG"/>
        </w:rPr>
        <w:lastRenderedPageBreak/>
        <w:drawing>
          <wp:inline distT="0" distB="0" distL="0" distR="0" wp14:anchorId="4FE56636" wp14:editId="2E8F0B25">
            <wp:extent cx="6537960" cy="6598920"/>
            <wp:effectExtent l="19050" t="0" r="0" b="0"/>
            <wp:docPr id="46"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7"/>
                    <a:srcRect/>
                    <a:stretch>
                      <a:fillRect/>
                    </a:stretch>
                  </pic:blipFill>
                  <pic:spPr bwMode="auto">
                    <a:xfrm>
                      <a:off x="0" y="0"/>
                      <a:ext cx="6537960" cy="6598920"/>
                    </a:xfrm>
                    <a:prstGeom prst="rect">
                      <a:avLst/>
                    </a:prstGeom>
                    <a:noFill/>
                  </pic:spPr>
                </pic:pic>
              </a:graphicData>
            </a:graphic>
          </wp:inline>
        </w:drawing>
      </w:r>
    </w:p>
    <w:p w14:paraId="319136DF" w14:textId="77777777" w:rsidR="00A943EA" w:rsidRPr="006645DC" w:rsidRDefault="00A943EA" w:rsidP="00A943EA">
      <w:pPr>
        <w:rPr>
          <w:lang w:val="en-GB"/>
        </w:rPr>
      </w:pPr>
      <w:r w:rsidRPr="006645DC">
        <w:rPr>
          <w:lang w:val="en-GB"/>
        </w:rPr>
        <w:lastRenderedPageBreak/>
        <w:t xml:space="preserve">In order to understand the overall scores we calculate an average of all marks obtained by each territorial challenge. We can notice that: </w:t>
      </w:r>
    </w:p>
    <w:p w14:paraId="2AF2DE48" w14:textId="77777777" w:rsidR="00387E7D" w:rsidRPr="006645DC" w:rsidRDefault="00A943EA" w:rsidP="00821048">
      <w:pPr>
        <w:pStyle w:val="ListParagraph"/>
        <w:rPr>
          <w:lang w:val="en-GB"/>
        </w:rPr>
      </w:pPr>
      <w:r w:rsidRPr="006645DC">
        <w:rPr>
          <w:lang w:val="en-GB"/>
        </w:rPr>
        <w:t xml:space="preserve">The employment (new ways and opportunities as well as youth unemployment), the human capital development (+ enhancement of the education level), tourism and cultural heritage development are seen as the most important challenges of the cross-border area. They have all received high marks (5 and 4) from more than 90% of the respondents and obtain an average mark bigger than 4.5. </w:t>
      </w:r>
    </w:p>
    <w:p w14:paraId="42463EC2" w14:textId="77777777" w:rsidR="00A943EA" w:rsidRPr="006645DC" w:rsidRDefault="00A943EA" w:rsidP="00821048">
      <w:pPr>
        <w:pStyle w:val="ListParagraph"/>
        <w:rPr>
          <w:lang w:val="en-GB"/>
        </w:rPr>
      </w:pPr>
      <w:r w:rsidRPr="006645DC">
        <w:rPr>
          <w:lang w:val="en-GB"/>
        </w:rPr>
        <w:t xml:space="preserve">The cross-border area interconnectivity is also important. </w:t>
      </w:r>
    </w:p>
    <w:p w14:paraId="1BE260B6" w14:textId="77777777" w:rsidR="00A943EA" w:rsidRPr="006645DC" w:rsidRDefault="00A943EA" w:rsidP="00821048">
      <w:pPr>
        <w:pStyle w:val="ListParagraph"/>
        <w:rPr>
          <w:rFonts w:cs="Calibri"/>
          <w:color w:val="000000"/>
          <w:lang w:val="en-GB"/>
        </w:rPr>
      </w:pPr>
      <w:r w:rsidRPr="006645DC">
        <w:rPr>
          <w:lang w:val="en-GB"/>
        </w:rPr>
        <w:t>The relative lowest</w:t>
      </w:r>
      <w:r w:rsidRPr="006645DC">
        <w:rPr>
          <w:rFonts w:cs="Calibri"/>
          <w:color w:val="000000"/>
          <w:lang w:val="en-GB"/>
        </w:rPr>
        <w:t xml:space="preserve"> overall scorings were obtained by: </w:t>
      </w:r>
    </w:p>
    <w:p w14:paraId="56A4DD7D" w14:textId="77777777" w:rsidR="00A943EA" w:rsidRPr="006645DC" w:rsidRDefault="00A943EA" w:rsidP="00C951D5">
      <w:pPr>
        <w:pStyle w:val="ListParagraph"/>
        <w:numPr>
          <w:ilvl w:val="1"/>
          <w:numId w:val="54"/>
        </w:numPr>
        <w:spacing w:before="0" w:after="0"/>
        <w:rPr>
          <w:rFonts w:cs="Calibri"/>
          <w:color w:val="000000"/>
          <w:lang w:val="en-GB"/>
        </w:rPr>
      </w:pPr>
      <w:r w:rsidRPr="006645DC">
        <w:rPr>
          <w:rFonts w:cs="Calibri"/>
          <w:color w:val="000000"/>
          <w:lang w:val="en-GB"/>
        </w:rPr>
        <w:t>Dealing with disparities based on a person’s ethnicity, gender, age group or education,</w:t>
      </w:r>
    </w:p>
    <w:p w14:paraId="0DD1E72B" w14:textId="77777777" w:rsidR="00A943EA" w:rsidRPr="006645DC" w:rsidRDefault="00A943EA" w:rsidP="00C951D5">
      <w:pPr>
        <w:pStyle w:val="ListParagraph"/>
        <w:numPr>
          <w:ilvl w:val="1"/>
          <w:numId w:val="54"/>
        </w:numPr>
        <w:spacing w:before="0" w:after="0"/>
        <w:rPr>
          <w:rFonts w:cs="Calibri"/>
          <w:color w:val="000000"/>
          <w:lang w:val="en-GB"/>
        </w:rPr>
      </w:pPr>
      <w:r w:rsidRPr="006645DC">
        <w:rPr>
          <w:rFonts w:cs="Calibri"/>
          <w:color w:val="000000"/>
          <w:lang w:val="en-GB"/>
        </w:rPr>
        <w:t xml:space="preserve">Adaptation measures for heat-waves </w:t>
      </w:r>
    </w:p>
    <w:p w14:paraId="489E1F88" w14:textId="77777777" w:rsidR="00A943EA" w:rsidRPr="006645DC" w:rsidRDefault="00A943EA" w:rsidP="00C951D5">
      <w:pPr>
        <w:pStyle w:val="ListParagraph"/>
        <w:numPr>
          <w:ilvl w:val="1"/>
          <w:numId w:val="54"/>
        </w:numPr>
        <w:spacing w:before="0" w:after="0"/>
        <w:rPr>
          <w:rFonts w:cs="Calibri"/>
          <w:color w:val="000000"/>
          <w:lang w:val="en-GB"/>
        </w:rPr>
      </w:pPr>
      <w:r w:rsidRPr="006645DC">
        <w:rPr>
          <w:rFonts w:cs="Calibri"/>
          <w:color w:val="000000"/>
          <w:lang w:val="en-GB"/>
        </w:rPr>
        <w:t>Answering shrinking and diverging population dynamics</w:t>
      </w:r>
    </w:p>
    <w:p w14:paraId="752C861C" w14:textId="77777777" w:rsidR="00A943EA" w:rsidRPr="006645DC" w:rsidRDefault="00A943EA" w:rsidP="00A943EA">
      <w:pPr>
        <w:rPr>
          <w:lang w:val="en-GB"/>
        </w:rPr>
      </w:pPr>
      <w:r w:rsidRPr="006645DC">
        <w:rPr>
          <w:lang w:val="en-GB"/>
        </w:rPr>
        <w:t xml:space="preserve">Given the overall high importance of almost all the challenges presented, we find it useless to differentiate inside the “priority groups”. </w:t>
      </w:r>
    </w:p>
    <w:p w14:paraId="4821DAFB" w14:textId="77777777" w:rsidR="00A943EA" w:rsidRPr="006645DC" w:rsidRDefault="00A943EA" w:rsidP="00821048">
      <w:pPr>
        <w:rPr>
          <w:lang w:val="en-GB"/>
        </w:rPr>
      </w:pPr>
      <w:r w:rsidRPr="006645DC">
        <w:rPr>
          <w:lang w:val="en-GB"/>
        </w:rPr>
        <w:t xml:space="preserve">If we split the results according to the 3 main categories of stakeholders, the results will obviously carry a significant risk of bias according to the main activity area of the category of stakeholder (i.e a R&amp;D institute or a university will emphasize the research and innovation aspect and ignore aspects like accessibility and transport, a public authority will tend to emphasize administrative capacity over R&amp;D, etc.). </w:t>
      </w:r>
    </w:p>
    <w:p w14:paraId="55DA9DEF" w14:textId="77777777" w:rsidR="00A943EA" w:rsidRPr="006645DC" w:rsidRDefault="00A943EA" w:rsidP="00821048">
      <w:pPr>
        <w:rPr>
          <w:lang w:val="en-GB"/>
        </w:rPr>
      </w:pPr>
      <w:r w:rsidRPr="006645DC">
        <w:rPr>
          <w:lang w:val="en-GB"/>
        </w:rPr>
        <w:t xml:space="preserve">However apart from this inherent bias, we need to see which are the challenges each category identifies. </w:t>
      </w:r>
    </w:p>
    <w:p w14:paraId="3EE9AFFE" w14:textId="77777777" w:rsidR="00A943EA" w:rsidRPr="006645DC" w:rsidRDefault="00A943EA" w:rsidP="00821048">
      <w:pPr>
        <w:rPr>
          <w:lang w:val="en-GB"/>
        </w:rPr>
      </w:pPr>
      <w:r w:rsidRPr="006645DC">
        <w:rPr>
          <w:lang w:val="en-GB"/>
        </w:rPr>
        <w:t xml:space="preserve">While identifying administrative capacity as a key challenges, the public institutions see the employment (youth unemployment included), energy efficiency, protection and promotion of cultural heritage and tourism development and the development of education and skills (including human capital development and the enhancement of education level) as the most important challenges. The economy and competitiveness of SMEs, the R&amp;I, the ICTs and the problematic demographic dynamics (including the disparities based on ethnicity) are topics seen as less important. </w:t>
      </w:r>
    </w:p>
    <w:p w14:paraId="261178C5" w14:textId="77777777" w:rsidR="00BB0A11" w:rsidRPr="006645DC" w:rsidRDefault="00BB0A11" w:rsidP="00A943EA">
      <w:pPr>
        <w:spacing w:before="0" w:after="0"/>
        <w:rPr>
          <w:lang w:val="en-GB"/>
        </w:rPr>
        <w:sectPr w:rsidR="00BB0A11" w:rsidRPr="006645DC" w:rsidSect="00A943EA">
          <w:pgSz w:w="12240" w:h="15840"/>
          <w:pgMar w:top="1440" w:right="1440" w:bottom="1440" w:left="1440" w:header="720" w:footer="720" w:gutter="0"/>
          <w:cols w:space="720"/>
          <w:docGrid w:linePitch="360"/>
        </w:sectPr>
      </w:pPr>
    </w:p>
    <w:p w14:paraId="0752DAB6" w14:textId="77777777" w:rsidR="00BB0A11" w:rsidRPr="006645DC" w:rsidRDefault="00BB0A11" w:rsidP="00BB0A11">
      <w:pPr>
        <w:spacing w:before="0" w:after="0"/>
        <w:jc w:val="center"/>
        <w:rPr>
          <w:lang w:val="en-GB"/>
        </w:rPr>
        <w:sectPr w:rsidR="00BB0A11" w:rsidRPr="006645DC" w:rsidSect="00A943EA">
          <w:pgSz w:w="12240" w:h="15840"/>
          <w:pgMar w:top="1440" w:right="1440" w:bottom="1440" w:left="1440" w:header="720" w:footer="720" w:gutter="0"/>
          <w:cols w:space="720"/>
          <w:docGrid w:linePitch="360"/>
        </w:sectPr>
      </w:pPr>
      <w:r w:rsidRPr="006645DC">
        <w:rPr>
          <w:noProof/>
          <w:lang w:val="bg-BG" w:eastAsia="bg-BG"/>
        </w:rPr>
        <w:lastRenderedPageBreak/>
        <w:drawing>
          <wp:inline distT="0" distB="0" distL="0" distR="0" wp14:anchorId="40AB6900" wp14:editId="0AE807AF">
            <wp:extent cx="6499860" cy="6835140"/>
            <wp:effectExtent l="19050" t="0" r="0" b="0"/>
            <wp:docPr id="47"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8"/>
                    <a:srcRect/>
                    <a:stretch>
                      <a:fillRect/>
                    </a:stretch>
                  </pic:blipFill>
                  <pic:spPr bwMode="auto">
                    <a:xfrm>
                      <a:off x="0" y="0"/>
                      <a:ext cx="6499860" cy="6835140"/>
                    </a:xfrm>
                    <a:prstGeom prst="rect">
                      <a:avLst/>
                    </a:prstGeom>
                    <a:noFill/>
                  </pic:spPr>
                </pic:pic>
              </a:graphicData>
            </a:graphic>
          </wp:inline>
        </w:drawing>
      </w:r>
    </w:p>
    <w:p w14:paraId="109D33FD" w14:textId="77777777" w:rsidR="00A943EA" w:rsidRPr="006645DC" w:rsidRDefault="00A943EA" w:rsidP="00A943EA">
      <w:pPr>
        <w:spacing w:before="0" w:after="0"/>
        <w:rPr>
          <w:lang w:val="en-GB"/>
        </w:rPr>
      </w:pPr>
    </w:p>
    <w:p w14:paraId="79E02967" w14:textId="77777777" w:rsidR="00A943EA" w:rsidRPr="006645DC" w:rsidRDefault="00A943EA" w:rsidP="00A943EA">
      <w:pPr>
        <w:tabs>
          <w:tab w:val="left" w:pos="1044"/>
        </w:tabs>
        <w:rPr>
          <w:lang w:val="en-GB"/>
        </w:rPr>
      </w:pPr>
      <w:r w:rsidRPr="006645DC">
        <w:rPr>
          <w:lang w:val="en-GB"/>
        </w:rPr>
        <w:t xml:space="preserve">The university and R&amp;D institutions have an obvious bias towards the ICTs, R&amp;D and innovation challenges. They nevertheless identify the economic challenge (promotion of entrepreneurship), the environmental issues (like risks and impacts of natural hazards, energy efficiency, CO2 emissions) and the new opportunities of employment as priority challenges. We can notice the divergence in terms of scores of different challenges from the same macro-category. For example if natural hazards are seen as important, the </w:t>
      </w:r>
      <w:r w:rsidR="009E6218" w:rsidRPr="006645DC">
        <w:rPr>
          <w:lang w:val="en-GB"/>
        </w:rPr>
        <w:t>heat waves</w:t>
      </w:r>
      <w:r w:rsidRPr="006645DC">
        <w:rPr>
          <w:lang w:val="en-GB"/>
        </w:rPr>
        <w:t xml:space="preserve">, even though associated are seen as less important. </w:t>
      </w:r>
    </w:p>
    <w:p w14:paraId="27A152F9" w14:textId="77777777" w:rsidR="00BB0A11" w:rsidRPr="006645DC" w:rsidRDefault="00BB0A11" w:rsidP="00A943EA">
      <w:pPr>
        <w:rPr>
          <w:lang w:val="en-GB"/>
        </w:rPr>
        <w:sectPr w:rsidR="00BB0A11" w:rsidRPr="006645DC" w:rsidSect="00A943EA">
          <w:pgSz w:w="12240" w:h="15840"/>
          <w:pgMar w:top="1440" w:right="1440" w:bottom="1440" w:left="1440" w:header="720" w:footer="720" w:gutter="0"/>
          <w:cols w:space="720"/>
          <w:docGrid w:linePitch="360"/>
        </w:sectPr>
      </w:pPr>
    </w:p>
    <w:p w14:paraId="72F8EC5A" w14:textId="77777777" w:rsidR="00BB0A11" w:rsidRPr="006645DC" w:rsidRDefault="00BB0A11" w:rsidP="00BB0A11">
      <w:pPr>
        <w:jc w:val="center"/>
        <w:rPr>
          <w:lang w:val="en-GB"/>
        </w:rPr>
        <w:sectPr w:rsidR="00BB0A11" w:rsidRPr="006645DC" w:rsidSect="00A943EA">
          <w:pgSz w:w="12240" w:h="15840"/>
          <w:pgMar w:top="1440" w:right="1440" w:bottom="1440" w:left="1440" w:header="720" w:footer="720" w:gutter="0"/>
          <w:cols w:space="720"/>
          <w:docGrid w:linePitch="360"/>
        </w:sectPr>
      </w:pPr>
      <w:r w:rsidRPr="006645DC">
        <w:rPr>
          <w:noProof/>
          <w:lang w:val="bg-BG" w:eastAsia="bg-BG"/>
        </w:rPr>
        <w:lastRenderedPageBreak/>
        <w:drawing>
          <wp:inline distT="0" distB="0" distL="0" distR="0" wp14:anchorId="027B8085" wp14:editId="56FE2DC8">
            <wp:extent cx="6583680" cy="6987540"/>
            <wp:effectExtent l="19050" t="0" r="7620" b="0"/>
            <wp:docPr id="80"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9"/>
                    <a:srcRect/>
                    <a:stretch>
                      <a:fillRect/>
                    </a:stretch>
                  </pic:blipFill>
                  <pic:spPr bwMode="auto">
                    <a:xfrm>
                      <a:off x="0" y="0"/>
                      <a:ext cx="6583680" cy="6987540"/>
                    </a:xfrm>
                    <a:prstGeom prst="rect">
                      <a:avLst/>
                    </a:prstGeom>
                    <a:noFill/>
                  </pic:spPr>
                </pic:pic>
              </a:graphicData>
            </a:graphic>
          </wp:inline>
        </w:drawing>
      </w:r>
    </w:p>
    <w:p w14:paraId="529026FD" w14:textId="77777777" w:rsidR="00A943EA" w:rsidRPr="006645DC" w:rsidRDefault="00A943EA" w:rsidP="00A943EA">
      <w:pPr>
        <w:rPr>
          <w:lang w:val="en-GB"/>
        </w:rPr>
      </w:pPr>
    </w:p>
    <w:p w14:paraId="7F34A022" w14:textId="77777777" w:rsidR="00A943EA" w:rsidRPr="006645DC" w:rsidRDefault="00A943EA" w:rsidP="00A943EA">
      <w:pPr>
        <w:rPr>
          <w:lang w:val="en-GB"/>
        </w:rPr>
      </w:pPr>
      <w:r w:rsidRPr="006645DC">
        <w:rPr>
          <w:lang w:val="en-GB"/>
        </w:rPr>
        <w:t xml:space="preserve">The chambers of commerce/SMEs associations and other NGOs have an obvious bias towards the challenges linked to the economic competitiveness aspect (new firm creation, improvement of SMEs environment and business model), the training and human capital development (including youth unemployment) and environment (biodiversity and landscapes). Nevertheless they also identify as important tourism development, innovation and investment in R&amp;D (very interesting as it shows awareness of the importance of research and innovation for business competitiveness) and the cross-border area interconnectivity </w:t>
      </w:r>
    </w:p>
    <w:p w14:paraId="20F02B98" w14:textId="77777777" w:rsidR="00BB0A11" w:rsidRPr="006645DC" w:rsidRDefault="00BB0A11" w:rsidP="00A943EA">
      <w:pPr>
        <w:rPr>
          <w:lang w:val="en-GB"/>
        </w:rPr>
        <w:sectPr w:rsidR="00BB0A11" w:rsidRPr="006645DC" w:rsidSect="00A943EA">
          <w:pgSz w:w="12240" w:h="15840"/>
          <w:pgMar w:top="1440" w:right="1440" w:bottom="1440" w:left="1440" w:header="720" w:footer="720" w:gutter="0"/>
          <w:cols w:space="720"/>
          <w:docGrid w:linePitch="360"/>
        </w:sectPr>
      </w:pPr>
    </w:p>
    <w:p w14:paraId="38C527C8" w14:textId="77777777" w:rsidR="00BB0A11" w:rsidRPr="006645DC" w:rsidRDefault="00BB0A11" w:rsidP="00BB0A11">
      <w:pPr>
        <w:jc w:val="center"/>
        <w:rPr>
          <w:lang w:val="en-GB"/>
        </w:rPr>
        <w:sectPr w:rsidR="00BB0A11" w:rsidRPr="006645DC" w:rsidSect="00A943EA">
          <w:pgSz w:w="12240" w:h="15840"/>
          <w:pgMar w:top="1440" w:right="1440" w:bottom="1440" w:left="1440" w:header="720" w:footer="720" w:gutter="0"/>
          <w:cols w:space="720"/>
          <w:docGrid w:linePitch="360"/>
        </w:sectPr>
      </w:pPr>
      <w:r w:rsidRPr="006645DC">
        <w:rPr>
          <w:noProof/>
          <w:lang w:val="bg-BG" w:eastAsia="bg-BG"/>
        </w:rPr>
        <w:lastRenderedPageBreak/>
        <w:drawing>
          <wp:inline distT="0" distB="0" distL="0" distR="0" wp14:anchorId="702F25BA" wp14:editId="5BC739C5">
            <wp:extent cx="6522720" cy="6751320"/>
            <wp:effectExtent l="19050" t="0" r="0" b="0"/>
            <wp:docPr id="81"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0"/>
                    <a:srcRect/>
                    <a:stretch>
                      <a:fillRect/>
                    </a:stretch>
                  </pic:blipFill>
                  <pic:spPr bwMode="auto">
                    <a:xfrm>
                      <a:off x="0" y="0"/>
                      <a:ext cx="6522720" cy="6751320"/>
                    </a:xfrm>
                    <a:prstGeom prst="rect">
                      <a:avLst/>
                    </a:prstGeom>
                    <a:noFill/>
                  </pic:spPr>
                </pic:pic>
              </a:graphicData>
            </a:graphic>
          </wp:inline>
        </w:drawing>
      </w:r>
    </w:p>
    <w:p w14:paraId="7E93FB05" w14:textId="77777777" w:rsidR="00A943EA" w:rsidRPr="006645DC" w:rsidRDefault="00A943EA" w:rsidP="00A943EA">
      <w:pPr>
        <w:rPr>
          <w:lang w:val="en-GB"/>
        </w:rPr>
      </w:pPr>
      <w:r w:rsidRPr="006645DC">
        <w:rPr>
          <w:lang w:val="en-GB"/>
        </w:rPr>
        <w:lastRenderedPageBreak/>
        <w:t xml:space="preserve">We can draw a general conclusion from this comparison further qualifying the overall image presented at the beginning of this chapter. It is obvious now that apart from the biases, some challenges are seen as important by </w:t>
      </w:r>
      <w:r w:rsidR="009E6218" w:rsidRPr="006645DC">
        <w:rPr>
          <w:lang w:val="en-GB"/>
        </w:rPr>
        <w:t>all the</w:t>
      </w:r>
      <w:r w:rsidRPr="006645DC">
        <w:rPr>
          <w:lang w:val="en-GB"/>
        </w:rPr>
        <w:t xml:space="preserve"> stakeholders’ categories. We can group them in the following logical categories:</w:t>
      </w:r>
    </w:p>
    <w:p w14:paraId="0E11E714" w14:textId="77777777" w:rsidR="00A943EA" w:rsidRPr="006645DC" w:rsidRDefault="00A943EA" w:rsidP="00821048">
      <w:pPr>
        <w:pStyle w:val="ListParagraph"/>
        <w:rPr>
          <w:lang w:val="en-GB"/>
        </w:rPr>
      </w:pPr>
      <w:r w:rsidRPr="006645DC">
        <w:rPr>
          <w:lang w:val="en-GB"/>
        </w:rPr>
        <w:t>Heritage protection and development (including the tourism development as economic basis for the sustainability of heritage protection)</w:t>
      </w:r>
    </w:p>
    <w:p w14:paraId="5FDAB245" w14:textId="77777777" w:rsidR="00A943EA" w:rsidRPr="006645DC" w:rsidRDefault="00A943EA" w:rsidP="00821048">
      <w:pPr>
        <w:pStyle w:val="ListParagraph"/>
        <w:rPr>
          <w:lang w:val="en-GB"/>
        </w:rPr>
      </w:pPr>
      <w:r w:rsidRPr="006645DC">
        <w:rPr>
          <w:lang w:val="en-GB"/>
        </w:rPr>
        <w:t xml:space="preserve">Employment and human resource development (including the critical challenge of youth </w:t>
      </w:r>
      <w:r w:rsidR="009E6218" w:rsidRPr="006645DC">
        <w:rPr>
          <w:lang w:val="en-GB"/>
        </w:rPr>
        <w:t>unemployment</w:t>
      </w:r>
      <w:r w:rsidRPr="006645DC">
        <w:rPr>
          <w:lang w:val="en-GB"/>
        </w:rPr>
        <w:t>)</w:t>
      </w:r>
    </w:p>
    <w:p w14:paraId="63F5F042" w14:textId="77777777" w:rsidR="00A943EA" w:rsidRPr="006645DC" w:rsidRDefault="00A943EA" w:rsidP="00821048">
      <w:pPr>
        <w:pStyle w:val="ListParagraph"/>
        <w:rPr>
          <w:lang w:val="en-GB"/>
        </w:rPr>
      </w:pPr>
      <w:r w:rsidRPr="006645DC">
        <w:rPr>
          <w:lang w:val="en-GB"/>
        </w:rPr>
        <w:t>Two challenges that seem to have similar overall importance:</w:t>
      </w:r>
    </w:p>
    <w:p w14:paraId="6D0F0318" w14:textId="77777777" w:rsidR="00A943EA" w:rsidRPr="006645DC" w:rsidRDefault="00A943EA" w:rsidP="00C951D5">
      <w:pPr>
        <w:pStyle w:val="ListParagraph"/>
        <w:numPr>
          <w:ilvl w:val="1"/>
          <w:numId w:val="55"/>
        </w:numPr>
        <w:rPr>
          <w:lang w:val="en-GB"/>
        </w:rPr>
      </w:pPr>
      <w:r w:rsidRPr="006645DC">
        <w:rPr>
          <w:lang w:val="en-GB"/>
        </w:rPr>
        <w:t>Research and innovation for both better competitiveness of the economy (including the SMEs) and the development of knowledge society</w:t>
      </w:r>
    </w:p>
    <w:p w14:paraId="73F697DE" w14:textId="77777777" w:rsidR="00A943EA" w:rsidRPr="006645DC" w:rsidRDefault="00A943EA" w:rsidP="00C951D5">
      <w:pPr>
        <w:pStyle w:val="ListParagraph"/>
        <w:numPr>
          <w:ilvl w:val="1"/>
          <w:numId w:val="55"/>
        </w:numPr>
        <w:rPr>
          <w:lang w:val="en-GB"/>
        </w:rPr>
      </w:pPr>
      <w:r w:rsidRPr="006645DC">
        <w:rPr>
          <w:lang w:val="en-GB"/>
        </w:rPr>
        <w:t>Environment protection (including adaptation to climate change and measures to tackle natural hazards)</w:t>
      </w:r>
    </w:p>
    <w:p w14:paraId="562D0C12" w14:textId="77777777" w:rsidR="00A943EA" w:rsidRPr="006645DC" w:rsidRDefault="00A943EA" w:rsidP="00A943EA">
      <w:pPr>
        <w:pStyle w:val="Heading2"/>
        <w:rPr>
          <w:lang w:val="en-GB"/>
        </w:rPr>
      </w:pPr>
      <w:bookmarkStart w:id="2278" w:name="_Toc376200370"/>
      <w:bookmarkStart w:id="2279" w:name="_Toc254543864"/>
      <w:bookmarkStart w:id="2280" w:name="_Toc391150224"/>
      <w:r w:rsidRPr="006645DC">
        <w:rPr>
          <w:lang w:val="en-GB"/>
        </w:rPr>
        <w:t>The needs according to stakeholders</w:t>
      </w:r>
      <w:r w:rsidR="0090434E" w:rsidRPr="006645DC">
        <w:rPr>
          <w:lang w:val="en-GB"/>
        </w:rPr>
        <w:t xml:space="preserve"> (on-line questionnaire)</w:t>
      </w:r>
      <w:bookmarkEnd w:id="2278"/>
      <w:bookmarkEnd w:id="2279"/>
      <w:bookmarkEnd w:id="2280"/>
    </w:p>
    <w:p w14:paraId="1934E216" w14:textId="77777777" w:rsidR="00A943EA" w:rsidRPr="006645DC" w:rsidRDefault="00A943EA" w:rsidP="00A943EA">
      <w:pPr>
        <w:rPr>
          <w:lang w:val="en-GB"/>
        </w:rPr>
      </w:pPr>
      <w:r w:rsidRPr="006645DC">
        <w:rPr>
          <w:lang w:val="en-GB"/>
        </w:rPr>
        <w:t>The respondents to the on-line questionnaire were asked to indicate, after having indicated the main challenges, the needs of the territory. This sequentially puts the stakeholders in the position to better reflect in the needs their options in terms of territorial challenges.</w:t>
      </w:r>
    </w:p>
    <w:p w14:paraId="1CD22DC7" w14:textId="77777777" w:rsidR="00A943EA" w:rsidRPr="006645DC" w:rsidRDefault="00A943EA" w:rsidP="00A943EA">
      <w:pPr>
        <w:rPr>
          <w:lang w:val="en-GB"/>
        </w:rPr>
      </w:pPr>
      <w:r w:rsidRPr="006645DC">
        <w:rPr>
          <w:lang w:val="en-GB"/>
        </w:rPr>
        <w:t xml:space="preserve">We opted </w:t>
      </w:r>
      <w:r w:rsidR="009E6218" w:rsidRPr="006645DC">
        <w:rPr>
          <w:lang w:val="en-GB"/>
        </w:rPr>
        <w:t>for:</w:t>
      </w:r>
    </w:p>
    <w:p w14:paraId="4632DF38" w14:textId="77777777" w:rsidR="00A943EA" w:rsidRPr="006645DC" w:rsidRDefault="00A943EA" w:rsidP="00821048">
      <w:pPr>
        <w:pStyle w:val="ListParagraph"/>
        <w:rPr>
          <w:lang w:val="en-GB"/>
        </w:rPr>
      </w:pPr>
      <w:r w:rsidRPr="006645DC">
        <w:rPr>
          <w:lang w:val="en-GB"/>
        </w:rPr>
        <w:t>A closed-ended question listing the Thematic Objectives and their associated Investment Priorities from the ETC project of regulation</w:t>
      </w:r>
    </w:p>
    <w:p w14:paraId="28AA3C77" w14:textId="77777777" w:rsidR="00A943EA" w:rsidRPr="006645DC" w:rsidRDefault="00A943EA" w:rsidP="00821048">
      <w:pPr>
        <w:pStyle w:val="ListParagraph"/>
        <w:rPr>
          <w:lang w:val="en-GB"/>
        </w:rPr>
      </w:pPr>
      <w:r w:rsidRPr="006645DC">
        <w:rPr>
          <w:lang w:val="en-GB"/>
        </w:rPr>
        <w:t>An introducing question emphasizing the „territorial needs” and not the „stakeholders needs”</w:t>
      </w:r>
    </w:p>
    <w:p w14:paraId="25DE61E5" w14:textId="77777777" w:rsidR="00A943EA" w:rsidRPr="006645DC" w:rsidRDefault="00A943EA" w:rsidP="00A943EA">
      <w:pPr>
        <w:rPr>
          <w:lang w:val="en-GB"/>
        </w:rPr>
      </w:pPr>
      <w:r w:rsidRPr="006645DC">
        <w:rPr>
          <w:lang w:val="en-GB"/>
        </w:rPr>
        <w:t xml:space="preserve">These methodological options enabled both the coherence between the challenges and the needs and then between them and the EU regulatory framework. </w:t>
      </w:r>
    </w:p>
    <w:p w14:paraId="5F5E5EAA" w14:textId="77777777" w:rsidR="00A943EA" w:rsidRPr="006645DC" w:rsidRDefault="00A943EA" w:rsidP="00A943EA">
      <w:pPr>
        <w:rPr>
          <w:lang w:val="en-GB"/>
        </w:rPr>
      </w:pPr>
      <w:r w:rsidRPr="006645DC">
        <w:rPr>
          <w:lang w:val="en-GB"/>
        </w:rPr>
        <w:t xml:space="preserve">The presentation of needs in terms of investment priorities has also the purpose of giving to the stakeholders a more understandable choice basis, thus ensuring the relevance of their options. </w:t>
      </w:r>
    </w:p>
    <w:p w14:paraId="42627CBE" w14:textId="77777777" w:rsidR="00A943EA" w:rsidRPr="006645DC" w:rsidRDefault="00A943EA" w:rsidP="00A943EA">
      <w:pPr>
        <w:rPr>
          <w:lang w:val="en-GB"/>
        </w:rPr>
      </w:pPr>
      <w:r w:rsidRPr="006645DC">
        <w:rPr>
          <w:lang w:val="en-GB"/>
        </w:rPr>
        <w:t xml:space="preserve">An additional methodological choice was to ask the stakeholders to just choose from all the investment priorities 4 of the 11 Thematic Objectives that seemed relevant to address the territorial needs. This rough selection enabled an easier understanding of the task (as opposed to the possibility that we had to ask them to give priority marks to each Investment Priority). </w:t>
      </w:r>
    </w:p>
    <w:p w14:paraId="57586ED2" w14:textId="77777777" w:rsidR="00A943EA" w:rsidRPr="006645DC" w:rsidRDefault="00A943EA" w:rsidP="00A943EA">
      <w:pPr>
        <w:rPr>
          <w:lang w:val="en-GB"/>
        </w:rPr>
      </w:pPr>
      <w:r w:rsidRPr="006645DC">
        <w:rPr>
          <w:lang w:val="en-GB"/>
        </w:rPr>
        <w:t xml:space="preserve">The fact that we asked for the stakeholders opinion not on “their needs” but on the “territory’s needs” is important, as they had to follow the logic of the “challenges part” and not refer to their own interest but to the territorial perceived challenges/needs. Given the make-up of the eligible beneficiaries group that were targeted by the questionnaire as well as the particularities of the RO-BG cross-border area, this was important in order to obtain a general coherence of opinions. </w:t>
      </w:r>
    </w:p>
    <w:p w14:paraId="76A05A68" w14:textId="77777777" w:rsidR="00A943EA" w:rsidRPr="006645DC" w:rsidRDefault="00A943EA" w:rsidP="00A943EA">
      <w:pPr>
        <w:rPr>
          <w:lang w:val="en-GB"/>
        </w:rPr>
      </w:pPr>
      <w:r w:rsidRPr="006645DC">
        <w:rPr>
          <w:lang w:val="en-GB"/>
        </w:rPr>
        <w:t xml:space="preserve">The figure below presents the overall results of the questionnaire on the needs of the cross-border area. </w:t>
      </w:r>
    </w:p>
    <w:p w14:paraId="00B94C1C" w14:textId="77777777" w:rsidR="00A943EA" w:rsidRPr="006645DC" w:rsidRDefault="00A943EA" w:rsidP="00A943EA">
      <w:pPr>
        <w:rPr>
          <w:lang w:val="en-GB"/>
        </w:rPr>
      </w:pPr>
      <w:r w:rsidRPr="006645DC">
        <w:rPr>
          <w:lang w:val="en-GB"/>
        </w:rPr>
        <w:lastRenderedPageBreak/>
        <w:t>The following Investments Priorities were the most selected by stakeholders and have the highest scores:</w:t>
      </w:r>
    </w:p>
    <w:p w14:paraId="5FA97941" w14:textId="77777777" w:rsidR="00A943EA" w:rsidRPr="006645DC" w:rsidRDefault="00A943EA" w:rsidP="00821048">
      <w:pPr>
        <w:pStyle w:val="ListParagraph"/>
        <w:rPr>
          <w:lang w:val="en-GB"/>
        </w:rPr>
      </w:pPr>
      <w:r w:rsidRPr="006645DC">
        <w:rPr>
          <w:lang w:val="en-GB"/>
        </w:rPr>
        <w:t xml:space="preserve">The Investment Priority 10 “Investing in education, skills and lifelong learning by developing education and training infrastructure”, - </w:t>
      </w:r>
    </w:p>
    <w:p w14:paraId="039D9D77" w14:textId="77777777" w:rsidR="00A943EA" w:rsidRPr="006645DC" w:rsidRDefault="00A943EA" w:rsidP="00821048">
      <w:pPr>
        <w:pStyle w:val="ListParagraph"/>
        <w:rPr>
          <w:lang w:val="en-GB"/>
        </w:rPr>
      </w:pPr>
      <w:r w:rsidRPr="006645DC">
        <w:rPr>
          <w:lang w:val="en-GB"/>
        </w:rPr>
        <w:t xml:space="preserve">The IP 1.a – “Enhancing research and innovation (R&amp;I) infrastructure and capacities to develop R&amp;I excellence and promoting centres of competence, in particular those of European interest”, </w:t>
      </w:r>
    </w:p>
    <w:p w14:paraId="50AE9DEB" w14:textId="77777777" w:rsidR="00A943EA" w:rsidRPr="006645DC" w:rsidRDefault="00A943EA" w:rsidP="00821048">
      <w:pPr>
        <w:pStyle w:val="ListParagraph"/>
        <w:rPr>
          <w:lang w:val="en-GB"/>
        </w:rPr>
      </w:pPr>
      <w:r w:rsidRPr="006645DC">
        <w:rPr>
          <w:lang w:val="en-GB"/>
        </w:rPr>
        <w:t xml:space="preserve">The IP 6.c “Protecting, promoting and developing cultural and natural heritage” </w:t>
      </w:r>
    </w:p>
    <w:p w14:paraId="55ED2958" w14:textId="77777777" w:rsidR="00A943EA" w:rsidRPr="006645DC" w:rsidRDefault="00A943EA" w:rsidP="00821048">
      <w:pPr>
        <w:pStyle w:val="ListParagraph"/>
        <w:rPr>
          <w:lang w:val="en-GB"/>
        </w:rPr>
      </w:pPr>
      <w:r w:rsidRPr="006645DC">
        <w:rPr>
          <w:lang w:val="en-GB"/>
        </w:rPr>
        <w:t xml:space="preserve">IP 6.f “Promoting innovative technologies to improve environmental protection and resource efficiency in the waste sector, water sector, soil protection or to reduce air pollution” – </w:t>
      </w:r>
    </w:p>
    <w:p w14:paraId="0658012B" w14:textId="77777777" w:rsidR="00A943EA" w:rsidRPr="006645DC" w:rsidRDefault="00A943EA" w:rsidP="00821048">
      <w:pPr>
        <w:pStyle w:val="ListParagraph"/>
        <w:rPr>
          <w:lang w:val="en-GB"/>
        </w:rPr>
      </w:pPr>
      <w:r w:rsidRPr="006645DC">
        <w:rPr>
          <w:lang w:val="en-GB"/>
        </w:rPr>
        <w:t>IP 3.d „Supporting the capacity of SMEs to engage in growth and innovation processes”</w:t>
      </w:r>
    </w:p>
    <w:p w14:paraId="79318D2F" w14:textId="77777777" w:rsidR="00A943EA" w:rsidRPr="006645DC" w:rsidRDefault="00A943EA" w:rsidP="00821048">
      <w:pPr>
        <w:pStyle w:val="ListParagraph"/>
        <w:rPr>
          <w:lang w:val="en-GB"/>
        </w:rPr>
      </w:pPr>
      <w:r w:rsidRPr="006645DC">
        <w:rPr>
          <w:lang w:val="en-GB"/>
        </w:rPr>
        <w:t xml:space="preserve">IP 5.b „Promoting investment to address specific risks, ensuring disaster resilience and developing disaster management systems” </w:t>
      </w:r>
    </w:p>
    <w:p w14:paraId="7D02379C" w14:textId="77777777" w:rsidR="00A943EA" w:rsidRPr="006645DC" w:rsidRDefault="00A943EA" w:rsidP="00A943EA">
      <w:pPr>
        <w:rPr>
          <w:lang w:val="en-GB"/>
        </w:rPr>
      </w:pPr>
      <w:r w:rsidRPr="006645DC">
        <w:rPr>
          <w:lang w:val="en-GB"/>
        </w:rPr>
        <w:t>On the opposite direction the Investment Priorities that have recorded the smallest scores are:</w:t>
      </w:r>
    </w:p>
    <w:p w14:paraId="591C5F78" w14:textId="77777777" w:rsidR="00A943EA" w:rsidRPr="006645DC" w:rsidRDefault="00A943EA" w:rsidP="00821048">
      <w:pPr>
        <w:pStyle w:val="ListParagraph"/>
        <w:rPr>
          <w:lang w:val="en-GB"/>
        </w:rPr>
      </w:pPr>
      <w:r w:rsidRPr="006645DC">
        <w:rPr>
          <w:lang w:val="en-GB"/>
        </w:rPr>
        <w:t>IP_ 7.d Developing and rehabilitating comprehensive, high quality and interoperable railway system</w:t>
      </w:r>
      <w:r w:rsidR="009E6218" w:rsidRPr="006645DC">
        <w:rPr>
          <w:lang w:val="en-GB"/>
        </w:rPr>
        <w:t>;</w:t>
      </w:r>
    </w:p>
    <w:p w14:paraId="30876BEA" w14:textId="77777777" w:rsidR="00A943EA" w:rsidRPr="006645DC" w:rsidRDefault="00A943EA" w:rsidP="00821048">
      <w:pPr>
        <w:pStyle w:val="ListParagraph"/>
        <w:rPr>
          <w:lang w:val="en-GB"/>
        </w:rPr>
      </w:pPr>
      <w:r w:rsidRPr="006645DC">
        <w:rPr>
          <w:lang w:val="en-GB"/>
        </w:rPr>
        <w:t>IP 4.d Developing and implementing smart distribution systems at low and medium voltage levels;</w:t>
      </w:r>
    </w:p>
    <w:p w14:paraId="5643CA5F" w14:textId="77777777" w:rsidR="00A943EA" w:rsidRPr="006645DC" w:rsidRDefault="00A943EA" w:rsidP="00821048">
      <w:pPr>
        <w:pStyle w:val="ListParagraph"/>
        <w:rPr>
          <w:lang w:val="en-GB"/>
        </w:rPr>
      </w:pPr>
      <w:r w:rsidRPr="006645DC">
        <w:rPr>
          <w:lang w:val="en-GB"/>
        </w:rPr>
        <w:t>IP_ 7.e Developing smart gas and power distribution, storage and transmission systems, also selected by 5 respondents;</w:t>
      </w:r>
    </w:p>
    <w:p w14:paraId="01B77A9A" w14:textId="77777777" w:rsidR="00A943EA" w:rsidRPr="006645DC" w:rsidRDefault="00A943EA" w:rsidP="00821048">
      <w:pPr>
        <w:pStyle w:val="ListParagraph"/>
        <w:rPr>
          <w:lang w:val="en-GB"/>
        </w:rPr>
      </w:pPr>
      <w:r w:rsidRPr="006645DC">
        <w:rPr>
          <w:lang w:val="en-GB"/>
        </w:rPr>
        <w:t xml:space="preserve">IP 5.a Supporting investment for adaptation to climate change </w:t>
      </w:r>
    </w:p>
    <w:p w14:paraId="76E7227C" w14:textId="77777777" w:rsidR="00A943EA" w:rsidRPr="006645DC" w:rsidRDefault="00A943EA" w:rsidP="00A943EA">
      <w:pPr>
        <w:rPr>
          <w:lang w:val="en-GB"/>
        </w:rPr>
      </w:pPr>
    </w:p>
    <w:p w14:paraId="1C22E643" w14:textId="77777777" w:rsidR="00A943EA" w:rsidRPr="006645DC" w:rsidRDefault="00A943EA" w:rsidP="00A943EA">
      <w:pPr>
        <w:rPr>
          <w:lang w:val="en-GB"/>
        </w:rPr>
      </w:pPr>
    </w:p>
    <w:p w14:paraId="01E86273" w14:textId="77777777" w:rsidR="00BB0A11" w:rsidRPr="006645DC" w:rsidRDefault="00BB0A11" w:rsidP="00A943EA">
      <w:pPr>
        <w:rPr>
          <w:lang w:val="en-GB"/>
        </w:rPr>
        <w:sectPr w:rsidR="00BB0A11" w:rsidRPr="006645DC" w:rsidSect="00A943EA">
          <w:pgSz w:w="12240" w:h="15840"/>
          <w:pgMar w:top="1440" w:right="1440" w:bottom="1440" w:left="1440" w:header="720" w:footer="720" w:gutter="0"/>
          <w:cols w:space="720"/>
          <w:docGrid w:linePitch="360"/>
        </w:sectPr>
      </w:pPr>
    </w:p>
    <w:p w14:paraId="4B157B8A" w14:textId="77777777" w:rsidR="00BB0A11" w:rsidRPr="006645DC" w:rsidRDefault="00BB0A11" w:rsidP="00BB0A11">
      <w:pPr>
        <w:jc w:val="center"/>
        <w:rPr>
          <w:lang w:val="en-GB"/>
        </w:rPr>
        <w:sectPr w:rsidR="00BB0A11" w:rsidRPr="006645DC" w:rsidSect="00A943EA">
          <w:pgSz w:w="12240" w:h="15840"/>
          <w:pgMar w:top="1440" w:right="1440" w:bottom="1440" w:left="1440" w:header="720" w:footer="720" w:gutter="0"/>
          <w:cols w:space="720"/>
          <w:docGrid w:linePitch="360"/>
        </w:sectPr>
      </w:pPr>
      <w:r w:rsidRPr="006645DC">
        <w:rPr>
          <w:noProof/>
          <w:lang w:val="bg-BG" w:eastAsia="bg-BG"/>
        </w:rPr>
        <w:lastRenderedPageBreak/>
        <w:drawing>
          <wp:inline distT="0" distB="0" distL="0" distR="0" wp14:anchorId="0500154F" wp14:editId="6F3E29E6">
            <wp:extent cx="5981700" cy="6957060"/>
            <wp:effectExtent l="19050" t="0" r="0" b="0"/>
            <wp:docPr id="82"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1"/>
                    <a:srcRect/>
                    <a:stretch>
                      <a:fillRect/>
                    </a:stretch>
                  </pic:blipFill>
                  <pic:spPr bwMode="auto">
                    <a:xfrm>
                      <a:off x="0" y="0"/>
                      <a:ext cx="5981700" cy="6957060"/>
                    </a:xfrm>
                    <a:prstGeom prst="rect">
                      <a:avLst/>
                    </a:prstGeom>
                    <a:noFill/>
                  </pic:spPr>
                </pic:pic>
              </a:graphicData>
            </a:graphic>
          </wp:inline>
        </w:drawing>
      </w:r>
    </w:p>
    <w:p w14:paraId="12314BF5" w14:textId="77777777" w:rsidR="00BB0A11" w:rsidRPr="006645DC" w:rsidRDefault="00BB0A11" w:rsidP="00BB0A11">
      <w:pPr>
        <w:jc w:val="center"/>
        <w:rPr>
          <w:lang w:val="en-GB"/>
        </w:rPr>
        <w:sectPr w:rsidR="00BB0A11" w:rsidRPr="006645DC" w:rsidSect="00A943EA">
          <w:pgSz w:w="12240" w:h="15840"/>
          <w:pgMar w:top="1440" w:right="1440" w:bottom="1440" w:left="1440" w:header="720" w:footer="720" w:gutter="0"/>
          <w:cols w:space="720"/>
          <w:docGrid w:linePitch="360"/>
        </w:sectPr>
      </w:pPr>
      <w:r w:rsidRPr="006645DC">
        <w:rPr>
          <w:noProof/>
          <w:lang w:val="bg-BG" w:eastAsia="bg-BG"/>
        </w:rPr>
        <w:lastRenderedPageBreak/>
        <w:drawing>
          <wp:inline distT="0" distB="0" distL="0" distR="0" wp14:anchorId="3EDA5138" wp14:editId="586AA423">
            <wp:extent cx="5981700" cy="7086600"/>
            <wp:effectExtent l="19050" t="0" r="0" b="0"/>
            <wp:docPr id="83"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2"/>
                    <a:srcRect/>
                    <a:stretch>
                      <a:fillRect/>
                    </a:stretch>
                  </pic:blipFill>
                  <pic:spPr bwMode="auto">
                    <a:xfrm>
                      <a:off x="0" y="0"/>
                      <a:ext cx="5981700" cy="7086600"/>
                    </a:xfrm>
                    <a:prstGeom prst="rect">
                      <a:avLst/>
                    </a:prstGeom>
                    <a:noFill/>
                  </pic:spPr>
                </pic:pic>
              </a:graphicData>
            </a:graphic>
          </wp:inline>
        </w:drawing>
      </w:r>
    </w:p>
    <w:p w14:paraId="083BB2ED" w14:textId="77777777" w:rsidR="00A943EA" w:rsidRPr="006645DC" w:rsidRDefault="00A943EA" w:rsidP="00A943EA">
      <w:pPr>
        <w:rPr>
          <w:lang w:val="en-GB"/>
        </w:rPr>
      </w:pPr>
      <w:r w:rsidRPr="006645DC">
        <w:rPr>
          <w:lang w:val="en-GB"/>
        </w:rPr>
        <w:lastRenderedPageBreak/>
        <w:t xml:space="preserve">The </w:t>
      </w:r>
      <w:r w:rsidR="007459C1" w:rsidRPr="006645DC">
        <w:rPr>
          <w:lang w:val="en-GB"/>
        </w:rPr>
        <w:t xml:space="preserve">chart above indicates </w:t>
      </w:r>
      <w:r w:rsidR="0098468D" w:rsidRPr="006645DC">
        <w:rPr>
          <w:lang w:val="en-GB"/>
        </w:rPr>
        <w:t>the scores obtained by each territorial challenge i</w:t>
      </w:r>
      <w:r w:rsidR="005F0A3B" w:rsidRPr="006645DC">
        <w:rPr>
          <w:lang w:val="en-GB"/>
        </w:rPr>
        <w:t>n terms of investment priorities (corresponding to the ERDF Thematic Objectives)</w:t>
      </w:r>
      <w:r w:rsidR="0098468D" w:rsidRPr="006645DC">
        <w:rPr>
          <w:lang w:val="en-GB"/>
        </w:rPr>
        <w:t xml:space="preserve">. </w:t>
      </w:r>
      <w:r w:rsidR="00074AE5" w:rsidRPr="006645DC">
        <w:rPr>
          <w:lang w:val="en-GB"/>
        </w:rPr>
        <w:t>By calculating</w:t>
      </w:r>
      <w:r w:rsidR="0098468D" w:rsidRPr="006645DC">
        <w:rPr>
          <w:lang w:val="en-GB"/>
        </w:rPr>
        <w:t xml:space="preserve"> the scores </w:t>
      </w:r>
      <w:r w:rsidR="00074AE5" w:rsidRPr="006645DC">
        <w:rPr>
          <w:lang w:val="en-GB"/>
        </w:rPr>
        <w:t xml:space="preserve">obtained by each investments priority (see the paragraphs before the charts above) one can also isolate ERDF Thematic Objectives that correspond to them and are thus the priorities of the stakeholders (the IPs and TOs that were used in the questionnaire are the same as the ones in the ERDF Regulation and are presented connected in the questionnaire, again as in the ERDF Regulation). </w:t>
      </w:r>
      <w:r w:rsidR="009E6218" w:rsidRPr="006645DC">
        <w:rPr>
          <w:lang w:val="en-GB"/>
        </w:rPr>
        <w:t>The overall</w:t>
      </w:r>
      <w:r w:rsidRPr="006645DC">
        <w:rPr>
          <w:lang w:val="en-GB"/>
        </w:rPr>
        <w:t xml:space="preserve"> conclusion is that the stakeholders identify the following 4 Thematic Objectives as being the “needs” priorities of the cross-border area:</w:t>
      </w:r>
    </w:p>
    <w:p w14:paraId="754BD50F" w14:textId="77777777" w:rsidR="00A943EA" w:rsidRPr="006645DC" w:rsidRDefault="00A943EA" w:rsidP="00C951D5">
      <w:pPr>
        <w:pStyle w:val="ListParagraph"/>
        <w:numPr>
          <w:ilvl w:val="0"/>
          <w:numId w:val="56"/>
        </w:numPr>
        <w:rPr>
          <w:b/>
          <w:lang w:val="en-GB"/>
        </w:rPr>
      </w:pPr>
      <w:r w:rsidRPr="006645DC">
        <w:rPr>
          <w:b/>
          <w:lang w:val="en-GB"/>
        </w:rPr>
        <w:t>TO 1:  Strengthening research, technological development and innovation</w:t>
      </w:r>
    </w:p>
    <w:p w14:paraId="79398BAB" w14:textId="77777777" w:rsidR="00A943EA" w:rsidRPr="006645DC" w:rsidRDefault="00A943EA" w:rsidP="00C951D5">
      <w:pPr>
        <w:pStyle w:val="ListParagraph"/>
        <w:numPr>
          <w:ilvl w:val="0"/>
          <w:numId w:val="56"/>
        </w:numPr>
        <w:rPr>
          <w:b/>
          <w:lang w:val="en-GB"/>
        </w:rPr>
      </w:pPr>
      <w:r w:rsidRPr="006645DC">
        <w:rPr>
          <w:b/>
          <w:lang w:val="en-GB"/>
        </w:rPr>
        <w:t xml:space="preserve">TO 6: Protecting the environment and promoting resource efficiency </w:t>
      </w:r>
    </w:p>
    <w:p w14:paraId="2FB01CA1" w14:textId="77777777" w:rsidR="00A943EA" w:rsidRPr="006645DC" w:rsidRDefault="00A943EA" w:rsidP="00C951D5">
      <w:pPr>
        <w:pStyle w:val="ListParagraph"/>
        <w:numPr>
          <w:ilvl w:val="0"/>
          <w:numId w:val="56"/>
        </w:numPr>
        <w:rPr>
          <w:b/>
          <w:lang w:val="en-GB"/>
        </w:rPr>
      </w:pPr>
      <w:r w:rsidRPr="006645DC">
        <w:rPr>
          <w:b/>
          <w:lang w:val="en-GB"/>
        </w:rPr>
        <w:t>TO 10: Investing in education, skills and lifelong learning by developing education and training infrastructure</w:t>
      </w:r>
    </w:p>
    <w:p w14:paraId="1247098F" w14:textId="77777777" w:rsidR="00A943EA" w:rsidRPr="006645DC" w:rsidRDefault="00A943EA" w:rsidP="00C951D5">
      <w:pPr>
        <w:pStyle w:val="ListParagraph"/>
        <w:numPr>
          <w:ilvl w:val="0"/>
          <w:numId w:val="56"/>
        </w:numPr>
        <w:rPr>
          <w:lang w:val="en-GB"/>
        </w:rPr>
      </w:pPr>
      <w:r w:rsidRPr="006645DC">
        <w:rPr>
          <w:lang w:val="en-GB"/>
        </w:rPr>
        <w:t>One of:</w:t>
      </w:r>
    </w:p>
    <w:p w14:paraId="4A4667D9" w14:textId="77777777" w:rsidR="00A943EA" w:rsidRPr="006645DC" w:rsidRDefault="00A943EA" w:rsidP="00C951D5">
      <w:pPr>
        <w:pStyle w:val="ListParagraph"/>
        <w:numPr>
          <w:ilvl w:val="1"/>
          <w:numId w:val="56"/>
        </w:numPr>
        <w:rPr>
          <w:b/>
          <w:lang w:val="en-GB"/>
        </w:rPr>
      </w:pPr>
      <w:r w:rsidRPr="006645DC">
        <w:rPr>
          <w:b/>
          <w:lang w:val="en-GB"/>
        </w:rPr>
        <w:t xml:space="preserve">TO 3: Enhancing the competitiveness of SMEs </w:t>
      </w:r>
    </w:p>
    <w:p w14:paraId="0A0AD2D1" w14:textId="77777777" w:rsidR="00A943EA" w:rsidRPr="006645DC" w:rsidRDefault="00A943EA" w:rsidP="00C951D5">
      <w:pPr>
        <w:pStyle w:val="ListParagraph"/>
        <w:numPr>
          <w:ilvl w:val="1"/>
          <w:numId w:val="56"/>
        </w:numPr>
        <w:rPr>
          <w:b/>
          <w:lang w:val="en-GB"/>
        </w:rPr>
      </w:pPr>
      <w:r w:rsidRPr="006645DC">
        <w:rPr>
          <w:b/>
          <w:lang w:val="en-GB"/>
        </w:rPr>
        <w:t>TO 5: Promoting climate change adaptation, risk prevention and management through:</w:t>
      </w:r>
    </w:p>
    <w:p w14:paraId="5C464D61" w14:textId="77777777" w:rsidR="00A943EA" w:rsidRPr="006645DC" w:rsidRDefault="00A943EA" w:rsidP="00A943EA">
      <w:pPr>
        <w:rPr>
          <w:lang w:val="en-GB"/>
        </w:rPr>
      </w:pPr>
      <w:r w:rsidRPr="006645DC">
        <w:rPr>
          <w:lang w:val="en-GB"/>
        </w:rPr>
        <w:t xml:space="preserve">Some differences can be observed in the choice of the territorial needs between the 3 stakeholders groups (see the figures below). </w:t>
      </w:r>
    </w:p>
    <w:p w14:paraId="10135796" w14:textId="77777777" w:rsidR="00710CE3" w:rsidRPr="006645DC" w:rsidRDefault="00710CE3" w:rsidP="00A943EA">
      <w:pPr>
        <w:rPr>
          <w:lang w:val="en-GB"/>
        </w:rPr>
      </w:pPr>
    </w:p>
    <w:p w14:paraId="5113C4B2" w14:textId="77777777" w:rsidR="00710CE3" w:rsidRPr="006645DC" w:rsidRDefault="00710CE3" w:rsidP="00A943EA">
      <w:pPr>
        <w:rPr>
          <w:lang w:val="en-GB"/>
        </w:rPr>
      </w:pPr>
    </w:p>
    <w:p w14:paraId="7E6DCB22" w14:textId="77777777" w:rsidR="00710CE3" w:rsidRPr="006645DC" w:rsidRDefault="00710CE3" w:rsidP="00A943EA">
      <w:pPr>
        <w:rPr>
          <w:lang w:val="en-GB"/>
        </w:rPr>
      </w:pPr>
    </w:p>
    <w:p w14:paraId="5516DBD3" w14:textId="77777777" w:rsidR="00710CE3" w:rsidRPr="006645DC" w:rsidRDefault="00710CE3" w:rsidP="00A943EA">
      <w:pPr>
        <w:rPr>
          <w:lang w:val="en-GB"/>
        </w:rPr>
      </w:pPr>
    </w:p>
    <w:p w14:paraId="68FC0CE2" w14:textId="77777777" w:rsidR="00710CE3" w:rsidRPr="006645DC" w:rsidRDefault="00710CE3" w:rsidP="00A943EA">
      <w:pPr>
        <w:rPr>
          <w:lang w:val="en-GB"/>
        </w:rPr>
      </w:pPr>
    </w:p>
    <w:p w14:paraId="28873523" w14:textId="77777777" w:rsidR="00710CE3" w:rsidRPr="006645DC" w:rsidRDefault="00710CE3" w:rsidP="00A943EA">
      <w:pPr>
        <w:rPr>
          <w:lang w:val="en-GB"/>
        </w:rPr>
      </w:pPr>
    </w:p>
    <w:p w14:paraId="660E3CEE" w14:textId="77777777" w:rsidR="00710CE3" w:rsidRPr="006645DC" w:rsidRDefault="00710CE3" w:rsidP="00A943EA">
      <w:pPr>
        <w:rPr>
          <w:lang w:val="en-GB"/>
        </w:rPr>
      </w:pPr>
    </w:p>
    <w:p w14:paraId="4B445FA9" w14:textId="77777777" w:rsidR="00710CE3" w:rsidRPr="006645DC" w:rsidRDefault="00710CE3" w:rsidP="00A943EA">
      <w:pPr>
        <w:rPr>
          <w:lang w:val="en-GB"/>
        </w:rPr>
      </w:pPr>
    </w:p>
    <w:p w14:paraId="1916B123" w14:textId="77777777" w:rsidR="00710CE3" w:rsidRPr="006645DC" w:rsidRDefault="00710CE3" w:rsidP="00A943EA">
      <w:pPr>
        <w:rPr>
          <w:lang w:val="en-GB"/>
        </w:rPr>
      </w:pPr>
    </w:p>
    <w:p w14:paraId="16963DEB" w14:textId="77777777" w:rsidR="00710CE3" w:rsidRPr="006645DC" w:rsidRDefault="00710CE3" w:rsidP="00A943EA">
      <w:pPr>
        <w:rPr>
          <w:lang w:val="en-GB"/>
        </w:rPr>
      </w:pPr>
    </w:p>
    <w:p w14:paraId="1CD22EAC" w14:textId="77777777" w:rsidR="00710CE3" w:rsidRPr="006645DC" w:rsidRDefault="00710CE3" w:rsidP="00A943EA">
      <w:pPr>
        <w:rPr>
          <w:lang w:val="en-GB"/>
        </w:rPr>
      </w:pPr>
    </w:p>
    <w:p w14:paraId="46554F35" w14:textId="77777777" w:rsidR="00710CE3" w:rsidRPr="006645DC" w:rsidRDefault="00710CE3" w:rsidP="00A943EA">
      <w:pPr>
        <w:rPr>
          <w:lang w:val="en-GB"/>
        </w:rPr>
      </w:pPr>
    </w:p>
    <w:p w14:paraId="51CC6C1C" w14:textId="77777777" w:rsidR="00710CE3" w:rsidRPr="006645DC" w:rsidRDefault="00710CE3" w:rsidP="00A943EA">
      <w:pPr>
        <w:rPr>
          <w:lang w:val="en-GB"/>
        </w:rPr>
      </w:pPr>
    </w:p>
    <w:p w14:paraId="2A5C4F6E" w14:textId="77777777" w:rsidR="00710CE3" w:rsidRPr="006645DC" w:rsidRDefault="00710CE3" w:rsidP="00A943EA">
      <w:pPr>
        <w:rPr>
          <w:lang w:val="en-GB"/>
        </w:rPr>
      </w:pPr>
    </w:p>
    <w:p w14:paraId="325FFFF6" w14:textId="77777777" w:rsidR="00710CE3" w:rsidRPr="006645DC" w:rsidRDefault="00710CE3" w:rsidP="00A943EA">
      <w:pPr>
        <w:rPr>
          <w:lang w:val="en-GB"/>
        </w:rPr>
      </w:pPr>
    </w:p>
    <w:p w14:paraId="27EB4168" w14:textId="77777777" w:rsidR="00710CE3" w:rsidRPr="006645DC" w:rsidRDefault="00710CE3" w:rsidP="00A943EA">
      <w:pPr>
        <w:rPr>
          <w:lang w:val="en-GB"/>
        </w:rPr>
      </w:pPr>
    </w:p>
    <w:tbl>
      <w:tblPr>
        <w:tblW w:w="10951" w:type="dxa"/>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4A0" w:firstRow="1" w:lastRow="0" w:firstColumn="1" w:lastColumn="0" w:noHBand="0" w:noVBand="1"/>
      </w:tblPr>
      <w:tblGrid>
        <w:gridCol w:w="720"/>
        <w:gridCol w:w="2975"/>
        <w:gridCol w:w="3628"/>
        <w:gridCol w:w="3628"/>
      </w:tblGrid>
      <w:tr w:rsidR="00A943EA" w:rsidRPr="006645DC" w14:paraId="514AE20A" w14:textId="77777777" w:rsidTr="00710CE3">
        <w:trPr>
          <w:trHeight w:val="20"/>
          <w:jc w:val="center"/>
        </w:trPr>
        <w:tc>
          <w:tcPr>
            <w:tcW w:w="720" w:type="dxa"/>
            <w:shd w:val="clear" w:color="auto" w:fill="auto"/>
            <w:vAlign w:val="center"/>
          </w:tcPr>
          <w:p w14:paraId="0738FFBD" w14:textId="77777777" w:rsidR="00A943EA" w:rsidRPr="006645DC" w:rsidRDefault="00A943EA" w:rsidP="00710CE3">
            <w:pPr>
              <w:spacing w:before="0" w:after="0"/>
              <w:jc w:val="center"/>
              <w:rPr>
                <w:rFonts w:eastAsia="Times New Roman" w:cs="Calibri"/>
                <w:b/>
                <w:bCs/>
                <w:lang w:val="en-GB"/>
              </w:rPr>
            </w:pPr>
            <w:r w:rsidRPr="006645DC">
              <w:rPr>
                <w:rFonts w:eastAsia="Times New Roman" w:cs="Calibri"/>
                <w:b/>
                <w:bCs/>
                <w:lang w:val="en-GB"/>
              </w:rPr>
              <w:lastRenderedPageBreak/>
              <w:t>Score rank</w:t>
            </w:r>
          </w:p>
        </w:tc>
        <w:tc>
          <w:tcPr>
            <w:tcW w:w="2975" w:type="dxa"/>
            <w:shd w:val="clear" w:color="auto" w:fill="auto"/>
            <w:vAlign w:val="center"/>
          </w:tcPr>
          <w:p w14:paraId="30B797AE" w14:textId="77777777" w:rsidR="00A943EA" w:rsidRPr="006645DC" w:rsidRDefault="00A943EA" w:rsidP="00710CE3">
            <w:pPr>
              <w:spacing w:before="0" w:after="0"/>
              <w:jc w:val="center"/>
              <w:rPr>
                <w:rFonts w:eastAsia="Times New Roman" w:cs="Calibri"/>
                <w:b/>
                <w:bCs/>
                <w:lang w:val="en-GB"/>
              </w:rPr>
            </w:pPr>
            <w:r w:rsidRPr="006645DC">
              <w:rPr>
                <w:rFonts w:eastAsia="Times New Roman" w:cs="Calibri"/>
                <w:b/>
                <w:bCs/>
                <w:lang w:val="en-GB"/>
              </w:rPr>
              <w:t>Public authorities</w:t>
            </w:r>
          </w:p>
        </w:tc>
        <w:tc>
          <w:tcPr>
            <w:tcW w:w="3628" w:type="dxa"/>
            <w:shd w:val="clear" w:color="auto" w:fill="auto"/>
            <w:vAlign w:val="center"/>
          </w:tcPr>
          <w:p w14:paraId="0E42B386" w14:textId="77777777" w:rsidR="00A943EA" w:rsidRPr="006645DC" w:rsidRDefault="00A943EA" w:rsidP="00710CE3">
            <w:pPr>
              <w:spacing w:before="0" w:after="0"/>
              <w:jc w:val="center"/>
              <w:rPr>
                <w:rFonts w:eastAsia="Times New Roman" w:cs="Calibri"/>
                <w:b/>
                <w:bCs/>
                <w:lang w:val="en-GB"/>
              </w:rPr>
            </w:pPr>
            <w:r w:rsidRPr="006645DC">
              <w:rPr>
                <w:rFonts w:eastAsia="Times New Roman" w:cs="Calibri"/>
                <w:b/>
                <w:bCs/>
                <w:lang w:val="en-GB"/>
              </w:rPr>
              <w:t>Chambers of commerce/NGOs</w:t>
            </w:r>
          </w:p>
        </w:tc>
        <w:tc>
          <w:tcPr>
            <w:tcW w:w="3628" w:type="dxa"/>
            <w:shd w:val="clear" w:color="auto" w:fill="auto"/>
            <w:vAlign w:val="center"/>
          </w:tcPr>
          <w:p w14:paraId="2FEDCFD5" w14:textId="77777777" w:rsidR="00A943EA" w:rsidRPr="006645DC" w:rsidRDefault="00AE6879" w:rsidP="00710CE3">
            <w:pPr>
              <w:spacing w:before="0" w:after="0"/>
              <w:jc w:val="center"/>
              <w:rPr>
                <w:rFonts w:eastAsia="Times New Roman" w:cs="Calibri"/>
                <w:b/>
                <w:bCs/>
                <w:lang w:val="en-GB"/>
              </w:rPr>
            </w:pPr>
            <w:r w:rsidRPr="006645DC">
              <w:rPr>
                <w:rFonts w:cs="Calibri"/>
                <w:b/>
                <w:bCs/>
                <w:lang w:val="en-GB"/>
              </w:rPr>
              <w:t>Universities/non-profit R&amp;D institutions</w:t>
            </w:r>
          </w:p>
        </w:tc>
      </w:tr>
      <w:tr w:rsidR="00A943EA" w:rsidRPr="006645DC" w14:paraId="65DF848A" w14:textId="77777777" w:rsidTr="00710CE3">
        <w:trPr>
          <w:trHeight w:val="20"/>
          <w:jc w:val="center"/>
        </w:trPr>
        <w:tc>
          <w:tcPr>
            <w:tcW w:w="720" w:type="dxa"/>
            <w:shd w:val="clear" w:color="auto" w:fill="auto"/>
            <w:vAlign w:val="center"/>
          </w:tcPr>
          <w:p w14:paraId="40CE744C" w14:textId="77777777" w:rsidR="00A943EA" w:rsidRPr="006645DC" w:rsidRDefault="00A943EA" w:rsidP="00710CE3">
            <w:pPr>
              <w:spacing w:before="0" w:after="0" w:line="276" w:lineRule="auto"/>
              <w:jc w:val="center"/>
              <w:rPr>
                <w:rFonts w:cs="Calibri"/>
                <w:b/>
                <w:bCs/>
                <w:lang w:val="en-GB"/>
              </w:rPr>
            </w:pPr>
            <w:r w:rsidRPr="006645DC">
              <w:rPr>
                <w:rFonts w:eastAsia="Times New Roman" w:cs="Calibri"/>
                <w:b/>
                <w:bCs/>
                <w:lang w:val="en-GB"/>
              </w:rPr>
              <w:t>1</w:t>
            </w:r>
          </w:p>
        </w:tc>
        <w:tc>
          <w:tcPr>
            <w:tcW w:w="2975" w:type="dxa"/>
            <w:shd w:val="clear" w:color="auto" w:fill="auto"/>
            <w:vAlign w:val="center"/>
          </w:tcPr>
          <w:p w14:paraId="4B505935" w14:textId="77777777" w:rsidR="00A943EA" w:rsidRPr="006645DC" w:rsidRDefault="00A943EA" w:rsidP="00710CE3">
            <w:pPr>
              <w:keepNext/>
              <w:keepLines/>
              <w:spacing w:before="0" w:after="0" w:line="276" w:lineRule="auto"/>
              <w:jc w:val="left"/>
              <w:outlineLvl w:val="1"/>
              <w:rPr>
                <w:rFonts w:cs="Calibri"/>
                <w:bCs/>
                <w:lang w:val="en-GB"/>
              </w:rPr>
            </w:pPr>
            <w:bookmarkStart w:id="2281" w:name="_Toc376200371"/>
            <w:r w:rsidRPr="006645DC">
              <w:rPr>
                <w:rFonts w:cs="Calibri"/>
                <w:bCs/>
                <w:lang w:val="en-GB"/>
              </w:rPr>
              <w:t>IP_ 6.c Protecting, promoting and developing cultural and natural heritage</w:t>
            </w:r>
            <w:bookmarkEnd w:id="2281"/>
            <w:r w:rsidRPr="006645DC">
              <w:rPr>
                <w:rFonts w:cs="Calibri"/>
                <w:bCs/>
                <w:lang w:val="en-GB"/>
              </w:rPr>
              <w:t xml:space="preserve"> </w:t>
            </w:r>
          </w:p>
        </w:tc>
        <w:tc>
          <w:tcPr>
            <w:tcW w:w="3628" w:type="dxa"/>
            <w:shd w:val="clear" w:color="auto" w:fill="auto"/>
            <w:vAlign w:val="center"/>
          </w:tcPr>
          <w:p w14:paraId="647B18AC" w14:textId="77777777" w:rsidR="00A943EA" w:rsidRPr="006645DC" w:rsidRDefault="00A943EA" w:rsidP="00710CE3">
            <w:pPr>
              <w:keepNext/>
              <w:keepLines/>
              <w:spacing w:before="0" w:after="0"/>
              <w:jc w:val="left"/>
              <w:outlineLvl w:val="1"/>
              <w:rPr>
                <w:rFonts w:cs="Calibri"/>
                <w:lang w:val="en-GB"/>
              </w:rPr>
            </w:pPr>
            <w:bookmarkStart w:id="2282" w:name="_Toc376200372"/>
            <w:r w:rsidRPr="006645DC">
              <w:rPr>
                <w:rFonts w:cs="Calibri"/>
                <w:lang w:val="en-GB"/>
              </w:rPr>
              <w:t>IP 10 Investing in education, skills and lifelong learning by developing education and training infrastructure</w:t>
            </w:r>
            <w:bookmarkEnd w:id="2282"/>
          </w:p>
        </w:tc>
        <w:tc>
          <w:tcPr>
            <w:tcW w:w="3628" w:type="dxa"/>
            <w:shd w:val="clear" w:color="auto" w:fill="auto"/>
            <w:vAlign w:val="center"/>
          </w:tcPr>
          <w:p w14:paraId="616E7731" w14:textId="77777777" w:rsidR="00A943EA" w:rsidRPr="006645DC" w:rsidRDefault="00A943EA" w:rsidP="00710CE3">
            <w:pPr>
              <w:keepNext/>
              <w:keepLines/>
              <w:spacing w:before="0" w:after="0"/>
              <w:jc w:val="left"/>
              <w:outlineLvl w:val="1"/>
              <w:rPr>
                <w:rFonts w:cs="Calibri"/>
                <w:color w:val="000000"/>
                <w:lang w:val="en-GB"/>
              </w:rPr>
            </w:pPr>
            <w:bookmarkStart w:id="2283" w:name="_Toc376200373"/>
            <w:r w:rsidRPr="006645DC">
              <w:rPr>
                <w:rFonts w:cs="Calibri"/>
                <w:color w:val="000000"/>
                <w:lang w:val="en-GB"/>
              </w:rPr>
              <w:t>IP 1.a Enhancing research and innovation (R&amp;I) infrastructure and capacities to develop R&amp;I excellence and promoting centres of competence, in particular those of European interest.</w:t>
            </w:r>
            <w:bookmarkEnd w:id="2283"/>
          </w:p>
        </w:tc>
      </w:tr>
      <w:tr w:rsidR="00A943EA" w:rsidRPr="006645DC" w14:paraId="153FBF6D" w14:textId="77777777" w:rsidTr="00710CE3">
        <w:trPr>
          <w:trHeight w:val="20"/>
          <w:jc w:val="center"/>
        </w:trPr>
        <w:tc>
          <w:tcPr>
            <w:tcW w:w="720" w:type="dxa"/>
            <w:shd w:val="clear" w:color="auto" w:fill="auto"/>
            <w:vAlign w:val="center"/>
          </w:tcPr>
          <w:p w14:paraId="4AEC97FF" w14:textId="77777777" w:rsidR="00A943EA" w:rsidRPr="006645DC" w:rsidRDefault="00A943EA" w:rsidP="00710CE3">
            <w:pPr>
              <w:keepNext/>
              <w:keepLines/>
              <w:spacing w:before="0" w:after="0" w:line="276" w:lineRule="auto"/>
              <w:jc w:val="center"/>
              <w:outlineLvl w:val="1"/>
              <w:rPr>
                <w:rFonts w:cs="Calibri"/>
                <w:b/>
                <w:bCs/>
                <w:lang w:val="en-GB"/>
              </w:rPr>
            </w:pPr>
            <w:bookmarkStart w:id="2284" w:name="_Toc376200374"/>
            <w:r w:rsidRPr="006645DC">
              <w:rPr>
                <w:rFonts w:eastAsia="Times New Roman" w:cs="Calibri"/>
                <w:b/>
                <w:bCs/>
                <w:lang w:val="en-GB"/>
              </w:rPr>
              <w:t>2</w:t>
            </w:r>
            <w:bookmarkEnd w:id="2284"/>
          </w:p>
        </w:tc>
        <w:tc>
          <w:tcPr>
            <w:tcW w:w="2975" w:type="dxa"/>
            <w:shd w:val="clear" w:color="auto" w:fill="auto"/>
            <w:vAlign w:val="center"/>
          </w:tcPr>
          <w:p w14:paraId="718FE0C2" w14:textId="77777777" w:rsidR="00A943EA" w:rsidRPr="006645DC" w:rsidRDefault="00916381" w:rsidP="00710CE3">
            <w:pPr>
              <w:keepNext/>
              <w:keepLines/>
              <w:spacing w:before="0" w:after="0" w:line="276" w:lineRule="auto"/>
              <w:jc w:val="left"/>
              <w:outlineLvl w:val="1"/>
              <w:rPr>
                <w:rFonts w:cs="Calibri"/>
                <w:bCs/>
                <w:lang w:val="en-GB"/>
              </w:rPr>
            </w:pPr>
            <w:bookmarkStart w:id="2285" w:name="_Toc376200375"/>
            <w:r w:rsidRPr="006645DC">
              <w:rPr>
                <w:rFonts w:cs="Calibri"/>
                <w:bCs/>
                <w:lang w:val="en-GB"/>
              </w:rPr>
              <w:t xml:space="preserve">IP </w:t>
            </w:r>
            <w:r w:rsidR="00A943EA" w:rsidRPr="006645DC">
              <w:rPr>
                <w:rFonts w:cs="Calibri"/>
                <w:bCs/>
                <w:lang w:val="en-GB"/>
              </w:rPr>
              <w:t>11 Enhancing institutional capacity and an efficient public administration</w:t>
            </w:r>
            <w:bookmarkEnd w:id="2285"/>
            <w:r w:rsidR="00A943EA" w:rsidRPr="006645DC">
              <w:rPr>
                <w:rFonts w:cs="Calibri"/>
                <w:bCs/>
                <w:lang w:val="en-GB"/>
              </w:rPr>
              <w:t xml:space="preserve"> </w:t>
            </w:r>
          </w:p>
        </w:tc>
        <w:tc>
          <w:tcPr>
            <w:tcW w:w="3628" w:type="dxa"/>
            <w:shd w:val="clear" w:color="auto" w:fill="auto"/>
            <w:vAlign w:val="center"/>
          </w:tcPr>
          <w:p w14:paraId="37AE6B7D" w14:textId="77777777" w:rsidR="00A943EA" w:rsidRPr="006645DC" w:rsidRDefault="00A943EA" w:rsidP="00710CE3">
            <w:pPr>
              <w:keepNext/>
              <w:keepLines/>
              <w:spacing w:before="0" w:after="0"/>
              <w:jc w:val="left"/>
              <w:outlineLvl w:val="1"/>
              <w:rPr>
                <w:rFonts w:cs="Calibri"/>
                <w:lang w:val="en-GB"/>
              </w:rPr>
            </w:pPr>
            <w:bookmarkStart w:id="2286" w:name="_Toc376200376"/>
            <w:r w:rsidRPr="006645DC">
              <w:rPr>
                <w:rFonts w:cs="Calibri"/>
                <w:lang w:val="en-GB"/>
              </w:rPr>
              <w:t>IP 3.a Promoting entrepreneurship, in particular by facilitating the economic exploitation of new ideas and fostering the creation of new firms, including through business incubators</w:t>
            </w:r>
            <w:bookmarkEnd w:id="2286"/>
          </w:p>
        </w:tc>
        <w:tc>
          <w:tcPr>
            <w:tcW w:w="3628" w:type="dxa"/>
            <w:shd w:val="clear" w:color="auto" w:fill="auto"/>
            <w:vAlign w:val="center"/>
          </w:tcPr>
          <w:p w14:paraId="395E5B60" w14:textId="77777777" w:rsidR="00A943EA" w:rsidRPr="006645DC" w:rsidRDefault="00916381" w:rsidP="00710CE3">
            <w:pPr>
              <w:keepNext/>
              <w:keepLines/>
              <w:spacing w:before="0" w:after="0"/>
              <w:jc w:val="left"/>
              <w:outlineLvl w:val="1"/>
              <w:rPr>
                <w:rFonts w:cs="Calibri"/>
                <w:color w:val="000000"/>
                <w:lang w:val="en-GB"/>
              </w:rPr>
            </w:pPr>
            <w:bookmarkStart w:id="2287" w:name="_Toc376200377"/>
            <w:r w:rsidRPr="006645DC">
              <w:rPr>
                <w:rFonts w:cs="Calibri"/>
                <w:color w:val="000000"/>
                <w:lang w:val="en-GB"/>
              </w:rPr>
              <w:t xml:space="preserve">IP </w:t>
            </w:r>
            <w:r w:rsidR="00A943EA" w:rsidRPr="006645DC">
              <w:rPr>
                <w:rFonts w:cs="Calibri"/>
                <w:color w:val="000000"/>
                <w:lang w:val="en-GB"/>
              </w:rPr>
              <w:t>10 Investing in education, skills and lifelong learning by developing education and training infrastructure</w:t>
            </w:r>
            <w:bookmarkEnd w:id="2287"/>
          </w:p>
          <w:p w14:paraId="73E437DB" w14:textId="77777777" w:rsidR="00A943EA" w:rsidRPr="006645DC" w:rsidRDefault="00A943EA" w:rsidP="00710CE3">
            <w:pPr>
              <w:spacing w:before="0" w:after="0"/>
              <w:jc w:val="left"/>
              <w:rPr>
                <w:rFonts w:cs="Calibri"/>
                <w:lang w:val="en-GB"/>
              </w:rPr>
            </w:pPr>
          </w:p>
        </w:tc>
      </w:tr>
      <w:tr w:rsidR="00A943EA" w:rsidRPr="006645DC" w14:paraId="7E1B4932" w14:textId="77777777" w:rsidTr="00710CE3">
        <w:trPr>
          <w:trHeight w:val="20"/>
          <w:jc w:val="center"/>
        </w:trPr>
        <w:tc>
          <w:tcPr>
            <w:tcW w:w="720" w:type="dxa"/>
            <w:shd w:val="clear" w:color="auto" w:fill="auto"/>
            <w:vAlign w:val="center"/>
          </w:tcPr>
          <w:p w14:paraId="499F7D9B" w14:textId="77777777" w:rsidR="00A943EA" w:rsidRPr="006645DC" w:rsidRDefault="00A943EA" w:rsidP="00710CE3">
            <w:pPr>
              <w:keepNext/>
              <w:keepLines/>
              <w:spacing w:before="0" w:after="0" w:line="276" w:lineRule="auto"/>
              <w:jc w:val="center"/>
              <w:outlineLvl w:val="1"/>
              <w:rPr>
                <w:rFonts w:cs="Calibri"/>
                <w:b/>
                <w:bCs/>
                <w:lang w:val="en-GB"/>
              </w:rPr>
            </w:pPr>
            <w:bookmarkStart w:id="2288" w:name="_Toc376200378"/>
            <w:r w:rsidRPr="006645DC">
              <w:rPr>
                <w:rFonts w:eastAsia="Times New Roman" w:cs="Calibri"/>
                <w:b/>
                <w:bCs/>
                <w:lang w:val="en-GB"/>
              </w:rPr>
              <w:t>3</w:t>
            </w:r>
            <w:bookmarkEnd w:id="2288"/>
          </w:p>
        </w:tc>
        <w:tc>
          <w:tcPr>
            <w:tcW w:w="2975" w:type="dxa"/>
            <w:shd w:val="clear" w:color="auto" w:fill="auto"/>
            <w:vAlign w:val="center"/>
          </w:tcPr>
          <w:p w14:paraId="06A28851" w14:textId="77777777" w:rsidR="00A943EA" w:rsidRPr="006645DC" w:rsidRDefault="00916381" w:rsidP="00710CE3">
            <w:pPr>
              <w:keepNext/>
              <w:keepLines/>
              <w:spacing w:before="0" w:after="0" w:line="276" w:lineRule="auto"/>
              <w:jc w:val="left"/>
              <w:outlineLvl w:val="1"/>
              <w:rPr>
                <w:rFonts w:cs="Calibri"/>
                <w:bCs/>
                <w:lang w:val="en-GB"/>
              </w:rPr>
            </w:pPr>
            <w:bookmarkStart w:id="2289" w:name="_Toc376200379"/>
            <w:r w:rsidRPr="006645DC">
              <w:rPr>
                <w:rFonts w:cs="Calibri"/>
                <w:bCs/>
                <w:lang w:val="en-GB"/>
              </w:rPr>
              <w:t xml:space="preserve">IP 10 </w:t>
            </w:r>
            <w:r w:rsidR="00A943EA" w:rsidRPr="006645DC">
              <w:rPr>
                <w:rFonts w:cs="Calibri"/>
                <w:bCs/>
                <w:lang w:val="en-GB"/>
              </w:rPr>
              <w:t>Investing in education, skills and lifelong learning by developing education and training infrastructure</w:t>
            </w:r>
            <w:bookmarkEnd w:id="2289"/>
          </w:p>
        </w:tc>
        <w:tc>
          <w:tcPr>
            <w:tcW w:w="3628" w:type="dxa"/>
            <w:shd w:val="clear" w:color="auto" w:fill="auto"/>
            <w:vAlign w:val="center"/>
          </w:tcPr>
          <w:p w14:paraId="24543936" w14:textId="77777777" w:rsidR="00A943EA" w:rsidRPr="006645DC" w:rsidRDefault="00A943EA" w:rsidP="00710CE3">
            <w:pPr>
              <w:keepNext/>
              <w:keepLines/>
              <w:spacing w:before="0" w:after="0"/>
              <w:jc w:val="left"/>
              <w:outlineLvl w:val="1"/>
              <w:rPr>
                <w:rFonts w:cs="Calibri"/>
                <w:color w:val="000000"/>
                <w:lang w:val="en-GB"/>
              </w:rPr>
            </w:pPr>
            <w:bookmarkStart w:id="2290" w:name="_Toc376200380"/>
            <w:r w:rsidRPr="006645DC">
              <w:rPr>
                <w:rFonts w:cs="Calibri"/>
                <w:color w:val="000000"/>
                <w:lang w:val="en-GB"/>
              </w:rPr>
              <w:t>IP 3.b Developing and implementing new business models for SMEs, in particular for internationalization</w:t>
            </w:r>
            <w:bookmarkEnd w:id="2290"/>
          </w:p>
          <w:p w14:paraId="4E237F6B" w14:textId="77777777" w:rsidR="00A943EA" w:rsidRPr="006645DC" w:rsidRDefault="00916381" w:rsidP="00710CE3">
            <w:pPr>
              <w:spacing w:before="0" w:after="0"/>
              <w:jc w:val="left"/>
              <w:rPr>
                <w:rFonts w:cs="Calibri"/>
                <w:color w:val="000000"/>
                <w:lang w:val="en-GB"/>
              </w:rPr>
            </w:pPr>
            <w:r w:rsidRPr="006645DC">
              <w:rPr>
                <w:rFonts w:cs="Calibri"/>
                <w:color w:val="000000"/>
                <w:lang w:val="en-GB"/>
              </w:rPr>
              <w:t>IP</w:t>
            </w:r>
            <w:r w:rsidR="00A943EA" w:rsidRPr="006645DC">
              <w:rPr>
                <w:rFonts w:cs="Calibri"/>
                <w:color w:val="000000"/>
                <w:lang w:val="en-GB"/>
              </w:rPr>
              <w:t xml:space="preserve"> 6.f Promoting innovative technologies to improve environmental protection and resource efficiency in the waste sector, water sector, soil protection or to reduce air pollution</w:t>
            </w:r>
          </w:p>
          <w:p w14:paraId="42DC0B8E" w14:textId="77777777" w:rsidR="00A943EA" w:rsidRPr="006645DC" w:rsidRDefault="00A943EA" w:rsidP="00710CE3">
            <w:pPr>
              <w:spacing w:before="0" w:after="0"/>
              <w:jc w:val="left"/>
              <w:rPr>
                <w:rFonts w:cs="Calibri"/>
                <w:color w:val="000000"/>
                <w:lang w:val="en-GB"/>
              </w:rPr>
            </w:pPr>
            <w:r w:rsidRPr="006645DC">
              <w:rPr>
                <w:rFonts w:cs="Calibri"/>
                <w:color w:val="000000"/>
                <w:lang w:val="en-GB"/>
              </w:rPr>
              <w:t xml:space="preserve">IP_ 8.a Development of business incubators and investment support for </w:t>
            </w:r>
            <w:r w:rsidR="004221D4" w:rsidRPr="006645DC">
              <w:rPr>
                <w:rFonts w:cs="Calibri"/>
                <w:color w:val="000000"/>
                <w:lang w:val="en-GB"/>
              </w:rPr>
              <w:t>self-employment</w:t>
            </w:r>
            <w:r w:rsidRPr="006645DC">
              <w:rPr>
                <w:rFonts w:cs="Calibri"/>
                <w:color w:val="000000"/>
                <w:lang w:val="en-GB"/>
              </w:rPr>
              <w:t>, micro-enterprises and business creation,</w:t>
            </w:r>
          </w:p>
          <w:p w14:paraId="0EB41EB4" w14:textId="77777777" w:rsidR="00A943EA" w:rsidRPr="006645DC" w:rsidRDefault="00A943EA" w:rsidP="00710CE3">
            <w:pPr>
              <w:spacing w:before="0" w:after="0"/>
              <w:jc w:val="left"/>
              <w:rPr>
                <w:rFonts w:cs="Calibri"/>
                <w:color w:val="000000"/>
                <w:lang w:val="en-GB"/>
              </w:rPr>
            </w:pPr>
            <w:r w:rsidRPr="006645DC">
              <w:rPr>
                <w:rFonts w:cs="Calibri"/>
                <w:color w:val="000000"/>
                <w:lang w:val="en-GB"/>
              </w:rPr>
              <w:t>IP_ 9.b Support for physical economic and social regeneration of deprived urban and rural communities and areas</w:t>
            </w:r>
          </w:p>
          <w:p w14:paraId="2F0AAA3F" w14:textId="77777777" w:rsidR="00A943EA" w:rsidRPr="006645DC" w:rsidRDefault="00A943EA" w:rsidP="00710CE3">
            <w:pPr>
              <w:spacing w:before="0" w:after="0"/>
              <w:jc w:val="left"/>
              <w:rPr>
                <w:rFonts w:cs="Calibri"/>
                <w:color w:val="000000"/>
                <w:lang w:val="en-GB"/>
              </w:rPr>
            </w:pPr>
            <w:r w:rsidRPr="006645DC">
              <w:rPr>
                <w:rFonts w:cs="Calibri"/>
                <w:color w:val="000000"/>
                <w:lang w:val="en-GB"/>
              </w:rPr>
              <w:t>IP_ 9.c Support for social enterprises</w:t>
            </w:r>
          </w:p>
        </w:tc>
        <w:tc>
          <w:tcPr>
            <w:tcW w:w="3628" w:type="dxa"/>
            <w:shd w:val="clear" w:color="auto" w:fill="auto"/>
            <w:vAlign w:val="center"/>
          </w:tcPr>
          <w:p w14:paraId="4731F7F8" w14:textId="77777777" w:rsidR="00A943EA" w:rsidRPr="006645DC" w:rsidRDefault="00A943EA" w:rsidP="00710CE3">
            <w:pPr>
              <w:keepNext/>
              <w:keepLines/>
              <w:spacing w:before="0" w:after="0"/>
              <w:jc w:val="left"/>
              <w:outlineLvl w:val="1"/>
              <w:rPr>
                <w:rFonts w:cs="Calibri"/>
                <w:color w:val="000000"/>
                <w:lang w:val="en-GB"/>
              </w:rPr>
            </w:pPr>
            <w:bookmarkStart w:id="2291" w:name="_Toc376200381"/>
            <w:r w:rsidRPr="006645DC">
              <w:rPr>
                <w:rFonts w:cs="Calibri"/>
                <w:color w:val="000000"/>
                <w:lang w:val="en-GB"/>
              </w:rPr>
              <w:t>IP 1.</w:t>
            </w:r>
            <w:r w:rsidR="00916381" w:rsidRPr="006645DC">
              <w:rPr>
                <w:rFonts w:cs="Calibri"/>
                <w:color w:val="000000"/>
                <w:lang w:val="en-GB"/>
              </w:rPr>
              <w:t>b</w:t>
            </w:r>
            <w:r w:rsidR="004221D4" w:rsidRPr="006645DC">
              <w:rPr>
                <w:rFonts w:cs="Calibri"/>
                <w:color w:val="000000"/>
                <w:lang w:val="en-GB"/>
              </w:rPr>
              <w:t xml:space="preserve">Promoting business investment in innovation and research and developing links and synergies between enterprises, R&amp;D </w:t>
            </w:r>
            <w:r w:rsidR="009E6218" w:rsidRPr="006645DC">
              <w:rPr>
                <w:rFonts w:cs="Calibri"/>
                <w:color w:val="000000"/>
                <w:lang w:val="en-GB"/>
              </w:rPr>
              <w:t>centres</w:t>
            </w:r>
            <w:r w:rsidR="004221D4" w:rsidRPr="006645DC">
              <w:rPr>
                <w:rFonts w:cs="Calibri"/>
                <w:color w:val="000000"/>
                <w:lang w:val="en-GB"/>
              </w:rPr>
              <w:t xml:space="preserve"> and higher education</w:t>
            </w:r>
            <w:bookmarkEnd w:id="2291"/>
          </w:p>
          <w:p w14:paraId="6302D110" w14:textId="77777777" w:rsidR="00A943EA" w:rsidRPr="006645DC" w:rsidRDefault="00A943EA" w:rsidP="00710CE3">
            <w:pPr>
              <w:spacing w:before="0" w:after="0"/>
              <w:jc w:val="left"/>
              <w:rPr>
                <w:rFonts w:cs="Calibri"/>
                <w:lang w:val="en-GB"/>
              </w:rPr>
            </w:pPr>
          </w:p>
        </w:tc>
      </w:tr>
      <w:tr w:rsidR="00A943EA" w:rsidRPr="006645DC" w14:paraId="2CCDD616" w14:textId="77777777" w:rsidTr="00710CE3">
        <w:trPr>
          <w:trHeight w:val="20"/>
          <w:jc w:val="center"/>
        </w:trPr>
        <w:tc>
          <w:tcPr>
            <w:tcW w:w="720" w:type="dxa"/>
            <w:shd w:val="clear" w:color="auto" w:fill="auto"/>
            <w:vAlign w:val="center"/>
          </w:tcPr>
          <w:p w14:paraId="77D40310" w14:textId="77777777" w:rsidR="00A943EA" w:rsidRPr="006645DC" w:rsidRDefault="00A943EA" w:rsidP="00710CE3">
            <w:pPr>
              <w:keepNext/>
              <w:keepLines/>
              <w:spacing w:before="0" w:after="0" w:line="276" w:lineRule="auto"/>
              <w:jc w:val="center"/>
              <w:outlineLvl w:val="1"/>
              <w:rPr>
                <w:rFonts w:cs="Calibri"/>
                <w:lang w:val="en-GB"/>
              </w:rPr>
            </w:pPr>
            <w:bookmarkStart w:id="2292" w:name="_Toc376200382"/>
            <w:r w:rsidRPr="006645DC">
              <w:rPr>
                <w:rFonts w:eastAsia="Times New Roman" w:cs="Calibri"/>
                <w:b/>
                <w:bCs/>
                <w:lang w:val="en-GB"/>
              </w:rPr>
              <w:t>4</w:t>
            </w:r>
            <w:bookmarkEnd w:id="2292"/>
          </w:p>
        </w:tc>
        <w:tc>
          <w:tcPr>
            <w:tcW w:w="2975" w:type="dxa"/>
            <w:shd w:val="clear" w:color="auto" w:fill="auto"/>
            <w:vAlign w:val="center"/>
          </w:tcPr>
          <w:p w14:paraId="1B867F6A" w14:textId="77777777" w:rsidR="00A943EA" w:rsidRPr="006645DC" w:rsidRDefault="00A943EA" w:rsidP="00710CE3">
            <w:pPr>
              <w:keepNext/>
              <w:keepLines/>
              <w:spacing w:before="0" w:after="0" w:line="276" w:lineRule="auto"/>
              <w:jc w:val="left"/>
              <w:outlineLvl w:val="1"/>
              <w:rPr>
                <w:rFonts w:cs="Calibri"/>
                <w:bCs/>
                <w:lang w:val="en-GB"/>
              </w:rPr>
            </w:pPr>
            <w:bookmarkStart w:id="2293" w:name="_Toc376200383"/>
            <w:r w:rsidRPr="006645DC">
              <w:rPr>
                <w:rFonts w:cs="Calibri"/>
                <w:bCs/>
                <w:lang w:val="en-GB"/>
              </w:rPr>
              <w:t>IP 4.c Supporting energy efficiency and renewable energy use in public infrastructures, including in public buildings and in the housing sector</w:t>
            </w:r>
            <w:bookmarkEnd w:id="2293"/>
          </w:p>
          <w:p w14:paraId="11D2D011" w14:textId="77777777" w:rsidR="00A943EA" w:rsidRPr="006645DC" w:rsidRDefault="00A943EA" w:rsidP="00710CE3">
            <w:pPr>
              <w:spacing w:before="0" w:after="0" w:line="276" w:lineRule="auto"/>
              <w:jc w:val="left"/>
              <w:rPr>
                <w:rFonts w:cs="Calibri"/>
                <w:b/>
                <w:bCs/>
                <w:lang w:val="en-GB"/>
              </w:rPr>
            </w:pPr>
            <w:r w:rsidRPr="006645DC">
              <w:rPr>
                <w:rFonts w:cs="Calibri"/>
                <w:bCs/>
                <w:lang w:val="en-GB"/>
              </w:rPr>
              <w:t>IP 5.b Promoting investment to address specific risks, ensuring disaster resilience management systems</w:t>
            </w:r>
          </w:p>
        </w:tc>
        <w:tc>
          <w:tcPr>
            <w:tcW w:w="3628" w:type="dxa"/>
            <w:shd w:val="clear" w:color="auto" w:fill="auto"/>
            <w:vAlign w:val="center"/>
          </w:tcPr>
          <w:p w14:paraId="5F84C562" w14:textId="77777777" w:rsidR="00A943EA" w:rsidRPr="006645DC" w:rsidRDefault="00A943EA" w:rsidP="00710CE3">
            <w:pPr>
              <w:spacing w:before="0" w:after="0"/>
              <w:jc w:val="left"/>
              <w:rPr>
                <w:rFonts w:cs="Calibri"/>
                <w:lang w:val="en-GB"/>
              </w:rPr>
            </w:pPr>
          </w:p>
        </w:tc>
        <w:tc>
          <w:tcPr>
            <w:tcW w:w="3628" w:type="dxa"/>
            <w:shd w:val="clear" w:color="auto" w:fill="auto"/>
            <w:vAlign w:val="center"/>
          </w:tcPr>
          <w:p w14:paraId="03953D10" w14:textId="77777777" w:rsidR="00A943EA" w:rsidRPr="006645DC" w:rsidRDefault="00A943EA" w:rsidP="00710CE3">
            <w:pPr>
              <w:keepNext/>
              <w:keepLines/>
              <w:spacing w:before="0" w:after="0"/>
              <w:jc w:val="left"/>
              <w:outlineLvl w:val="1"/>
              <w:rPr>
                <w:rFonts w:cs="Calibri"/>
                <w:color w:val="000000"/>
                <w:lang w:val="en-GB"/>
              </w:rPr>
            </w:pPr>
            <w:bookmarkStart w:id="2294" w:name="_Toc376200384"/>
            <w:r w:rsidRPr="006645DC">
              <w:rPr>
                <w:rFonts w:cs="Calibri"/>
                <w:color w:val="000000"/>
                <w:lang w:val="en-GB"/>
              </w:rPr>
              <w:t>IP_ 6.f Promoting innovative technologies to improve environmental protection and resource efficiency in the waste sector, water sector, soil protection or to reduce air pollution</w:t>
            </w:r>
            <w:bookmarkEnd w:id="2294"/>
          </w:p>
          <w:p w14:paraId="0F5436FA" w14:textId="77777777" w:rsidR="00A943EA" w:rsidRPr="006645DC" w:rsidRDefault="00A943EA" w:rsidP="00710CE3">
            <w:pPr>
              <w:spacing w:before="0" w:after="0"/>
              <w:jc w:val="left"/>
              <w:rPr>
                <w:rFonts w:cs="Calibri"/>
                <w:lang w:val="en-GB"/>
              </w:rPr>
            </w:pPr>
          </w:p>
        </w:tc>
      </w:tr>
    </w:tbl>
    <w:p w14:paraId="6F9AC57C" w14:textId="77777777" w:rsidR="00770486" w:rsidRPr="006645DC" w:rsidRDefault="00770486" w:rsidP="00A943EA">
      <w:pPr>
        <w:rPr>
          <w:lang w:val="en-GB"/>
        </w:rPr>
      </w:pPr>
    </w:p>
    <w:p w14:paraId="1F97086E" w14:textId="77777777" w:rsidR="00A943EA" w:rsidRPr="006645DC" w:rsidRDefault="00A943EA" w:rsidP="00A943EA">
      <w:pPr>
        <w:rPr>
          <w:lang w:val="en-GB"/>
        </w:rPr>
      </w:pPr>
      <w:r w:rsidRPr="006645DC">
        <w:rPr>
          <w:lang w:val="en-GB"/>
        </w:rPr>
        <w:lastRenderedPageBreak/>
        <w:t>These results are overall coherent with the answers of the 3 groups of stakeholders in respect to the territorial challenges part. The group-biases are also present here and concern the same subjects as in the “challenges” part (e.g. the public authorities are interested much more than the others in administrative capacity building, the universities and R&amp;D institutions are interested in the development of R&amp;D infrastructure and the promotion of innovation while the Chambers of commerce are interested in the IPs that directly target economic subjects and the SMEs</w:t>
      </w:r>
    </w:p>
    <w:p w14:paraId="002B2A79" w14:textId="77777777" w:rsidR="00A943EA" w:rsidRPr="006645DC" w:rsidRDefault="009E6218" w:rsidP="00A943EA">
      <w:pPr>
        <w:rPr>
          <w:lang w:val="en-GB"/>
        </w:rPr>
      </w:pPr>
      <w:r w:rsidRPr="006645DC">
        <w:rPr>
          <w:lang w:val="en-GB"/>
        </w:rPr>
        <w:t>All the stakeholder groups see the TO 6 and TO10 as corresponding in a high degree to a RO-BG territorial need</w:t>
      </w:r>
      <w:r w:rsidR="00A943EA" w:rsidRPr="006645DC">
        <w:rPr>
          <w:lang w:val="en-GB"/>
        </w:rPr>
        <w:t xml:space="preserve">. TO1, TO3 and TO5, on the other hand are specific to each group, encountering no unanimity. </w:t>
      </w:r>
    </w:p>
    <w:p w14:paraId="13091483" w14:textId="77777777" w:rsidR="00A943EA" w:rsidRPr="006645DC" w:rsidRDefault="00A943EA" w:rsidP="00A943EA">
      <w:pPr>
        <w:rPr>
          <w:lang w:val="en-GB"/>
        </w:rPr>
      </w:pPr>
    </w:p>
    <w:p w14:paraId="5E64B40A" w14:textId="77777777" w:rsidR="00A943EA" w:rsidRPr="006645DC" w:rsidRDefault="00A943EA" w:rsidP="00A943EA">
      <w:pPr>
        <w:rPr>
          <w:lang w:val="en-GB"/>
        </w:rPr>
      </w:pPr>
    </w:p>
    <w:p w14:paraId="585BD2A8" w14:textId="77777777" w:rsidR="009C1C08" w:rsidRPr="006645DC" w:rsidRDefault="009C1C08" w:rsidP="00A943EA">
      <w:pPr>
        <w:spacing w:before="0" w:after="0"/>
        <w:rPr>
          <w:lang w:val="en-GB"/>
        </w:rPr>
        <w:sectPr w:rsidR="009C1C08" w:rsidRPr="006645DC" w:rsidSect="00A943EA">
          <w:pgSz w:w="12240" w:h="15840"/>
          <w:pgMar w:top="1440" w:right="1440" w:bottom="1440" w:left="1440" w:header="720" w:footer="720" w:gutter="0"/>
          <w:cols w:space="720"/>
          <w:docGrid w:linePitch="360"/>
        </w:sectPr>
      </w:pPr>
    </w:p>
    <w:p w14:paraId="55AD6014" w14:textId="77777777" w:rsidR="00A943EA" w:rsidRPr="006645DC" w:rsidRDefault="00AA4C82" w:rsidP="00A943EA">
      <w:pPr>
        <w:spacing w:before="0" w:after="0"/>
        <w:rPr>
          <w:lang w:val="en-GB"/>
        </w:rPr>
      </w:pPr>
      <w:r w:rsidRPr="006645DC">
        <w:rPr>
          <w:noProof/>
          <w:lang w:val="bg-BG" w:eastAsia="bg-BG"/>
        </w:rPr>
        <w:lastRenderedPageBreak/>
        <w:drawing>
          <wp:anchor distT="0" distB="0" distL="114300" distR="114300" simplePos="0" relativeHeight="251665408" behindDoc="0" locked="0" layoutInCell="1" allowOverlap="1" wp14:anchorId="0E27C7E8" wp14:editId="272CC60E">
            <wp:simplePos x="0" y="0"/>
            <wp:positionH relativeFrom="margin">
              <wp:align>center</wp:align>
            </wp:positionH>
            <wp:positionV relativeFrom="margin">
              <wp:align>top</wp:align>
            </wp:positionV>
            <wp:extent cx="5975985" cy="6277610"/>
            <wp:effectExtent l="19050" t="0" r="5715" b="0"/>
            <wp:wrapSquare wrapText="bothSides"/>
            <wp:docPr id="475"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153"/>
                    <a:srcRect/>
                    <a:stretch>
                      <a:fillRect/>
                    </a:stretch>
                  </pic:blipFill>
                  <pic:spPr bwMode="auto">
                    <a:xfrm>
                      <a:off x="0" y="0"/>
                      <a:ext cx="5975985" cy="6277610"/>
                    </a:xfrm>
                    <a:prstGeom prst="rect">
                      <a:avLst/>
                    </a:prstGeom>
                    <a:noFill/>
                    <a:ln w="9525">
                      <a:noFill/>
                      <a:miter lim="800000"/>
                      <a:headEnd/>
                      <a:tailEnd/>
                    </a:ln>
                  </pic:spPr>
                </pic:pic>
              </a:graphicData>
            </a:graphic>
          </wp:anchor>
        </w:drawing>
      </w:r>
    </w:p>
    <w:p w14:paraId="774BD26D" w14:textId="77777777" w:rsidR="009C1C08" w:rsidRPr="006645DC" w:rsidRDefault="009C1C08" w:rsidP="00A943EA">
      <w:pPr>
        <w:spacing w:before="0" w:after="0"/>
        <w:rPr>
          <w:lang w:val="en-GB"/>
        </w:rPr>
        <w:sectPr w:rsidR="009C1C08" w:rsidRPr="006645DC" w:rsidSect="00A943EA">
          <w:pgSz w:w="12240" w:h="15840"/>
          <w:pgMar w:top="1440" w:right="1440" w:bottom="1440" w:left="1440" w:header="720" w:footer="720" w:gutter="0"/>
          <w:cols w:space="720"/>
          <w:docGrid w:linePitch="360"/>
        </w:sectPr>
      </w:pPr>
    </w:p>
    <w:p w14:paraId="32D4A6C5" w14:textId="77777777" w:rsidR="00A943EA" w:rsidRPr="006645DC" w:rsidRDefault="00AA4C82" w:rsidP="00A943EA">
      <w:pPr>
        <w:spacing w:before="0" w:after="0"/>
        <w:rPr>
          <w:lang w:val="en-GB"/>
        </w:rPr>
        <w:sectPr w:rsidR="00A943EA" w:rsidRPr="006645DC" w:rsidSect="00A943EA">
          <w:pgSz w:w="12240" w:h="15840"/>
          <w:pgMar w:top="1440" w:right="1440" w:bottom="1440" w:left="1440" w:header="720" w:footer="720" w:gutter="0"/>
          <w:cols w:space="720"/>
          <w:docGrid w:linePitch="360"/>
        </w:sectPr>
      </w:pPr>
      <w:r w:rsidRPr="006645DC">
        <w:rPr>
          <w:noProof/>
          <w:lang w:val="bg-BG" w:eastAsia="bg-BG"/>
        </w:rPr>
        <w:lastRenderedPageBreak/>
        <w:drawing>
          <wp:anchor distT="0" distB="0" distL="114300" distR="114300" simplePos="0" relativeHeight="251664384" behindDoc="0" locked="0" layoutInCell="1" allowOverlap="1" wp14:anchorId="7BB6D874" wp14:editId="309AE462">
            <wp:simplePos x="0" y="0"/>
            <wp:positionH relativeFrom="margin">
              <wp:align>center</wp:align>
            </wp:positionH>
            <wp:positionV relativeFrom="margin">
              <wp:align>top</wp:align>
            </wp:positionV>
            <wp:extent cx="6191885" cy="6479540"/>
            <wp:effectExtent l="19050" t="0" r="0" b="0"/>
            <wp:wrapSquare wrapText="bothSides"/>
            <wp:docPr id="474"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54"/>
                    <a:srcRect/>
                    <a:stretch>
                      <a:fillRect/>
                    </a:stretch>
                  </pic:blipFill>
                  <pic:spPr bwMode="auto">
                    <a:xfrm>
                      <a:off x="0" y="0"/>
                      <a:ext cx="6191885" cy="6479540"/>
                    </a:xfrm>
                    <a:prstGeom prst="rect">
                      <a:avLst/>
                    </a:prstGeom>
                    <a:noFill/>
                    <a:ln w="9525">
                      <a:noFill/>
                      <a:miter lim="800000"/>
                      <a:headEnd/>
                      <a:tailEnd/>
                    </a:ln>
                  </pic:spPr>
                </pic:pic>
              </a:graphicData>
            </a:graphic>
          </wp:anchor>
        </w:drawing>
      </w:r>
    </w:p>
    <w:p w14:paraId="230EA11F" w14:textId="77777777" w:rsidR="00367167" w:rsidRPr="006645DC" w:rsidRDefault="00AA4C82" w:rsidP="00063294">
      <w:pPr>
        <w:spacing w:before="0" w:after="0"/>
        <w:jc w:val="center"/>
        <w:rPr>
          <w:lang w:val="en-GB"/>
        </w:rPr>
      </w:pPr>
      <w:r w:rsidRPr="006645DC">
        <w:rPr>
          <w:noProof/>
          <w:lang w:val="bg-BG" w:eastAsia="bg-BG"/>
        </w:rPr>
        <w:lastRenderedPageBreak/>
        <w:drawing>
          <wp:anchor distT="0" distB="0" distL="114300" distR="114300" simplePos="0" relativeHeight="251663360" behindDoc="0" locked="0" layoutInCell="1" allowOverlap="1" wp14:anchorId="41386263" wp14:editId="2B234130">
            <wp:simplePos x="0" y="0"/>
            <wp:positionH relativeFrom="margin">
              <wp:align>center</wp:align>
            </wp:positionH>
            <wp:positionV relativeFrom="margin">
              <wp:align>top</wp:align>
            </wp:positionV>
            <wp:extent cx="6155690" cy="6167120"/>
            <wp:effectExtent l="19050" t="0" r="0" b="0"/>
            <wp:wrapSquare wrapText="bothSides"/>
            <wp:docPr id="473"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55"/>
                    <a:srcRect/>
                    <a:stretch>
                      <a:fillRect/>
                    </a:stretch>
                  </pic:blipFill>
                  <pic:spPr bwMode="auto">
                    <a:xfrm>
                      <a:off x="0" y="0"/>
                      <a:ext cx="6155690" cy="6167120"/>
                    </a:xfrm>
                    <a:prstGeom prst="rect">
                      <a:avLst/>
                    </a:prstGeom>
                    <a:noFill/>
                    <a:ln w="9525">
                      <a:noFill/>
                      <a:miter lim="800000"/>
                      <a:headEnd/>
                      <a:tailEnd/>
                    </a:ln>
                  </pic:spPr>
                </pic:pic>
              </a:graphicData>
            </a:graphic>
          </wp:anchor>
        </w:drawing>
      </w:r>
    </w:p>
    <w:p w14:paraId="0347D5AB" w14:textId="77777777" w:rsidR="00367167" w:rsidRPr="006645DC" w:rsidRDefault="00367167" w:rsidP="00367167">
      <w:pPr>
        <w:rPr>
          <w:lang w:val="en-GB"/>
        </w:rPr>
      </w:pPr>
    </w:p>
    <w:p w14:paraId="75DCA575" w14:textId="77777777" w:rsidR="00710CE3" w:rsidRPr="006645DC" w:rsidRDefault="00710CE3" w:rsidP="00111A0F">
      <w:pPr>
        <w:pStyle w:val="Heading2"/>
        <w:numPr>
          <w:ilvl w:val="0"/>
          <w:numId w:val="2"/>
        </w:numPr>
        <w:rPr>
          <w:lang w:val="en-GB"/>
        </w:rPr>
        <w:sectPr w:rsidR="00710CE3" w:rsidRPr="006645DC" w:rsidSect="00187E88">
          <w:pgSz w:w="12240" w:h="15840"/>
          <w:pgMar w:top="1440" w:right="1440" w:bottom="1440" w:left="1440" w:header="720" w:footer="720" w:gutter="0"/>
          <w:cols w:space="720"/>
          <w:docGrid w:linePitch="360"/>
        </w:sectPr>
      </w:pPr>
      <w:bookmarkStart w:id="2295" w:name="_Toc376200385"/>
      <w:bookmarkStart w:id="2296" w:name="_Toc254543865"/>
    </w:p>
    <w:p w14:paraId="2CC47D62" w14:textId="77777777" w:rsidR="00111A0F" w:rsidRPr="006645DC" w:rsidRDefault="00111A0F" w:rsidP="00111A0F">
      <w:pPr>
        <w:pStyle w:val="Heading2"/>
        <w:numPr>
          <w:ilvl w:val="0"/>
          <w:numId w:val="2"/>
        </w:numPr>
        <w:rPr>
          <w:lang w:val="en-GB"/>
        </w:rPr>
      </w:pPr>
      <w:bookmarkStart w:id="2297" w:name="_Toc391150225"/>
      <w:r w:rsidRPr="006645DC">
        <w:rPr>
          <w:lang w:val="en-GB"/>
        </w:rPr>
        <w:lastRenderedPageBreak/>
        <w:t>The summary of the interviews’ results</w:t>
      </w:r>
      <w:bookmarkEnd w:id="2295"/>
      <w:bookmarkEnd w:id="2296"/>
      <w:bookmarkEnd w:id="2297"/>
    </w:p>
    <w:p w14:paraId="090AD72C" w14:textId="77777777" w:rsidR="00111A0F" w:rsidRPr="006645DC" w:rsidRDefault="00111A0F" w:rsidP="00770486">
      <w:pPr>
        <w:rPr>
          <w:lang w:val="en-GB"/>
        </w:rPr>
      </w:pPr>
      <w:r w:rsidRPr="006645DC">
        <w:rPr>
          <w:lang w:val="en-GB"/>
        </w:rPr>
        <w:t>The results of the interviews can be structured around 2 parts:</w:t>
      </w:r>
    </w:p>
    <w:p w14:paraId="7FED59CB" w14:textId="77777777" w:rsidR="00111A0F" w:rsidRPr="006645DC" w:rsidRDefault="00111A0F" w:rsidP="00C951D5">
      <w:pPr>
        <w:pStyle w:val="ListParagraph"/>
        <w:numPr>
          <w:ilvl w:val="0"/>
          <w:numId w:val="71"/>
        </w:numPr>
        <w:rPr>
          <w:lang w:val="en-GB"/>
        </w:rPr>
      </w:pPr>
      <w:r w:rsidRPr="006645DC">
        <w:rPr>
          <w:lang w:val="en-GB"/>
        </w:rPr>
        <w:t>A general comments part, mainly concerning reasons for participating/not participating in the future ROBG Cross-border cooperation Programme</w:t>
      </w:r>
    </w:p>
    <w:p w14:paraId="4F9AC465" w14:textId="77777777" w:rsidR="00111A0F" w:rsidRPr="006645DC" w:rsidRDefault="00111A0F" w:rsidP="00C951D5">
      <w:pPr>
        <w:pStyle w:val="ListParagraph"/>
        <w:numPr>
          <w:ilvl w:val="0"/>
          <w:numId w:val="71"/>
        </w:numPr>
        <w:rPr>
          <w:lang w:val="en-GB"/>
        </w:rPr>
      </w:pPr>
      <w:r w:rsidRPr="006645DC">
        <w:rPr>
          <w:lang w:val="en-GB"/>
        </w:rPr>
        <w:t xml:space="preserve">A specific thematic concentration </w:t>
      </w:r>
      <w:r w:rsidR="009E6218" w:rsidRPr="006645DC">
        <w:rPr>
          <w:lang w:val="en-GB"/>
        </w:rPr>
        <w:t>part, which</w:t>
      </w:r>
      <w:r w:rsidRPr="006645DC">
        <w:rPr>
          <w:lang w:val="en-GB"/>
        </w:rPr>
        <w:t xml:space="preserve"> includes identified needs/measures to be taken in the key fields of environment, R&amp;D and SMEs and transport/accessibility.</w:t>
      </w:r>
    </w:p>
    <w:p w14:paraId="7F6D3612" w14:textId="77777777" w:rsidR="00111A0F" w:rsidRPr="006645DC" w:rsidRDefault="00111A0F" w:rsidP="00770486">
      <w:pPr>
        <w:rPr>
          <w:lang w:val="en-GB"/>
        </w:rPr>
      </w:pPr>
      <w:r w:rsidRPr="006645DC">
        <w:rPr>
          <w:lang w:val="en-GB"/>
        </w:rPr>
        <w:t>In the first part the majority of the stakeholders identified the mutual cross-border communication/knowledge as both a key factor for successful cross-border development and a background and overall problematic factor for the future cross-border program implementation. In this respect the respondents mentioned:</w:t>
      </w:r>
    </w:p>
    <w:p w14:paraId="1BC05983" w14:textId="77777777" w:rsidR="00111A0F" w:rsidRPr="006645DC" w:rsidRDefault="00111A0F" w:rsidP="00770486">
      <w:pPr>
        <w:pStyle w:val="ListParagraph"/>
        <w:rPr>
          <w:lang w:val="en-GB"/>
        </w:rPr>
      </w:pPr>
      <w:r w:rsidRPr="006645DC">
        <w:rPr>
          <w:lang w:val="en-GB"/>
        </w:rPr>
        <w:t>A limited understanding of the neighbours socio-economic situation and consequently potential</w:t>
      </w:r>
    </w:p>
    <w:p w14:paraId="3D36AB91" w14:textId="77777777" w:rsidR="00111A0F" w:rsidRPr="006645DC" w:rsidRDefault="00111A0F" w:rsidP="00770486">
      <w:pPr>
        <w:pStyle w:val="ListParagraph"/>
        <w:rPr>
          <w:lang w:val="en-GB"/>
        </w:rPr>
      </w:pPr>
      <w:r w:rsidRPr="006645DC">
        <w:rPr>
          <w:lang w:val="en-GB"/>
        </w:rPr>
        <w:t>A limited capacity of stakeholders to correctly assess their communities and their needs</w:t>
      </w:r>
    </w:p>
    <w:p w14:paraId="75609D42" w14:textId="77777777" w:rsidR="00111A0F" w:rsidRPr="006645DC" w:rsidRDefault="00111A0F" w:rsidP="00770486">
      <w:pPr>
        <w:rPr>
          <w:lang w:val="en-GB"/>
        </w:rPr>
      </w:pPr>
      <w:r w:rsidRPr="006645DC">
        <w:rPr>
          <w:lang w:val="en-GB"/>
        </w:rPr>
        <w:t xml:space="preserve">The previous two aspects seem to be coherent as they can be connected and point to the clear need for an increased pro-activeness of the Programme management structure. The cross-border seems to require a communication and project facilitator.  </w:t>
      </w:r>
    </w:p>
    <w:p w14:paraId="167DE70A" w14:textId="77777777" w:rsidR="00946B2E" w:rsidRPr="006645DC" w:rsidRDefault="00111A0F" w:rsidP="00770486">
      <w:pPr>
        <w:rPr>
          <w:lang w:val="en-GB"/>
        </w:rPr>
      </w:pPr>
      <w:r w:rsidRPr="006645DC">
        <w:rPr>
          <w:lang w:val="en-GB"/>
        </w:rPr>
        <w:t xml:space="preserve">In the second part, on the thematic concentration aspect, the </w:t>
      </w:r>
      <w:r w:rsidR="009E6218" w:rsidRPr="006645DC">
        <w:rPr>
          <w:lang w:val="en-GB"/>
        </w:rPr>
        <w:t>stakeholders pointed</w:t>
      </w:r>
      <w:r w:rsidR="00946B2E" w:rsidRPr="006645DC">
        <w:rPr>
          <w:lang w:val="en-GB"/>
        </w:rPr>
        <w:t xml:space="preserve"> out that investment in R&amp;D and development of the knowledge society is extremely needed for the cross-border region as well as enhancing the competitiveness of SMEs. Almost all respondents pointed out that the development of the tourism in the cross-border region is very important, as well as the development of green business and protection of the natural and cultural heritage, and the measures to support employment, especially youth employment and to support the development of the human capital. </w:t>
      </w:r>
    </w:p>
    <w:p w14:paraId="77151A0F" w14:textId="77777777" w:rsidR="00946B2E" w:rsidRPr="006645DC" w:rsidRDefault="00946B2E" w:rsidP="00770486">
      <w:pPr>
        <w:rPr>
          <w:lang w:val="en-GB"/>
        </w:rPr>
      </w:pPr>
      <w:r w:rsidRPr="006645DC">
        <w:rPr>
          <w:lang w:val="en-GB"/>
        </w:rPr>
        <w:t>The possible effective measures to connect R&amp;D to the world of business in the cross-border region in the opinion of respondents (asked additionally) could be:</w:t>
      </w:r>
    </w:p>
    <w:p w14:paraId="7F95B0D3" w14:textId="77777777" w:rsidR="00946B2E" w:rsidRPr="006645DC" w:rsidRDefault="00946B2E" w:rsidP="00C951D5">
      <w:pPr>
        <w:numPr>
          <w:ilvl w:val="0"/>
          <w:numId w:val="74"/>
        </w:numPr>
        <w:autoSpaceDE w:val="0"/>
        <w:autoSpaceDN w:val="0"/>
        <w:adjustRightInd w:val="0"/>
        <w:spacing w:after="0"/>
        <w:rPr>
          <w:lang w:val="en-GB"/>
        </w:rPr>
      </w:pPr>
      <w:r w:rsidRPr="006645DC">
        <w:rPr>
          <w:lang w:val="en-GB"/>
        </w:rPr>
        <w:t>Enhancing the technology transfer;</w:t>
      </w:r>
    </w:p>
    <w:p w14:paraId="2CAD86C4" w14:textId="77777777" w:rsidR="00946B2E" w:rsidRPr="006645DC" w:rsidRDefault="00946B2E" w:rsidP="00C951D5">
      <w:pPr>
        <w:numPr>
          <w:ilvl w:val="0"/>
          <w:numId w:val="74"/>
        </w:numPr>
        <w:autoSpaceDE w:val="0"/>
        <w:autoSpaceDN w:val="0"/>
        <w:adjustRightInd w:val="0"/>
        <w:spacing w:after="0"/>
        <w:rPr>
          <w:lang w:val="en-GB"/>
        </w:rPr>
      </w:pPr>
      <w:r w:rsidRPr="006645DC">
        <w:rPr>
          <w:lang w:val="en-GB"/>
        </w:rPr>
        <w:t>Development of supportive business infrastructure;</w:t>
      </w:r>
    </w:p>
    <w:p w14:paraId="1817C746" w14:textId="77777777" w:rsidR="00946B2E" w:rsidRPr="006645DC" w:rsidRDefault="00946B2E" w:rsidP="00C951D5">
      <w:pPr>
        <w:numPr>
          <w:ilvl w:val="0"/>
          <w:numId w:val="74"/>
        </w:numPr>
        <w:autoSpaceDE w:val="0"/>
        <w:autoSpaceDN w:val="0"/>
        <w:adjustRightInd w:val="0"/>
        <w:spacing w:after="0"/>
        <w:rPr>
          <w:lang w:val="en-GB"/>
        </w:rPr>
      </w:pPr>
      <w:r w:rsidRPr="006645DC">
        <w:rPr>
          <w:lang w:val="en-GB"/>
        </w:rPr>
        <w:t>Enhancing successful models for self-employment;</w:t>
      </w:r>
    </w:p>
    <w:p w14:paraId="63449980" w14:textId="77777777" w:rsidR="00946B2E" w:rsidRPr="006645DC" w:rsidRDefault="00946B2E" w:rsidP="00C951D5">
      <w:pPr>
        <w:numPr>
          <w:ilvl w:val="0"/>
          <w:numId w:val="74"/>
        </w:numPr>
        <w:autoSpaceDE w:val="0"/>
        <w:autoSpaceDN w:val="0"/>
        <w:adjustRightInd w:val="0"/>
        <w:spacing w:after="0"/>
        <w:rPr>
          <w:lang w:val="en-GB"/>
        </w:rPr>
      </w:pPr>
      <w:r w:rsidRPr="006645DC">
        <w:rPr>
          <w:lang w:val="en-GB"/>
        </w:rPr>
        <w:t>Stimulating the realization of common business ideas, exchange and trade;</w:t>
      </w:r>
    </w:p>
    <w:p w14:paraId="59C1B1DE" w14:textId="77777777" w:rsidR="00946B2E" w:rsidRPr="006645DC" w:rsidRDefault="00946B2E" w:rsidP="00C951D5">
      <w:pPr>
        <w:numPr>
          <w:ilvl w:val="0"/>
          <w:numId w:val="74"/>
        </w:numPr>
        <w:autoSpaceDE w:val="0"/>
        <w:autoSpaceDN w:val="0"/>
        <w:adjustRightInd w:val="0"/>
        <w:spacing w:after="0"/>
        <w:rPr>
          <w:lang w:val="en-GB"/>
        </w:rPr>
      </w:pPr>
      <w:r w:rsidRPr="006645DC">
        <w:rPr>
          <w:lang w:val="en-GB"/>
        </w:rPr>
        <w:t xml:space="preserve">Stimulating the use of non-technological innovation and the role of the creative sectors. </w:t>
      </w:r>
    </w:p>
    <w:p w14:paraId="76D180D7" w14:textId="77777777" w:rsidR="00946B2E" w:rsidRPr="006645DC" w:rsidRDefault="00946B2E" w:rsidP="00946B2E">
      <w:pPr>
        <w:autoSpaceDE w:val="0"/>
        <w:autoSpaceDN w:val="0"/>
        <w:adjustRightInd w:val="0"/>
        <w:rPr>
          <w:lang w:val="en-GB"/>
        </w:rPr>
      </w:pPr>
      <w:r w:rsidRPr="006645DC">
        <w:rPr>
          <w:lang w:val="en-GB"/>
        </w:rPr>
        <w:t xml:space="preserve">Respondents consider that the </w:t>
      </w:r>
      <w:r w:rsidR="00494495" w:rsidRPr="006645DC">
        <w:rPr>
          <w:lang w:val="en-GB"/>
        </w:rPr>
        <w:t>main</w:t>
      </w:r>
      <w:r w:rsidRPr="006645DC">
        <w:rPr>
          <w:lang w:val="en-GB"/>
        </w:rPr>
        <w:t xml:space="preserve"> environmental risk is that the natural resources are not used efficiently and there is lack of environmental </w:t>
      </w:r>
      <w:r w:rsidR="00494495" w:rsidRPr="006645DC">
        <w:rPr>
          <w:lang w:val="en-GB"/>
        </w:rPr>
        <w:t>awareness</w:t>
      </w:r>
      <w:r w:rsidRPr="006645DC">
        <w:rPr>
          <w:lang w:val="en-GB"/>
        </w:rPr>
        <w:t xml:space="preserve"> within the population, especially in the rural areas and among the minority groups. The diminishing of untreated and un-recycled waste and ensuring the effective use of eco-design and of the product life-cycle management within businesses is also needed. </w:t>
      </w:r>
    </w:p>
    <w:p w14:paraId="5E48A739" w14:textId="77777777" w:rsidR="00946B2E" w:rsidRPr="006645DC" w:rsidRDefault="00946B2E" w:rsidP="00946B2E">
      <w:pPr>
        <w:autoSpaceDE w:val="0"/>
        <w:autoSpaceDN w:val="0"/>
        <w:adjustRightInd w:val="0"/>
        <w:rPr>
          <w:lang w:val="en-GB"/>
        </w:rPr>
      </w:pPr>
      <w:r w:rsidRPr="006645DC">
        <w:rPr>
          <w:lang w:val="en-GB"/>
        </w:rPr>
        <w:t xml:space="preserve">Regarding the environmental risks associated to climate change and the local environmental conditions, the natural hazard is one of the main topics of interest of the stakeholders, especially the public authorities. A majority identifies the common risk management systems and measures as priority </w:t>
      </w:r>
      <w:r w:rsidRPr="006645DC">
        <w:rPr>
          <w:lang w:val="en-GB"/>
        </w:rPr>
        <w:lastRenderedPageBreak/>
        <w:t xml:space="preserve">actions to be undertaken and that could be targeted at different administrative and/or operational level inside the Romania-Bulgaria cross-border cooperation Programme. </w:t>
      </w:r>
    </w:p>
    <w:p w14:paraId="24441DEF" w14:textId="77777777" w:rsidR="00946B2E" w:rsidRPr="006645DC" w:rsidRDefault="00946B2E" w:rsidP="00946B2E">
      <w:pPr>
        <w:autoSpaceDE w:val="0"/>
        <w:autoSpaceDN w:val="0"/>
        <w:adjustRightInd w:val="0"/>
        <w:rPr>
          <w:lang w:val="en-GB"/>
        </w:rPr>
      </w:pPr>
      <w:r w:rsidRPr="006645DC">
        <w:rPr>
          <w:lang w:val="en-GB"/>
        </w:rPr>
        <w:t xml:space="preserve">Regarding transport infrastructure problems, the opinion is that the infrastructure of both countries should be more interlinked. The condition of the transport connections is appalling, especially in rural areas. New sustainable transport methods should be promoted. However, the opinions on whether huge transport infrastructure projects should be implemented with funding from the cross-border Programme are divided. Unlike public authorities, NGOs widely consider that the relevant Operational Programmes of both countries could fund the repairs of the infrastructure and not the CBC Programme, as “the Programme total funds are very small to answer such huge infrastructure investment projects”. </w:t>
      </w:r>
    </w:p>
    <w:p w14:paraId="643D26B3" w14:textId="77777777" w:rsidR="00367167" w:rsidRPr="006645DC" w:rsidRDefault="00367167" w:rsidP="00111A0F">
      <w:pPr>
        <w:rPr>
          <w:lang w:val="en-GB"/>
        </w:rPr>
        <w:sectPr w:rsidR="00367167" w:rsidRPr="006645DC" w:rsidSect="00187E88">
          <w:pgSz w:w="12240" w:h="15840"/>
          <w:pgMar w:top="1440" w:right="1440" w:bottom="1440" w:left="1440" w:header="720" w:footer="720" w:gutter="0"/>
          <w:cols w:space="720"/>
          <w:docGrid w:linePitch="360"/>
        </w:sectPr>
      </w:pPr>
    </w:p>
    <w:p w14:paraId="190288CE" w14:textId="77777777" w:rsidR="00367167" w:rsidRPr="006645DC" w:rsidRDefault="00367167" w:rsidP="00367167">
      <w:pPr>
        <w:pStyle w:val="Heading1"/>
        <w:rPr>
          <w:lang w:val="en-GB"/>
        </w:rPr>
      </w:pPr>
      <w:bookmarkStart w:id="2298" w:name="_Toc376200386"/>
      <w:bookmarkStart w:id="2299" w:name="_Toc254543866"/>
      <w:bookmarkStart w:id="2300" w:name="_Toc391150226"/>
      <w:r w:rsidRPr="006645DC">
        <w:rPr>
          <w:lang w:val="en-GB"/>
        </w:rPr>
        <w:lastRenderedPageBreak/>
        <w:t>SWOT tables</w:t>
      </w:r>
      <w:bookmarkEnd w:id="2298"/>
      <w:bookmarkEnd w:id="2299"/>
      <w:bookmarkEnd w:id="2300"/>
    </w:p>
    <w:p w14:paraId="11471045" w14:textId="77777777" w:rsidR="00367167" w:rsidRPr="006645DC" w:rsidRDefault="00367167" w:rsidP="00C951D5">
      <w:pPr>
        <w:pStyle w:val="Heading2"/>
        <w:numPr>
          <w:ilvl w:val="0"/>
          <w:numId w:val="67"/>
        </w:numPr>
        <w:rPr>
          <w:lang w:val="en-GB"/>
        </w:rPr>
      </w:pPr>
      <w:bookmarkStart w:id="2301" w:name="_Toc376200387"/>
      <w:bookmarkStart w:id="2302" w:name="_Toc254543867"/>
      <w:bookmarkStart w:id="2303" w:name="_Toc391150227"/>
      <w:r w:rsidRPr="006645DC">
        <w:rPr>
          <w:lang w:val="en-GB"/>
        </w:rPr>
        <w:t>The sectorial SWOT tables</w:t>
      </w:r>
      <w:bookmarkEnd w:id="2301"/>
      <w:bookmarkEnd w:id="2302"/>
      <w:bookmarkEnd w:id="2303"/>
    </w:p>
    <w:tbl>
      <w:tblPr>
        <w:tblW w:w="151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288"/>
        <w:gridCol w:w="3288"/>
        <w:gridCol w:w="3652"/>
        <w:gridCol w:w="2924"/>
      </w:tblGrid>
      <w:tr w:rsidR="00367167" w:rsidRPr="006645DC" w14:paraId="3810C776" w14:textId="77777777" w:rsidTr="001807BA">
        <w:trPr>
          <w:jc w:val="center"/>
        </w:trPr>
        <w:tc>
          <w:tcPr>
            <w:tcW w:w="1984" w:type="dxa"/>
            <w:shd w:val="clear" w:color="auto" w:fill="76923C" w:themeFill="accent3" w:themeFillShade="BF"/>
            <w:vAlign w:val="center"/>
          </w:tcPr>
          <w:p w14:paraId="6E47DAD7"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Thematic objective</w:t>
            </w:r>
          </w:p>
        </w:tc>
        <w:tc>
          <w:tcPr>
            <w:tcW w:w="3288" w:type="dxa"/>
            <w:shd w:val="clear" w:color="auto" w:fill="76923C" w:themeFill="accent3" w:themeFillShade="BF"/>
            <w:vAlign w:val="center"/>
          </w:tcPr>
          <w:p w14:paraId="55A357A6"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Strengths</w:t>
            </w:r>
          </w:p>
        </w:tc>
        <w:tc>
          <w:tcPr>
            <w:tcW w:w="3288" w:type="dxa"/>
            <w:shd w:val="clear" w:color="auto" w:fill="76923C" w:themeFill="accent3" w:themeFillShade="BF"/>
            <w:vAlign w:val="center"/>
          </w:tcPr>
          <w:p w14:paraId="76666AB8"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Weaknesses</w:t>
            </w:r>
          </w:p>
        </w:tc>
        <w:tc>
          <w:tcPr>
            <w:tcW w:w="3652" w:type="dxa"/>
            <w:shd w:val="clear" w:color="auto" w:fill="76923C" w:themeFill="accent3" w:themeFillShade="BF"/>
            <w:vAlign w:val="center"/>
          </w:tcPr>
          <w:p w14:paraId="521918DE"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Opportunities</w:t>
            </w:r>
          </w:p>
        </w:tc>
        <w:tc>
          <w:tcPr>
            <w:tcW w:w="2924" w:type="dxa"/>
            <w:shd w:val="clear" w:color="auto" w:fill="76923C" w:themeFill="accent3" w:themeFillShade="BF"/>
            <w:vAlign w:val="center"/>
          </w:tcPr>
          <w:p w14:paraId="27DBD896"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Threats</w:t>
            </w:r>
          </w:p>
        </w:tc>
      </w:tr>
      <w:tr w:rsidR="00367167" w:rsidRPr="006645DC" w14:paraId="2B337BAA" w14:textId="77777777" w:rsidTr="00393EB7">
        <w:trPr>
          <w:jc w:val="center"/>
        </w:trPr>
        <w:tc>
          <w:tcPr>
            <w:tcW w:w="1984" w:type="dxa"/>
            <w:shd w:val="clear" w:color="auto" w:fill="auto"/>
            <w:vAlign w:val="center"/>
          </w:tcPr>
          <w:p w14:paraId="76C0D2F4" w14:textId="77777777" w:rsidR="00367167" w:rsidRPr="006645DC" w:rsidRDefault="00367167" w:rsidP="00393EB7">
            <w:pPr>
              <w:autoSpaceDE w:val="0"/>
              <w:autoSpaceDN w:val="0"/>
              <w:adjustRightInd w:val="0"/>
              <w:spacing w:before="0" w:after="0"/>
              <w:jc w:val="left"/>
              <w:rPr>
                <w:rFonts w:cs="Calibri"/>
                <w:b/>
                <w:sz w:val="18"/>
                <w:szCs w:val="18"/>
                <w:lang w:val="en-GB"/>
              </w:rPr>
            </w:pPr>
            <w:r w:rsidRPr="006645DC">
              <w:rPr>
                <w:rFonts w:cs="Calibri"/>
                <w:b/>
                <w:sz w:val="18"/>
                <w:szCs w:val="18"/>
                <w:lang w:val="en-GB"/>
              </w:rPr>
              <w:t>Research, technological development and innovation</w:t>
            </w:r>
          </w:p>
        </w:tc>
        <w:tc>
          <w:tcPr>
            <w:tcW w:w="3288" w:type="dxa"/>
            <w:shd w:val="clear" w:color="auto" w:fill="auto"/>
            <w:vAlign w:val="center"/>
          </w:tcPr>
          <w:p w14:paraId="5E69D9B8"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04" w:name="_Toc376200388"/>
            <w:r w:rsidRPr="006645DC">
              <w:rPr>
                <w:rFonts w:cs="Calibri"/>
                <w:sz w:val="18"/>
                <w:szCs w:val="18"/>
                <w:lang w:val="en-GB"/>
              </w:rPr>
              <w:t>Existing R&amp;D infrastructure, clusters and strong universities</w:t>
            </w:r>
            <w:bookmarkEnd w:id="2304"/>
          </w:p>
          <w:p w14:paraId="1DD24415"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Similar interests in the RO-BG Cross Border Area regarding the sectors: energy, environment, automotive and food.  </w:t>
            </w:r>
          </w:p>
          <w:p w14:paraId="268AA41C"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Networking and clustering of Industrial companies</w:t>
            </w:r>
          </w:p>
          <w:p w14:paraId="2FC68EC7"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Expenses in R&amp;D in urban regions, target work area for highly skilled workers </w:t>
            </w:r>
          </w:p>
          <w:p w14:paraId="6F60428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p>
          <w:p w14:paraId="5AE44360"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Labour cost as a competitive asset</w:t>
            </w:r>
          </w:p>
        </w:tc>
        <w:tc>
          <w:tcPr>
            <w:tcW w:w="3288" w:type="dxa"/>
            <w:shd w:val="clear" w:color="auto" w:fill="auto"/>
            <w:vAlign w:val="center"/>
          </w:tcPr>
          <w:p w14:paraId="01F9A51A"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05" w:name="_Toc376200389"/>
            <w:r w:rsidRPr="006645DC">
              <w:rPr>
                <w:rFonts w:cs="Calibri"/>
                <w:sz w:val="18"/>
                <w:szCs w:val="18"/>
                <w:lang w:val="en-GB"/>
              </w:rPr>
              <w:t>Low level of R&amp;D (environment of innovation, cooperation projects) in the Cross Border area</w:t>
            </w:r>
            <w:bookmarkEnd w:id="2305"/>
          </w:p>
          <w:p w14:paraId="613F8726"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Insufficient technology transfer and lacks in the access to R&amp;D-results especially for SMEs</w:t>
            </w:r>
          </w:p>
          <w:p w14:paraId="5D30993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A weak service sector partly below EU average </w:t>
            </w:r>
          </w:p>
          <w:p w14:paraId="2C71DC38"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Companies largely not focused on innovation and R&amp;D </w:t>
            </w:r>
          </w:p>
          <w:p w14:paraId="271A2E02"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Low proportion of research personnel in the active population </w:t>
            </w:r>
          </w:p>
          <w:p w14:paraId="3263B827"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Low number of patent applications </w:t>
            </w:r>
          </w:p>
          <w:p w14:paraId="369C7733"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tc>
        <w:tc>
          <w:tcPr>
            <w:tcW w:w="3652" w:type="dxa"/>
            <w:shd w:val="clear" w:color="auto" w:fill="auto"/>
            <w:vAlign w:val="center"/>
          </w:tcPr>
          <w:p w14:paraId="2B95C0DC" w14:textId="77777777" w:rsidR="00367167" w:rsidRPr="006645DC" w:rsidRDefault="00367167" w:rsidP="00393EB7">
            <w:pPr>
              <w:keepNext/>
              <w:keepLines/>
              <w:widowControl w:val="0"/>
              <w:autoSpaceDE w:val="0"/>
              <w:autoSpaceDN w:val="0"/>
              <w:adjustRightInd w:val="0"/>
              <w:spacing w:before="0" w:after="0"/>
              <w:jc w:val="left"/>
              <w:outlineLvl w:val="1"/>
              <w:rPr>
                <w:rFonts w:cs="Calibri"/>
                <w:color w:val="000000"/>
                <w:sz w:val="18"/>
                <w:szCs w:val="18"/>
                <w:lang w:val="en-GB"/>
              </w:rPr>
            </w:pPr>
            <w:bookmarkStart w:id="2306" w:name="_Toc376200390"/>
            <w:r w:rsidRPr="006645DC">
              <w:rPr>
                <w:rFonts w:cs="Calibri"/>
                <w:color w:val="000000"/>
                <w:sz w:val="18"/>
                <w:szCs w:val="18"/>
                <w:lang w:val="en-GB"/>
              </w:rPr>
              <w:t>Promotion of innovation and of an attractive investment climate in several regions</w:t>
            </w:r>
            <w:bookmarkEnd w:id="2306"/>
            <w:r w:rsidRPr="006645DC">
              <w:rPr>
                <w:rFonts w:cs="Calibri"/>
                <w:color w:val="000000"/>
                <w:sz w:val="18"/>
                <w:szCs w:val="18"/>
                <w:lang w:val="en-GB"/>
              </w:rPr>
              <w:t xml:space="preserve"> </w:t>
            </w:r>
          </w:p>
          <w:p w14:paraId="2B148FE4"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Positive influence of growth urban poles </w:t>
            </w:r>
          </w:p>
          <w:p w14:paraId="4EE0DABF"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As a first step, positioning in innovation model based on diversification and/or new applications of existing technologies rather than on breakthrough innovation</w:t>
            </w:r>
          </w:p>
          <w:p w14:paraId="23349EB7"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Large marginal benefits from modernisation (technology) </w:t>
            </w:r>
          </w:p>
          <w:p w14:paraId="34B99757"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Planned support of research centres and clusters by different national strategies in the framework of the OP Competitiveness programme 2014-2020. </w:t>
            </w:r>
          </w:p>
          <w:p w14:paraId="4EEFBBAC"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Cross Border cooperation strategy between innovation stakeholders Significant potential for social economy and eco-innovation </w:t>
            </w:r>
          </w:p>
        </w:tc>
        <w:tc>
          <w:tcPr>
            <w:tcW w:w="2924" w:type="dxa"/>
            <w:shd w:val="clear" w:color="auto" w:fill="auto"/>
            <w:vAlign w:val="center"/>
          </w:tcPr>
          <w:p w14:paraId="5DFF91DF"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308BF06E"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Increasing gaps between innovative urban areas and regions with innovation deficits </w:t>
            </w:r>
          </w:p>
          <w:p w14:paraId="03936C54"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Brain drain of young talents </w:t>
            </w:r>
          </w:p>
          <w:p w14:paraId="49AF871D"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6DDF5101"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tc>
      </w:tr>
      <w:tr w:rsidR="00367167" w:rsidRPr="006645DC" w14:paraId="7F2782DE" w14:textId="77777777" w:rsidTr="00393EB7">
        <w:trPr>
          <w:jc w:val="center"/>
        </w:trPr>
        <w:tc>
          <w:tcPr>
            <w:tcW w:w="15136" w:type="dxa"/>
            <w:gridSpan w:val="5"/>
            <w:shd w:val="clear" w:color="auto" w:fill="auto"/>
            <w:vAlign w:val="center"/>
          </w:tcPr>
          <w:p w14:paraId="711BFC9A" w14:textId="77777777" w:rsidR="00367167" w:rsidRPr="006645DC" w:rsidRDefault="00367167" w:rsidP="00393EB7">
            <w:pPr>
              <w:keepNext/>
              <w:keepLines/>
              <w:widowControl w:val="0"/>
              <w:autoSpaceDE w:val="0"/>
              <w:autoSpaceDN w:val="0"/>
              <w:adjustRightInd w:val="0"/>
              <w:spacing w:before="0" w:after="0"/>
              <w:jc w:val="left"/>
              <w:outlineLvl w:val="1"/>
              <w:rPr>
                <w:rFonts w:cs="Calibri"/>
                <w:b/>
                <w:sz w:val="18"/>
                <w:szCs w:val="18"/>
                <w:lang w:val="en-GB"/>
              </w:rPr>
            </w:pPr>
            <w:bookmarkStart w:id="2307" w:name="_Toc376200391"/>
            <w:r w:rsidRPr="006645DC">
              <w:rPr>
                <w:rFonts w:cs="Calibri"/>
                <w:b/>
                <w:sz w:val="18"/>
                <w:szCs w:val="18"/>
                <w:lang w:val="en-GB"/>
              </w:rPr>
              <w:t>Key message:</w:t>
            </w:r>
            <w:bookmarkEnd w:id="2307"/>
            <w:r w:rsidRPr="006645DC">
              <w:rPr>
                <w:rFonts w:cs="Calibri"/>
                <w:b/>
                <w:sz w:val="18"/>
                <w:szCs w:val="18"/>
                <w:lang w:val="en-GB"/>
              </w:rPr>
              <w:t xml:space="preserve"> </w:t>
            </w:r>
          </w:p>
          <w:p w14:paraId="59B68399" w14:textId="77777777" w:rsidR="00367167" w:rsidRPr="006645DC" w:rsidRDefault="00367167" w:rsidP="00C951D5">
            <w:pPr>
              <w:pStyle w:val="ListParagraph"/>
              <w:widowControl w:val="0"/>
              <w:numPr>
                <w:ilvl w:val="0"/>
                <w:numId w:val="60"/>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Improve the linkage between clusters, universities and R&amp;D institutions</w:t>
            </w:r>
          </w:p>
          <w:p w14:paraId="49E374E6" w14:textId="77777777" w:rsidR="00367167" w:rsidRPr="006645DC" w:rsidRDefault="00367167" w:rsidP="00C951D5">
            <w:pPr>
              <w:pStyle w:val="ListParagraph"/>
              <w:widowControl w:val="0"/>
              <w:numPr>
                <w:ilvl w:val="0"/>
                <w:numId w:val="60"/>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Increase technology transfer in the entire region</w:t>
            </w:r>
          </w:p>
          <w:p w14:paraId="3608801C" w14:textId="77777777" w:rsidR="00367167" w:rsidRPr="006645DC" w:rsidRDefault="00367167" w:rsidP="00C951D5">
            <w:pPr>
              <w:pStyle w:val="ListParagraph"/>
              <w:widowControl w:val="0"/>
              <w:numPr>
                <w:ilvl w:val="0"/>
                <w:numId w:val="60"/>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 xml:space="preserve">Improve research and innovation infrastructure </w:t>
            </w:r>
          </w:p>
        </w:tc>
      </w:tr>
    </w:tbl>
    <w:p w14:paraId="29D4708B" w14:textId="77777777" w:rsidR="00367167" w:rsidRPr="006645DC" w:rsidRDefault="00367167" w:rsidP="00367167">
      <w:pPr>
        <w:rPr>
          <w:lang w:val="en-GB"/>
        </w:rPr>
        <w:sectPr w:rsidR="00367167" w:rsidRPr="006645DC" w:rsidSect="00367167">
          <w:pgSz w:w="16840" w:h="11900" w:orient="landscape"/>
          <w:pgMar w:top="1800" w:right="1440" w:bottom="1800" w:left="1440" w:header="708" w:footer="708" w:gutter="0"/>
          <w:cols w:space="708"/>
          <w:docGrid w:linePitch="360"/>
        </w:sectPr>
      </w:pPr>
    </w:p>
    <w:p w14:paraId="55EE3B91" w14:textId="77777777" w:rsidR="00367167" w:rsidRPr="006645DC" w:rsidRDefault="00367167" w:rsidP="00367167">
      <w:pPr>
        <w:rPr>
          <w:lang w:val="en-GB"/>
        </w:rPr>
      </w:pPr>
    </w:p>
    <w:tbl>
      <w:tblPr>
        <w:tblW w:w="151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3691"/>
        <w:gridCol w:w="3288"/>
        <w:gridCol w:w="3652"/>
        <w:gridCol w:w="2924"/>
      </w:tblGrid>
      <w:tr w:rsidR="00367167" w:rsidRPr="006645DC" w14:paraId="31D1D6FA" w14:textId="77777777" w:rsidTr="005F2515">
        <w:trPr>
          <w:jc w:val="center"/>
        </w:trPr>
        <w:tc>
          <w:tcPr>
            <w:tcW w:w="1581" w:type="dxa"/>
            <w:shd w:val="clear" w:color="auto" w:fill="76923C" w:themeFill="accent3" w:themeFillShade="BF"/>
            <w:vAlign w:val="center"/>
          </w:tcPr>
          <w:p w14:paraId="2F7016EC" w14:textId="77777777" w:rsidR="00367167" w:rsidRPr="006645DC" w:rsidRDefault="00367167" w:rsidP="005F2515">
            <w:pPr>
              <w:keepNext/>
              <w:keepLines/>
              <w:spacing w:before="0" w:after="0"/>
              <w:ind w:left="397"/>
              <w:outlineLvl w:val="1"/>
              <w:rPr>
                <w:rFonts w:cs="Calibri"/>
                <w:b/>
                <w:color w:val="FFFFFF"/>
                <w:sz w:val="18"/>
                <w:szCs w:val="18"/>
                <w:lang w:val="en-GB"/>
              </w:rPr>
            </w:pPr>
            <w:bookmarkStart w:id="2308" w:name="_Toc376200392"/>
            <w:r w:rsidRPr="006645DC">
              <w:rPr>
                <w:rFonts w:cs="Calibri"/>
                <w:b/>
                <w:color w:val="FFFFFF"/>
                <w:sz w:val="18"/>
                <w:szCs w:val="18"/>
                <w:lang w:val="en-GB"/>
              </w:rPr>
              <w:t>Thematic objective</w:t>
            </w:r>
            <w:bookmarkEnd w:id="2308"/>
          </w:p>
        </w:tc>
        <w:tc>
          <w:tcPr>
            <w:tcW w:w="3691" w:type="dxa"/>
            <w:shd w:val="clear" w:color="auto" w:fill="76923C" w:themeFill="accent3" w:themeFillShade="BF"/>
            <w:vAlign w:val="center"/>
          </w:tcPr>
          <w:p w14:paraId="7A2C2F20"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Strengths</w:t>
            </w:r>
          </w:p>
        </w:tc>
        <w:tc>
          <w:tcPr>
            <w:tcW w:w="3288" w:type="dxa"/>
            <w:shd w:val="clear" w:color="auto" w:fill="76923C" w:themeFill="accent3" w:themeFillShade="BF"/>
            <w:vAlign w:val="center"/>
          </w:tcPr>
          <w:p w14:paraId="0C18E533"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Weaknesses</w:t>
            </w:r>
          </w:p>
        </w:tc>
        <w:tc>
          <w:tcPr>
            <w:tcW w:w="3652" w:type="dxa"/>
            <w:shd w:val="clear" w:color="auto" w:fill="76923C" w:themeFill="accent3" w:themeFillShade="BF"/>
            <w:vAlign w:val="center"/>
          </w:tcPr>
          <w:p w14:paraId="321D91B2"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Opportunities</w:t>
            </w:r>
          </w:p>
        </w:tc>
        <w:tc>
          <w:tcPr>
            <w:tcW w:w="2924" w:type="dxa"/>
            <w:shd w:val="clear" w:color="auto" w:fill="76923C" w:themeFill="accent3" w:themeFillShade="BF"/>
            <w:vAlign w:val="center"/>
          </w:tcPr>
          <w:p w14:paraId="336B2E09"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Threats</w:t>
            </w:r>
          </w:p>
        </w:tc>
      </w:tr>
      <w:tr w:rsidR="00367167" w:rsidRPr="006645DC" w14:paraId="7065A033" w14:textId="77777777" w:rsidTr="005F2515">
        <w:trPr>
          <w:jc w:val="center"/>
        </w:trPr>
        <w:tc>
          <w:tcPr>
            <w:tcW w:w="1581" w:type="dxa"/>
            <w:shd w:val="clear" w:color="auto" w:fill="auto"/>
            <w:vAlign w:val="center"/>
          </w:tcPr>
          <w:p w14:paraId="5A310824" w14:textId="77777777" w:rsidR="00367167" w:rsidRPr="006645DC" w:rsidRDefault="00367167" w:rsidP="00393EB7">
            <w:pPr>
              <w:spacing w:before="0" w:after="0"/>
              <w:jc w:val="left"/>
              <w:rPr>
                <w:rFonts w:cs="Calibri"/>
                <w:b/>
                <w:sz w:val="18"/>
                <w:szCs w:val="18"/>
                <w:lang w:val="en-GB"/>
              </w:rPr>
            </w:pPr>
            <w:r w:rsidRPr="006645DC">
              <w:rPr>
                <w:rFonts w:cs="Calibri"/>
                <w:b/>
                <w:sz w:val="18"/>
                <w:szCs w:val="18"/>
                <w:lang w:val="en-GB"/>
              </w:rPr>
              <w:t>ICT</w:t>
            </w:r>
          </w:p>
        </w:tc>
        <w:tc>
          <w:tcPr>
            <w:tcW w:w="3691" w:type="dxa"/>
            <w:shd w:val="clear" w:color="auto" w:fill="auto"/>
            <w:vAlign w:val="center"/>
          </w:tcPr>
          <w:p w14:paraId="26122652"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2154D814"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Stable international internet backbone capacity</w:t>
            </w:r>
          </w:p>
          <w:p w14:paraId="4EF24B42"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Growing number of internet users</w:t>
            </w:r>
            <w:r w:rsidR="005F2515" w:rsidRPr="006645DC">
              <w:rPr>
                <w:rFonts w:cs="Calibri"/>
                <w:color w:val="000000"/>
                <w:sz w:val="18"/>
                <w:szCs w:val="18"/>
                <w:lang w:val="en-GB"/>
              </w:rPr>
              <w:t xml:space="preserve"> and internet providers</w:t>
            </w:r>
          </w:p>
          <w:p w14:paraId="403E1491" w14:textId="77777777" w:rsidR="00367167" w:rsidRPr="006645DC" w:rsidRDefault="00367167" w:rsidP="00393EB7">
            <w:pPr>
              <w:spacing w:before="0" w:after="0"/>
              <w:jc w:val="left"/>
              <w:rPr>
                <w:rFonts w:cs="Calibri"/>
                <w:sz w:val="18"/>
                <w:szCs w:val="18"/>
                <w:lang w:val="en-GB"/>
              </w:rPr>
            </w:pPr>
          </w:p>
        </w:tc>
        <w:tc>
          <w:tcPr>
            <w:tcW w:w="3288" w:type="dxa"/>
            <w:shd w:val="clear" w:color="auto" w:fill="auto"/>
            <w:vAlign w:val="center"/>
          </w:tcPr>
          <w:p w14:paraId="28A7E69A"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09" w:name="_Toc376200393"/>
            <w:r w:rsidRPr="006645DC">
              <w:rPr>
                <w:rFonts w:cs="Calibri"/>
                <w:sz w:val="18"/>
                <w:szCs w:val="18"/>
                <w:lang w:val="en-GB"/>
              </w:rPr>
              <w:t>Relatively low broadband coverage</w:t>
            </w:r>
            <w:bookmarkEnd w:id="2309"/>
          </w:p>
          <w:p w14:paraId="4C467950"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Sectorial and spatial inequalities of ICT-infrastructure</w:t>
            </w:r>
          </w:p>
          <w:p w14:paraId="46A8C3F6"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Low developed E-government </w:t>
            </w:r>
          </w:p>
        </w:tc>
        <w:tc>
          <w:tcPr>
            <w:tcW w:w="3652" w:type="dxa"/>
            <w:shd w:val="clear" w:color="auto" w:fill="auto"/>
            <w:vAlign w:val="center"/>
          </w:tcPr>
          <w:p w14:paraId="53727C4C"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6A1757D5"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Mobile technologies can play a key role in closing the gap of ICT coverage between thinly and densely populated areas</w:t>
            </w:r>
          </w:p>
          <w:p w14:paraId="1C91799F" w14:textId="77777777" w:rsidR="00367167" w:rsidRPr="006645DC" w:rsidRDefault="00367167" w:rsidP="00393EB7">
            <w:pPr>
              <w:spacing w:before="0" w:after="0"/>
              <w:jc w:val="left"/>
              <w:rPr>
                <w:rFonts w:cs="Calibri"/>
                <w:sz w:val="18"/>
                <w:szCs w:val="18"/>
                <w:lang w:val="en-GB"/>
              </w:rPr>
            </w:pPr>
            <w:r w:rsidRPr="006645DC">
              <w:rPr>
                <w:rFonts w:cs="Calibri"/>
                <w:sz w:val="18"/>
                <w:szCs w:val="18"/>
                <w:lang w:val="en-GB"/>
              </w:rPr>
              <w:t>Improvement of e-government and common cross border development of new applications of e-government: e-health, e-learning, e-business…</w:t>
            </w:r>
          </w:p>
          <w:p w14:paraId="13F38A2D" w14:textId="77777777" w:rsidR="00367167" w:rsidRPr="006645DC" w:rsidRDefault="00367167" w:rsidP="00393EB7">
            <w:pPr>
              <w:spacing w:before="0" w:after="0"/>
              <w:jc w:val="left"/>
              <w:rPr>
                <w:rFonts w:cs="Calibri"/>
                <w:sz w:val="18"/>
                <w:szCs w:val="18"/>
                <w:lang w:val="en-GB"/>
              </w:rPr>
            </w:pPr>
            <w:r w:rsidRPr="006645DC">
              <w:rPr>
                <w:rFonts w:cs="Calibri"/>
                <w:sz w:val="18"/>
                <w:szCs w:val="18"/>
                <w:lang w:val="en-GB"/>
              </w:rPr>
              <w:t>Development of common marketing platforms in tourism and for regional products</w:t>
            </w:r>
          </w:p>
          <w:p w14:paraId="0108A9C8" w14:textId="77777777" w:rsidR="00367167" w:rsidRPr="006645DC" w:rsidRDefault="00367167" w:rsidP="00393EB7">
            <w:pPr>
              <w:spacing w:before="0" w:after="0"/>
              <w:jc w:val="left"/>
              <w:rPr>
                <w:rFonts w:cs="Calibri"/>
                <w:sz w:val="18"/>
                <w:szCs w:val="18"/>
                <w:lang w:val="en-GB"/>
              </w:rPr>
            </w:pPr>
          </w:p>
        </w:tc>
        <w:tc>
          <w:tcPr>
            <w:tcW w:w="2924" w:type="dxa"/>
            <w:shd w:val="clear" w:color="auto" w:fill="auto"/>
            <w:vAlign w:val="center"/>
          </w:tcPr>
          <w:p w14:paraId="4466116F"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1AB79683"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Increasing gaps between well connected areas and those with ICT deficits </w:t>
            </w:r>
          </w:p>
          <w:p w14:paraId="1015CD99"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2F7D2E4A"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tc>
      </w:tr>
      <w:tr w:rsidR="00367167" w:rsidRPr="006645DC" w14:paraId="4530BD9E" w14:textId="77777777" w:rsidTr="00393EB7">
        <w:trPr>
          <w:jc w:val="center"/>
        </w:trPr>
        <w:tc>
          <w:tcPr>
            <w:tcW w:w="15136" w:type="dxa"/>
            <w:gridSpan w:val="5"/>
            <w:shd w:val="clear" w:color="auto" w:fill="auto"/>
            <w:vAlign w:val="center"/>
          </w:tcPr>
          <w:p w14:paraId="05BFC422" w14:textId="77777777" w:rsidR="00367167" w:rsidRPr="006645DC" w:rsidRDefault="00367167" w:rsidP="00393EB7">
            <w:pPr>
              <w:keepNext/>
              <w:keepLines/>
              <w:widowControl w:val="0"/>
              <w:autoSpaceDE w:val="0"/>
              <w:autoSpaceDN w:val="0"/>
              <w:adjustRightInd w:val="0"/>
              <w:spacing w:before="0" w:after="0"/>
              <w:jc w:val="left"/>
              <w:outlineLvl w:val="1"/>
              <w:rPr>
                <w:rFonts w:cs="Calibri"/>
                <w:b/>
                <w:sz w:val="18"/>
                <w:szCs w:val="18"/>
                <w:lang w:val="en-GB"/>
              </w:rPr>
            </w:pPr>
            <w:bookmarkStart w:id="2310" w:name="_Toc376200394"/>
            <w:r w:rsidRPr="006645DC">
              <w:rPr>
                <w:rFonts w:cs="Calibri"/>
                <w:b/>
                <w:sz w:val="18"/>
                <w:szCs w:val="18"/>
                <w:lang w:val="en-GB"/>
              </w:rPr>
              <w:t>Key message:</w:t>
            </w:r>
            <w:bookmarkEnd w:id="2310"/>
            <w:r w:rsidRPr="006645DC">
              <w:rPr>
                <w:rFonts w:cs="Calibri"/>
                <w:b/>
                <w:sz w:val="18"/>
                <w:szCs w:val="18"/>
                <w:lang w:val="en-GB"/>
              </w:rPr>
              <w:t xml:space="preserve"> </w:t>
            </w:r>
          </w:p>
          <w:p w14:paraId="28D40CB7" w14:textId="77777777" w:rsidR="00367167" w:rsidRPr="006645DC" w:rsidRDefault="00367167" w:rsidP="00C951D5">
            <w:pPr>
              <w:pStyle w:val="ListParagraph"/>
              <w:widowControl w:val="0"/>
              <w:numPr>
                <w:ilvl w:val="0"/>
                <w:numId w:val="58"/>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Development of E-government</w:t>
            </w:r>
          </w:p>
          <w:p w14:paraId="69F8A371" w14:textId="77777777" w:rsidR="00367167" w:rsidRPr="006645DC" w:rsidRDefault="00367167" w:rsidP="00C951D5">
            <w:pPr>
              <w:pStyle w:val="ListParagraph"/>
              <w:widowControl w:val="0"/>
              <w:numPr>
                <w:ilvl w:val="0"/>
                <w:numId w:val="58"/>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Common development of Cross Border thematic platforms</w:t>
            </w:r>
          </w:p>
          <w:p w14:paraId="02A31386" w14:textId="77777777" w:rsidR="00367167" w:rsidRPr="006645DC" w:rsidRDefault="00367167" w:rsidP="00C951D5">
            <w:pPr>
              <w:pStyle w:val="ListParagraph"/>
              <w:widowControl w:val="0"/>
              <w:numPr>
                <w:ilvl w:val="0"/>
                <w:numId w:val="58"/>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Development of mobile technologies</w:t>
            </w:r>
          </w:p>
        </w:tc>
      </w:tr>
    </w:tbl>
    <w:p w14:paraId="79E72A3E" w14:textId="77777777" w:rsidR="00367167" w:rsidRPr="006645DC" w:rsidRDefault="00367167" w:rsidP="00367167">
      <w:pPr>
        <w:rPr>
          <w:lang w:val="en-GB"/>
        </w:rPr>
        <w:sectPr w:rsidR="00367167" w:rsidRPr="006645DC" w:rsidSect="00367167">
          <w:pgSz w:w="16840" w:h="11900" w:orient="landscape"/>
          <w:pgMar w:top="1800" w:right="1440" w:bottom="1800" w:left="1440" w:header="708" w:footer="708" w:gutter="0"/>
          <w:cols w:space="708"/>
          <w:docGrid w:linePitch="360"/>
        </w:sectPr>
      </w:pPr>
    </w:p>
    <w:tbl>
      <w:tblPr>
        <w:tblW w:w="151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288"/>
        <w:gridCol w:w="3288"/>
        <w:gridCol w:w="3288"/>
        <w:gridCol w:w="3288"/>
      </w:tblGrid>
      <w:tr w:rsidR="00367167" w:rsidRPr="006645DC" w14:paraId="7910557D" w14:textId="77777777" w:rsidTr="001807BA">
        <w:trPr>
          <w:jc w:val="center"/>
        </w:trPr>
        <w:tc>
          <w:tcPr>
            <w:tcW w:w="1984" w:type="dxa"/>
            <w:shd w:val="clear" w:color="auto" w:fill="76923C" w:themeFill="accent3" w:themeFillShade="BF"/>
            <w:vAlign w:val="center"/>
          </w:tcPr>
          <w:p w14:paraId="344C872F" w14:textId="77777777" w:rsidR="00367167" w:rsidRPr="006645DC" w:rsidRDefault="00367167" w:rsidP="000A6DE0">
            <w:pPr>
              <w:keepNext/>
              <w:keepLines/>
              <w:spacing w:before="0" w:after="0"/>
              <w:ind w:left="397"/>
              <w:outlineLvl w:val="1"/>
              <w:rPr>
                <w:rFonts w:cs="Calibri"/>
                <w:b/>
                <w:color w:val="FFFFFF"/>
                <w:sz w:val="18"/>
                <w:szCs w:val="18"/>
                <w:lang w:val="en-GB"/>
              </w:rPr>
            </w:pPr>
            <w:bookmarkStart w:id="2311" w:name="_Toc376200395"/>
            <w:r w:rsidRPr="006645DC">
              <w:rPr>
                <w:rFonts w:cs="Calibri"/>
                <w:b/>
                <w:color w:val="FFFFFF"/>
                <w:sz w:val="18"/>
                <w:szCs w:val="18"/>
                <w:lang w:val="en-GB"/>
              </w:rPr>
              <w:lastRenderedPageBreak/>
              <w:t>Thematic objective</w:t>
            </w:r>
            <w:bookmarkEnd w:id="2311"/>
          </w:p>
        </w:tc>
        <w:tc>
          <w:tcPr>
            <w:tcW w:w="3288" w:type="dxa"/>
            <w:shd w:val="clear" w:color="auto" w:fill="76923C" w:themeFill="accent3" w:themeFillShade="BF"/>
            <w:vAlign w:val="center"/>
          </w:tcPr>
          <w:p w14:paraId="76EAD6E2"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Strengths</w:t>
            </w:r>
          </w:p>
        </w:tc>
        <w:tc>
          <w:tcPr>
            <w:tcW w:w="3288" w:type="dxa"/>
            <w:shd w:val="clear" w:color="auto" w:fill="76923C" w:themeFill="accent3" w:themeFillShade="BF"/>
            <w:vAlign w:val="center"/>
          </w:tcPr>
          <w:p w14:paraId="2A42A0E0"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Weaknesses</w:t>
            </w:r>
          </w:p>
        </w:tc>
        <w:tc>
          <w:tcPr>
            <w:tcW w:w="3288" w:type="dxa"/>
            <w:shd w:val="clear" w:color="auto" w:fill="76923C" w:themeFill="accent3" w:themeFillShade="BF"/>
            <w:vAlign w:val="center"/>
          </w:tcPr>
          <w:p w14:paraId="5922861E"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Opportunities</w:t>
            </w:r>
          </w:p>
        </w:tc>
        <w:tc>
          <w:tcPr>
            <w:tcW w:w="3288" w:type="dxa"/>
            <w:shd w:val="clear" w:color="auto" w:fill="76923C" w:themeFill="accent3" w:themeFillShade="BF"/>
            <w:vAlign w:val="center"/>
          </w:tcPr>
          <w:p w14:paraId="1C801773"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Threats</w:t>
            </w:r>
          </w:p>
        </w:tc>
      </w:tr>
      <w:tr w:rsidR="00367167" w:rsidRPr="006645DC" w14:paraId="66D10DB1" w14:textId="77777777" w:rsidTr="00393EB7">
        <w:trPr>
          <w:jc w:val="center"/>
        </w:trPr>
        <w:tc>
          <w:tcPr>
            <w:tcW w:w="1984" w:type="dxa"/>
            <w:shd w:val="clear" w:color="auto" w:fill="auto"/>
            <w:vAlign w:val="center"/>
          </w:tcPr>
          <w:p w14:paraId="02AC9DE4" w14:textId="77777777" w:rsidR="00367167" w:rsidRPr="006645DC" w:rsidRDefault="00367167" w:rsidP="00393EB7">
            <w:pPr>
              <w:autoSpaceDE w:val="0"/>
              <w:autoSpaceDN w:val="0"/>
              <w:adjustRightInd w:val="0"/>
              <w:spacing w:before="0" w:after="0"/>
              <w:jc w:val="left"/>
              <w:rPr>
                <w:rFonts w:cs="Calibri"/>
                <w:b/>
                <w:sz w:val="18"/>
                <w:szCs w:val="18"/>
                <w:lang w:val="en-GB"/>
              </w:rPr>
            </w:pPr>
            <w:r w:rsidRPr="006645DC">
              <w:rPr>
                <w:rFonts w:cs="Calibri"/>
                <w:b/>
                <w:sz w:val="18"/>
                <w:szCs w:val="18"/>
                <w:lang w:val="en-GB"/>
              </w:rPr>
              <w:t>Competitiveness of SMEs</w:t>
            </w:r>
          </w:p>
        </w:tc>
        <w:tc>
          <w:tcPr>
            <w:tcW w:w="3288" w:type="dxa"/>
            <w:shd w:val="clear" w:color="auto" w:fill="auto"/>
            <w:vAlign w:val="center"/>
          </w:tcPr>
          <w:p w14:paraId="3331E282" w14:textId="77777777" w:rsidR="00367167" w:rsidRPr="006645DC" w:rsidRDefault="00367167" w:rsidP="00393EB7">
            <w:pPr>
              <w:keepNext/>
              <w:keepLines/>
              <w:widowControl w:val="0"/>
              <w:autoSpaceDE w:val="0"/>
              <w:autoSpaceDN w:val="0"/>
              <w:adjustRightInd w:val="0"/>
              <w:spacing w:before="0" w:after="0"/>
              <w:jc w:val="left"/>
              <w:outlineLvl w:val="1"/>
              <w:rPr>
                <w:rFonts w:cs="Calibri"/>
                <w:sz w:val="18"/>
                <w:szCs w:val="18"/>
                <w:lang w:val="en-GB"/>
              </w:rPr>
            </w:pPr>
            <w:bookmarkStart w:id="2312" w:name="_Toc376200396"/>
            <w:r w:rsidRPr="006645DC">
              <w:rPr>
                <w:rFonts w:cs="Calibri"/>
                <w:sz w:val="18"/>
                <w:szCs w:val="18"/>
                <w:lang w:val="en-GB"/>
              </w:rPr>
              <w:t>Low cost of labour</w:t>
            </w:r>
            <w:bookmarkEnd w:id="2312"/>
          </w:p>
          <w:p w14:paraId="1BCB754A"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Technological transfer in the industrial sector</w:t>
            </w:r>
          </w:p>
          <w:p w14:paraId="675F5D1D"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High Share of SMEs: SME’s as stabilizing factor of the regional economic system (crises-proof)</w:t>
            </w:r>
          </w:p>
          <w:p w14:paraId="50841B71"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Strong assets for diversification:</w:t>
            </w:r>
            <w:r w:rsidR="00A23474" w:rsidRPr="006645DC">
              <w:rPr>
                <w:rFonts w:cs="Calibri"/>
                <w:sz w:val="18"/>
                <w:szCs w:val="18"/>
                <w:lang w:val="en-GB"/>
              </w:rPr>
              <w:t xml:space="preserve"> </w:t>
            </w:r>
            <w:r w:rsidRPr="006645DC">
              <w:rPr>
                <w:rFonts w:cs="Calibri"/>
                <w:sz w:val="18"/>
                <w:szCs w:val="18"/>
                <w:lang w:val="en-GB"/>
              </w:rPr>
              <w:t>agricultural land, human resources etc</w:t>
            </w:r>
            <w:r w:rsidR="005F6227" w:rsidRPr="006645DC">
              <w:rPr>
                <w:rFonts w:cs="Calibri"/>
                <w:sz w:val="18"/>
                <w:szCs w:val="18"/>
                <w:lang w:val="en-GB"/>
              </w:rPr>
              <w:t>.</w:t>
            </w:r>
            <w:r w:rsidRPr="006645DC">
              <w:rPr>
                <w:rFonts w:cs="Calibri"/>
                <w:sz w:val="18"/>
                <w:szCs w:val="18"/>
                <w:lang w:val="en-GB"/>
              </w:rPr>
              <w:t>)</w:t>
            </w:r>
          </w:p>
          <w:p w14:paraId="771DAC3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The appeal of the Danube/Black Sea space, which is essential for the tourism sector </w:t>
            </w:r>
          </w:p>
          <w:p w14:paraId="4863D474"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p>
          <w:p w14:paraId="38DA3B56" w14:textId="77777777" w:rsidR="00367167" w:rsidRPr="006645DC" w:rsidRDefault="00367167" w:rsidP="00393EB7">
            <w:pPr>
              <w:autoSpaceDE w:val="0"/>
              <w:autoSpaceDN w:val="0"/>
              <w:adjustRightInd w:val="0"/>
              <w:spacing w:before="0" w:after="0"/>
              <w:jc w:val="left"/>
              <w:rPr>
                <w:rFonts w:cs="Calibri"/>
                <w:sz w:val="18"/>
                <w:szCs w:val="18"/>
                <w:lang w:val="en-GB"/>
              </w:rPr>
            </w:pPr>
          </w:p>
        </w:tc>
        <w:tc>
          <w:tcPr>
            <w:tcW w:w="3288" w:type="dxa"/>
            <w:shd w:val="clear" w:color="auto" w:fill="auto"/>
            <w:vAlign w:val="center"/>
          </w:tcPr>
          <w:p w14:paraId="272319E0"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13" w:name="_Toc376200397"/>
            <w:r w:rsidRPr="006645DC">
              <w:rPr>
                <w:rFonts w:cs="Calibri"/>
                <w:sz w:val="18"/>
                <w:szCs w:val="18"/>
                <w:lang w:val="en-GB"/>
              </w:rPr>
              <w:t>Strong economic disparities between the counties/districts</w:t>
            </w:r>
            <w:bookmarkEnd w:id="2313"/>
          </w:p>
          <w:p w14:paraId="08A472BB"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Insufficient involvement of SMEs in Research and development activities and insufficient access of SMEs to results of R&amp;D</w:t>
            </w:r>
          </w:p>
          <w:p w14:paraId="27D226EF"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Lack of support infrastructure for SMEs</w:t>
            </w:r>
          </w:p>
          <w:p w14:paraId="442C5EBD"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Access to finance still remains fragmented and out of line with current needs, especially for start-ups and small loans</w:t>
            </w:r>
          </w:p>
          <w:p w14:paraId="753B502C"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Deficits in creative industries </w:t>
            </w:r>
          </w:p>
          <w:p w14:paraId="7F7FAE2D"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The majority of SMEs remain isolated and poorly integrated within networks. </w:t>
            </w:r>
          </w:p>
          <w:p w14:paraId="604A00D6"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Traditional business continues to influence the area’s economic profile and SMEs with low added value production </w:t>
            </w:r>
          </w:p>
          <w:p w14:paraId="120F01C3"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Business suffers from low productivity </w:t>
            </w:r>
          </w:p>
          <w:p w14:paraId="64C35E85"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tc>
        <w:tc>
          <w:tcPr>
            <w:tcW w:w="3288" w:type="dxa"/>
            <w:shd w:val="clear" w:color="auto" w:fill="auto"/>
            <w:vAlign w:val="center"/>
          </w:tcPr>
          <w:p w14:paraId="360DF580" w14:textId="77777777" w:rsidR="00367167" w:rsidRPr="006645DC" w:rsidRDefault="00367167" w:rsidP="00393EB7">
            <w:pPr>
              <w:keepNext/>
              <w:keepLines/>
              <w:widowControl w:val="0"/>
              <w:autoSpaceDE w:val="0"/>
              <w:autoSpaceDN w:val="0"/>
              <w:adjustRightInd w:val="0"/>
              <w:spacing w:before="0" w:after="0"/>
              <w:jc w:val="left"/>
              <w:outlineLvl w:val="1"/>
              <w:rPr>
                <w:rFonts w:cs="Calibri"/>
                <w:color w:val="000000"/>
                <w:sz w:val="18"/>
                <w:szCs w:val="18"/>
                <w:lang w:val="en-GB"/>
              </w:rPr>
            </w:pPr>
            <w:bookmarkStart w:id="2314" w:name="_Toc376200398"/>
            <w:r w:rsidRPr="006645DC">
              <w:rPr>
                <w:rFonts w:cs="Calibri"/>
                <w:color w:val="000000"/>
                <w:sz w:val="18"/>
                <w:szCs w:val="18"/>
                <w:lang w:val="en-GB"/>
              </w:rPr>
              <w:t>Green products and service development including public goods</w:t>
            </w:r>
            <w:bookmarkEnd w:id="2314"/>
          </w:p>
          <w:p w14:paraId="508FF987" w14:textId="77777777" w:rsidR="00367167" w:rsidRPr="006645DC" w:rsidRDefault="00FE068E"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Development of new finance instruments </w:t>
            </w:r>
            <w:r w:rsidR="00367167" w:rsidRPr="006645DC">
              <w:rPr>
                <w:rFonts w:cs="Calibri"/>
                <w:color w:val="000000"/>
                <w:sz w:val="18"/>
                <w:szCs w:val="18"/>
                <w:lang w:val="en-GB"/>
              </w:rPr>
              <w:t xml:space="preserve">for SMEs </w:t>
            </w:r>
            <w:r w:rsidRPr="006645DC">
              <w:rPr>
                <w:rFonts w:cs="Calibri"/>
                <w:color w:val="000000"/>
                <w:sz w:val="18"/>
                <w:szCs w:val="18"/>
                <w:lang w:val="en-GB"/>
              </w:rPr>
              <w:t xml:space="preserve">such as </w:t>
            </w:r>
            <w:r w:rsidR="00367167" w:rsidRPr="006645DC">
              <w:rPr>
                <w:rFonts w:cs="Calibri"/>
                <w:color w:val="000000"/>
                <w:sz w:val="18"/>
                <w:szCs w:val="18"/>
                <w:lang w:val="en-GB"/>
              </w:rPr>
              <w:t xml:space="preserve">venture capital investment and loan guarantee instruments” </w:t>
            </w:r>
          </w:p>
          <w:p w14:paraId="3E649B9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Co-operative economic activities; development of clusters &amp; networks </w:t>
            </w:r>
          </w:p>
          <w:p w14:paraId="34B0D64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Tourism sector development: ecotourism, M</w:t>
            </w:r>
            <w:r w:rsidR="00FE068E" w:rsidRPr="006645DC">
              <w:rPr>
                <w:rFonts w:cs="Calibri"/>
                <w:color w:val="000000"/>
                <w:sz w:val="18"/>
                <w:szCs w:val="18"/>
                <w:lang w:val="en-GB"/>
              </w:rPr>
              <w:t>ICE tourism</w:t>
            </w:r>
            <w:r w:rsidRPr="006645DC">
              <w:rPr>
                <w:rFonts w:cs="Calibri"/>
                <w:color w:val="000000"/>
                <w:sz w:val="18"/>
                <w:szCs w:val="18"/>
                <w:lang w:val="en-GB"/>
              </w:rPr>
              <w:t xml:space="preserve">, </w:t>
            </w:r>
            <w:r w:rsidR="005F2515" w:rsidRPr="006645DC">
              <w:rPr>
                <w:rStyle w:val="FootnoteReference"/>
                <w:rFonts w:cs="Calibri"/>
                <w:color w:val="000000"/>
                <w:sz w:val="18"/>
                <w:szCs w:val="18"/>
                <w:lang w:val="en-GB"/>
              </w:rPr>
              <w:footnoteReference w:id="56"/>
            </w:r>
            <w:r w:rsidRPr="006645DC">
              <w:rPr>
                <w:rFonts w:cs="Calibri"/>
                <w:color w:val="000000"/>
                <w:sz w:val="18"/>
                <w:szCs w:val="18"/>
                <w:lang w:val="en-GB"/>
              </w:rPr>
              <w:t>River tourism etc</w:t>
            </w:r>
            <w:r w:rsidR="005F6227" w:rsidRPr="006645DC">
              <w:rPr>
                <w:rFonts w:cs="Calibri"/>
                <w:color w:val="000000"/>
                <w:sz w:val="18"/>
                <w:szCs w:val="18"/>
                <w:lang w:val="en-GB"/>
              </w:rPr>
              <w:t>.</w:t>
            </w:r>
          </w:p>
          <w:p w14:paraId="7F184783"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Development of the Danube waterway and creation of a regional logistic hub between the Danube and the Black Sea</w:t>
            </w:r>
          </w:p>
          <w:p w14:paraId="617C6CDE"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Increase the interest in local and traditional products</w:t>
            </w:r>
          </w:p>
          <w:p w14:paraId="7D695949"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Define a common market for cross border products and service</w:t>
            </w:r>
          </w:p>
        </w:tc>
        <w:tc>
          <w:tcPr>
            <w:tcW w:w="3288" w:type="dxa"/>
            <w:shd w:val="clear" w:color="auto" w:fill="auto"/>
            <w:vAlign w:val="center"/>
          </w:tcPr>
          <w:p w14:paraId="4D934127"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15" w:name="_Toc376200399"/>
            <w:r w:rsidRPr="006645DC">
              <w:rPr>
                <w:rFonts w:cs="Calibri"/>
                <w:sz w:val="18"/>
                <w:szCs w:val="18"/>
                <w:lang w:val="en-GB"/>
              </w:rPr>
              <w:t>Increase of labour cost</w:t>
            </w:r>
            <w:bookmarkEnd w:id="2315"/>
          </w:p>
          <w:p w14:paraId="253743EB"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Lack of availability of a sufficiently trained workforce may be the reason for losing the ground in competitiveness in a globalized world </w:t>
            </w:r>
          </w:p>
          <w:p w14:paraId="5435648A"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Lack of competitiveness due to difficulties to raise private capital</w:t>
            </w:r>
          </w:p>
          <w:p w14:paraId="1F5ED7A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New administrative and tax burdens</w:t>
            </w:r>
          </w:p>
          <w:p w14:paraId="1482F8A2"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Emigration of highly qualified people</w:t>
            </w:r>
          </w:p>
          <w:p w14:paraId="7F891AB7"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Depopulating and ageing area</w:t>
            </w:r>
          </w:p>
          <w:p w14:paraId="49D2E3B4"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Problematic access to public services</w:t>
            </w:r>
          </w:p>
          <w:p w14:paraId="3A7648BB" w14:textId="77777777" w:rsidR="00367167" w:rsidRPr="006645DC" w:rsidRDefault="00367167" w:rsidP="00393EB7">
            <w:pPr>
              <w:pStyle w:val="ListParagraph"/>
              <w:autoSpaceDE w:val="0"/>
              <w:autoSpaceDN w:val="0"/>
              <w:adjustRightInd w:val="0"/>
              <w:spacing w:before="0" w:after="0"/>
              <w:ind w:left="113"/>
              <w:jc w:val="left"/>
              <w:rPr>
                <w:rFonts w:cs="Calibri"/>
                <w:sz w:val="18"/>
                <w:szCs w:val="18"/>
                <w:lang w:val="en-GB"/>
              </w:rPr>
            </w:pPr>
          </w:p>
        </w:tc>
      </w:tr>
      <w:tr w:rsidR="00367167" w:rsidRPr="006645DC" w14:paraId="59D2F6C8" w14:textId="77777777" w:rsidTr="00393EB7">
        <w:trPr>
          <w:jc w:val="center"/>
        </w:trPr>
        <w:tc>
          <w:tcPr>
            <w:tcW w:w="15136" w:type="dxa"/>
            <w:gridSpan w:val="5"/>
            <w:shd w:val="clear" w:color="auto" w:fill="auto"/>
            <w:vAlign w:val="center"/>
          </w:tcPr>
          <w:p w14:paraId="7D071E62" w14:textId="77777777" w:rsidR="00367167" w:rsidRPr="006645DC" w:rsidRDefault="00367167" w:rsidP="00393EB7">
            <w:pPr>
              <w:keepNext/>
              <w:keepLines/>
              <w:widowControl w:val="0"/>
              <w:autoSpaceDE w:val="0"/>
              <w:autoSpaceDN w:val="0"/>
              <w:adjustRightInd w:val="0"/>
              <w:spacing w:before="0" w:after="0"/>
              <w:jc w:val="left"/>
              <w:outlineLvl w:val="1"/>
              <w:rPr>
                <w:rFonts w:cs="Calibri"/>
                <w:b/>
                <w:sz w:val="18"/>
                <w:szCs w:val="18"/>
                <w:lang w:val="en-GB"/>
              </w:rPr>
            </w:pPr>
            <w:bookmarkStart w:id="2316" w:name="_Toc376200400"/>
            <w:r w:rsidRPr="006645DC">
              <w:rPr>
                <w:rFonts w:cs="Calibri"/>
                <w:b/>
                <w:sz w:val="18"/>
                <w:szCs w:val="18"/>
                <w:lang w:val="en-GB"/>
              </w:rPr>
              <w:t>Key message:</w:t>
            </w:r>
            <w:bookmarkEnd w:id="2316"/>
            <w:r w:rsidRPr="006645DC">
              <w:rPr>
                <w:rFonts w:cs="Calibri"/>
                <w:b/>
                <w:sz w:val="18"/>
                <w:szCs w:val="18"/>
                <w:lang w:val="en-GB"/>
              </w:rPr>
              <w:t xml:space="preserve"> </w:t>
            </w:r>
          </w:p>
          <w:p w14:paraId="152582B3" w14:textId="77777777" w:rsidR="00367167" w:rsidRPr="006645DC" w:rsidRDefault="00367167" w:rsidP="00C951D5">
            <w:pPr>
              <w:pStyle w:val="ListParagraph"/>
              <w:numPr>
                <w:ilvl w:val="0"/>
                <w:numId w:val="61"/>
              </w:numPr>
              <w:autoSpaceDE w:val="0"/>
              <w:autoSpaceDN w:val="0"/>
              <w:adjustRightInd w:val="0"/>
              <w:spacing w:before="0" w:after="0"/>
              <w:contextualSpacing/>
              <w:jc w:val="left"/>
              <w:rPr>
                <w:rFonts w:cs="Calibri"/>
                <w:sz w:val="18"/>
                <w:szCs w:val="18"/>
                <w:lang w:val="en-GB"/>
              </w:rPr>
            </w:pPr>
            <w:r w:rsidRPr="006645DC">
              <w:rPr>
                <w:rFonts w:cs="Calibri"/>
                <w:b/>
                <w:sz w:val="18"/>
                <w:szCs w:val="18"/>
                <w:lang w:val="en-GB"/>
              </w:rPr>
              <w:t>Define common cross border products and services and access to international markets</w:t>
            </w:r>
          </w:p>
          <w:p w14:paraId="5B13D27C" w14:textId="77777777" w:rsidR="00367167" w:rsidRPr="006645DC" w:rsidRDefault="00367167" w:rsidP="00C951D5">
            <w:pPr>
              <w:pStyle w:val="ListParagraph"/>
              <w:numPr>
                <w:ilvl w:val="0"/>
                <w:numId w:val="61"/>
              </w:numPr>
              <w:autoSpaceDE w:val="0"/>
              <w:autoSpaceDN w:val="0"/>
              <w:adjustRightInd w:val="0"/>
              <w:spacing w:before="0" w:after="0"/>
              <w:contextualSpacing/>
              <w:jc w:val="left"/>
              <w:rPr>
                <w:rFonts w:cs="Calibri"/>
                <w:sz w:val="18"/>
                <w:szCs w:val="18"/>
                <w:lang w:val="en-GB"/>
              </w:rPr>
            </w:pPr>
            <w:r w:rsidRPr="006645DC">
              <w:rPr>
                <w:rFonts w:cs="Calibri"/>
                <w:b/>
                <w:sz w:val="18"/>
                <w:szCs w:val="18"/>
                <w:lang w:val="en-GB"/>
              </w:rPr>
              <w:t>Diversification of the cross border economy in services sector</w:t>
            </w:r>
          </w:p>
          <w:p w14:paraId="227EC780" w14:textId="77777777" w:rsidR="00367167" w:rsidRPr="006645DC" w:rsidRDefault="00367167" w:rsidP="00C951D5">
            <w:pPr>
              <w:pStyle w:val="ListParagraph"/>
              <w:numPr>
                <w:ilvl w:val="0"/>
                <w:numId w:val="61"/>
              </w:numPr>
              <w:autoSpaceDE w:val="0"/>
              <w:autoSpaceDN w:val="0"/>
              <w:adjustRightInd w:val="0"/>
              <w:spacing w:before="0" w:after="0"/>
              <w:contextualSpacing/>
              <w:jc w:val="left"/>
              <w:rPr>
                <w:rFonts w:cs="Calibri"/>
                <w:sz w:val="18"/>
                <w:szCs w:val="18"/>
                <w:lang w:val="en-GB"/>
              </w:rPr>
            </w:pPr>
            <w:r w:rsidRPr="006645DC">
              <w:rPr>
                <w:rFonts w:cs="Calibri"/>
                <w:b/>
                <w:sz w:val="18"/>
                <w:szCs w:val="18"/>
                <w:lang w:val="en-GB"/>
              </w:rPr>
              <w:t>Development of support infrastructure</w:t>
            </w:r>
          </w:p>
          <w:p w14:paraId="74B834EA" w14:textId="77777777" w:rsidR="00367167" w:rsidRPr="006645DC" w:rsidRDefault="00367167" w:rsidP="00C951D5">
            <w:pPr>
              <w:pStyle w:val="ListParagraph"/>
              <w:numPr>
                <w:ilvl w:val="0"/>
                <w:numId w:val="61"/>
              </w:numPr>
              <w:autoSpaceDE w:val="0"/>
              <w:autoSpaceDN w:val="0"/>
              <w:adjustRightInd w:val="0"/>
              <w:spacing w:before="0" w:after="0"/>
              <w:contextualSpacing/>
              <w:jc w:val="left"/>
              <w:rPr>
                <w:rFonts w:cs="Calibri"/>
                <w:sz w:val="18"/>
                <w:szCs w:val="18"/>
                <w:lang w:val="en-GB"/>
              </w:rPr>
            </w:pPr>
            <w:r w:rsidRPr="006645DC">
              <w:rPr>
                <w:rFonts w:cs="Calibri"/>
                <w:b/>
                <w:sz w:val="18"/>
                <w:szCs w:val="18"/>
                <w:lang w:val="en-GB"/>
              </w:rPr>
              <w:t>Development of clusters &amp; networks to have access to R&amp;D results</w:t>
            </w:r>
          </w:p>
        </w:tc>
      </w:tr>
    </w:tbl>
    <w:p w14:paraId="0D524794" w14:textId="77777777" w:rsidR="00367167" w:rsidRPr="006645DC" w:rsidRDefault="00367167">
      <w:pPr>
        <w:rPr>
          <w:lang w:val="en-GB"/>
        </w:rPr>
        <w:sectPr w:rsidR="00367167" w:rsidRPr="006645DC" w:rsidSect="00367167">
          <w:pgSz w:w="16840" w:h="11900" w:orient="landscape"/>
          <w:pgMar w:top="1800" w:right="1440" w:bottom="1800" w:left="1440" w:header="708" w:footer="708" w:gutter="0"/>
          <w:cols w:space="708"/>
          <w:docGrid w:linePitch="360"/>
        </w:sectPr>
      </w:pPr>
    </w:p>
    <w:tbl>
      <w:tblPr>
        <w:tblW w:w="151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288"/>
        <w:gridCol w:w="3288"/>
        <w:gridCol w:w="3288"/>
        <w:gridCol w:w="3288"/>
      </w:tblGrid>
      <w:tr w:rsidR="00367167" w:rsidRPr="006645DC" w14:paraId="3B332439" w14:textId="77777777" w:rsidTr="001807BA">
        <w:trPr>
          <w:jc w:val="center"/>
        </w:trPr>
        <w:tc>
          <w:tcPr>
            <w:tcW w:w="1984" w:type="dxa"/>
            <w:shd w:val="clear" w:color="auto" w:fill="76923C" w:themeFill="accent3" w:themeFillShade="BF"/>
            <w:vAlign w:val="center"/>
          </w:tcPr>
          <w:p w14:paraId="2890A1FA" w14:textId="77777777" w:rsidR="00367167" w:rsidRPr="006645DC" w:rsidRDefault="00367167" w:rsidP="000A6DE0">
            <w:pPr>
              <w:keepNext/>
              <w:keepLines/>
              <w:spacing w:before="0" w:after="0"/>
              <w:ind w:left="397"/>
              <w:outlineLvl w:val="1"/>
              <w:rPr>
                <w:rFonts w:cs="Calibri"/>
                <w:b/>
                <w:color w:val="FFFFFF"/>
                <w:sz w:val="18"/>
                <w:szCs w:val="18"/>
                <w:lang w:val="en-GB"/>
              </w:rPr>
            </w:pPr>
            <w:bookmarkStart w:id="2317" w:name="_Toc376200401"/>
            <w:r w:rsidRPr="006645DC">
              <w:rPr>
                <w:rFonts w:cs="Calibri"/>
                <w:b/>
                <w:color w:val="FFFFFF"/>
                <w:sz w:val="18"/>
                <w:szCs w:val="18"/>
                <w:lang w:val="en-GB"/>
              </w:rPr>
              <w:lastRenderedPageBreak/>
              <w:t>Thematic objective</w:t>
            </w:r>
            <w:bookmarkEnd w:id="2317"/>
          </w:p>
        </w:tc>
        <w:tc>
          <w:tcPr>
            <w:tcW w:w="3288" w:type="dxa"/>
            <w:shd w:val="clear" w:color="auto" w:fill="76923C" w:themeFill="accent3" w:themeFillShade="BF"/>
            <w:vAlign w:val="center"/>
          </w:tcPr>
          <w:p w14:paraId="4FA2C9EA"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Strengths</w:t>
            </w:r>
          </w:p>
        </w:tc>
        <w:tc>
          <w:tcPr>
            <w:tcW w:w="3288" w:type="dxa"/>
            <w:shd w:val="clear" w:color="auto" w:fill="76923C" w:themeFill="accent3" w:themeFillShade="BF"/>
            <w:vAlign w:val="center"/>
          </w:tcPr>
          <w:p w14:paraId="3328E489"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Weaknesses</w:t>
            </w:r>
          </w:p>
        </w:tc>
        <w:tc>
          <w:tcPr>
            <w:tcW w:w="3288" w:type="dxa"/>
            <w:shd w:val="clear" w:color="auto" w:fill="76923C" w:themeFill="accent3" w:themeFillShade="BF"/>
            <w:vAlign w:val="center"/>
          </w:tcPr>
          <w:p w14:paraId="42D41D08"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Opportunities</w:t>
            </w:r>
          </w:p>
        </w:tc>
        <w:tc>
          <w:tcPr>
            <w:tcW w:w="3288" w:type="dxa"/>
            <w:shd w:val="clear" w:color="auto" w:fill="76923C" w:themeFill="accent3" w:themeFillShade="BF"/>
            <w:vAlign w:val="center"/>
          </w:tcPr>
          <w:p w14:paraId="5E6A9DC3"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Threats</w:t>
            </w:r>
          </w:p>
        </w:tc>
      </w:tr>
      <w:tr w:rsidR="00367167" w:rsidRPr="006645DC" w14:paraId="0AE1A9AE" w14:textId="77777777" w:rsidTr="00393EB7">
        <w:trPr>
          <w:jc w:val="center"/>
        </w:trPr>
        <w:tc>
          <w:tcPr>
            <w:tcW w:w="1984" w:type="dxa"/>
            <w:shd w:val="clear" w:color="auto" w:fill="auto"/>
            <w:vAlign w:val="center"/>
          </w:tcPr>
          <w:p w14:paraId="34016524" w14:textId="77777777" w:rsidR="00367167" w:rsidRPr="006645DC" w:rsidRDefault="00367167" w:rsidP="00393EB7">
            <w:pPr>
              <w:autoSpaceDE w:val="0"/>
              <w:autoSpaceDN w:val="0"/>
              <w:adjustRightInd w:val="0"/>
              <w:spacing w:before="0" w:after="0"/>
              <w:jc w:val="left"/>
              <w:rPr>
                <w:rFonts w:cs="Calibri"/>
                <w:b/>
                <w:sz w:val="18"/>
                <w:szCs w:val="18"/>
                <w:lang w:val="en-GB"/>
              </w:rPr>
            </w:pPr>
            <w:r w:rsidRPr="006645DC">
              <w:rPr>
                <w:rFonts w:cs="Calibri"/>
                <w:b/>
                <w:sz w:val="18"/>
                <w:szCs w:val="18"/>
                <w:lang w:val="en-GB"/>
              </w:rPr>
              <w:t>Low-carbon economy in all sectors</w:t>
            </w:r>
          </w:p>
        </w:tc>
        <w:tc>
          <w:tcPr>
            <w:tcW w:w="3288" w:type="dxa"/>
            <w:shd w:val="clear" w:color="auto" w:fill="auto"/>
            <w:vAlign w:val="center"/>
          </w:tcPr>
          <w:p w14:paraId="3491E607"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18" w:name="_Toc376200402"/>
            <w:r w:rsidRPr="006645DC">
              <w:rPr>
                <w:rFonts w:cs="Calibri"/>
                <w:sz w:val="18"/>
                <w:szCs w:val="18"/>
                <w:lang w:val="en-GB"/>
              </w:rPr>
              <w:t>Decreasing tendency of GHG emissions Increase of clean energy production</w:t>
            </w:r>
            <w:bookmarkEnd w:id="2318"/>
          </w:p>
          <w:p w14:paraId="5C326D1D"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The climatic conditions and natural resources are favourable to the production of renewable energy (notably solar and wind) </w:t>
            </w:r>
          </w:p>
          <w:p w14:paraId="1590D1D2"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Existing geothermal energy potentials</w:t>
            </w:r>
          </w:p>
          <w:p w14:paraId="6FCE286C" w14:textId="77777777" w:rsidR="00367167" w:rsidRPr="006645DC" w:rsidRDefault="00FD6464"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Increasing level</w:t>
            </w:r>
            <w:r w:rsidR="00367167" w:rsidRPr="006645DC">
              <w:rPr>
                <w:rFonts w:cs="Calibri"/>
                <w:sz w:val="18"/>
                <w:szCs w:val="18"/>
                <w:lang w:val="en-GB"/>
              </w:rPr>
              <w:t xml:space="preserve"> of experience and knowhow in renewable energy </w:t>
            </w:r>
          </w:p>
          <w:p w14:paraId="52F1ADD8"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Ecologically sustainable tourism development</w:t>
            </w:r>
          </w:p>
          <w:p w14:paraId="1CA725FE"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There is a heightened awareness about the need for a shift towards a low carbon economy </w:t>
            </w:r>
          </w:p>
          <w:p w14:paraId="536931AD"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tc>
        <w:tc>
          <w:tcPr>
            <w:tcW w:w="3288" w:type="dxa"/>
            <w:shd w:val="clear" w:color="auto" w:fill="auto"/>
            <w:vAlign w:val="center"/>
          </w:tcPr>
          <w:p w14:paraId="05A3A0BA"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19" w:name="_Toc376200403"/>
            <w:r w:rsidRPr="006645DC">
              <w:rPr>
                <w:rFonts w:cs="Calibri"/>
                <w:sz w:val="18"/>
                <w:szCs w:val="18"/>
                <w:lang w:val="en-GB"/>
              </w:rPr>
              <w:t>High energy intense transport</w:t>
            </w:r>
            <w:bookmarkEnd w:id="2319"/>
          </w:p>
          <w:p w14:paraId="7159C21B"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High energy intense industrial production</w:t>
            </w:r>
          </w:p>
          <w:p w14:paraId="1B786B0A"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Lack of energy efficiency of public institutions</w:t>
            </w:r>
          </w:p>
          <w:p w14:paraId="75AF2164"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A relatively high degree of energy dependence </w:t>
            </w:r>
          </w:p>
          <w:p w14:paraId="5AA0F376"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Low energy efficiency compared to the European average </w:t>
            </w:r>
          </w:p>
          <w:p w14:paraId="6BA8D2B3"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Legal conditions in Romania and Bulgaria have changed and are less favourable for developing renewable energy projects</w:t>
            </w:r>
          </w:p>
          <w:p w14:paraId="46A81F4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New investments in nuclear power stations </w:t>
            </w:r>
          </w:p>
          <w:p w14:paraId="3AC3CEC4"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Important of employment in industries with high energy spending. </w:t>
            </w:r>
          </w:p>
          <w:p w14:paraId="04DFF9FE"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Energy dependence</w:t>
            </w:r>
          </w:p>
          <w:p w14:paraId="1F862F03"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Energy intensive economy </w:t>
            </w:r>
          </w:p>
          <w:p w14:paraId="79C6403B"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High level of energy poverty</w:t>
            </w:r>
          </w:p>
          <w:p w14:paraId="459B15D6"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Rare use of RES in public and freight transport</w:t>
            </w:r>
          </w:p>
          <w:p w14:paraId="69A19D10"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Lack of incentives related to the industrial use of RES</w:t>
            </w:r>
          </w:p>
          <w:p w14:paraId="78136559"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Lack of professional capacity to improve energy efficiency in the industry</w:t>
            </w:r>
          </w:p>
          <w:p w14:paraId="1B23EED0"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Lack of use of innovative technologies related to RES and energy efficiency</w:t>
            </w:r>
          </w:p>
        </w:tc>
        <w:tc>
          <w:tcPr>
            <w:tcW w:w="3288" w:type="dxa"/>
            <w:shd w:val="clear" w:color="auto" w:fill="auto"/>
            <w:vAlign w:val="center"/>
          </w:tcPr>
          <w:p w14:paraId="4C8D4F32"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20" w:name="_Toc376200404"/>
            <w:r w:rsidRPr="006645DC">
              <w:rPr>
                <w:rFonts w:cs="Calibri"/>
                <w:sz w:val="18"/>
                <w:szCs w:val="18"/>
                <w:lang w:val="en-GB"/>
              </w:rPr>
              <w:t>Developing cross border energy strategy &amp; energy activities</w:t>
            </w:r>
            <w:bookmarkEnd w:id="2320"/>
          </w:p>
          <w:p w14:paraId="6423FC64"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Use of energy saving technologies (infrastructure/housing)</w:t>
            </w:r>
          </w:p>
          <w:p w14:paraId="5396704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EU support for renewable and decentralized energy production opens up opportunities for the development of renewable energy resources and the creation of new sources of income and employment. </w:t>
            </w:r>
          </w:p>
          <w:p w14:paraId="4D5D44FB"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Development potential for renewable energy not yet fully exploited: notably for solar and wind energies </w:t>
            </w:r>
          </w:p>
          <w:p w14:paraId="0E2C2315"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Support of sustainable agricultural activities </w:t>
            </w:r>
          </w:p>
          <w:p w14:paraId="4E4AA48F"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Cooperation in the field of energy model areas (smart city/smart region approach)</w:t>
            </w:r>
          </w:p>
          <w:p w14:paraId="2097EA2D"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Potential for green jobs</w:t>
            </w:r>
          </w:p>
          <w:p w14:paraId="7EFF8D38" w14:textId="77777777" w:rsidR="00367167" w:rsidRPr="006645DC" w:rsidRDefault="00367167" w:rsidP="00393EB7">
            <w:pPr>
              <w:spacing w:before="0" w:after="0"/>
              <w:rPr>
                <w:rFonts w:cs="Calibri"/>
                <w:sz w:val="18"/>
                <w:szCs w:val="18"/>
                <w:lang w:val="en-GB"/>
              </w:rPr>
            </w:pPr>
            <w:r w:rsidRPr="006645DC">
              <w:rPr>
                <w:rFonts w:cs="Calibri"/>
                <w:sz w:val="18"/>
                <w:szCs w:val="18"/>
                <w:lang w:val="en-GB"/>
              </w:rPr>
              <w:t>Improvement of energy efficiency for productivity reason</w:t>
            </w:r>
          </w:p>
          <w:p w14:paraId="2CD9AB7C" w14:textId="77777777" w:rsidR="00367167" w:rsidRPr="006645DC" w:rsidRDefault="00367167" w:rsidP="00393EB7">
            <w:pPr>
              <w:spacing w:before="0" w:after="0"/>
              <w:rPr>
                <w:rFonts w:cs="Calibri"/>
                <w:sz w:val="18"/>
                <w:szCs w:val="18"/>
                <w:lang w:val="en-GB"/>
              </w:rPr>
            </w:pPr>
          </w:p>
          <w:p w14:paraId="35947D8D" w14:textId="77777777" w:rsidR="00367167" w:rsidRPr="006645DC" w:rsidRDefault="00367167" w:rsidP="00393EB7">
            <w:pPr>
              <w:spacing w:before="0" w:after="0"/>
              <w:rPr>
                <w:rFonts w:cs="Calibri"/>
                <w:sz w:val="18"/>
                <w:szCs w:val="18"/>
                <w:lang w:val="en-GB"/>
              </w:rPr>
            </w:pPr>
          </w:p>
        </w:tc>
        <w:tc>
          <w:tcPr>
            <w:tcW w:w="3288" w:type="dxa"/>
            <w:shd w:val="clear" w:color="auto" w:fill="auto"/>
            <w:vAlign w:val="center"/>
          </w:tcPr>
          <w:p w14:paraId="1CA16B55" w14:textId="77777777" w:rsidR="00367167" w:rsidRPr="006645DC" w:rsidRDefault="00367167" w:rsidP="00393EB7">
            <w:pPr>
              <w:autoSpaceDE w:val="0"/>
              <w:autoSpaceDN w:val="0"/>
              <w:adjustRightInd w:val="0"/>
              <w:spacing w:before="0" w:after="0"/>
              <w:jc w:val="left"/>
              <w:rPr>
                <w:rFonts w:cs="Calibri"/>
                <w:sz w:val="18"/>
                <w:szCs w:val="18"/>
                <w:lang w:val="en-GB"/>
              </w:rPr>
            </w:pPr>
          </w:p>
          <w:p w14:paraId="779F5EF0"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380A0CD5"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As a result of the crisis, lower energy prices and tighter credits make investments in clean energy technologies less attractive </w:t>
            </w:r>
          </w:p>
          <w:p w14:paraId="749B13BA"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Transport is the fastest growing sector in terms of energy use, with the strongest reliance on fossil fuel </w:t>
            </w:r>
          </w:p>
          <w:p w14:paraId="7C50CA4A"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Catching up processes in a new member states area lead to increased energy demand </w:t>
            </w:r>
          </w:p>
          <w:p w14:paraId="426D85AC"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Significant increase in the costs of low carbon energy </w:t>
            </w:r>
          </w:p>
          <w:p w14:paraId="7EADFD02"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Lack of competitive advantages for sustainable economy</w:t>
            </w:r>
          </w:p>
          <w:p w14:paraId="73D03AA6"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Increasing poverty related to energy cost</w:t>
            </w:r>
          </w:p>
          <w:p w14:paraId="1666D523"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p>
          <w:p w14:paraId="020B69AC" w14:textId="77777777" w:rsidR="00367167" w:rsidRPr="006645DC" w:rsidRDefault="00367167" w:rsidP="00393EB7">
            <w:pPr>
              <w:autoSpaceDE w:val="0"/>
              <w:autoSpaceDN w:val="0"/>
              <w:adjustRightInd w:val="0"/>
              <w:spacing w:before="0" w:after="0"/>
              <w:jc w:val="left"/>
              <w:rPr>
                <w:rFonts w:cs="Calibri"/>
                <w:sz w:val="18"/>
                <w:szCs w:val="18"/>
                <w:lang w:val="en-GB"/>
              </w:rPr>
            </w:pPr>
          </w:p>
        </w:tc>
      </w:tr>
      <w:tr w:rsidR="00367167" w:rsidRPr="006645DC" w14:paraId="17BCE899" w14:textId="77777777" w:rsidTr="00393EB7">
        <w:trPr>
          <w:jc w:val="center"/>
        </w:trPr>
        <w:tc>
          <w:tcPr>
            <w:tcW w:w="15136" w:type="dxa"/>
            <w:gridSpan w:val="5"/>
            <w:shd w:val="clear" w:color="auto" w:fill="auto"/>
            <w:vAlign w:val="center"/>
          </w:tcPr>
          <w:p w14:paraId="0E37228D" w14:textId="77777777" w:rsidR="00367167" w:rsidRPr="006645DC" w:rsidRDefault="00367167" w:rsidP="00393EB7">
            <w:pPr>
              <w:keepNext/>
              <w:keepLines/>
              <w:autoSpaceDE w:val="0"/>
              <w:autoSpaceDN w:val="0"/>
              <w:adjustRightInd w:val="0"/>
              <w:spacing w:before="0" w:after="0"/>
              <w:jc w:val="left"/>
              <w:outlineLvl w:val="1"/>
              <w:rPr>
                <w:rFonts w:cs="Calibri"/>
                <w:b/>
                <w:sz w:val="18"/>
                <w:szCs w:val="18"/>
                <w:lang w:val="en-GB"/>
              </w:rPr>
            </w:pPr>
            <w:bookmarkStart w:id="2321" w:name="_Toc376200405"/>
            <w:r w:rsidRPr="006645DC">
              <w:rPr>
                <w:rFonts w:cs="Calibri"/>
                <w:b/>
                <w:sz w:val="18"/>
                <w:szCs w:val="18"/>
                <w:lang w:val="en-GB"/>
              </w:rPr>
              <w:t>Key Message:</w:t>
            </w:r>
            <w:bookmarkEnd w:id="2321"/>
          </w:p>
          <w:p w14:paraId="74353761" w14:textId="77777777" w:rsidR="00367167" w:rsidRPr="006645DC" w:rsidRDefault="00367167" w:rsidP="00C951D5">
            <w:pPr>
              <w:pStyle w:val="ListParagraph"/>
              <w:numPr>
                <w:ilvl w:val="0"/>
                <w:numId w:val="75"/>
              </w:numPr>
              <w:autoSpaceDE w:val="0"/>
              <w:autoSpaceDN w:val="0"/>
              <w:adjustRightInd w:val="0"/>
              <w:spacing w:before="0" w:after="0"/>
              <w:jc w:val="left"/>
              <w:rPr>
                <w:rFonts w:cs="Calibri"/>
                <w:b/>
                <w:sz w:val="18"/>
                <w:szCs w:val="18"/>
                <w:lang w:val="en-GB"/>
              </w:rPr>
            </w:pPr>
            <w:r w:rsidRPr="006645DC">
              <w:rPr>
                <w:rFonts w:cs="Calibri"/>
                <w:b/>
                <w:sz w:val="18"/>
                <w:szCs w:val="18"/>
                <w:lang w:val="en-GB"/>
              </w:rPr>
              <w:t>Smart twin cities and smart regional cross border approach</w:t>
            </w:r>
          </w:p>
          <w:p w14:paraId="389A6FB9" w14:textId="77777777" w:rsidR="00367167" w:rsidRPr="006645DC" w:rsidRDefault="00367167" w:rsidP="00C951D5">
            <w:pPr>
              <w:pStyle w:val="ListParagraph"/>
              <w:numPr>
                <w:ilvl w:val="0"/>
                <w:numId w:val="75"/>
              </w:numPr>
              <w:autoSpaceDE w:val="0"/>
              <w:autoSpaceDN w:val="0"/>
              <w:adjustRightInd w:val="0"/>
              <w:spacing w:before="0" w:after="0"/>
              <w:jc w:val="left"/>
              <w:rPr>
                <w:rFonts w:cs="Calibri"/>
                <w:sz w:val="18"/>
                <w:szCs w:val="18"/>
                <w:lang w:val="en-GB"/>
              </w:rPr>
            </w:pPr>
            <w:r w:rsidRPr="006645DC">
              <w:rPr>
                <w:rFonts w:cs="Calibri"/>
                <w:b/>
                <w:sz w:val="18"/>
                <w:szCs w:val="18"/>
                <w:lang w:val="en-GB"/>
              </w:rPr>
              <w:t xml:space="preserve">Increasing share of renewable energy can support the economic development of the cross border area </w:t>
            </w:r>
          </w:p>
        </w:tc>
      </w:tr>
    </w:tbl>
    <w:p w14:paraId="4533E7A2" w14:textId="77777777" w:rsidR="00367167" w:rsidRPr="006645DC" w:rsidRDefault="00367167" w:rsidP="00367167">
      <w:pPr>
        <w:spacing w:before="0" w:after="0"/>
        <w:jc w:val="center"/>
        <w:rPr>
          <w:rFonts w:cs="Calibri"/>
          <w:b/>
          <w:color w:val="FFFFFF"/>
          <w:sz w:val="18"/>
          <w:szCs w:val="18"/>
          <w:lang w:val="en-GB"/>
        </w:rPr>
        <w:sectPr w:rsidR="00367167" w:rsidRPr="006645DC" w:rsidSect="00367167">
          <w:pgSz w:w="16840" w:h="11900" w:orient="landscape"/>
          <w:pgMar w:top="1800" w:right="1440" w:bottom="1800" w:left="1440" w:header="708" w:footer="708" w:gutter="0"/>
          <w:cols w:space="708"/>
          <w:docGrid w:linePitch="360"/>
        </w:sectPr>
      </w:pPr>
    </w:p>
    <w:tbl>
      <w:tblPr>
        <w:tblW w:w="151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288"/>
        <w:gridCol w:w="3288"/>
        <w:gridCol w:w="3288"/>
        <w:gridCol w:w="3288"/>
      </w:tblGrid>
      <w:tr w:rsidR="00367167" w:rsidRPr="006645DC" w14:paraId="7660C212" w14:textId="77777777" w:rsidTr="001807BA">
        <w:trPr>
          <w:jc w:val="center"/>
        </w:trPr>
        <w:tc>
          <w:tcPr>
            <w:tcW w:w="1984" w:type="dxa"/>
            <w:shd w:val="clear" w:color="auto" w:fill="76923C" w:themeFill="accent3" w:themeFillShade="BF"/>
            <w:vAlign w:val="center"/>
          </w:tcPr>
          <w:p w14:paraId="734A1893"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lastRenderedPageBreak/>
              <w:t>Thematic objective</w:t>
            </w:r>
          </w:p>
        </w:tc>
        <w:tc>
          <w:tcPr>
            <w:tcW w:w="3288" w:type="dxa"/>
            <w:shd w:val="clear" w:color="auto" w:fill="76923C" w:themeFill="accent3" w:themeFillShade="BF"/>
            <w:vAlign w:val="center"/>
          </w:tcPr>
          <w:p w14:paraId="7C9DC0BA"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Strengths</w:t>
            </w:r>
          </w:p>
        </w:tc>
        <w:tc>
          <w:tcPr>
            <w:tcW w:w="3288" w:type="dxa"/>
            <w:shd w:val="clear" w:color="auto" w:fill="76923C" w:themeFill="accent3" w:themeFillShade="BF"/>
            <w:vAlign w:val="center"/>
          </w:tcPr>
          <w:p w14:paraId="4AF78D31"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Weaknesses</w:t>
            </w:r>
          </w:p>
        </w:tc>
        <w:tc>
          <w:tcPr>
            <w:tcW w:w="3288" w:type="dxa"/>
            <w:shd w:val="clear" w:color="auto" w:fill="76923C" w:themeFill="accent3" w:themeFillShade="BF"/>
            <w:vAlign w:val="center"/>
          </w:tcPr>
          <w:p w14:paraId="15F060C1"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Opportunities</w:t>
            </w:r>
          </w:p>
        </w:tc>
        <w:tc>
          <w:tcPr>
            <w:tcW w:w="3288" w:type="dxa"/>
            <w:shd w:val="clear" w:color="auto" w:fill="76923C" w:themeFill="accent3" w:themeFillShade="BF"/>
            <w:vAlign w:val="center"/>
          </w:tcPr>
          <w:p w14:paraId="41BC7852"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Threats</w:t>
            </w:r>
          </w:p>
        </w:tc>
      </w:tr>
      <w:tr w:rsidR="00367167" w:rsidRPr="006645DC" w14:paraId="2681C061" w14:textId="77777777" w:rsidTr="00393EB7">
        <w:trPr>
          <w:jc w:val="center"/>
        </w:trPr>
        <w:tc>
          <w:tcPr>
            <w:tcW w:w="1984" w:type="dxa"/>
            <w:shd w:val="clear" w:color="auto" w:fill="auto"/>
            <w:vAlign w:val="center"/>
          </w:tcPr>
          <w:p w14:paraId="79021609" w14:textId="77777777" w:rsidR="00367167" w:rsidRPr="006645DC" w:rsidRDefault="00367167" w:rsidP="00393EB7">
            <w:pPr>
              <w:autoSpaceDE w:val="0"/>
              <w:autoSpaceDN w:val="0"/>
              <w:adjustRightInd w:val="0"/>
              <w:spacing w:before="0" w:after="0"/>
              <w:jc w:val="left"/>
              <w:rPr>
                <w:rFonts w:cs="Calibri"/>
                <w:b/>
                <w:sz w:val="18"/>
                <w:szCs w:val="18"/>
                <w:lang w:val="en-GB"/>
              </w:rPr>
            </w:pPr>
            <w:r w:rsidRPr="006645DC">
              <w:rPr>
                <w:rFonts w:cs="Calibri"/>
                <w:b/>
                <w:sz w:val="18"/>
                <w:szCs w:val="18"/>
                <w:lang w:val="en-GB"/>
              </w:rPr>
              <w:t>Climate change adaptation, risk prevention and management</w:t>
            </w:r>
          </w:p>
        </w:tc>
        <w:tc>
          <w:tcPr>
            <w:tcW w:w="3288" w:type="dxa"/>
            <w:shd w:val="clear" w:color="auto" w:fill="auto"/>
            <w:vAlign w:val="center"/>
          </w:tcPr>
          <w:p w14:paraId="60144DE1"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05FC9F43"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Decreasing tendency of GHG emissions in recent years </w:t>
            </w:r>
          </w:p>
          <w:p w14:paraId="47767DBE"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The area meets the EU requirements to reduce GHG emissions</w:t>
            </w:r>
          </w:p>
          <w:p w14:paraId="27C2C8E7"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Existing flood prevention measures and hazard zoning. </w:t>
            </w:r>
          </w:p>
          <w:p w14:paraId="76A20874"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Development of risk management system and cross border rescue services / system through the previous RO-BG CBC and the SEE programmes. Weak </w:t>
            </w:r>
          </w:p>
          <w:p w14:paraId="412B2F5E"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Great number of natural reserves that stabilize the local climate</w:t>
            </w:r>
          </w:p>
          <w:p w14:paraId="30C51246"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tc>
        <w:tc>
          <w:tcPr>
            <w:tcW w:w="3288" w:type="dxa"/>
            <w:shd w:val="clear" w:color="auto" w:fill="auto"/>
            <w:vAlign w:val="center"/>
          </w:tcPr>
          <w:p w14:paraId="135ADB34" w14:textId="77777777" w:rsidR="00367167" w:rsidRPr="006645DC" w:rsidRDefault="00367167" w:rsidP="00393EB7">
            <w:pPr>
              <w:keepNext/>
              <w:keepLines/>
              <w:widowControl w:val="0"/>
              <w:autoSpaceDE w:val="0"/>
              <w:autoSpaceDN w:val="0"/>
              <w:adjustRightInd w:val="0"/>
              <w:spacing w:before="0" w:after="0"/>
              <w:jc w:val="left"/>
              <w:outlineLvl w:val="1"/>
              <w:rPr>
                <w:rFonts w:cs="Calibri"/>
                <w:color w:val="000000"/>
                <w:sz w:val="18"/>
                <w:szCs w:val="18"/>
                <w:lang w:val="en-GB"/>
              </w:rPr>
            </w:pPr>
            <w:bookmarkStart w:id="2322" w:name="_Toc376200406"/>
            <w:r w:rsidRPr="006645DC">
              <w:rPr>
                <w:rFonts w:cs="Calibri"/>
                <w:color w:val="000000"/>
                <w:sz w:val="18"/>
                <w:szCs w:val="18"/>
                <w:lang w:val="en-GB"/>
              </w:rPr>
              <w:t>The cross border area is susceptible to natural risks: notably droughts and floods</w:t>
            </w:r>
            <w:bookmarkEnd w:id="2322"/>
            <w:r w:rsidRPr="006645DC">
              <w:rPr>
                <w:rFonts w:cs="Calibri"/>
                <w:color w:val="000000"/>
                <w:sz w:val="18"/>
                <w:szCs w:val="18"/>
                <w:lang w:val="en-GB"/>
              </w:rPr>
              <w:t xml:space="preserve"> </w:t>
            </w:r>
          </w:p>
          <w:p w14:paraId="1F981037"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Low adaptive capacity</w:t>
            </w:r>
          </w:p>
          <w:p w14:paraId="27B2DBE8"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Low mitigation capacity </w:t>
            </w:r>
          </w:p>
          <w:p w14:paraId="13AB2987"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Temperature significant increasing tendency</w:t>
            </w:r>
          </w:p>
          <w:p w14:paraId="2864D625"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Decreased accessibility to rescue services in the rural parts of the programme region</w:t>
            </w:r>
          </w:p>
          <w:p w14:paraId="3F780276"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Vulnerability to a significant climatic impact on summer tourism </w:t>
            </w:r>
          </w:p>
          <w:p w14:paraId="7A034B78"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High proportion of employment in the agriculture sector, which can be highly effected by climate change </w:t>
            </w:r>
          </w:p>
          <w:p w14:paraId="6B733C4B"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High probability of floods along river basins </w:t>
            </w:r>
          </w:p>
          <w:p w14:paraId="3EDCF345"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color w:val="000000"/>
                <w:sz w:val="18"/>
                <w:szCs w:val="18"/>
                <w:lang w:val="en-GB"/>
              </w:rPr>
              <w:t xml:space="preserve">Deforestation and inappropriate land use increases the threat of landslides, </w:t>
            </w:r>
          </w:p>
        </w:tc>
        <w:tc>
          <w:tcPr>
            <w:tcW w:w="3288" w:type="dxa"/>
            <w:shd w:val="clear" w:color="auto" w:fill="auto"/>
            <w:vAlign w:val="center"/>
          </w:tcPr>
          <w:p w14:paraId="3D6D78CE"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23" w:name="_Toc376200407"/>
            <w:r w:rsidRPr="006645DC">
              <w:rPr>
                <w:rFonts w:cs="Calibri"/>
                <w:sz w:val="18"/>
                <w:szCs w:val="18"/>
                <w:lang w:val="en-GB"/>
              </w:rPr>
              <w:t>Enhancing the water management systems</w:t>
            </w:r>
            <w:bookmarkEnd w:id="2323"/>
          </w:p>
          <w:p w14:paraId="2BC04F67"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Increasing awareness about climate change effects and counter measures </w:t>
            </w:r>
          </w:p>
          <w:p w14:paraId="0BB2F0B9"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Opportunity of implementing adaptation measures, risk prevention and management in the wake of EC 2020 strategy. </w:t>
            </w:r>
          </w:p>
          <w:p w14:paraId="6AC99590"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Stronger commitment to sustainable development </w:t>
            </w:r>
          </w:p>
          <w:p w14:paraId="527BA388" w14:textId="77777777" w:rsidR="00367167" w:rsidRPr="006645DC" w:rsidRDefault="00367167" w:rsidP="00393EB7">
            <w:pPr>
              <w:autoSpaceDE w:val="0"/>
              <w:autoSpaceDN w:val="0"/>
              <w:adjustRightInd w:val="0"/>
              <w:spacing w:before="0" w:after="0"/>
              <w:jc w:val="left"/>
              <w:rPr>
                <w:rFonts w:cs="Calibri"/>
                <w:sz w:val="18"/>
                <w:szCs w:val="18"/>
                <w:lang w:val="en-GB"/>
              </w:rPr>
            </w:pPr>
          </w:p>
        </w:tc>
        <w:tc>
          <w:tcPr>
            <w:tcW w:w="3288" w:type="dxa"/>
            <w:shd w:val="clear" w:color="auto" w:fill="auto"/>
            <w:vAlign w:val="center"/>
          </w:tcPr>
          <w:p w14:paraId="6C3D79BC"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24" w:name="_Toc376200408"/>
            <w:r w:rsidRPr="006645DC">
              <w:rPr>
                <w:rFonts w:cs="Calibri"/>
                <w:sz w:val="18"/>
                <w:szCs w:val="18"/>
                <w:lang w:val="en-GB"/>
              </w:rPr>
              <w:t>Increasing occurrences of natural hazards and higher occurrences of floods</w:t>
            </w:r>
            <w:bookmarkEnd w:id="2324"/>
          </w:p>
          <w:p w14:paraId="0D741FA1"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Increase of temperature and longer period of drought</w:t>
            </w:r>
          </w:p>
          <w:p w14:paraId="3AEE208E"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Risk of hydrogeological instability</w:t>
            </w:r>
          </w:p>
          <w:p w14:paraId="5C63C2D9"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color w:val="000000"/>
                <w:sz w:val="18"/>
                <w:szCs w:val="18"/>
                <w:lang w:val="en-GB"/>
              </w:rPr>
              <w:t xml:space="preserve">High costs involved in repairing the damage caused by natural disasters </w:t>
            </w:r>
          </w:p>
          <w:p w14:paraId="7A36E1CF"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tc>
      </w:tr>
      <w:tr w:rsidR="00367167" w:rsidRPr="006645DC" w14:paraId="747983E2" w14:textId="77777777" w:rsidTr="00393EB7">
        <w:trPr>
          <w:jc w:val="center"/>
        </w:trPr>
        <w:tc>
          <w:tcPr>
            <w:tcW w:w="15136" w:type="dxa"/>
            <w:gridSpan w:val="5"/>
            <w:shd w:val="clear" w:color="auto" w:fill="auto"/>
            <w:vAlign w:val="center"/>
          </w:tcPr>
          <w:p w14:paraId="5ABE1E95" w14:textId="77777777" w:rsidR="00367167" w:rsidRPr="006645DC" w:rsidRDefault="00367167" w:rsidP="00393EB7">
            <w:pPr>
              <w:keepNext/>
              <w:keepLines/>
              <w:widowControl w:val="0"/>
              <w:autoSpaceDE w:val="0"/>
              <w:autoSpaceDN w:val="0"/>
              <w:adjustRightInd w:val="0"/>
              <w:spacing w:before="0" w:after="0"/>
              <w:jc w:val="left"/>
              <w:outlineLvl w:val="1"/>
              <w:rPr>
                <w:rFonts w:cs="Calibri"/>
                <w:b/>
                <w:sz w:val="18"/>
                <w:szCs w:val="18"/>
                <w:lang w:val="en-GB"/>
              </w:rPr>
            </w:pPr>
            <w:bookmarkStart w:id="2325" w:name="_Toc376200409"/>
            <w:r w:rsidRPr="006645DC">
              <w:rPr>
                <w:rFonts w:cs="Calibri"/>
                <w:b/>
                <w:sz w:val="18"/>
                <w:szCs w:val="18"/>
                <w:lang w:val="en-GB"/>
              </w:rPr>
              <w:t>Key Messages:</w:t>
            </w:r>
            <w:bookmarkEnd w:id="2325"/>
          </w:p>
          <w:p w14:paraId="4AA80FB2" w14:textId="77777777" w:rsidR="00367167" w:rsidRPr="006645DC" w:rsidRDefault="00367167" w:rsidP="00C951D5">
            <w:pPr>
              <w:pStyle w:val="ListParagraph"/>
              <w:widowControl w:val="0"/>
              <w:numPr>
                <w:ilvl w:val="0"/>
                <w:numId w:val="76"/>
              </w:numPr>
              <w:autoSpaceDE w:val="0"/>
              <w:autoSpaceDN w:val="0"/>
              <w:adjustRightInd w:val="0"/>
              <w:spacing w:before="0" w:after="0"/>
              <w:jc w:val="left"/>
              <w:rPr>
                <w:rFonts w:cs="Calibri"/>
                <w:b/>
                <w:sz w:val="18"/>
                <w:szCs w:val="18"/>
                <w:lang w:val="en-GB"/>
              </w:rPr>
            </w:pPr>
            <w:r w:rsidRPr="006645DC">
              <w:rPr>
                <w:rFonts w:cs="Calibri"/>
                <w:b/>
                <w:sz w:val="18"/>
                <w:szCs w:val="18"/>
                <w:lang w:val="en-GB"/>
              </w:rPr>
              <w:t>Strengthen the current rescue service situation</w:t>
            </w:r>
          </w:p>
          <w:p w14:paraId="2C6F0A24" w14:textId="77777777" w:rsidR="00367167" w:rsidRPr="006645DC" w:rsidRDefault="00367167" w:rsidP="00C951D5">
            <w:pPr>
              <w:pStyle w:val="ListParagraph"/>
              <w:widowControl w:val="0"/>
              <w:numPr>
                <w:ilvl w:val="0"/>
                <w:numId w:val="76"/>
              </w:numPr>
              <w:autoSpaceDE w:val="0"/>
              <w:autoSpaceDN w:val="0"/>
              <w:adjustRightInd w:val="0"/>
              <w:spacing w:before="0" w:after="0"/>
              <w:jc w:val="left"/>
              <w:rPr>
                <w:rFonts w:cs="Calibri"/>
                <w:b/>
                <w:sz w:val="18"/>
                <w:szCs w:val="18"/>
                <w:lang w:val="en-GB"/>
              </w:rPr>
            </w:pPr>
            <w:r w:rsidRPr="006645DC">
              <w:rPr>
                <w:rFonts w:cs="Calibri"/>
                <w:b/>
                <w:sz w:val="18"/>
                <w:szCs w:val="18"/>
                <w:lang w:val="en-GB"/>
              </w:rPr>
              <w:t>Support the nature reserves that stabilize the local climate and reduce vulnerability towards natural hazards</w:t>
            </w:r>
          </w:p>
          <w:p w14:paraId="3AE4BED3" w14:textId="77777777" w:rsidR="00367167" w:rsidRPr="006645DC" w:rsidRDefault="00367167" w:rsidP="00C951D5">
            <w:pPr>
              <w:pStyle w:val="ListParagraph"/>
              <w:widowControl w:val="0"/>
              <w:numPr>
                <w:ilvl w:val="0"/>
                <w:numId w:val="76"/>
              </w:numPr>
              <w:autoSpaceDE w:val="0"/>
              <w:autoSpaceDN w:val="0"/>
              <w:adjustRightInd w:val="0"/>
              <w:spacing w:before="0" w:after="0"/>
              <w:jc w:val="left"/>
              <w:rPr>
                <w:rFonts w:cs="Calibri"/>
                <w:b/>
                <w:sz w:val="18"/>
                <w:szCs w:val="18"/>
                <w:lang w:val="en-GB"/>
              </w:rPr>
            </w:pPr>
            <w:r w:rsidRPr="006645DC">
              <w:rPr>
                <w:rFonts w:cs="Calibri"/>
                <w:b/>
                <w:sz w:val="18"/>
                <w:szCs w:val="18"/>
                <w:lang w:val="en-GB"/>
              </w:rPr>
              <w:t>Reduction of natural risks by cooperation in the fields of protective water management and freshwater ecology (also regarding the EU Flood Directive and the EU Water Framework Directive)</w:t>
            </w:r>
          </w:p>
        </w:tc>
      </w:tr>
    </w:tbl>
    <w:p w14:paraId="74C57022" w14:textId="77777777" w:rsidR="00367167" w:rsidRPr="006645DC" w:rsidRDefault="00367167" w:rsidP="00367167">
      <w:pPr>
        <w:rPr>
          <w:rFonts w:cs="Calibri"/>
          <w:lang w:val="en-GB"/>
        </w:rPr>
      </w:pPr>
    </w:p>
    <w:p w14:paraId="556BAC15" w14:textId="77777777" w:rsidR="00367167" w:rsidRPr="006645DC" w:rsidRDefault="00367167" w:rsidP="00367167">
      <w:pPr>
        <w:rPr>
          <w:rFonts w:cs="Calibri"/>
          <w:lang w:val="en-GB"/>
        </w:rPr>
      </w:pPr>
    </w:p>
    <w:p w14:paraId="1EB5727B" w14:textId="77777777" w:rsidR="00367167" w:rsidRPr="006645DC" w:rsidRDefault="00367167" w:rsidP="00367167">
      <w:pPr>
        <w:rPr>
          <w:rFonts w:cs="Calibri"/>
          <w:lang w:val="en-GB"/>
        </w:rPr>
      </w:pPr>
    </w:p>
    <w:p w14:paraId="31F58BC9" w14:textId="77777777" w:rsidR="00367167" w:rsidRPr="006645DC" w:rsidRDefault="00367167" w:rsidP="00367167">
      <w:pPr>
        <w:rPr>
          <w:rFonts w:cs="Calibri"/>
          <w:lang w:val="en-GB"/>
        </w:rPr>
      </w:pPr>
    </w:p>
    <w:p w14:paraId="34007337" w14:textId="77777777" w:rsidR="00367167" w:rsidRPr="006645DC" w:rsidRDefault="00367167" w:rsidP="00367167">
      <w:pPr>
        <w:rPr>
          <w:rFonts w:cs="Calibri"/>
          <w:lang w:val="en-GB"/>
        </w:rPr>
      </w:pPr>
    </w:p>
    <w:p w14:paraId="1050CC9D" w14:textId="77777777" w:rsidR="00367167" w:rsidRPr="006645DC" w:rsidRDefault="00367167" w:rsidP="00367167">
      <w:pPr>
        <w:rPr>
          <w:rFonts w:cs="Calibri"/>
          <w:lang w:val="en-GB"/>
        </w:rPr>
      </w:pPr>
    </w:p>
    <w:p w14:paraId="06C66F64" w14:textId="77777777" w:rsidR="00367167" w:rsidRPr="006645DC" w:rsidRDefault="00367167" w:rsidP="00367167">
      <w:pPr>
        <w:rPr>
          <w:rFonts w:cs="Calibri"/>
          <w:lang w:val="en-GB"/>
        </w:rPr>
      </w:pPr>
    </w:p>
    <w:tbl>
      <w:tblPr>
        <w:tblpPr w:leftFromText="180" w:rightFromText="180" w:vertAnchor="text" w:tblpXSpec="center" w:tblpY="1"/>
        <w:tblOverlap w:val="never"/>
        <w:tblW w:w="151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288"/>
        <w:gridCol w:w="3288"/>
        <w:gridCol w:w="3288"/>
        <w:gridCol w:w="3288"/>
      </w:tblGrid>
      <w:tr w:rsidR="00367167" w:rsidRPr="006645DC" w14:paraId="70741E51" w14:textId="77777777" w:rsidTr="001807BA">
        <w:tc>
          <w:tcPr>
            <w:tcW w:w="1984" w:type="dxa"/>
            <w:shd w:val="clear" w:color="auto" w:fill="76923C" w:themeFill="accent3" w:themeFillShade="BF"/>
            <w:vAlign w:val="center"/>
          </w:tcPr>
          <w:p w14:paraId="05AC0654"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Thematic objective</w:t>
            </w:r>
          </w:p>
        </w:tc>
        <w:tc>
          <w:tcPr>
            <w:tcW w:w="3288" w:type="dxa"/>
            <w:shd w:val="clear" w:color="auto" w:fill="76923C" w:themeFill="accent3" w:themeFillShade="BF"/>
            <w:vAlign w:val="center"/>
          </w:tcPr>
          <w:p w14:paraId="337B846E"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Strengths</w:t>
            </w:r>
          </w:p>
        </w:tc>
        <w:tc>
          <w:tcPr>
            <w:tcW w:w="3288" w:type="dxa"/>
            <w:shd w:val="clear" w:color="auto" w:fill="76923C" w:themeFill="accent3" w:themeFillShade="BF"/>
            <w:vAlign w:val="center"/>
          </w:tcPr>
          <w:p w14:paraId="2494477B"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Weaknesses</w:t>
            </w:r>
          </w:p>
        </w:tc>
        <w:tc>
          <w:tcPr>
            <w:tcW w:w="3288" w:type="dxa"/>
            <w:shd w:val="clear" w:color="auto" w:fill="76923C" w:themeFill="accent3" w:themeFillShade="BF"/>
            <w:vAlign w:val="center"/>
          </w:tcPr>
          <w:p w14:paraId="6786F327"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Opportunities</w:t>
            </w:r>
          </w:p>
        </w:tc>
        <w:tc>
          <w:tcPr>
            <w:tcW w:w="3288" w:type="dxa"/>
            <w:shd w:val="clear" w:color="auto" w:fill="76923C" w:themeFill="accent3" w:themeFillShade="BF"/>
            <w:vAlign w:val="center"/>
          </w:tcPr>
          <w:p w14:paraId="3F2B0538"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Threats</w:t>
            </w:r>
          </w:p>
        </w:tc>
      </w:tr>
      <w:tr w:rsidR="00367167" w:rsidRPr="006645DC" w14:paraId="487FE17E" w14:textId="77777777" w:rsidTr="00393EB7">
        <w:tc>
          <w:tcPr>
            <w:tcW w:w="1984" w:type="dxa"/>
            <w:shd w:val="clear" w:color="auto" w:fill="auto"/>
            <w:vAlign w:val="center"/>
          </w:tcPr>
          <w:p w14:paraId="31BBF5A0" w14:textId="77777777" w:rsidR="00367167" w:rsidRPr="006645DC" w:rsidRDefault="00367167" w:rsidP="00393EB7">
            <w:pPr>
              <w:autoSpaceDE w:val="0"/>
              <w:autoSpaceDN w:val="0"/>
              <w:adjustRightInd w:val="0"/>
              <w:spacing w:before="0" w:after="0"/>
              <w:jc w:val="left"/>
              <w:rPr>
                <w:rFonts w:cs="Calibri"/>
                <w:b/>
                <w:sz w:val="18"/>
                <w:szCs w:val="18"/>
                <w:lang w:val="en-GB"/>
              </w:rPr>
            </w:pPr>
            <w:r w:rsidRPr="006645DC">
              <w:rPr>
                <w:rFonts w:cs="Calibri"/>
                <w:b/>
                <w:sz w:val="18"/>
                <w:szCs w:val="18"/>
                <w:lang w:val="en-GB"/>
              </w:rPr>
              <w:t>Environment and resource efficiency</w:t>
            </w:r>
          </w:p>
        </w:tc>
        <w:tc>
          <w:tcPr>
            <w:tcW w:w="3288" w:type="dxa"/>
            <w:shd w:val="clear" w:color="auto" w:fill="auto"/>
            <w:vAlign w:val="center"/>
          </w:tcPr>
          <w:p w14:paraId="12CAB9B1"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26" w:name="_Toc376200410"/>
            <w:r w:rsidRPr="006645DC">
              <w:rPr>
                <w:rFonts w:cs="Calibri"/>
                <w:sz w:val="18"/>
                <w:szCs w:val="18"/>
                <w:lang w:val="en-GB"/>
              </w:rPr>
              <w:t xml:space="preserve">Richness and diversity of landscape with many </w:t>
            </w:r>
            <w:r w:rsidRPr="006645DC">
              <w:rPr>
                <w:rFonts w:cs="Calibri"/>
                <w:color w:val="000000"/>
                <w:sz w:val="18"/>
                <w:szCs w:val="18"/>
                <w:lang w:val="en-GB"/>
              </w:rPr>
              <w:t>Natura 2000 site</w:t>
            </w:r>
            <w:bookmarkEnd w:id="2326"/>
          </w:p>
          <w:p w14:paraId="0642887B"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Natural and cultural heritage as important development factors</w:t>
            </w:r>
          </w:p>
          <w:p w14:paraId="417A8D9B"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Tourism's ability to extend the attractiveness of regions</w:t>
            </w:r>
          </w:p>
          <w:p w14:paraId="1597529F"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Increasing environmental education</w:t>
            </w:r>
          </w:p>
          <w:p w14:paraId="69495309"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Research and development institutions in agriculture</w:t>
            </w:r>
          </w:p>
          <w:p w14:paraId="3D035FBB"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Increasing awareness and market for </w:t>
            </w:r>
          </w:p>
          <w:p w14:paraId="457C4C25"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 eco products </w:t>
            </w:r>
          </w:p>
          <w:p w14:paraId="4C81FEA8"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32135D5B" w14:textId="77777777" w:rsidR="00367167" w:rsidRPr="006645DC" w:rsidRDefault="00367167" w:rsidP="00393EB7">
            <w:pPr>
              <w:autoSpaceDE w:val="0"/>
              <w:autoSpaceDN w:val="0"/>
              <w:adjustRightInd w:val="0"/>
              <w:spacing w:before="0" w:after="0"/>
              <w:jc w:val="left"/>
              <w:rPr>
                <w:rFonts w:cs="Calibri"/>
                <w:sz w:val="18"/>
                <w:szCs w:val="18"/>
                <w:lang w:val="en-GB"/>
              </w:rPr>
            </w:pPr>
          </w:p>
        </w:tc>
        <w:tc>
          <w:tcPr>
            <w:tcW w:w="3288" w:type="dxa"/>
            <w:shd w:val="clear" w:color="auto" w:fill="auto"/>
            <w:vAlign w:val="center"/>
          </w:tcPr>
          <w:p w14:paraId="2BF13C3C"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27" w:name="_Toc376200411"/>
            <w:r w:rsidRPr="006645DC">
              <w:rPr>
                <w:rFonts w:cs="Calibri"/>
                <w:sz w:val="18"/>
                <w:szCs w:val="18"/>
                <w:lang w:val="en-GB"/>
              </w:rPr>
              <w:t>Bad water quality of rivers and lakes in some areas</w:t>
            </w:r>
            <w:bookmarkEnd w:id="2327"/>
          </w:p>
          <w:p w14:paraId="60A08AE8"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Industrial risk sites can be a danger to environment and citizens</w:t>
            </w:r>
          </w:p>
          <w:p w14:paraId="09FDE09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Erosion of coastal areas and pollution of maritime areas </w:t>
            </w:r>
          </w:p>
          <w:p w14:paraId="6B9CDEEF"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Lack of quality and quantity of environmental infrastructure in some areas (waste and water treatment) </w:t>
            </w:r>
          </w:p>
          <w:p w14:paraId="7C2162DE"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Industrial risk sites as a danger to environment and citizens. </w:t>
            </w:r>
          </w:p>
          <w:p w14:paraId="27DADC28"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tc>
        <w:tc>
          <w:tcPr>
            <w:tcW w:w="3288" w:type="dxa"/>
            <w:shd w:val="clear" w:color="auto" w:fill="auto"/>
            <w:vAlign w:val="center"/>
          </w:tcPr>
          <w:p w14:paraId="123CA79A" w14:textId="77777777" w:rsidR="00367167" w:rsidRPr="006645DC" w:rsidRDefault="00367167" w:rsidP="00393EB7">
            <w:pPr>
              <w:keepNext/>
              <w:keepLines/>
              <w:widowControl w:val="0"/>
              <w:autoSpaceDE w:val="0"/>
              <w:autoSpaceDN w:val="0"/>
              <w:adjustRightInd w:val="0"/>
              <w:spacing w:before="0" w:after="0"/>
              <w:jc w:val="left"/>
              <w:outlineLvl w:val="1"/>
              <w:rPr>
                <w:rFonts w:cs="Calibri"/>
                <w:sz w:val="18"/>
                <w:szCs w:val="18"/>
                <w:lang w:val="en-GB"/>
              </w:rPr>
            </w:pPr>
            <w:bookmarkStart w:id="2328" w:name="_Toc376200412"/>
            <w:r w:rsidRPr="006645DC">
              <w:rPr>
                <w:rFonts w:cs="Calibri"/>
                <w:sz w:val="18"/>
                <w:szCs w:val="18"/>
                <w:lang w:val="en-GB"/>
              </w:rPr>
              <w:t>Creation of common management structures (natural protection, water management, etc. )</w:t>
            </w:r>
            <w:bookmarkEnd w:id="2328"/>
          </w:p>
          <w:p w14:paraId="3BF673D8"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Development of eco-farms </w:t>
            </w:r>
          </w:p>
          <w:p w14:paraId="78C70872"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Cohesion Policy focusing on environmental infrastructure, ranging from clean drinking water supply, waste management and waste water treatment </w:t>
            </w:r>
          </w:p>
          <w:p w14:paraId="069BFB99"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 the wake of EU policies, establishment of a high proportion of protected areas </w:t>
            </w:r>
          </w:p>
          <w:p w14:paraId="290FCB90"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Implementation of policies promoting a shift from traditional waste processing systems towards cleaner methods </w:t>
            </w:r>
          </w:p>
          <w:p w14:paraId="5E0128E1"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Developing ecological awareness </w:t>
            </w:r>
          </w:p>
          <w:p w14:paraId="6D8A2A35"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Tourism: nature, local products, river, etc. </w:t>
            </w:r>
          </w:p>
        </w:tc>
        <w:tc>
          <w:tcPr>
            <w:tcW w:w="3288" w:type="dxa"/>
            <w:shd w:val="clear" w:color="auto" w:fill="auto"/>
            <w:vAlign w:val="center"/>
          </w:tcPr>
          <w:p w14:paraId="688237BA" w14:textId="77777777" w:rsidR="00367167" w:rsidRPr="006645DC" w:rsidRDefault="00367167" w:rsidP="00393EB7">
            <w:pPr>
              <w:keepNext/>
              <w:keepLines/>
              <w:widowControl w:val="0"/>
              <w:autoSpaceDE w:val="0"/>
              <w:autoSpaceDN w:val="0"/>
              <w:adjustRightInd w:val="0"/>
              <w:spacing w:before="0" w:after="0"/>
              <w:jc w:val="left"/>
              <w:outlineLvl w:val="1"/>
              <w:rPr>
                <w:rFonts w:cs="Calibri"/>
                <w:color w:val="000000"/>
                <w:sz w:val="18"/>
                <w:szCs w:val="18"/>
                <w:lang w:val="en-GB"/>
              </w:rPr>
            </w:pPr>
            <w:bookmarkStart w:id="2329" w:name="_Toc376200413"/>
            <w:r w:rsidRPr="006645DC">
              <w:rPr>
                <w:rFonts w:cs="Calibri"/>
                <w:color w:val="000000"/>
                <w:sz w:val="18"/>
                <w:szCs w:val="18"/>
                <w:lang w:val="en-GB"/>
              </w:rPr>
              <w:t>Increased economic activities cause increased use of environmental resources</w:t>
            </w:r>
            <w:bookmarkEnd w:id="2329"/>
            <w:r w:rsidRPr="006645DC">
              <w:rPr>
                <w:rFonts w:cs="Calibri"/>
                <w:color w:val="000000"/>
                <w:sz w:val="18"/>
                <w:szCs w:val="18"/>
                <w:lang w:val="en-GB"/>
              </w:rPr>
              <w:t xml:space="preserve"> </w:t>
            </w:r>
          </w:p>
          <w:p w14:paraId="66A0B9CD"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Climate change affects natural environment (extinction of species; geographical shift of crops) </w:t>
            </w:r>
          </w:p>
          <w:p w14:paraId="3F04E88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Tourism pressure on natural resources: high tourism intensity in seaside areas</w:t>
            </w:r>
          </w:p>
          <w:p w14:paraId="3A588072"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Low acceptation of the extra costs associated with recycling and waste re-use methods </w:t>
            </w:r>
          </w:p>
          <w:p w14:paraId="7044583F" w14:textId="77777777" w:rsidR="000875A2" w:rsidRPr="006645DC" w:rsidRDefault="000875A2" w:rsidP="000875A2">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Transport can become a major source of pollution for the area</w:t>
            </w:r>
          </w:p>
          <w:p w14:paraId="08FA69FE" w14:textId="77777777" w:rsidR="000875A2" w:rsidRPr="006645DC" w:rsidRDefault="000875A2" w:rsidP="00393EB7">
            <w:pPr>
              <w:widowControl w:val="0"/>
              <w:autoSpaceDE w:val="0"/>
              <w:autoSpaceDN w:val="0"/>
              <w:adjustRightInd w:val="0"/>
              <w:spacing w:before="0" w:after="0"/>
              <w:jc w:val="left"/>
              <w:rPr>
                <w:rFonts w:cs="Calibri"/>
                <w:color w:val="000000"/>
                <w:sz w:val="18"/>
                <w:szCs w:val="18"/>
                <w:lang w:val="en-GB"/>
              </w:rPr>
            </w:pPr>
          </w:p>
          <w:p w14:paraId="09C0E78E" w14:textId="77777777" w:rsidR="00367167" w:rsidRPr="006645DC" w:rsidRDefault="00367167" w:rsidP="00393EB7">
            <w:pPr>
              <w:autoSpaceDE w:val="0"/>
              <w:autoSpaceDN w:val="0"/>
              <w:adjustRightInd w:val="0"/>
              <w:spacing w:before="0" w:after="0"/>
              <w:jc w:val="left"/>
              <w:rPr>
                <w:rFonts w:cs="Calibri"/>
                <w:sz w:val="18"/>
                <w:szCs w:val="18"/>
                <w:lang w:val="en-GB"/>
              </w:rPr>
            </w:pPr>
          </w:p>
        </w:tc>
      </w:tr>
      <w:tr w:rsidR="00367167" w:rsidRPr="006645DC" w14:paraId="1739C087" w14:textId="77777777" w:rsidTr="00393EB7">
        <w:tc>
          <w:tcPr>
            <w:tcW w:w="15136" w:type="dxa"/>
            <w:gridSpan w:val="5"/>
            <w:shd w:val="clear" w:color="auto" w:fill="auto"/>
            <w:vAlign w:val="center"/>
          </w:tcPr>
          <w:p w14:paraId="6CFA6D5F" w14:textId="77777777" w:rsidR="00367167" w:rsidRPr="006645DC" w:rsidRDefault="00367167" w:rsidP="00393EB7">
            <w:pPr>
              <w:keepNext/>
              <w:keepLines/>
              <w:widowControl w:val="0"/>
              <w:autoSpaceDE w:val="0"/>
              <w:autoSpaceDN w:val="0"/>
              <w:adjustRightInd w:val="0"/>
              <w:spacing w:before="0" w:after="0"/>
              <w:jc w:val="left"/>
              <w:outlineLvl w:val="1"/>
              <w:rPr>
                <w:rFonts w:cs="Calibri"/>
                <w:b/>
                <w:sz w:val="18"/>
                <w:szCs w:val="18"/>
                <w:lang w:val="en-GB"/>
              </w:rPr>
            </w:pPr>
            <w:bookmarkStart w:id="2330" w:name="_Toc376200414"/>
            <w:r w:rsidRPr="006645DC">
              <w:rPr>
                <w:rFonts w:cs="Calibri"/>
                <w:b/>
                <w:sz w:val="18"/>
                <w:szCs w:val="18"/>
                <w:lang w:val="en-GB"/>
              </w:rPr>
              <w:t>Key Message:</w:t>
            </w:r>
            <w:bookmarkEnd w:id="2330"/>
          </w:p>
          <w:p w14:paraId="5E42C41B" w14:textId="77777777" w:rsidR="00367167" w:rsidRPr="006645DC" w:rsidRDefault="00367167" w:rsidP="00C951D5">
            <w:pPr>
              <w:pStyle w:val="ListParagraph"/>
              <w:widowControl w:val="0"/>
              <w:numPr>
                <w:ilvl w:val="0"/>
                <w:numId w:val="77"/>
              </w:numPr>
              <w:autoSpaceDE w:val="0"/>
              <w:autoSpaceDN w:val="0"/>
              <w:adjustRightInd w:val="0"/>
              <w:spacing w:before="0" w:after="0"/>
              <w:jc w:val="left"/>
              <w:rPr>
                <w:rFonts w:cs="Calibri"/>
                <w:b/>
                <w:sz w:val="18"/>
                <w:szCs w:val="18"/>
                <w:lang w:val="en-GB"/>
              </w:rPr>
            </w:pPr>
            <w:r w:rsidRPr="006645DC">
              <w:rPr>
                <w:rFonts w:cs="Calibri"/>
                <w:b/>
                <w:sz w:val="18"/>
                <w:szCs w:val="18"/>
                <w:lang w:val="en-GB"/>
              </w:rPr>
              <w:t>Transfer best practices for sustainable tourism and the common utilization of cultural natural heritage</w:t>
            </w:r>
          </w:p>
          <w:p w14:paraId="426A1D8B" w14:textId="77777777" w:rsidR="00367167" w:rsidRPr="006645DC" w:rsidRDefault="00367167" w:rsidP="00C951D5">
            <w:pPr>
              <w:pStyle w:val="ListParagraph"/>
              <w:widowControl w:val="0"/>
              <w:numPr>
                <w:ilvl w:val="0"/>
                <w:numId w:val="77"/>
              </w:numPr>
              <w:autoSpaceDE w:val="0"/>
              <w:autoSpaceDN w:val="0"/>
              <w:adjustRightInd w:val="0"/>
              <w:spacing w:before="0" w:after="0"/>
              <w:jc w:val="left"/>
              <w:rPr>
                <w:rFonts w:cs="Calibri"/>
                <w:b/>
                <w:sz w:val="18"/>
                <w:szCs w:val="18"/>
                <w:lang w:val="en-GB"/>
              </w:rPr>
            </w:pPr>
            <w:r w:rsidRPr="006645DC">
              <w:rPr>
                <w:rFonts w:cs="Calibri"/>
                <w:b/>
                <w:sz w:val="18"/>
                <w:szCs w:val="18"/>
                <w:lang w:val="en-GB"/>
              </w:rPr>
              <w:t>Monitoring and cooperation in the field of water management, enhancement of wastewater treatment (also regarding the EU Flood Directive and the EU Water Framework Directive)</w:t>
            </w:r>
          </w:p>
          <w:p w14:paraId="7BFC4040" w14:textId="77777777" w:rsidR="00367167" w:rsidRPr="006645DC" w:rsidRDefault="00367167" w:rsidP="00C951D5">
            <w:pPr>
              <w:pStyle w:val="ListParagraph"/>
              <w:widowControl w:val="0"/>
              <w:numPr>
                <w:ilvl w:val="0"/>
                <w:numId w:val="77"/>
              </w:numPr>
              <w:autoSpaceDE w:val="0"/>
              <w:autoSpaceDN w:val="0"/>
              <w:adjustRightInd w:val="0"/>
              <w:spacing w:before="0" w:after="0"/>
              <w:jc w:val="left"/>
              <w:rPr>
                <w:rFonts w:cs="Calibri"/>
                <w:b/>
                <w:sz w:val="18"/>
                <w:szCs w:val="18"/>
                <w:lang w:val="en-GB"/>
              </w:rPr>
            </w:pPr>
            <w:r w:rsidRPr="006645DC">
              <w:rPr>
                <w:rFonts w:cs="Calibri"/>
                <w:b/>
                <w:sz w:val="18"/>
                <w:szCs w:val="18"/>
                <w:lang w:val="en-GB"/>
              </w:rPr>
              <w:t>Improving and preserving of high quality of protection and sustainable utilisation of the nature, natural resources and landscape</w:t>
            </w:r>
          </w:p>
        </w:tc>
      </w:tr>
    </w:tbl>
    <w:p w14:paraId="1D9BB677" w14:textId="77777777" w:rsidR="00367167" w:rsidRPr="006645DC" w:rsidRDefault="00367167" w:rsidP="00367167">
      <w:pPr>
        <w:rPr>
          <w:lang w:val="en-GB"/>
        </w:rPr>
        <w:sectPr w:rsidR="00367167" w:rsidRPr="006645DC" w:rsidSect="00367167">
          <w:pgSz w:w="16840" w:h="11900" w:orient="landscape"/>
          <w:pgMar w:top="1800" w:right="1440" w:bottom="1800" w:left="1440" w:header="708" w:footer="708" w:gutter="0"/>
          <w:cols w:space="708"/>
          <w:docGrid w:linePitch="360"/>
        </w:sectPr>
      </w:pPr>
    </w:p>
    <w:tbl>
      <w:tblPr>
        <w:tblpPr w:leftFromText="180" w:rightFromText="180" w:vertAnchor="text" w:tblpXSpec="center" w:tblpY="1"/>
        <w:tblOverlap w:val="never"/>
        <w:tblW w:w="151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552"/>
        <w:gridCol w:w="4394"/>
        <w:gridCol w:w="4111"/>
        <w:gridCol w:w="2695"/>
      </w:tblGrid>
      <w:tr w:rsidR="00367167" w:rsidRPr="006645DC" w14:paraId="1D194D93" w14:textId="77777777" w:rsidTr="000875A2">
        <w:tc>
          <w:tcPr>
            <w:tcW w:w="1384" w:type="dxa"/>
            <w:shd w:val="clear" w:color="auto" w:fill="76923C" w:themeFill="accent3" w:themeFillShade="BF"/>
            <w:vAlign w:val="center"/>
          </w:tcPr>
          <w:p w14:paraId="79B3A847"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lastRenderedPageBreak/>
              <w:t>Thematic objective</w:t>
            </w:r>
          </w:p>
        </w:tc>
        <w:tc>
          <w:tcPr>
            <w:tcW w:w="2552" w:type="dxa"/>
            <w:shd w:val="clear" w:color="auto" w:fill="76923C" w:themeFill="accent3" w:themeFillShade="BF"/>
            <w:vAlign w:val="center"/>
          </w:tcPr>
          <w:p w14:paraId="7C4B9CB5"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Strengths</w:t>
            </w:r>
          </w:p>
        </w:tc>
        <w:tc>
          <w:tcPr>
            <w:tcW w:w="4394" w:type="dxa"/>
            <w:shd w:val="clear" w:color="auto" w:fill="76923C" w:themeFill="accent3" w:themeFillShade="BF"/>
            <w:vAlign w:val="center"/>
          </w:tcPr>
          <w:p w14:paraId="7BC7C1C3"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Weaknesses</w:t>
            </w:r>
          </w:p>
        </w:tc>
        <w:tc>
          <w:tcPr>
            <w:tcW w:w="4111" w:type="dxa"/>
            <w:shd w:val="clear" w:color="auto" w:fill="76923C" w:themeFill="accent3" w:themeFillShade="BF"/>
            <w:vAlign w:val="center"/>
          </w:tcPr>
          <w:p w14:paraId="39615957"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Opportunities</w:t>
            </w:r>
          </w:p>
        </w:tc>
        <w:tc>
          <w:tcPr>
            <w:tcW w:w="2695" w:type="dxa"/>
            <w:shd w:val="clear" w:color="auto" w:fill="76923C" w:themeFill="accent3" w:themeFillShade="BF"/>
            <w:vAlign w:val="center"/>
          </w:tcPr>
          <w:p w14:paraId="66AD300D"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Threats</w:t>
            </w:r>
          </w:p>
        </w:tc>
      </w:tr>
      <w:tr w:rsidR="00367167" w:rsidRPr="006645DC" w14:paraId="20ECC838" w14:textId="77777777" w:rsidTr="000875A2">
        <w:tc>
          <w:tcPr>
            <w:tcW w:w="1384" w:type="dxa"/>
            <w:shd w:val="clear" w:color="auto" w:fill="auto"/>
            <w:vAlign w:val="center"/>
          </w:tcPr>
          <w:p w14:paraId="6EC1B4A0" w14:textId="77777777" w:rsidR="00367167" w:rsidRPr="006645DC" w:rsidRDefault="00367167" w:rsidP="00393EB7">
            <w:pPr>
              <w:autoSpaceDE w:val="0"/>
              <w:autoSpaceDN w:val="0"/>
              <w:adjustRightInd w:val="0"/>
              <w:spacing w:before="0" w:after="0"/>
              <w:jc w:val="left"/>
              <w:rPr>
                <w:rFonts w:cs="Calibri"/>
                <w:b/>
                <w:sz w:val="18"/>
                <w:szCs w:val="18"/>
                <w:lang w:val="en-GB"/>
              </w:rPr>
            </w:pPr>
            <w:r w:rsidRPr="006645DC">
              <w:rPr>
                <w:rFonts w:cs="Calibri"/>
                <w:b/>
                <w:sz w:val="18"/>
                <w:szCs w:val="18"/>
                <w:lang w:val="en-GB"/>
              </w:rPr>
              <w:t>Sustainable transport and key network infrastructures</w:t>
            </w:r>
          </w:p>
        </w:tc>
        <w:tc>
          <w:tcPr>
            <w:tcW w:w="2552" w:type="dxa"/>
            <w:shd w:val="clear" w:color="auto" w:fill="auto"/>
            <w:vAlign w:val="center"/>
          </w:tcPr>
          <w:p w14:paraId="183B4F1F" w14:textId="77777777" w:rsidR="00367167" w:rsidRPr="006645DC" w:rsidRDefault="00417F4A" w:rsidP="00393EB7">
            <w:pPr>
              <w:keepNext/>
              <w:keepLines/>
              <w:autoSpaceDE w:val="0"/>
              <w:autoSpaceDN w:val="0"/>
              <w:adjustRightInd w:val="0"/>
              <w:spacing w:before="0" w:after="0"/>
              <w:jc w:val="left"/>
              <w:outlineLvl w:val="1"/>
              <w:rPr>
                <w:rFonts w:cs="Calibri"/>
                <w:sz w:val="18"/>
                <w:szCs w:val="18"/>
                <w:lang w:val="en-GB"/>
              </w:rPr>
            </w:pPr>
            <w:bookmarkStart w:id="2331" w:name="_Toc376200415"/>
            <w:r w:rsidRPr="006645DC">
              <w:rPr>
                <w:rFonts w:cs="Calibri"/>
                <w:sz w:val="18"/>
                <w:szCs w:val="18"/>
                <w:lang w:val="en-GB"/>
              </w:rPr>
              <w:t>On-going</w:t>
            </w:r>
            <w:r w:rsidR="00367167" w:rsidRPr="006645DC">
              <w:rPr>
                <w:rFonts w:cs="Calibri"/>
                <w:sz w:val="18"/>
                <w:szCs w:val="18"/>
                <w:lang w:val="en-GB"/>
              </w:rPr>
              <w:t xml:space="preserve"> TEN-T network construction</w:t>
            </w:r>
            <w:bookmarkEnd w:id="2331"/>
          </w:p>
          <w:p w14:paraId="36570871"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Presence of the Danube and the Black Sea</w:t>
            </w:r>
            <w:r w:rsidR="00674958" w:rsidRPr="006645DC">
              <w:rPr>
                <w:rFonts w:cs="Calibri"/>
                <w:sz w:val="18"/>
                <w:szCs w:val="18"/>
                <w:lang w:val="en-GB"/>
              </w:rPr>
              <w:t xml:space="preserve"> as </w:t>
            </w:r>
            <w:r w:rsidR="00665EC8" w:rsidRPr="006645DC">
              <w:rPr>
                <w:rFonts w:cs="Calibri"/>
                <w:sz w:val="18"/>
                <w:szCs w:val="18"/>
                <w:lang w:val="en-GB"/>
              </w:rPr>
              <w:t xml:space="preserve">sustainable </w:t>
            </w:r>
            <w:r w:rsidR="00674958" w:rsidRPr="006645DC">
              <w:rPr>
                <w:rFonts w:cs="Calibri"/>
                <w:sz w:val="18"/>
                <w:szCs w:val="18"/>
                <w:lang w:val="en-GB"/>
              </w:rPr>
              <w:t>transport and economic corridors</w:t>
            </w:r>
          </w:p>
          <w:p w14:paraId="43EBA906"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Existence of a network of twin-city-ports</w:t>
            </w:r>
          </w:p>
          <w:p w14:paraId="42C01A14"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Established freight transport routes</w:t>
            </w:r>
          </w:p>
          <w:p w14:paraId="5EB5555E"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Improvement of the road network in progress</w:t>
            </w:r>
          </w:p>
          <w:p w14:paraId="6D98EAC3"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Port of Constanta as an important link between Europe and Asia</w:t>
            </w:r>
          </w:p>
          <w:p w14:paraId="1E731F19"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Overall satisfactory accessibility for large urban areas </w:t>
            </w:r>
          </w:p>
          <w:p w14:paraId="417CB70E"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A strategic geographical location between the East and West, Europe and Asia </w:t>
            </w:r>
          </w:p>
          <w:p w14:paraId="68877E08"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tc>
        <w:tc>
          <w:tcPr>
            <w:tcW w:w="4394" w:type="dxa"/>
            <w:shd w:val="clear" w:color="auto" w:fill="auto"/>
            <w:vAlign w:val="center"/>
          </w:tcPr>
          <w:p w14:paraId="30FAF2F7"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p>
          <w:p w14:paraId="2647C373"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The network of port cities is not enough equipped to deal with the flow of passengers and goods </w:t>
            </w:r>
          </w:p>
          <w:p w14:paraId="2A21E4D3" w14:textId="77777777" w:rsidR="00674958" w:rsidRPr="006645DC" w:rsidRDefault="00674958" w:rsidP="00674958">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Weak cross border public transport links </w:t>
            </w:r>
          </w:p>
          <w:p w14:paraId="71544884" w14:textId="77777777" w:rsidR="00674958" w:rsidRPr="006645DC" w:rsidRDefault="00674958" w:rsidP="00674958">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Undeveloped public transport system</w:t>
            </w:r>
          </w:p>
          <w:p w14:paraId="496EF64D"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Navigability problems on the Danube waterway</w:t>
            </w:r>
          </w:p>
          <w:p w14:paraId="40EBB5AC"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Lack of integrated transport system/lack of multimodality</w:t>
            </w:r>
          </w:p>
          <w:p w14:paraId="2DA56F30"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Low quality of public transport and road connections in peripheral regions</w:t>
            </w:r>
          </w:p>
          <w:p w14:paraId="3EA746E6"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Weak accessibility outside urban areas</w:t>
            </w:r>
          </w:p>
          <w:p w14:paraId="3257C3D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Lack of accessibility of urban centres from some peripheral regions </w:t>
            </w:r>
          </w:p>
          <w:p w14:paraId="6BFFEFBB"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Importance of individual vehicles as a means of transport, especially in urban and surrounding areas </w:t>
            </w:r>
          </w:p>
          <w:p w14:paraId="549CCBB9" w14:textId="77777777" w:rsidR="00367167" w:rsidRPr="006645DC" w:rsidRDefault="00367167" w:rsidP="00393EB7">
            <w:pPr>
              <w:autoSpaceDE w:val="0"/>
              <w:autoSpaceDN w:val="0"/>
              <w:adjustRightInd w:val="0"/>
              <w:spacing w:before="0" w:after="0"/>
              <w:rPr>
                <w:rFonts w:cs="Calibri"/>
                <w:sz w:val="18"/>
                <w:szCs w:val="18"/>
                <w:lang w:val="en-GB"/>
              </w:rPr>
            </w:pPr>
            <w:r w:rsidRPr="006645DC">
              <w:rPr>
                <w:rFonts w:cs="Calibri"/>
                <w:color w:val="000000"/>
                <w:sz w:val="18"/>
                <w:szCs w:val="18"/>
                <w:lang w:val="en-GB"/>
              </w:rPr>
              <w:t xml:space="preserve">Weak regional accessibility by rail </w:t>
            </w:r>
            <w:r w:rsidRPr="006645DC">
              <w:rPr>
                <w:rFonts w:cs="Calibri"/>
                <w:sz w:val="18"/>
                <w:szCs w:val="18"/>
                <w:lang w:val="en-GB"/>
              </w:rPr>
              <w:t>and lack of investments in rail infrastructure</w:t>
            </w:r>
          </w:p>
          <w:p w14:paraId="1E405C8A" w14:textId="77777777" w:rsidR="00367167" w:rsidRPr="006645DC" w:rsidRDefault="00367167" w:rsidP="00393EB7">
            <w:pPr>
              <w:autoSpaceDE w:val="0"/>
              <w:autoSpaceDN w:val="0"/>
              <w:adjustRightInd w:val="0"/>
              <w:spacing w:before="0" w:after="0"/>
              <w:rPr>
                <w:rFonts w:cs="Calibri"/>
                <w:sz w:val="18"/>
                <w:szCs w:val="18"/>
                <w:lang w:val="en-GB"/>
              </w:rPr>
            </w:pPr>
            <w:r w:rsidRPr="006645DC">
              <w:rPr>
                <w:rFonts w:cs="Calibri"/>
                <w:sz w:val="18"/>
                <w:szCs w:val="18"/>
                <w:lang w:val="en-GB"/>
              </w:rPr>
              <w:t>The Danube represents a rather rigid border</w:t>
            </w:r>
          </w:p>
          <w:p w14:paraId="262AD5ED" w14:textId="77777777" w:rsidR="00367167" w:rsidRPr="006645DC" w:rsidRDefault="00367167" w:rsidP="00393EB7">
            <w:pPr>
              <w:autoSpaceDE w:val="0"/>
              <w:autoSpaceDN w:val="0"/>
              <w:adjustRightInd w:val="0"/>
              <w:spacing w:before="0" w:after="0"/>
              <w:rPr>
                <w:rFonts w:cs="Calibri"/>
                <w:sz w:val="18"/>
                <w:szCs w:val="18"/>
                <w:lang w:val="en-GB"/>
              </w:rPr>
            </w:pPr>
            <w:r w:rsidRPr="006645DC">
              <w:rPr>
                <w:rFonts w:cs="Calibri"/>
                <w:sz w:val="18"/>
                <w:szCs w:val="18"/>
                <w:lang w:val="en-GB"/>
              </w:rPr>
              <w:t>Costly and time-consuming border crossing</w:t>
            </w:r>
          </w:p>
          <w:p w14:paraId="545DBCFD" w14:textId="77777777" w:rsidR="00367167" w:rsidRPr="006645DC" w:rsidRDefault="00367167" w:rsidP="00393EB7">
            <w:pPr>
              <w:autoSpaceDE w:val="0"/>
              <w:autoSpaceDN w:val="0"/>
              <w:adjustRightInd w:val="0"/>
              <w:spacing w:before="0" w:after="0"/>
              <w:rPr>
                <w:rFonts w:cs="Calibri"/>
                <w:sz w:val="18"/>
                <w:szCs w:val="18"/>
                <w:lang w:val="en-GB"/>
              </w:rPr>
            </w:pPr>
            <w:r w:rsidRPr="006645DC">
              <w:rPr>
                <w:rFonts w:cs="Calibri"/>
                <w:sz w:val="18"/>
                <w:szCs w:val="18"/>
                <w:lang w:val="en-GB"/>
              </w:rPr>
              <w:t>Winter isolation</w:t>
            </w:r>
          </w:p>
          <w:p w14:paraId="2B281239"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Multimodal accessibility is rather low  </w:t>
            </w:r>
          </w:p>
          <w:p w14:paraId="3B4FE628"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Insufficient development of river traffic and short distance river transport </w:t>
            </w:r>
          </w:p>
          <w:p w14:paraId="033D5105" w14:textId="77777777" w:rsidR="00367167" w:rsidRPr="006645DC" w:rsidRDefault="00367167" w:rsidP="00393EB7">
            <w:pPr>
              <w:autoSpaceDE w:val="0"/>
              <w:autoSpaceDN w:val="0"/>
              <w:adjustRightInd w:val="0"/>
              <w:spacing w:before="0" w:after="0"/>
              <w:jc w:val="left"/>
              <w:rPr>
                <w:rFonts w:cs="Calibri"/>
                <w:sz w:val="18"/>
                <w:szCs w:val="18"/>
                <w:lang w:val="en-GB"/>
              </w:rPr>
            </w:pPr>
          </w:p>
        </w:tc>
        <w:tc>
          <w:tcPr>
            <w:tcW w:w="4111" w:type="dxa"/>
            <w:shd w:val="clear" w:color="auto" w:fill="auto"/>
            <w:vAlign w:val="center"/>
          </w:tcPr>
          <w:p w14:paraId="6259E10A"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Promotion of multimodal transport systems </w:t>
            </w:r>
          </w:p>
          <w:p w14:paraId="2D1B2DA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Reinforcement of the existing railway networks </w:t>
            </w:r>
          </w:p>
          <w:p w14:paraId="06B240AD"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Development potential for the Danube waterway </w:t>
            </w:r>
          </w:p>
          <w:p w14:paraId="7F67CF63"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Connections in long-distance transport TEN-T networks</w:t>
            </w:r>
          </w:p>
          <w:p w14:paraId="4C8BFF0D"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Development and extension of main twin cities ports</w:t>
            </w:r>
          </w:p>
          <w:p w14:paraId="31C479C1" w14:textId="77777777" w:rsidR="00367167" w:rsidRPr="006645DC" w:rsidRDefault="00367167" w:rsidP="00393EB7">
            <w:pPr>
              <w:autoSpaceDE w:val="0"/>
              <w:autoSpaceDN w:val="0"/>
              <w:adjustRightInd w:val="0"/>
              <w:spacing w:before="0" w:after="0"/>
              <w:rPr>
                <w:rFonts w:cs="Calibri"/>
                <w:sz w:val="18"/>
                <w:szCs w:val="18"/>
                <w:lang w:val="en-GB"/>
              </w:rPr>
            </w:pPr>
            <w:r w:rsidRPr="006645DC">
              <w:rPr>
                <w:rFonts w:cs="Calibri"/>
                <w:sz w:val="18"/>
                <w:szCs w:val="18"/>
                <w:lang w:val="en-GB"/>
              </w:rPr>
              <w:t>Great potential for logistics hubs</w:t>
            </w:r>
          </w:p>
          <w:p w14:paraId="597FA765"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32" w:name="_Toc376200416"/>
            <w:r w:rsidRPr="006645DC">
              <w:rPr>
                <w:rFonts w:cs="Calibri"/>
                <w:sz w:val="18"/>
                <w:szCs w:val="18"/>
                <w:lang w:val="en-GB"/>
              </w:rPr>
              <w:t>Improvement of interregional connections</w:t>
            </w:r>
            <w:bookmarkEnd w:id="2332"/>
          </w:p>
          <w:p w14:paraId="1145B612"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Promotion of sustainable transport</w:t>
            </w:r>
          </w:p>
          <w:p w14:paraId="3A6684FD"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Regions with high accessibility are usually economically successful </w:t>
            </w:r>
          </w:p>
          <w:p w14:paraId="0A08BD73" w14:textId="77777777" w:rsidR="00367167" w:rsidRPr="006645DC" w:rsidRDefault="00367167" w:rsidP="00393EB7">
            <w:pPr>
              <w:autoSpaceDE w:val="0"/>
              <w:autoSpaceDN w:val="0"/>
              <w:adjustRightInd w:val="0"/>
              <w:spacing w:before="0" w:after="0"/>
              <w:rPr>
                <w:rFonts w:cs="Calibri"/>
                <w:sz w:val="18"/>
                <w:szCs w:val="18"/>
                <w:lang w:val="en-GB"/>
              </w:rPr>
            </w:pPr>
            <w:r w:rsidRPr="006645DC">
              <w:rPr>
                <w:rFonts w:cs="Calibri"/>
                <w:sz w:val="18"/>
                <w:szCs w:val="18"/>
                <w:lang w:val="en-GB"/>
              </w:rPr>
              <w:t>Creation of new ways of crossing the Danube</w:t>
            </w:r>
          </w:p>
          <w:p w14:paraId="0C588899"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Elaboration of cross border sustainable mobility plans and rebuilding of small scale connections</w:t>
            </w:r>
          </w:p>
          <w:p w14:paraId="3B7D0251" w14:textId="77777777" w:rsidR="00367167" w:rsidRPr="006645DC" w:rsidRDefault="00367167" w:rsidP="00393EB7">
            <w:pPr>
              <w:autoSpaceDE w:val="0"/>
              <w:autoSpaceDN w:val="0"/>
              <w:adjustRightInd w:val="0"/>
              <w:spacing w:before="0" w:after="0"/>
              <w:rPr>
                <w:rFonts w:cs="Calibri"/>
                <w:sz w:val="18"/>
                <w:szCs w:val="18"/>
                <w:lang w:val="en-GB"/>
              </w:rPr>
            </w:pPr>
            <w:r w:rsidRPr="006645DC">
              <w:rPr>
                <w:rFonts w:cs="Calibri"/>
                <w:sz w:val="18"/>
                <w:szCs w:val="18"/>
                <w:lang w:val="en-GB"/>
              </w:rPr>
              <w:t xml:space="preserve">Improving cross border integrated urban development following the example of the Giurgiu-Ruse </w:t>
            </w:r>
            <w:r w:rsidR="00FD6464" w:rsidRPr="006645DC">
              <w:rPr>
                <w:rFonts w:cs="Calibri"/>
                <w:sz w:val="18"/>
                <w:szCs w:val="18"/>
                <w:lang w:val="en-GB"/>
              </w:rPr>
              <w:t>master plan</w:t>
            </w:r>
          </w:p>
          <w:p w14:paraId="45CEA1C3" w14:textId="77777777" w:rsidR="00367167" w:rsidRPr="006645DC" w:rsidRDefault="00367167" w:rsidP="00393EB7">
            <w:pPr>
              <w:autoSpaceDE w:val="0"/>
              <w:autoSpaceDN w:val="0"/>
              <w:adjustRightInd w:val="0"/>
              <w:spacing w:before="0" w:after="0"/>
              <w:rPr>
                <w:rFonts w:cs="Calibri"/>
                <w:sz w:val="18"/>
                <w:szCs w:val="18"/>
                <w:lang w:val="en-GB"/>
              </w:rPr>
            </w:pPr>
            <w:r w:rsidRPr="006645DC">
              <w:rPr>
                <w:rFonts w:cs="Calibri"/>
                <w:sz w:val="18"/>
                <w:szCs w:val="18"/>
                <w:lang w:val="en-GB"/>
              </w:rPr>
              <w:t>The inclusion of “enclave” areas near the Danube in national transport Master plans</w:t>
            </w:r>
          </w:p>
          <w:p w14:paraId="2320827E" w14:textId="77777777" w:rsidR="00367167" w:rsidRPr="006645DC" w:rsidRDefault="00367167" w:rsidP="00393EB7">
            <w:pPr>
              <w:autoSpaceDE w:val="0"/>
              <w:autoSpaceDN w:val="0"/>
              <w:adjustRightInd w:val="0"/>
              <w:spacing w:before="0" w:after="0"/>
              <w:rPr>
                <w:rFonts w:cs="Calibri"/>
                <w:sz w:val="18"/>
                <w:szCs w:val="18"/>
                <w:lang w:val="en-GB"/>
              </w:rPr>
            </w:pPr>
            <w:r w:rsidRPr="006645DC">
              <w:rPr>
                <w:rFonts w:cs="Calibri"/>
                <w:sz w:val="18"/>
                <w:szCs w:val="18"/>
                <w:lang w:val="en-GB"/>
              </w:rPr>
              <w:t>Adopting best practices of winter management to access isolated areas</w:t>
            </w:r>
          </w:p>
        </w:tc>
        <w:tc>
          <w:tcPr>
            <w:tcW w:w="2695" w:type="dxa"/>
            <w:shd w:val="clear" w:color="auto" w:fill="auto"/>
            <w:vAlign w:val="center"/>
          </w:tcPr>
          <w:p w14:paraId="313AEEA5"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Lack of </w:t>
            </w:r>
            <w:r w:rsidR="00665EC8" w:rsidRPr="006645DC">
              <w:rPr>
                <w:rFonts w:cs="Calibri"/>
                <w:sz w:val="18"/>
                <w:szCs w:val="18"/>
                <w:lang w:val="en-GB"/>
              </w:rPr>
              <w:t>capacity to attract funds</w:t>
            </w:r>
            <w:r w:rsidRPr="006645DC">
              <w:rPr>
                <w:rFonts w:cs="Calibri"/>
                <w:sz w:val="18"/>
                <w:szCs w:val="18"/>
                <w:lang w:val="en-GB"/>
              </w:rPr>
              <w:t xml:space="preserve"> to improve Danube navigability</w:t>
            </w:r>
          </w:p>
          <w:p w14:paraId="3CE205BC"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Lack of </w:t>
            </w:r>
            <w:r w:rsidR="00665EC8" w:rsidRPr="006645DC">
              <w:rPr>
                <w:rFonts w:cs="Calibri"/>
                <w:sz w:val="18"/>
                <w:szCs w:val="18"/>
                <w:lang w:val="en-GB"/>
              </w:rPr>
              <w:t xml:space="preserve">capacity to attract funds </w:t>
            </w:r>
            <w:r w:rsidR="00665EC8" w:rsidRPr="006645DC">
              <w:rPr>
                <w:rFonts w:cs="Calibri"/>
                <w:color w:val="000000"/>
                <w:sz w:val="18"/>
                <w:szCs w:val="18"/>
                <w:lang w:val="en-GB"/>
              </w:rPr>
              <w:t xml:space="preserve">for </w:t>
            </w:r>
            <w:r w:rsidRPr="006645DC">
              <w:rPr>
                <w:rFonts w:cs="Calibri"/>
                <w:color w:val="000000"/>
                <w:sz w:val="18"/>
                <w:szCs w:val="18"/>
                <w:lang w:val="en-GB"/>
              </w:rPr>
              <w:t xml:space="preserve">urban-rural infrastructures </w:t>
            </w:r>
            <w:r w:rsidR="00665EC8" w:rsidRPr="006645DC">
              <w:rPr>
                <w:rFonts w:cs="Calibri"/>
                <w:color w:val="000000"/>
                <w:sz w:val="18"/>
                <w:szCs w:val="18"/>
                <w:lang w:val="en-GB"/>
              </w:rPr>
              <w:t xml:space="preserve">in order to lower </w:t>
            </w:r>
            <w:r w:rsidRPr="006645DC">
              <w:rPr>
                <w:rFonts w:cs="Calibri"/>
                <w:color w:val="000000"/>
                <w:sz w:val="18"/>
                <w:szCs w:val="18"/>
                <w:lang w:val="en-GB"/>
              </w:rPr>
              <w:t xml:space="preserve">the core-periphery disparities. </w:t>
            </w:r>
          </w:p>
          <w:p w14:paraId="4602D650"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Disparities in multimodal accessibility lower the competitiveness of places. </w:t>
            </w:r>
          </w:p>
          <w:p w14:paraId="75E48CCE"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Romania and Bulgaria are in a catching up process and motorized individual transport is on the rise </w:t>
            </w:r>
          </w:p>
          <w:p w14:paraId="5BFAC18E" w14:textId="77777777" w:rsidR="00367167" w:rsidRPr="006645DC" w:rsidRDefault="00367167" w:rsidP="00393EB7">
            <w:pPr>
              <w:autoSpaceDE w:val="0"/>
              <w:autoSpaceDN w:val="0"/>
              <w:adjustRightInd w:val="0"/>
              <w:spacing w:before="0" w:after="0"/>
              <w:rPr>
                <w:rFonts w:cs="Calibri"/>
                <w:sz w:val="18"/>
                <w:szCs w:val="18"/>
                <w:lang w:val="en-GB"/>
              </w:rPr>
            </w:pPr>
            <w:r w:rsidRPr="006645DC">
              <w:rPr>
                <w:rFonts w:cs="Calibri"/>
                <w:sz w:val="18"/>
                <w:szCs w:val="18"/>
                <w:lang w:val="en-GB"/>
              </w:rPr>
              <w:t xml:space="preserve">Lack of infrastructure can hinder the cross-border cooperation </w:t>
            </w:r>
          </w:p>
          <w:p w14:paraId="3DE05534" w14:textId="77777777" w:rsidR="00367167" w:rsidRPr="006645DC" w:rsidRDefault="00367167" w:rsidP="00393EB7">
            <w:pPr>
              <w:autoSpaceDE w:val="0"/>
              <w:autoSpaceDN w:val="0"/>
              <w:adjustRightInd w:val="0"/>
              <w:spacing w:before="0" w:after="0"/>
              <w:rPr>
                <w:rFonts w:cs="Calibri"/>
                <w:sz w:val="18"/>
                <w:szCs w:val="18"/>
                <w:lang w:val="en-GB"/>
              </w:rPr>
            </w:pPr>
            <w:r w:rsidRPr="006645DC">
              <w:rPr>
                <w:rFonts w:cs="Calibri"/>
                <w:sz w:val="18"/>
                <w:szCs w:val="18"/>
                <w:lang w:val="en-GB"/>
              </w:rPr>
              <w:t>Lack of infrastructure can hinder the socio-economic territorial integration</w:t>
            </w:r>
          </w:p>
          <w:p w14:paraId="623185F4" w14:textId="77777777" w:rsidR="00367167" w:rsidRPr="006645DC" w:rsidRDefault="00367167" w:rsidP="00634D50">
            <w:pPr>
              <w:widowControl w:val="0"/>
              <w:autoSpaceDE w:val="0"/>
              <w:autoSpaceDN w:val="0"/>
              <w:adjustRightInd w:val="0"/>
              <w:spacing w:before="0" w:after="0"/>
              <w:jc w:val="left"/>
              <w:rPr>
                <w:rFonts w:cs="Calibri"/>
                <w:sz w:val="18"/>
                <w:szCs w:val="18"/>
                <w:lang w:val="en-GB"/>
              </w:rPr>
            </w:pPr>
          </w:p>
        </w:tc>
      </w:tr>
      <w:tr w:rsidR="00367167" w:rsidRPr="006645DC" w14:paraId="6AB7F8E7" w14:textId="77777777" w:rsidTr="00393EB7">
        <w:tc>
          <w:tcPr>
            <w:tcW w:w="15136" w:type="dxa"/>
            <w:gridSpan w:val="5"/>
            <w:shd w:val="clear" w:color="auto" w:fill="auto"/>
            <w:vAlign w:val="center"/>
          </w:tcPr>
          <w:p w14:paraId="36C9D95F" w14:textId="77777777" w:rsidR="00367167" w:rsidRPr="006645DC" w:rsidRDefault="00367167" w:rsidP="00393EB7">
            <w:pPr>
              <w:widowControl w:val="0"/>
              <w:autoSpaceDE w:val="0"/>
              <w:autoSpaceDN w:val="0"/>
              <w:adjustRightInd w:val="0"/>
              <w:spacing w:before="0" w:after="0"/>
              <w:jc w:val="left"/>
              <w:rPr>
                <w:rFonts w:cs="Calibri"/>
                <w:b/>
                <w:sz w:val="18"/>
                <w:szCs w:val="18"/>
                <w:lang w:val="en-GB"/>
              </w:rPr>
            </w:pPr>
            <w:r w:rsidRPr="006645DC">
              <w:rPr>
                <w:rFonts w:cs="Calibri"/>
                <w:b/>
                <w:sz w:val="18"/>
                <w:szCs w:val="18"/>
                <w:lang w:val="en-GB"/>
              </w:rPr>
              <w:t>Key Message:</w:t>
            </w:r>
          </w:p>
          <w:p w14:paraId="78A4E0DC" w14:textId="77777777" w:rsidR="00367167" w:rsidRPr="006645DC" w:rsidRDefault="00367167" w:rsidP="00C951D5">
            <w:pPr>
              <w:pStyle w:val="ListParagraph"/>
              <w:widowControl w:val="0"/>
              <w:numPr>
                <w:ilvl w:val="0"/>
                <w:numId w:val="62"/>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Improving the Danube navigability</w:t>
            </w:r>
          </w:p>
          <w:p w14:paraId="68533F78" w14:textId="77777777" w:rsidR="00367167" w:rsidRPr="006645DC" w:rsidRDefault="00367167" w:rsidP="00C951D5">
            <w:pPr>
              <w:pStyle w:val="ListParagraph"/>
              <w:widowControl w:val="0"/>
              <w:numPr>
                <w:ilvl w:val="0"/>
                <w:numId w:val="62"/>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Development of multimodal logistic hubs between the Danube and the Black Sea</w:t>
            </w:r>
          </w:p>
          <w:p w14:paraId="5CB6DFFE" w14:textId="77777777" w:rsidR="00367167" w:rsidRPr="006645DC" w:rsidRDefault="00367167" w:rsidP="00C951D5">
            <w:pPr>
              <w:pStyle w:val="ListParagraph"/>
              <w:widowControl w:val="0"/>
              <w:numPr>
                <w:ilvl w:val="0"/>
                <w:numId w:val="62"/>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Enhancing transport infrastructure between urban and rural areas</w:t>
            </w:r>
          </w:p>
          <w:p w14:paraId="6EBC07B6" w14:textId="77777777" w:rsidR="00367167" w:rsidRPr="006645DC" w:rsidRDefault="00367167" w:rsidP="00C951D5">
            <w:pPr>
              <w:pStyle w:val="ListParagraph"/>
              <w:widowControl w:val="0"/>
              <w:numPr>
                <w:ilvl w:val="0"/>
                <w:numId w:val="62"/>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Better coordination of planning in the field of transport and mobility</w:t>
            </w:r>
          </w:p>
          <w:p w14:paraId="3E80B54C" w14:textId="77777777" w:rsidR="00367167" w:rsidRPr="006645DC" w:rsidRDefault="00367167" w:rsidP="00C951D5">
            <w:pPr>
              <w:pStyle w:val="ListParagraph"/>
              <w:keepNext/>
              <w:keepLines/>
              <w:numPr>
                <w:ilvl w:val="0"/>
                <w:numId w:val="62"/>
              </w:numPr>
              <w:autoSpaceDE w:val="0"/>
              <w:autoSpaceDN w:val="0"/>
              <w:adjustRightInd w:val="0"/>
              <w:spacing w:before="0" w:after="0"/>
              <w:contextualSpacing/>
              <w:jc w:val="left"/>
              <w:outlineLvl w:val="1"/>
              <w:rPr>
                <w:rFonts w:cs="Calibri"/>
                <w:sz w:val="18"/>
                <w:szCs w:val="18"/>
                <w:lang w:val="en-GB"/>
              </w:rPr>
            </w:pPr>
            <w:bookmarkStart w:id="2333" w:name="_Toc376200417"/>
            <w:r w:rsidRPr="006645DC">
              <w:rPr>
                <w:rFonts w:cs="Calibri"/>
                <w:b/>
                <w:sz w:val="18"/>
                <w:szCs w:val="18"/>
                <w:lang w:val="en-GB"/>
              </w:rPr>
              <w:t>Further development of integrated cross border transport supply</w:t>
            </w:r>
            <w:bookmarkEnd w:id="2333"/>
          </w:p>
        </w:tc>
      </w:tr>
    </w:tbl>
    <w:p w14:paraId="2ED49D05" w14:textId="77777777" w:rsidR="00367167" w:rsidRPr="006645DC" w:rsidRDefault="00367167" w:rsidP="00367167">
      <w:pPr>
        <w:rPr>
          <w:rFonts w:cs="Calibri"/>
          <w:lang w:val="en-GB"/>
        </w:rPr>
      </w:pPr>
    </w:p>
    <w:tbl>
      <w:tblPr>
        <w:tblW w:w="151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2857"/>
        <w:gridCol w:w="3402"/>
        <w:gridCol w:w="3827"/>
        <w:gridCol w:w="3066"/>
      </w:tblGrid>
      <w:tr w:rsidR="00367167" w:rsidRPr="006645DC" w14:paraId="54858D88" w14:textId="77777777" w:rsidTr="001807BA">
        <w:trPr>
          <w:jc w:val="center"/>
        </w:trPr>
        <w:tc>
          <w:tcPr>
            <w:tcW w:w="1984" w:type="dxa"/>
            <w:shd w:val="clear" w:color="auto" w:fill="76923C" w:themeFill="accent3" w:themeFillShade="BF"/>
            <w:vAlign w:val="center"/>
          </w:tcPr>
          <w:p w14:paraId="2D98A042"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lastRenderedPageBreak/>
              <w:t>Thematic objective</w:t>
            </w:r>
          </w:p>
        </w:tc>
        <w:tc>
          <w:tcPr>
            <w:tcW w:w="2857" w:type="dxa"/>
            <w:shd w:val="clear" w:color="auto" w:fill="76923C" w:themeFill="accent3" w:themeFillShade="BF"/>
            <w:vAlign w:val="center"/>
          </w:tcPr>
          <w:p w14:paraId="5348DCD7"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Strengths</w:t>
            </w:r>
          </w:p>
        </w:tc>
        <w:tc>
          <w:tcPr>
            <w:tcW w:w="3402" w:type="dxa"/>
            <w:shd w:val="clear" w:color="auto" w:fill="76923C" w:themeFill="accent3" w:themeFillShade="BF"/>
            <w:vAlign w:val="center"/>
          </w:tcPr>
          <w:p w14:paraId="2D4D0E48"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Weaknesses</w:t>
            </w:r>
          </w:p>
        </w:tc>
        <w:tc>
          <w:tcPr>
            <w:tcW w:w="3827" w:type="dxa"/>
            <w:shd w:val="clear" w:color="auto" w:fill="76923C" w:themeFill="accent3" w:themeFillShade="BF"/>
            <w:vAlign w:val="center"/>
          </w:tcPr>
          <w:p w14:paraId="0029A266"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Opportunities</w:t>
            </w:r>
          </w:p>
        </w:tc>
        <w:tc>
          <w:tcPr>
            <w:tcW w:w="3066" w:type="dxa"/>
            <w:shd w:val="clear" w:color="auto" w:fill="76923C" w:themeFill="accent3" w:themeFillShade="BF"/>
            <w:vAlign w:val="center"/>
          </w:tcPr>
          <w:p w14:paraId="5847C60C"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Threats</w:t>
            </w:r>
          </w:p>
        </w:tc>
      </w:tr>
      <w:tr w:rsidR="00367167" w:rsidRPr="006645DC" w14:paraId="7254A7EA" w14:textId="77777777" w:rsidTr="00393EB7">
        <w:trPr>
          <w:jc w:val="center"/>
        </w:trPr>
        <w:tc>
          <w:tcPr>
            <w:tcW w:w="1984" w:type="dxa"/>
            <w:shd w:val="clear" w:color="auto" w:fill="auto"/>
            <w:vAlign w:val="center"/>
          </w:tcPr>
          <w:p w14:paraId="22937419" w14:textId="77777777" w:rsidR="00367167" w:rsidRPr="006645DC" w:rsidRDefault="00367167" w:rsidP="00393EB7">
            <w:pPr>
              <w:autoSpaceDE w:val="0"/>
              <w:autoSpaceDN w:val="0"/>
              <w:adjustRightInd w:val="0"/>
              <w:spacing w:before="0" w:after="0"/>
              <w:jc w:val="left"/>
              <w:rPr>
                <w:rFonts w:cs="Calibri"/>
                <w:b/>
                <w:sz w:val="18"/>
                <w:szCs w:val="18"/>
                <w:lang w:val="en-GB"/>
              </w:rPr>
            </w:pPr>
            <w:r w:rsidRPr="006645DC">
              <w:rPr>
                <w:rFonts w:cs="Calibri"/>
                <w:b/>
                <w:sz w:val="18"/>
                <w:szCs w:val="18"/>
                <w:lang w:val="en-GB"/>
              </w:rPr>
              <w:t>Employment and labour mobility</w:t>
            </w:r>
          </w:p>
        </w:tc>
        <w:tc>
          <w:tcPr>
            <w:tcW w:w="2857" w:type="dxa"/>
            <w:shd w:val="clear" w:color="auto" w:fill="auto"/>
            <w:vAlign w:val="center"/>
          </w:tcPr>
          <w:p w14:paraId="0DD9A6D2"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34" w:name="_Toc376200418"/>
            <w:r w:rsidRPr="006645DC">
              <w:rPr>
                <w:rFonts w:cs="Calibri"/>
                <w:sz w:val="18"/>
                <w:szCs w:val="18"/>
                <w:lang w:val="en-GB"/>
              </w:rPr>
              <w:t>Natural and cultural heritage as important location factors</w:t>
            </w:r>
            <w:bookmarkEnd w:id="2334"/>
          </w:p>
          <w:p w14:paraId="71E1818E"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Tourism as a tool to balance regional disparities and job creation</w:t>
            </w:r>
          </w:p>
          <w:p w14:paraId="7334186C" w14:textId="77777777" w:rsidR="00367167" w:rsidRPr="006645DC" w:rsidRDefault="00367167" w:rsidP="00393EB7">
            <w:pPr>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The appeal of the Cross Border area main universities with diverse and complete curriculum</w:t>
            </w:r>
          </w:p>
          <w:p w14:paraId="3099E08B"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color w:val="000000"/>
                <w:sz w:val="18"/>
                <w:szCs w:val="18"/>
                <w:lang w:val="en-GB"/>
              </w:rPr>
              <w:t>Existing tradition in vocational training</w:t>
            </w:r>
          </w:p>
        </w:tc>
        <w:tc>
          <w:tcPr>
            <w:tcW w:w="3402" w:type="dxa"/>
            <w:shd w:val="clear" w:color="auto" w:fill="auto"/>
            <w:vAlign w:val="center"/>
          </w:tcPr>
          <w:p w14:paraId="1A481156"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35" w:name="_Toc376200419"/>
            <w:r w:rsidRPr="006645DC">
              <w:rPr>
                <w:rFonts w:cs="Calibri"/>
                <w:sz w:val="18"/>
                <w:szCs w:val="18"/>
                <w:lang w:val="en-GB"/>
              </w:rPr>
              <w:t>Increasing social diversity and polarisation,</w:t>
            </w:r>
            <w:bookmarkEnd w:id="2335"/>
          </w:p>
          <w:p w14:paraId="59CDC5BD"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Strong economic disparities</w:t>
            </w:r>
          </w:p>
          <w:p w14:paraId="4627D806"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Low activity rate</w:t>
            </w:r>
          </w:p>
          <w:p w14:paraId="01973B65"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Increasing number of youth unemployment </w:t>
            </w:r>
          </w:p>
          <w:p w14:paraId="21CE43AC"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Seasonal imbalance (tourism), seasonal character of significant part of economic activities in the region (e.g. construction, agriculture, tourism)</w:t>
            </w:r>
          </w:p>
          <w:p w14:paraId="0106D6E3"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Unavailability of cross border labour market information </w:t>
            </w:r>
          </w:p>
          <w:p w14:paraId="7E6E6052"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Low level of labour productivity </w:t>
            </w:r>
          </w:p>
          <w:p w14:paraId="6B722588"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Brain-drain to Capital Cities or to foreign countries</w:t>
            </w:r>
          </w:p>
          <w:p w14:paraId="1516CA38"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High dependency from economic centres</w:t>
            </w:r>
          </w:p>
          <w:p w14:paraId="26588AE8"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Language barrier </w:t>
            </w:r>
          </w:p>
          <w:p w14:paraId="2DD5A17A"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Demographic change with negative influence on labour force</w:t>
            </w:r>
          </w:p>
          <w:p w14:paraId="77A08BD3"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Low employment levels, especially on the Bulgarian side</w:t>
            </w:r>
          </w:p>
          <w:p w14:paraId="65211AEE"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Strong economic disparities between the counties/districts. </w:t>
            </w:r>
          </w:p>
          <w:p w14:paraId="42131146"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Inequalities in GDP at the rural-urban level </w:t>
            </w:r>
          </w:p>
          <w:p w14:paraId="708A8B16"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p>
        </w:tc>
        <w:tc>
          <w:tcPr>
            <w:tcW w:w="3827" w:type="dxa"/>
            <w:shd w:val="clear" w:color="auto" w:fill="auto"/>
            <w:vAlign w:val="center"/>
          </w:tcPr>
          <w:p w14:paraId="0E06B0F9"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36" w:name="_Toc376200420"/>
            <w:r w:rsidRPr="006645DC">
              <w:rPr>
                <w:rFonts w:cs="Calibri"/>
                <w:sz w:val="18"/>
                <w:szCs w:val="18"/>
                <w:lang w:val="en-GB"/>
              </w:rPr>
              <w:t>Flexibilisation of the labour market</w:t>
            </w:r>
            <w:bookmarkEnd w:id="2336"/>
          </w:p>
          <w:p w14:paraId="31BFFC2D"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Destination for foreign investment</w:t>
            </w:r>
          </w:p>
          <w:p w14:paraId="2D3A1B46"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Support of alternative employment forms</w:t>
            </w:r>
          </w:p>
          <w:p w14:paraId="29350680"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Tourism development</w:t>
            </w:r>
          </w:p>
          <w:p w14:paraId="72472D92"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Cross border labour market strategies and cooperation</w:t>
            </w:r>
          </w:p>
          <w:p w14:paraId="2FAC2869"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Creation of cross border labour market organizations, exchange platforms and activities</w:t>
            </w:r>
          </w:p>
          <w:p w14:paraId="7A970D0C"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Development of labour mobility within the States. </w:t>
            </w:r>
          </w:p>
          <w:p w14:paraId="0FDC7B73"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color w:val="000000"/>
                <w:sz w:val="18"/>
                <w:szCs w:val="18"/>
                <w:lang w:val="en-GB"/>
              </w:rPr>
              <w:t>Cooperation in tourism development</w:t>
            </w:r>
          </w:p>
          <w:p w14:paraId="1878A872"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Attractiveness of the Eastern Danube Gateway as a destination for foreign investment, particularly of cities and agglomerations </w:t>
            </w:r>
          </w:p>
          <w:p w14:paraId="67E2E3B2"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Support of alternative employment forms through EU funding </w:t>
            </w:r>
          </w:p>
          <w:p w14:paraId="06460C0B"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Identification of new niches for future development due to labour market transformations </w:t>
            </w:r>
          </w:p>
          <w:p w14:paraId="4848B672"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Development of social economy</w:t>
            </w:r>
          </w:p>
          <w:p w14:paraId="288C12F3"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Possibility of reverse migration trends from abroad</w:t>
            </w:r>
          </w:p>
          <w:p w14:paraId="20BFBE75"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Strategies for combining labour and family life</w:t>
            </w:r>
          </w:p>
        </w:tc>
        <w:tc>
          <w:tcPr>
            <w:tcW w:w="3066" w:type="dxa"/>
            <w:shd w:val="clear" w:color="auto" w:fill="auto"/>
            <w:vAlign w:val="center"/>
          </w:tcPr>
          <w:p w14:paraId="76FA6199"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37" w:name="_Toc376200421"/>
            <w:r w:rsidRPr="006645DC">
              <w:rPr>
                <w:rFonts w:cs="Calibri"/>
                <w:sz w:val="18"/>
                <w:szCs w:val="18"/>
                <w:lang w:val="en-GB"/>
              </w:rPr>
              <w:t>Increasing labour market competition</w:t>
            </w:r>
            <w:bookmarkEnd w:id="2337"/>
          </w:p>
          <w:p w14:paraId="7E7F1547"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Negative effects on the employment market due to ageing</w:t>
            </w:r>
          </w:p>
          <w:p w14:paraId="6C6037CE"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The high unemployment rates have seen a strong increase over the last few years, </w:t>
            </w:r>
          </w:p>
          <w:p w14:paraId="4249D325"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The continuous drain of human resources notably of young people, graduated or not, towards other European countries.</w:t>
            </w:r>
          </w:p>
          <w:p w14:paraId="25360F48"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Pressure on economic productivity </w:t>
            </w:r>
          </w:p>
          <w:p w14:paraId="25F4F2A8"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Rising competitiveness of different locations due to disappearing borders </w:t>
            </w:r>
          </w:p>
          <w:p w14:paraId="410DE508"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Decrease of employment in the primary and secondary sector due to market transformation </w:t>
            </w:r>
          </w:p>
          <w:p w14:paraId="4D18411E"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Shortage of skilled workers </w:t>
            </w:r>
          </w:p>
          <w:p w14:paraId="3686F43D"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Peripheral areas don’t show any sign of recovery after the economic crisis</w:t>
            </w:r>
          </w:p>
        </w:tc>
      </w:tr>
      <w:tr w:rsidR="00367167" w:rsidRPr="006645DC" w14:paraId="5388E4D1" w14:textId="77777777" w:rsidTr="00393EB7">
        <w:trPr>
          <w:jc w:val="center"/>
        </w:trPr>
        <w:tc>
          <w:tcPr>
            <w:tcW w:w="15136" w:type="dxa"/>
            <w:gridSpan w:val="5"/>
            <w:shd w:val="clear" w:color="auto" w:fill="auto"/>
            <w:vAlign w:val="center"/>
          </w:tcPr>
          <w:p w14:paraId="34BAC175" w14:textId="77777777" w:rsidR="00367167" w:rsidRPr="006645DC" w:rsidRDefault="00367167" w:rsidP="00393EB7">
            <w:pPr>
              <w:keepNext/>
              <w:keepLines/>
              <w:widowControl w:val="0"/>
              <w:autoSpaceDE w:val="0"/>
              <w:autoSpaceDN w:val="0"/>
              <w:adjustRightInd w:val="0"/>
              <w:spacing w:before="0" w:after="0"/>
              <w:jc w:val="left"/>
              <w:outlineLvl w:val="1"/>
              <w:rPr>
                <w:rFonts w:cs="Calibri"/>
                <w:b/>
                <w:sz w:val="18"/>
                <w:szCs w:val="20"/>
                <w:lang w:val="en-GB"/>
              </w:rPr>
            </w:pPr>
            <w:bookmarkStart w:id="2338" w:name="_Toc376200422"/>
            <w:r w:rsidRPr="006645DC">
              <w:rPr>
                <w:rFonts w:cs="Calibri"/>
                <w:b/>
                <w:sz w:val="18"/>
                <w:szCs w:val="20"/>
                <w:lang w:val="en-GB"/>
              </w:rPr>
              <w:t>Key Messages:</w:t>
            </w:r>
            <w:bookmarkEnd w:id="2338"/>
          </w:p>
          <w:p w14:paraId="7B9C6C4F" w14:textId="77777777" w:rsidR="00367167" w:rsidRPr="006645DC" w:rsidRDefault="00367167" w:rsidP="00C951D5">
            <w:pPr>
              <w:pStyle w:val="ListParagraph"/>
              <w:widowControl w:val="0"/>
              <w:numPr>
                <w:ilvl w:val="0"/>
                <w:numId w:val="63"/>
              </w:numPr>
              <w:autoSpaceDE w:val="0"/>
              <w:autoSpaceDN w:val="0"/>
              <w:adjustRightInd w:val="0"/>
              <w:spacing w:before="0" w:after="0"/>
              <w:contextualSpacing/>
              <w:jc w:val="left"/>
              <w:rPr>
                <w:rFonts w:cs="Calibri"/>
                <w:b/>
                <w:sz w:val="18"/>
                <w:szCs w:val="20"/>
                <w:lang w:val="en-GB"/>
              </w:rPr>
            </w:pPr>
            <w:r w:rsidRPr="006645DC">
              <w:rPr>
                <w:rFonts w:cs="Calibri"/>
                <w:b/>
                <w:sz w:val="18"/>
                <w:szCs w:val="20"/>
                <w:lang w:val="en-GB"/>
              </w:rPr>
              <w:t xml:space="preserve">Intensify cross border cooperation in the field of the labour market </w:t>
            </w:r>
          </w:p>
          <w:p w14:paraId="3AF4057D" w14:textId="77777777" w:rsidR="00367167" w:rsidRPr="006645DC" w:rsidRDefault="00367167" w:rsidP="00C951D5">
            <w:pPr>
              <w:pStyle w:val="ListParagraph"/>
              <w:numPr>
                <w:ilvl w:val="0"/>
                <w:numId w:val="63"/>
              </w:numPr>
              <w:autoSpaceDE w:val="0"/>
              <w:autoSpaceDN w:val="0"/>
              <w:adjustRightInd w:val="0"/>
              <w:spacing w:before="0" w:after="0"/>
              <w:contextualSpacing/>
              <w:jc w:val="left"/>
              <w:rPr>
                <w:rFonts w:cs="Calibri"/>
                <w:b/>
                <w:sz w:val="18"/>
                <w:szCs w:val="20"/>
                <w:lang w:val="en-GB"/>
              </w:rPr>
            </w:pPr>
            <w:r w:rsidRPr="006645DC">
              <w:rPr>
                <w:rFonts w:cs="Calibri"/>
                <w:b/>
                <w:sz w:val="18"/>
                <w:szCs w:val="20"/>
                <w:lang w:val="en-GB"/>
              </w:rPr>
              <w:t>Development of alternative employment forms and of the social economy</w:t>
            </w:r>
          </w:p>
          <w:p w14:paraId="3E8370BD" w14:textId="77777777" w:rsidR="00367167" w:rsidRPr="006645DC" w:rsidRDefault="00367167" w:rsidP="00C951D5">
            <w:pPr>
              <w:pStyle w:val="ListParagraph"/>
              <w:numPr>
                <w:ilvl w:val="0"/>
                <w:numId w:val="63"/>
              </w:numPr>
              <w:autoSpaceDE w:val="0"/>
              <w:autoSpaceDN w:val="0"/>
              <w:adjustRightInd w:val="0"/>
              <w:spacing w:before="0" w:after="0"/>
              <w:contextualSpacing/>
              <w:jc w:val="left"/>
              <w:rPr>
                <w:rFonts w:cs="Calibri"/>
                <w:b/>
                <w:sz w:val="18"/>
                <w:szCs w:val="20"/>
                <w:lang w:val="en-GB"/>
              </w:rPr>
            </w:pPr>
            <w:r w:rsidRPr="006645DC">
              <w:rPr>
                <w:rFonts w:cs="Calibri"/>
                <w:b/>
                <w:sz w:val="18"/>
                <w:szCs w:val="20"/>
                <w:lang w:val="en-GB"/>
              </w:rPr>
              <w:t>Development of skilled vocational training and intensification of links between universities and companies</w:t>
            </w:r>
          </w:p>
        </w:tc>
      </w:tr>
    </w:tbl>
    <w:p w14:paraId="45BEFDD1" w14:textId="77777777" w:rsidR="00367167" w:rsidRPr="006645DC" w:rsidRDefault="00367167" w:rsidP="00367167">
      <w:pPr>
        <w:rPr>
          <w:lang w:val="en-GB"/>
        </w:rPr>
        <w:sectPr w:rsidR="00367167" w:rsidRPr="006645DC" w:rsidSect="00367167">
          <w:pgSz w:w="16840" w:h="11900" w:orient="landscape"/>
          <w:pgMar w:top="1800" w:right="1440" w:bottom="1800" w:left="1440" w:header="708" w:footer="708" w:gutter="0"/>
          <w:cols w:space="708"/>
          <w:docGrid w:linePitch="360"/>
        </w:sectPr>
      </w:pPr>
    </w:p>
    <w:p w14:paraId="4B1C173D" w14:textId="77777777" w:rsidR="00367167" w:rsidRPr="006645DC" w:rsidRDefault="00367167" w:rsidP="00367167">
      <w:pPr>
        <w:rPr>
          <w:lang w:val="en-GB"/>
        </w:rPr>
      </w:pPr>
    </w:p>
    <w:tbl>
      <w:tblPr>
        <w:tblW w:w="151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288"/>
        <w:gridCol w:w="3288"/>
        <w:gridCol w:w="3288"/>
        <w:gridCol w:w="3288"/>
      </w:tblGrid>
      <w:tr w:rsidR="00367167" w:rsidRPr="006645DC" w14:paraId="29F1148F" w14:textId="77777777" w:rsidTr="001807BA">
        <w:trPr>
          <w:jc w:val="center"/>
        </w:trPr>
        <w:tc>
          <w:tcPr>
            <w:tcW w:w="1984" w:type="dxa"/>
            <w:shd w:val="clear" w:color="auto" w:fill="76923C" w:themeFill="accent3" w:themeFillShade="BF"/>
            <w:vAlign w:val="center"/>
          </w:tcPr>
          <w:p w14:paraId="0FB4509C" w14:textId="77777777" w:rsidR="00367167" w:rsidRPr="006645DC" w:rsidRDefault="00367167" w:rsidP="001807BA">
            <w:pPr>
              <w:keepNext/>
              <w:keepLines/>
              <w:spacing w:before="0" w:after="0"/>
              <w:outlineLvl w:val="1"/>
              <w:rPr>
                <w:rFonts w:cs="Calibri"/>
                <w:b/>
                <w:color w:val="FFFFFF"/>
                <w:sz w:val="18"/>
                <w:szCs w:val="18"/>
                <w:lang w:val="en-GB"/>
              </w:rPr>
            </w:pPr>
            <w:bookmarkStart w:id="2339" w:name="_Toc376200423"/>
            <w:r w:rsidRPr="006645DC">
              <w:rPr>
                <w:rFonts w:cs="Calibri"/>
                <w:b/>
                <w:color w:val="FFFFFF"/>
                <w:sz w:val="18"/>
                <w:szCs w:val="18"/>
                <w:lang w:val="en-GB"/>
              </w:rPr>
              <w:t>Thematic objective</w:t>
            </w:r>
            <w:bookmarkEnd w:id="2339"/>
          </w:p>
        </w:tc>
        <w:tc>
          <w:tcPr>
            <w:tcW w:w="3288" w:type="dxa"/>
            <w:shd w:val="clear" w:color="auto" w:fill="76923C" w:themeFill="accent3" w:themeFillShade="BF"/>
            <w:vAlign w:val="center"/>
          </w:tcPr>
          <w:p w14:paraId="13853529"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Strengths</w:t>
            </w:r>
          </w:p>
        </w:tc>
        <w:tc>
          <w:tcPr>
            <w:tcW w:w="3288" w:type="dxa"/>
            <w:shd w:val="clear" w:color="auto" w:fill="76923C" w:themeFill="accent3" w:themeFillShade="BF"/>
            <w:vAlign w:val="center"/>
          </w:tcPr>
          <w:p w14:paraId="78551A1E"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Weaknesses</w:t>
            </w:r>
          </w:p>
        </w:tc>
        <w:tc>
          <w:tcPr>
            <w:tcW w:w="3288" w:type="dxa"/>
            <w:shd w:val="clear" w:color="auto" w:fill="76923C" w:themeFill="accent3" w:themeFillShade="BF"/>
            <w:vAlign w:val="center"/>
          </w:tcPr>
          <w:p w14:paraId="73D7E1E3"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Opportunities</w:t>
            </w:r>
          </w:p>
        </w:tc>
        <w:tc>
          <w:tcPr>
            <w:tcW w:w="3288" w:type="dxa"/>
            <w:shd w:val="clear" w:color="auto" w:fill="76923C" w:themeFill="accent3" w:themeFillShade="BF"/>
            <w:vAlign w:val="center"/>
          </w:tcPr>
          <w:p w14:paraId="3C01BE5F"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Threats</w:t>
            </w:r>
          </w:p>
        </w:tc>
      </w:tr>
      <w:tr w:rsidR="00367167" w:rsidRPr="006645DC" w14:paraId="4220C684" w14:textId="77777777" w:rsidTr="00393EB7">
        <w:trPr>
          <w:jc w:val="center"/>
        </w:trPr>
        <w:tc>
          <w:tcPr>
            <w:tcW w:w="1984" w:type="dxa"/>
            <w:shd w:val="clear" w:color="auto" w:fill="auto"/>
            <w:vAlign w:val="center"/>
          </w:tcPr>
          <w:p w14:paraId="20AE87D2" w14:textId="77777777" w:rsidR="00367167" w:rsidRPr="006645DC" w:rsidRDefault="00367167" w:rsidP="00393EB7">
            <w:pPr>
              <w:autoSpaceDE w:val="0"/>
              <w:autoSpaceDN w:val="0"/>
              <w:adjustRightInd w:val="0"/>
              <w:spacing w:before="0" w:after="0"/>
              <w:jc w:val="left"/>
              <w:rPr>
                <w:rFonts w:cs="Calibri"/>
                <w:b/>
                <w:sz w:val="18"/>
                <w:szCs w:val="18"/>
                <w:lang w:val="en-GB"/>
              </w:rPr>
            </w:pPr>
            <w:r w:rsidRPr="006645DC">
              <w:rPr>
                <w:rFonts w:cs="Calibri"/>
                <w:b/>
                <w:sz w:val="18"/>
                <w:szCs w:val="18"/>
                <w:lang w:val="en-GB"/>
              </w:rPr>
              <w:t>Social Inclusion and combating poverty</w:t>
            </w:r>
          </w:p>
        </w:tc>
        <w:tc>
          <w:tcPr>
            <w:tcW w:w="3288" w:type="dxa"/>
            <w:shd w:val="clear" w:color="auto" w:fill="auto"/>
            <w:vAlign w:val="center"/>
          </w:tcPr>
          <w:p w14:paraId="629D3CE8"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40" w:name="_Toc376200424"/>
            <w:r w:rsidRPr="006645DC">
              <w:rPr>
                <w:rFonts w:cs="Calibri"/>
                <w:sz w:val="18"/>
                <w:szCs w:val="18"/>
                <w:lang w:val="en-GB"/>
              </w:rPr>
              <w:t>Diverse population, as e.g. ethnic diversity and presence of linguistic minorities with higher natural population growth.</w:t>
            </w:r>
            <w:bookmarkEnd w:id="2340"/>
          </w:p>
          <w:p w14:paraId="45368445"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Continuous growth of life expectancy</w:t>
            </w:r>
          </w:p>
          <w:p w14:paraId="577D2BCC"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Increasing awareness of the importance of gender equality</w:t>
            </w:r>
          </w:p>
          <w:p w14:paraId="78061E0D"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A full range of high quality and free training offered through European Social Funds</w:t>
            </w:r>
          </w:p>
          <w:p w14:paraId="1DBBDCF9"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4B1906DC"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tc>
        <w:tc>
          <w:tcPr>
            <w:tcW w:w="3288" w:type="dxa"/>
            <w:shd w:val="clear" w:color="auto" w:fill="auto"/>
            <w:vAlign w:val="center"/>
          </w:tcPr>
          <w:p w14:paraId="1A290DED"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41" w:name="_Toc376200425"/>
            <w:r w:rsidRPr="006645DC">
              <w:rPr>
                <w:rFonts w:cs="Calibri"/>
                <w:sz w:val="18"/>
                <w:szCs w:val="18"/>
                <w:lang w:val="en-GB"/>
              </w:rPr>
              <w:t>Bad access to services and employment in rural sparsely populated areas</w:t>
            </w:r>
            <w:bookmarkEnd w:id="2341"/>
          </w:p>
          <w:p w14:paraId="3407F512"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A large part of the population is at risk of poverty and social exclusion </w:t>
            </w:r>
          </w:p>
          <w:p w14:paraId="30518151"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Marginalisation of peripheral areas Continuous depopulation trend</w:t>
            </w:r>
          </w:p>
          <w:p w14:paraId="41DAC8BB"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Low quality of living conditions in some rural but also small/medium sized cities</w:t>
            </w:r>
          </w:p>
          <w:p w14:paraId="015392A4"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Low standard of social and health services </w:t>
            </w:r>
          </w:p>
          <w:p w14:paraId="7E2D55D9"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Ageing population and (selective) emigration</w:t>
            </w:r>
          </w:p>
          <w:p w14:paraId="2C434F7C"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Restructuring of the health care system had negative effect on the infrastructure</w:t>
            </w:r>
          </w:p>
          <w:p w14:paraId="2D4D0B69"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Affected social and technical infrastructure by demographic change</w:t>
            </w:r>
          </w:p>
          <w:p w14:paraId="7FBB79EE"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Increasing social diversity and polarisation</w:t>
            </w:r>
          </w:p>
          <w:p w14:paraId="5641A7E8"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Major and increasing gaps in quality and physical conditions of public services</w:t>
            </w:r>
          </w:p>
          <w:p w14:paraId="2FD34048"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Disadvantages for ethnic minorities – social problems, low levels of education, high unemployment, etc. </w:t>
            </w:r>
          </w:p>
          <w:p w14:paraId="5655CB3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Risk of poverty for different groups </w:t>
            </w:r>
          </w:p>
        </w:tc>
        <w:tc>
          <w:tcPr>
            <w:tcW w:w="3288" w:type="dxa"/>
            <w:shd w:val="clear" w:color="auto" w:fill="auto"/>
            <w:vAlign w:val="center"/>
          </w:tcPr>
          <w:p w14:paraId="34610A1E" w14:textId="77777777" w:rsidR="00367167" w:rsidRPr="006645DC" w:rsidRDefault="00367167" w:rsidP="00393EB7">
            <w:pPr>
              <w:keepNext/>
              <w:keepLines/>
              <w:widowControl w:val="0"/>
              <w:autoSpaceDE w:val="0"/>
              <w:autoSpaceDN w:val="0"/>
              <w:adjustRightInd w:val="0"/>
              <w:spacing w:before="0" w:after="0"/>
              <w:jc w:val="left"/>
              <w:outlineLvl w:val="1"/>
              <w:rPr>
                <w:rFonts w:cs="Calibri"/>
                <w:color w:val="000000"/>
                <w:sz w:val="18"/>
                <w:szCs w:val="18"/>
                <w:lang w:val="en-GB"/>
              </w:rPr>
            </w:pPr>
            <w:bookmarkStart w:id="2342" w:name="_Toc376200426"/>
            <w:r w:rsidRPr="006645DC">
              <w:rPr>
                <w:rFonts w:cs="Calibri"/>
                <w:color w:val="000000"/>
                <w:sz w:val="18"/>
                <w:szCs w:val="18"/>
                <w:lang w:val="en-GB"/>
              </w:rPr>
              <w:t>Development of the social and solidarity economy and the potential for social innovation</w:t>
            </w:r>
            <w:bookmarkEnd w:id="2342"/>
            <w:r w:rsidRPr="006645DC">
              <w:rPr>
                <w:rFonts w:cs="Calibri"/>
                <w:color w:val="000000"/>
                <w:sz w:val="18"/>
                <w:szCs w:val="18"/>
                <w:lang w:val="en-GB"/>
              </w:rPr>
              <w:t xml:space="preserve"> </w:t>
            </w:r>
          </w:p>
          <w:p w14:paraId="09CDE948"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Equal opportunities as a horizontal theme (programming, implementation, monitoring, evaluation) </w:t>
            </w:r>
          </w:p>
          <w:p w14:paraId="3B7B3477"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Potential for new employment opportunities in the health and social care system</w:t>
            </w:r>
          </w:p>
        </w:tc>
        <w:tc>
          <w:tcPr>
            <w:tcW w:w="3288" w:type="dxa"/>
            <w:shd w:val="clear" w:color="auto" w:fill="auto"/>
            <w:vAlign w:val="center"/>
          </w:tcPr>
          <w:p w14:paraId="009893BF"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43" w:name="_Toc376200427"/>
            <w:r w:rsidRPr="006645DC">
              <w:rPr>
                <w:rFonts w:cs="Calibri"/>
                <w:sz w:val="18"/>
                <w:szCs w:val="18"/>
                <w:lang w:val="en-GB"/>
              </w:rPr>
              <w:t>Continuous Ageing population</w:t>
            </w:r>
            <w:bookmarkEnd w:id="2343"/>
          </w:p>
          <w:p w14:paraId="7868CA0B"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Shrinking peripheral regions</w:t>
            </w:r>
          </w:p>
          <w:p w14:paraId="671C0906"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The alarming human and social effects of the crisis (levels of poverty and extreme poverty) </w:t>
            </w:r>
          </w:p>
          <w:p w14:paraId="39930851"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Increasing number of depopulated areas</w:t>
            </w:r>
          </w:p>
          <w:p w14:paraId="58B2DCCC"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Brain drain occurrences in peripheral regions</w:t>
            </w:r>
          </w:p>
          <w:p w14:paraId="60CD61FD"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Fertility rate below reproduction level</w:t>
            </w:r>
          </w:p>
          <w:p w14:paraId="4235059F"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Fertility rate below reproduction level </w:t>
            </w:r>
          </w:p>
          <w:p w14:paraId="07256F05"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Increasing social diversity and polarisation </w:t>
            </w:r>
          </w:p>
        </w:tc>
      </w:tr>
      <w:tr w:rsidR="00367167" w:rsidRPr="006645DC" w14:paraId="7C589608" w14:textId="77777777" w:rsidTr="00393EB7">
        <w:trPr>
          <w:jc w:val="center"/>
        </w:trPr>
        <w:tc>
          <w:tcPr>
            <w:tcW w:w="15136" w:type="dxa"/>
            <w:gridSpan w:val="5"/>
            <w:shd w:val="clear" w:color="auto" w:fill="auto"/>
            <w:vAlign w:val="center"/>
          </w:tcPr>
          <w:p w14:paraId="7E6C9C87" w14:textId="77777777" w:rsidR="00367167" w:rsidRPr="006645DC" w:rsidRDefault="00367167" w:rsidP="00393EB7">
            <w:pPr>
              <w:keepNext/>
              <w:keepLines/>
              <w:widowControl w:val="0"/>
              <w:autoSpaceDE w:val="0"/>
              <w:autoSpaceDN w:val="0"/>
              <w:adjustRightInd w:val="0"/>
              <w:spacing w:before="0" w:after="0"/>
              <w:jc w:val="left"/>
              <w:outlineLvl w:val="1"/>
              <w:rPr>
                <w:rFonts w:cs="Calibri"/>
                <w:b/>
                <w:sz w:val="18"/>
                <w:szCs w:val="18"/>
                <w:lang w:val="en-GB"/>
              </w:rPr>
            </w:pPr>
            <w:bookmarkStart w:id="2344" w:name="_Toc376200428"/>
            <w:r w:rsidRPr="006645DC">
              <w:rPr>
                <w:rFonts w:cs="Calibri"/>
                <w:b/>
                <w:sz w:val="18"/>
                <w:szCs w:val="18"/>
                <w:lang w:val="en-GB"/>
              </w:rPr>
              <w:t>Key Messages:</w:t>
            </w:r>
            <w:bookmarkEnd w:id="2344"/>
          </w:p>
          <w:p w14:paraId="27BDDA6F" w14:textId="77777777" w:rsidR="00367167" w:rsidRPr="006645DC" w:rsidRDefault="00367167" w:rsidP="00C951D5">
            <w:pPr>
              <w:pStyle w:val="ListParagraph"/>
              <w:widowControl w:val="0"/>
              <w:numPr>
                <w:ilvl w:val="0"/>
                <w:numId w:val="64"/>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Integration of ethnic minorities in the labour market</w:t>
            </w:r>
          </w:p>
          <w:p w14:paraId="3971A3AD" w14:textId="77777777" w:rsidR="00367167" w:rsidRPr="006645DC" w:rsidRDefault="00367167" w:rsidP="00C951D5">
            <w:pPr>
              <w:pStyle w:val="ListParagraph"/>
              <w:widowControl w:val="0"/>
              <w:numPr>
                <w:ilvl w:val="0"/>
                <w:numId w:val="64"/>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Best practice adoption for the provision of public services in depopulating areas such as online innovation solutions</w:t>
            </w:r>
          </w:p>
          <w:p w14:paraId="57A0E509" w14:textId="77777777" w:rsidR="00367167" w:rsidRPr="006645DC" w:rsidRDefault="00367167" w:rsidP="00C951D5">
            <w:pPr>
              <w:pStyle w:val="ListParagraph"/>
              <w:widowControl w:val="0"/>
              <w:numPr>
                <w:ilvl w:val="0"/>
                <w:numId w:val="64"/>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Fostering social economy business model</w:t>
            </w:r>
          </w:p>
          <w:p w14:paraId="527F6528" w14:textId="77777777" w:rsidR="00367167" w:rsidRPr="006645DC" w:rsidRDefault="00367167" w:rsidP="00C951D5">
            <w:pPr>
              <w:pStyle w:val="ListParagraph"/>
              <w:widowControl w:val="0"/>
              <w:numPr>
                <w:ilvl w:val="0"/>
                <w:numId w:val="64"/>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Improve the cooperation between health and social care institutions with education and research &amp; development</w:t>
            </w:r>
          </w:p>
        </w:tc>
      </w:tr>
    </w:tbl>
    <w:p w14:paraId="6D809D53" w14:textId="77777777" w:rsidR="00367167" w:rsidRPr="006645DC" w:rsidRDefault="00367167" w:rsidP="00367167">
      <w:pPr>
        <w:rPr>
          <w:rFonts w:cs="Calibri"/>
          <w:lang w:val="en-GB"/>
        </w:rPr>
        <w:sectPr w:rsidR="00367167" w:rsidRPr="006645DC" w:rsidSect="00367167">
          <w:pgSz w:w="16840" w:h="11900" w:orient="landscape"/>
          <w:pgMar w:top="1800" w:right="1440" w:bottom="1800" w:left="1440" w:header="708" w:footer="708" w:gutter="0"/>
          <w:cols w:space="708"/>
          <w:docGrid w:linePitch="360"/>
        </w:sectPr>
      </w:pPr>
    </w:p>
    <w:p w14:paraId="7A20730F" w14:textId="77777777" w:rsidR="00367167" w:rsidRPr="006645DC" w:rsidRDefault="00367167" w:rsidP="00367167">
      <w:pPr>
        <w:rPr>
          <w:rFonts w:cs="Calibri"/>
          <w:lang w:val="en-GB"/>
        </w:rPr>
      </w:pPr>
    </w:p>
    <w:tbl>
      <w:tblPr>
        <w:tblW w:w="151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288"/>
        <w:gridCol w:w="3288"/>
        <w:gridCol w:w="3288"/>
        <w:gridCol w:w="3288"/>
      </w:tblGrid>
      <w:tr w:rsidR="00367167" w:rsidRPr="006645DC" w14:paraId="7817DF6E" w14:textId="77777777" w:rsidTr="001807BA">
        <w:trPr>
          <w:jc w:val="center"/>
        </w:trPr>
        <w:tc>
          <w:tcPr>
            <w:tcW w:w="1984" w:type="dxa"/>
            <w:shd w:val="clear" w:color="auto" w:fill="76923C" w:themeFill="accent3" w:themeFillShade="BF"/>
            <w:vAlign w:val="center"/>
          </w:tcPr>
          <w:p w14:paraId="49EAF4AB"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Thematic objective</w:t>
            </w:r>
          </w:p>
        </w:tc>
        <w:tc>
          <w:tcPr>
            <w:tcW w:w="3288" w:type="dxa"/>
            <w:shd w:val="clear" w:color="auto" w:fill="76923C" w:themeFill="accent3" w:themeFillShade="BF"/>
            <w:vAlign w:val="center"/>
          </w:tcPr>
          <w:p w14:paraId="55B92574"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Strengths</w:t>
            </w:r>
          </w:p>
        </w:tc>
        <w:tc>
          <w:tcPr>
            <w:tcW w:w="3288" w:type="dxa"/>
            <w:shd w:val="clear" w:color="auto" w:fill="76923C" w:themeFill="accent3" w:themeFillShade="BF"/>
            <w:vAlign w:val="center"/>
          </w:tcPr>
          <w:p w14:paraId="3ADEAB1B"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Weaknesses</w:t>
            </w:r>
          </w:p>
        </w:tc>
        <w:tc>
          <w:tcPr>
            <w:tcW w:w="3288" w:type="dxa"/>
            <w:shd w:val="clear" w:color="auto" w:fill="76923C" w:themeFill="accent3" w:themeFillShade="BF"/>
            <w:vAlign w:val="center"/>
          </w:tcPr>
          <w:p w14:paraId="0B570E18"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Opportunities</w:t>
            </w:r>
          </w:p>
        </w:tc>
        <w:tc>
          <w:tcPr>
            <w:tcW w:w="3288" w:type="dxa"/>
            <w:shd w:val="clear" w:color="auto" w:fill="76923C" w:themeFill="accent3" w:themeFillShade="BF"/>
            <w:vAlign w:val="center"/>
          </w:tcPr>
          <w:p w14:paraId="25C455AF"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Threats</w:t>
            </w:r>
          </w:p>
        </w:tc>
      </w:tr>
      <w:tr w:rsidR="00367167" w:rsidRPr="006645DC" w14:paraId="795D7EC0" w14:textId="77777777" w:rsidTr="00393EB7">
        <w:trPr>
          <w:jc w:val="center"/>
        </w:trPr>
        <w:tc>
          <w:tcPr>
            <w:tcW w:w="1984" w:type="dxa"/>
            <w:shd w:val="clear" w:color="auto" w:fill="auto"/>
            <w:vAlign w:val="center"/>
          </w:tcPr>
          <w:p w14:paraId="46E37C64" w14:textId="77777777" w:rsidR="00367167" w:rsidRPr="006645DC" w:rsidRDefault="00367167" w:rsidP="00393EB7">
            <w:pPr>
              <w:autoSpaceDE w:val="0"/>
              <w:autoSpaceDN w:val="0"/>
              <w:adjustRightInd w:val="0"/>
              <w:spacing w:before="0" w:after="0"/>
              <w:jc w:val="left"/>
              <w:rPr>
                <w:rFonts w:cs="Calibri"/>
                <w:b/>
                <w:sz w:val="18"/>
                <w:szCs w:val="18"/>
                <w:lang w:val="en-GB"/>
              </w:rPr>
            </w:pPr>
            <w:r w:rsidRPr="006645DC">
              <w:rPr>
                <w:rFonts w:cs="Calibri"/>
                <w:b/>
                <w:sz w:val="18"/>
                <w:szCs w:val="18"/>
                <w:lang w:val="en-GB"/>
              </w:rPr>
              <w:t>Education, Skills and lifelong learning</w:t>
            </w:r>
          </w:p>
        </w:tc>
        <w:tc>
          <w:tcPr>
            <w:tcW w:w="3288" w:type="dxa"/>
            <w:shd w:val="clear" w:color="auto" w:fill="auto"/>
            <w:vAlign w:val="center"/>
          </w:tcPr>
          <w:p w14:paraId="2027E4DE"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Well developed educational system</w:t>
            </w:r>
          </w:p>
          <w:p w14:paraId="3583D8A3"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Increasing level of education </w:t>
            </w:r>
          </w:p>
          <w:p w14:paraId="1E1AC3B4"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Increasing female education participation </w:t>
            </w:r>
          </w:p>
          <w:p w14:paraId="03D285BE"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Universities – well-established basis </w:t>
            </w:r>
          </w:p>
          <w:p w14:paraId="3E618A16"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tc>
        <w:tc>
          <w:tcPr>
            <w:tcW w:w="3288" w:type="dxa"/>
            <w:shd w:val="clear" w:color="auto" w:fill="auto"/>
            <w:vAlign w:val="center"/>
          </w:tcPr>
          <w:p w14:paraId="3EFB5372"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45" w:name="_Toc376200429"/>
            <w:r w:rsidRPr="006645DC">
              <w:rPr>
                <w:rFonts w:cs="Calibri"/>
                <w:sz w:val="18"/>
                <w:szCs w:val="18"/>
                <w:lang w:val="en-GB"/>
              </w:rPr>
              <w:t>Language barrier</w:t>
            </w:r>
            <w:bookmarkEnd w:id="2345"/>
          </w:p>
          <w:p w14:paraId="4ABD1401"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Low level of lifelong learning</w:t>
            </w:r>
          </w:p>
          <w:p w14:paraId="52B5512A"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Low flexibility of the education system and insufficient reflection of needs of labor market</w:t>
            </w:r>
          </w:p>
        </w:tc>
        <w:tc>
          <w:tcPr>
            <w:tcW w:w="3288" w:type="dxa"/>
            <w:shd w:val="clear" w:color="auto" w:fill="auto"/>
            <w:vAlign w:val="center"/>
          </w:tcPr>
          <w:p w14:paraId="10F79A31"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46" w:name="_Toc376200430"/>
            <w:r w:rsidRPr="006645DC">
              <w:rPr>
                <w:rFonts w:cs="Calibri"/>
                <w:sz w:val="18"/>
                <w:szCs w:val="18"/>
                <w:lang w:val="en-GB"/>
              </w:rPr>
              <w:t>Employment growth through qualified and flexible workforce in some regions</w:t>
            </w:r>
            <w:bookmarkEnd w:id="2346"/>
          </w:p>
          <w:p w14:paraId="05E30CCA"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Creation of cross border network for LLL (life-long learning)</w:t>
            </w:r>
          </w:p>
          <w:p w14:paraId="726E63B1"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Cross border cooperation in education through the creation of common curriculum/master </w:t>
            </w:r>
          </w:p>
          <w:p w14:paraId="0FF373FE"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Bi-lingual education up from the primary school </w:t>
            </w:r>
          </w:p>
          <w:p w14:paraId="09B57FF7"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Maturity of European knowledge society (Bologna process; Student exchange programs) </w:t>
            </w:r>
          </w:p>
          <w:p w14:paraId="12FACC0C"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Higher participation rates in ICT applications (e.g. e-learning) </w:t>
            </w:r>
          </w:p>
          <w:p w14:paraId="3A72AD5E" w14:textId="77777777" w:rsidR="00367167" w:rsidRPr="006645DC" w:rsidRDefault="00367167" w:rsidP="00393EB7">
            <w:pPr>
              <w:spacing w:before="0" w:after="0"/>
              <w:jc w:val="left"/>
              <w:rPr>
                <w:rFonts w:cs="Calibri"/>
                <w:sz w:val="18"/>
                <w:szCs w:val="18"/>
                <w:lang w:val="en-GB"/>
              </w:rPr>
            </w:pPr>
          </w:p>
        </w:tc>
        <w:tc>
          <w:tcPr>
            <w:tcW w:w="3288" w:type="dxa"/>
            <w:shd w:val="clear" w:color="auto" w:fill="auto"/>
            <w:vAlign w:val="center"/>
          </w:tcPr>
          <w:p w14:paraId="5C71D426"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47" w:name="_Toc376200431"/>
            <w:r w:rsidRPr="006645DC">
              <w:rPr>
                <w:rFonts w:cs="Calibri"/>
                <w:sz w:val="18"/>
                <w:szCs w:val="18"/>
                <w:lang w:val="en-GB"/>
              </w:rPr>
              <w:t>Increasing competition with neighbouring regions (labour market and population)</w:t>
            </w:r>
            <w:bookmarkEnd w:id="2347"/>
          </w:p>
          <w:p w14:paraId="15E4B051"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Brain-drain of well-educated and qualified persons</w:t>
            </w:r>
          </w:p>
          <w:p w14:paraId="014CC63B"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Decreased accessibility to education in peripheral regions due to demographic change and closure of facilities</w:t>
            </w:r>
          </w:p>
        </w:tc>
      </w:tr>
      <w:tr w:rsidR="00367167" w:rsidRPr="006645DC" w14:paraId="401EA2A4" w14:textId="77777777" w:rsidTr="00393EB7">
        <w:trPr>
          <w:jc w:val="center"/>
        </w:trPr>
        <w:tc>
          <w:tcPr>
            <w:tcW w:w="15136" w:type="dxa"/>
            <w:gridSpan w:val="5"/>
            <w:shd w:val="clear" w:color="auto" w:fill="auto"/>
            <w:vAlign w:val="center"/>
          </w:tcPr>
          <w:p w14:paraId="12D48A3C" w14:textId="77777777" w:rsidR="00367167" w:rsidRPr="006645DC" w:rsidRDefault="00367167" w:rsidP="00393EB7">
            <w:pPr>
              <w:keepNext/>
              <w:keepLines/>
              <w:widowControl w:val="0"/>
              <w:autoSpaceDE w:val="0"/>
              <w:autoSpaceDN w:val="0"/>
              <w:adjustRightInd w:val="0"/>
              <w:spacing w:before="0" w:after="0"/>
              <w:jc w:val="left"/>
              <w:outlineLvl w:val="1"/>
              <w:rPr>
                <w:rFonts w:cs="Calibri"/>
                <w:b/>
                <w:sz w:val="18"/>
                <w:szCs w:val="18"/>
                <w:lang w:val="en-GB"/>
              </w:rPr>
            </w:pPr>
            <w:bookmarkStart w:id="2348" w:name="_Toc376200432"/>
            <w:r w:rsidRPr="006645DC">
              <w:rPr>
                <w:rFonts w:cs="Calibri"/>
                <w:b/>
                <w:sz w:val="18"/>
                <w:szCs w:val="18"/>
                <w:lang w:val="en-GB"/>
              </w:rPr>
              <w:t>Key Messages:</w:t>
            </w:r>
            <w:bookmarkEnd w:id="2348"/>
          </w:p>
          <w:p w14:paraId="7EC7CFD3" w14:textId="77777777" w:rsidR="00367167" w:rsidRPr="006645DC" w:rsidRDefault="00367167" w:rsidP="00C951D5">
            <w:pPr>
              <w:pStyle w:val="ListParagraph"/>
              <w:widowControl w:val="0"/>
              <w:numPr>
                <w:ilvl w:val="0"/>
                <w:numId w:val="65"/>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Harmonize/adapt the educational systems (common degrees) through cross border cooperation educational network</w:t>
            </w:r>
          </w:p>
          <w:p w14:paraId="527CBC0D" w14:textId="77777777" w:rsidR="00367167" w:rsidRPr="006645DC" w:rsidRDefault="00367167" w:rsidP="00C951D5">
            <w:pPr>
              <w:pStyle w:val="ListParagraph"/>
              <w:numPr>
                <w:ilvl w:val="0"/>
                <w:numId w:val="65"/>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 xml:space="preserve">Improve the coherence of the education with the needs of the regional </w:t>
            </w:r>
            <w:r w:rsidR="00417F4A" w:rsidRPr="006645DC">
              <w:rPr>
                <w:rFonts w:cs="Calibri"/>
                <w:b/>
                <w:sz w:val="18"/>
                <w:szCs w:val="18"/>
                <w:lang w:val="en-GB"/>
              </w:rPr>
              <w:t>labour</w:t>
            </w:r>
            <w:r w:rsidRPr="006645DC">
              <w:rPr>
                <w:rFonts w:cs="Calibri"/>
                <w:b/>
                <w:sz w:val="18"/>
                <w:szCs w:val="18"/>
                <w:lang w:val="en-GB"/>
              </w:rPr>
              <w:t xml:space="preserve"> market (include elderly people – lifelong learning)</w:t>
            </w:r>
          </w:p>
          <w:p w14:paraId="164715DE" w14:textId="77777777" w:rsidR="00367167" w:rsidRPr="006645DC" w:rsidRDefault="00367167" w:rsidP="00C951D5">
            <w:pPr>
              <w:pStyle w:val="ListParagraph"/>
              <w:numPr>
                <w:ilvl w:val="0"/>
                <w:numId w:val="65"/>
              </w:numPr>
              <w:autoSpaceDE w:val="0"/>
              <w:autoSpaceDN w:val="0"/>
              <w:adjustRightInd w:val="0"/>
              <w:spacing w:before="0" w:after="0"/>
              <w:contextualSpacing/>
              <w:jc w:val="left"/>
              <w:rPr>
                <w:rFonts w:cs="Calibri"/>
                <w:sz w:val="18"/>
                <w:szCs w:val="18"/>
                <w:lang w:val="en-GB"/>
              </w:rPr>
            </w:pPr>
            <w:r w:rsidRPr="006645DC">
              <w:rPr>
                <w:rFonts w:cs="Calibri"/>
                <w:b/>
                <w:sz w:val="18"/>
                <w:szCs w:val="18"/>
                <w:lang w:val="en-GB"/>
              </w:rPr>
              <w:t xml:space="preserve">Develop new forms of education cooperation/markets: e.g.: learning </w:t>
            </w:r>
            <w:r w:rsidR="00417F4A" w:rsidRPr="006645DC">
              <w:rPr>
                <w:rFonts w:cs="Calibri"/>
                <w:b/>
                <w:sz w:val="18"/>
                <w:szCs w:val="18"/>
                <w:lang w:val="en-GB"/>
              </w:rPr>
              <w:t>centres</w:t>
            </w:r>
            <w:r w:rsidRPr="006645DC">
              <w:rPr>
                <w:rFonts w:cs="Calibri"/>
                <w:b/>
                <w:sz w:val="18"/>
                <w:szCs w:val="18"/>
                <w:lang w:val="en-GB"/>
              </w:rPr>
              <w:t>, new cooperation between schools and enterprises, e-learning development</w:t>
            </w:r>
          </w:p>
        </w:tc>
      </w:tr>
    </w:tbl>
    <w:p w14:paraId="725241DF" w14:textId="77777777" w:rsidR="00367167" w:rsidRPr="006645DC" w:rsidRDefault="00367167" w:rsidP="00367167">
      <w:pPr>
        <w:rPr>
          <w:lang w:val="en-GB"/>
        </w:rPr>
        <w:sectPr w:rsidR="00367167" w:rsidRPr="006645DC" w:rsidSect="00367167">
          <w:pgSz w:w="16840" w:h="11900" w:orient="landscape"/>
          <w:pgMar w:top="1800" w:right="1440" w:bottom="1800" w:left="1440" w:header="708" w:footer="708" w:gutter="0"/>
          <w:cols w:space="708"/>
          <w:docGrid w:linePitch="360"/>
        </w:sectPr>
      </w:pPr>
    </w:p>
    <w:p w14:paraId="58B5EF1D" w14:textId="77777777" w:rsidR="00367167" w:rsidRPr="006645DC" w:rsidRDefault="00367167" w:rsidP="00367167">
      <w:pPr>
        <w:rPr>
          <w:lang w:val="en-GB"/>
        </w:rPr>
      </w:pPr>
    </w:p>
    <w:tbl>
      <w:tblPr>
        <w:tblW w:w="151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288"/>
        <w:gridCol w:w="3288"/>
        <w:gridCol w:w="3018"/>
        <w:gridCol w:w="3558"/>
      </w:tblGrid>
      <w:tr w:rsidR="00367167" w:rsidRPr="006645DC" w14:paraId="44B211E0" w14:textId="77777777" w:rsidTr="00BB0A11">
        <w:trPr>
          <w:jc w:val="center"/>
        </w:trPr>
        <w:tc>
          <w:tcPr>
            <w:tcW w:w="1984" w:type="dxa"/>
            <w:shd w:val="clear" w:color="auto" w:fill="76923C" w:themeFill="accent3" w:themeFillShade="BF"/>
            <w:vAlign w:val="center"/>
          </w:tcPr>
          <w:p w14:paraId="56A302FA" w14:textId="77777777" w:rsidR="00367167" w:rsidRPr="006645DC" w:rsidRDefault="00367167" w:rsidP="001807BA">
            <w:pPr>
              <w:keepNext/>
              <w:keepLines/>
              <w:spacing w:before="0" w:after="0"/>
              <w:outlineLvl w:val="1"/>
              <w:rPr>
                <w:rFonts w:cs="Calibri"/>
                <w:b/>
                <w:color w:val="FFFFFF"/>
                <w:sz w:val="18"/>
                <w:szCs w:val="18"/>
                <w:lang w:val="en-GB"/>
              </w:rPr>
            </w:pPr>
            <w:bookmarkStart w:id="2349" w:name="_Toc376200433"/>
            <w:r w:rsidRPr="006645DC">
              <w:rPr>
                <w:rFonts w:cs="Calibri"/>
                <w:b/>
                <w:color w:val="FFFFFF"/>
                <w:sz w:val="18"/>
                <w:szCs w:val="18"/>
                <w:lang w:val="en-GB"/>
              </w:rPr>
              <w:t>Thematic objective</w:t>
            </w:r>
            <w:bookmarkEnd w:id="2349"/>
          </w:p>
        </w:tc>
        <w:tc>
          <w:tcPr>
            <w:tcW w:w="3288" w:type="dxa"/>
            <w:shd w:val="clear" w:color="auto" w:fill="76923C" w:themeFill="accent3" w:themeFillShade="BF"/>
            <w:vAlign w:val="center"/>
          </w:tcPr>
          <w:p w14:paraId="46B609AF"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Strengths</w:t>
            </w:r>
          </w:p>
        </w:tc>
        <w:tc>
          <w:tcPr>
            <w:tcW w:w="3288" w:type="dxa"/>
            <w:shd w:val="clear" w:color="auto" w:fill="76923C" w:themeFill="accent3" w:themeFillShade="BF"/>
            <w:vAlign w:val="center"/>
          </w:tcPr>
          <w:p w14:paraId="509E68BF"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Weaknesses</w:t>
            </w:r>
          </w:p>
        </w:tc>
        <w:tc>
          <w:tcPr>
            <w:tcW w:w="3018" w:type="dxa"/>
            <w:shd w:val="clear" w:color="auto" w:fill="76923C" w:themeFill="accent3" w:themeFillShade="BF"/>
            <w:vAlign w:val="center"/>
          </w:tcPr>
          <w:p w14:paraId="68254FFC"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Opportunities</w:t>
            </w:r>
          </w:p>
        </w:tc>
        <w:tc>
          <w:tcPr>
            <w:tcW w:w="3558" w:type="dxa"/>
            <w:shd w:val="clear" w:color="auto" w:fill="76923C" w:themeFill="accent3" w:themeFillShade="BF"/>
            <w:vAlign w:val="center"/>
          </w:tcPr>
          <w:p w14:paraId="7A7A6643" w14:textId="77777777" w:rsidR="00367167" w:rsidRPr="006645DC" w:rsidRDefault="00367167" w:rsidP="00393EB7">
            <w:pPr>
              <w:spacing w:before="0" w:after="0"/>
              <w:jc w:val="center"/>
              <w:rPr>
                <w:rFonts w:cs="Calibri"/>
                <w:b/>
                <w:color w:val="FFFFFF"/>
                <w:sz w:val="18"/>
                <w:szCs w:val="18"/>
                <w:lang w:val="en-GB"/>
              </w:rPr>
            </w:pPr>
            <w:r w:rsidRPr="006645DC">
              <w:rPr>
                <w:rFonts w:cs="Calibri"/>
                <w:b/>
                <w:color w:val="FFFFFF"/>
                <w:sz w:val="18"/>
                <w:szCs w:val="18"/>
                <w:lang w:val="en-GB"/>
              </w:rPr>
              <w:t>Threats</w:t>
            </w:r>
          </w:p>
        </w:tc>
      </w:tr>
      <w:tr w:rsidR="00367167" w:rsidRPr="006645DC" w14:paraId="565B50C5" w14:textId="77777777" w:rsidTr="00BB0A11">
        <w:trPr>
          <w:jc w:val="center"/>
        </w:trPr>
        <w:tc>
          <w:tcPr>
            <w:tcW w:w="1984" w:type="dxa"/>
            <w:shd w:val="clear" w:color="auto" w:fill="auto"/>
            <w:vAlign w:val="center"/>
          </w:tcPr>
          <w:p w14:paraId="7E6489D3" w14:textId="77777777" w:rsidR="00367167" w:rsidRPr="006645DC" w:rsidRDefault="00367167" w:rsidP="00393EB7">
            <w:pPr>
              <w:autoSpaceDE w:val="0"/>
              <w:autoSpaceDN w:val="0"/>
              <w:adjustRightInd w:val="0"/>
              <w:spacing w:before="0" w:after="0"/>
              <w:jc w:val="left"/>
              <w:rPr>
                <w:rFonts w:cs="Calibri"/>
                <w:b/>
                <w:sz w:val="18"/>
                <w:szCs w:val="18"/>
                <w:lang w:val="en-GB"/>
              </w:rPr>
            </w:pPr>
            <w:r w:rsidRPr="006645DC">
              <w:rPr>
                <w:rFonts w:cs="Calibri"/>
                <w:b/>
                <w:sz w:val="18"/>
                <w:szCs w:val="18"/>
                <w:lang w:val="en-GB"/>
              </w:rPr>
              <w:t>Institutional capacity and efficient public administration</w:t>
            </w:r>
          </w:p>
        </w:tc>
        <w:tc>
          <w:tcPr>
            <w:tcW w:w="3288" w:type="dxa"/>
            <w:shd w:val="clear" w:color="auto" w:fill="auto"/>
            <w:vAlign w:val="center"/>
          </w:tcPr>
          <w:p w14:paraId="7208607B"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50" w:name="_Toc376200434"/>
            <w:r w:rsidRPr="006645DC">
              <w:rPr>
                <w:rFonts w:cs="Calibri"/>
                <w:sz w:val="18"/>
                <w:szCs w:val="18"/>
                <w:lang w:val="en-GB"/>
              </w:rPr>
              <w:t xml:space="preserve">Tradition of </w:t>
            </w:r>
            <w:r w:rsidRPr="006645DC">
              <w:rPr>
                <w:rFonts w:cs="Calibri"/>
                <w:color w:val="000000"/>
                <w:sz w:val="18"/>
                <w:szCs w:val="18"/>
                <w:lang w:val="en-GB"/>
              </w:rPr>
              <w:t xml:space="preserve">cross-border cooperation </w:t>
            </w:r>
            <w:r w:rsidRPr="006645DC">
              <w:rPr>
                <w:rFonts w:cs="Calibri"/>
                <w:sz w:val="18"/>
                <w:szCs w:val="18"/>
                <w:lang w:val="en-GB"/>
              </w:rPr>
              <w:t>on institutional, political &amp; administrative level during the previous and current programming period</w:t>
            </w:r>
            <w:bookmarkEnd w:id="2350"/>
          </w:p>
          <w:p w14:paraId="466A4033"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Knowledge and skills in public sector </w:t>
            </w:r>
          </w:p>
          <w:p w14:paraId="752DC58E"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Experience of local and regional institutions regarding cross border cooperation especially in the fields of nature and tourism. </w:t>
            </w:r>
          </w:p>
          <w:p w14:paraId="7800E167" w14:textId="77777777" w:rsidR="00367167" w:rsidRPr="006645DC" w:rsidRDefault="00367167" w:rsidP="00393EB7">
            <w:pPr>
              <w:autoSpaceDE w:val="0"/>
              <w:autoSpaceDN w:val="0"/>
              <w:adjustRightInd w:val="0"/>
              <w:spacing w:before="0" w:after="0"/>
              <w:jc w:val="left"/>
              <w:rPr>
                <w:rFonts w:cs="Calibri"/>
                <w:sz w:val="18"/>
                <w:szCs w:val="18"/>
                <w:lang w:val="en-GB"/>
              </w:rPr>
            </w:pPr>
          </w:p>
        </w:tc>
        <w:tc>
          <w:tcPr>
            <w:tcW w:w="3288" w:type="dxa"/>
            <w:shd w:val="clear" w:color="auto" w:fill="auto"/>
            <w:vAlign w:val="center"/>
          </w:tcPr>
          <w:p w14:paraId="54D42055" w14:textId="77777777" w:rsidR="00367167" w:rsidRPr="006645DC" w:rsidRDefault="00367167" w:rsidP="00393EB7">
            <w:pPr>
              <w:keepNext/>
              <w:keepLines/>
              <w:autoSpaceDE w:val="0"/>
              <w:autoSpaceDN w:val="0"/>
              <w:adjustRightInd w:val="0"/>
              <w:spacing w:before="0" w:after="0"/>
              <w:jc w:val="left"/>
              <w:outlineLvl w:val="1"/>
              <w:rPr>
                <w:rFonts w:cs="Calibri"/>
                <w:sz w:val="18"/>
                <w:szCs w:val="18"/>
                <w:lang w:val="en-GB"/>
              </w:rPr>
            </w:pPr>
            <w:bookmarkStart w:id="2351" w:name="_Toc376200435"/>
            <w:r w:rsidRPr="006645DC">
              <w:rPr>
                <w:rFonts w:cs="Calibri"/>
                <w:sz w:val="18"/>
                <w:szCs w:val="18"/>
                <w:lang w:val="en-GB"/>
              </w:rPr>
              <w:t>Weak civil society – activation of citizens needed</w:t>
            </w:r>
            <w:bookmarkEnd w:id="2351"/>
          </w:p>
          <w:p w14:paraId="68E936B7"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Out-dated public administration in some areas</w:t>
            </w:r>
          </w:p>
          <w:p w14:paraId="55E50284" w14:textId="77777777" w:rsidR="00367167" w:rsidRPr="006645DC" w:rsidRDefault="00367167" w:rsidP="00393EB7">
            <w:pPr>
              <w:autoSpaceDE w:val="0"/>
              <w:autoSpaceDN w:val="0"/>
              <w:adjustRightInd w:val="0"/>
              <w:spacing w:before="0" w:after="0"/>
              <w:jc w:val="left"/>
              <w:rPr>
                <w:rFonts w:cs="Calibri"/>
                <w:sz w:val="18"/>
                <w:szCs w:val="18"/>
                <w:lang w:val="en-GB"/>
              </w:rPr>
            </w:pPr>
            <w:r w:rsidRPr="006645DC">
              <w:rPr>
                <w:rFonts w:cs="Calibri"/>
                <w:sz w:val="18"/>
                <w:szCs w:val="18"/>
                <w:lang w:val="en-GB"/>
              </w:rPr>
              <w:t>Lack of a cross sectorial approach</w:t>
            </w:r>
          </w:p>
          <w:p w14:paraId="4D9E5B58"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Language barrier </w:t>
            </w:r>
          </w:p>
          <w:p w14:paraId="4F230D31"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 some regions weak civil society – activation of citizens needed </w:t>
            </w:r>
          </w:p>
          <w:p w14:paraId="0EBE02EB"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Variety of administrative systems </w:t>
            </w:r>
          </w:p>
          <w:p w14:paraId="2A82BD5A"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Different administration system as well as spatial planning system</w:t>
            </w:r>
          </w:p>
          <w:p w14:paraId="74A6E036"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r w:rsidRPr="006645DC">
              <w:rPr>
                <w:rFonts w:cs="Calibri"/>
                <w:sz w:val="18"/>
                <w:szCs w:val="18"/>
                <w:lang w:val="en-GB"/>
              </w:rPr>
              <w:t xml:space="preserve">Insufficient knowledge of the political system and the institutional specifics of the </w:t>
            </w:r>
            <w:r w:rsidR="00FD6464" w:rsidRPr="006645DC">
              <w:rPr>
                <w:rFonts w:cs="Calibri"/>
                <w:sz w:val="18"/>
                <w:szCs w:val="18"/>
                <w:lang w:val="en-GB"/>
              </w:rPr>
              <w:t>neighbouring</w:t>
            </w:r>
            <w:r w:rsidRPr="006645DC">
              <w:rPr>
                <w:rFonts w:cs="Calibri"/>
                <w:sz w:val="18"/>
                <w:szCs w:val="18"/>
                <w:lang w:val="en-GB"/>
              </w:rPr>
              <w:t xml:space="preserve"> regions</w:t>
            </w:r>
          </w:p>
        </w:tc>
        <w:tc>
          <w:tcPr>
            <w:tcW w:w="3018" w:type="dxa"/>
            <w:shd w:val="clear" w:color="auto" w:fill="auto"/>
            <w:vAlign w:val="center"/>
          </w:tcPr>
          <w:p w14:paraId="40F47280"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7CD96E24"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Connectivity to the Danube Strategy </w:t>
            </w:r>
          </w:p>
          <w:p w14:paraId="3C634C85"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Development of  e-administration </w:t>
            </w:r>
          </w:p>
          <w:p w14:paraId="487B6474"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Increase in participation of local communities in higher-level public decisions </w:t>
            </w:r>
          </w:p>
          <w:p w14:paraId="40C9A3B0" w14:textId="77777777" w:rsidR="00367167" w:rsidRPr="006645DC" w:rsidRDefault="00367167" w:rsidP="00393EB7">
            <w:pPr>
              <w:spacing w:before="0" w:after="0"/>
              <w:jc w:val="left"/>
              <w:rPr>
                <w:rFonts w:cs="Calibri"/>
                <w:sz w:val="18"/>
                <w:szCs w:val="18"/>
                <w:lang w:val="en-GB"/>
              </w:rPr>
            </w:pPr>
          </w:p>
        </w:tc>
        <w:tc>
          <w:tcPr>
            <w:tcW w:w="3558" w:type="dxa"/>
            <w:shd w:val="clear" w:color="auto" w:fill="auto"/>
            <w:vAlign w:val="center"/>
          </w:tcPr>
          <w:p w14:paraId="12995FD9" w14:textId="77777777" w:rsidR="00367167" w:rsidRPr="006645DC" w:rsidRDefault="00367167" w:rsidP="00393EB7">
            <w:pPr>
              <w:widowControl w:val="0"/>
              <w:autoSpaceDE w:val="0"/>
              <w:autoSpaceDN w:val="0"/>
              <w:adjustRightInd w:val="0"/>
              <w:spacing w:before="0" w:after="0"/>
              <w:jc w:val="left"/>
              <w:rPr>
                <w:rFonts w:cs="Calibri"/>
                <w:sz w:val="18"/>
                <w:szCs w:val="18"/>
                <w:lang w:val="en-GB"/>
              </w:rPr>
            </w:pPr>
          </w:p>
          <w:p w14:paraId="20FEB132"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Increasing gap of regulation and implementation necessity and know-how and manpower of the administration, especially on the Romanian because of the decentralization process. </w:t>
            </w:r>
          </w:p>
          <w:p w14:paraId="65E088D4" w14:textId="77777777" w:rsidR="00367167" w:rsidRPr="006645DC" w:rsidRDefault="00367167" w:rsidP="00393EB7">
            <w:pPr>
              <w:widowControl w:val="0"/>
              <w:autoSpaceDE w:val="0"/>
              <w:autoSpaceDN w:val="0"/>
              <w:adjustRightInd w:val="0"/>
              <w:spacing w:before="0" w:after="0"/>
              <w:jc w:val="left"/>
              <w:rPr>
                <w:rFonts w:cs="Calibri"/>
                <w:color w:val="000000"/>
                <w:sz w:val="18"/>
                <w:szCs w:val="18"/>
                <w:lang w:val="en-GB"/>
              </w:rPr>
            </w:pPr>
            <w:r w:rsidRPr="006645DC">
              <w:rPr>
                <w:rFonts w:cs="Calibri"/>
                <w:color w:val="000000"/>
                <w:sz w:val="18"/>
                <w:szCs w:val="18"/>
                <w:lang w:val="en-GB"/>
              </w:rPr>
              <w:t xml:space="preserve">Withdrawal of the state from core tasks </w:t>
            </w:r>
          </w:p>
          <w:p w14:paraId="71EE19A9" w14:textId="77777777" w:rsidR="00367167" w:rsidRPr="006645DC" w:rsidRDefault="00367167" w:rsidP="00393EB7">
            <w:pPr>
              <w:spacing w:before="0" w:after="0"/>
              <w:jc w:val="left"/>
              <w:rPr>
                <w:rFonts w:cs="Calibri"/>
                <w:sz w:val="18"/>
                <w:szCs w:val="18"/>
                <w:lang w:val="en-GB"/>
              </w:rPr>
            </w:pPr>
          </w:p>
        </w:tc>
      </w:tr>
      <w:tr w:rsidR="00367167" w:rsidRPr="006645DC" w14:paraId="7963E1C4" w14:textId="77777777" w:rsidTr="00393EB7">
        <w:trPr>
          <w:jc w:val="center"/>
        </w:trPr>
        <w:tc>
          <w:tcPr>
            <w:tcW w:w="15136" w:type="dxa"/>
            <w:gridSpan w:val="5"/>
            <w:shd w:val="clear" w:color="auto" w:fill="auto"/>
            <w:vAlign w:val="center"/>
          </w:tcPr>
          <w:p w14:paraId="08367075" w14:textId="77777777" w:rsidR="00367167" w:rsidRPr="006645DC" w:rsidRDefault="00367167" w:rsidP="00393EB7">
            <w:pPr>
              <w:keepNext/>
              <w:keepLines/>
              <w:widowControl w:val="0"/>
              <w:autoSpaceDE w:val="0"/>
              <w:autoSpaceDN w:val="0"/>
              <w:adjustRightInd w:val="0"/>
              <w:spacing w:before="0" w:after="0"/>
              <w:jc w:val="left"/>
              <w:outlineLvl w:val="1"/>
              <w:rPr>
                <w:rFonts w:cs="Calibri"/>
                <w:b/>
                <w:sz w:val="18"/>
                <w:szCs w:val="18"/>
                <w:lang w:val="en-GB"/>
              </w:rPr>
            </w:pPr>
            <w:bookmarkStart w:id="2352" w:name="_Toc376200436"/>
            <w:r w:rsidRPr="006645DC">
              <w:rPr>
                <w:rFonts w:cs="Calibri"/>
                <w:b/>
                <w:sz w:val="18"/>
                <w:szCs w:val="18"/>
                <w:lang w:val="en-GB"/>
              </w:rPr>
              <w:t>Key Messages:</w:t>
            </w:r>
            <w:bookmarkEnd w:id="2352"/>
          </w:p>
          <w:p w14:paraId="2B84F8A5" w14:textId="77777777" w:rsidR="00367167" w:rsidRPr="006645DC" w:rsidRDefault="00367167" w:rsidP="00C951D5">
            <w:pPr>
              <w:pStyle w:val="ListParagraph"/>
              <w:widowControl w:val="0"/>
              <w:numPr>
                <w:ilvl w:val="0"/>
                <w:numId w:val="66"/>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Support institutional cooperation and capacity building within the field of public administration and NGO’s</w:t>
            </w:r>
          </w:p>
          <w:p w14:paraId="27439800" w14:textId="77777777" w:rsidR="00367167" w:rsidRPr="006645DC" w:rsidRDefault="00367167" w:rsidP="00C951D5">
            <w:pPr>
              <w:pStyle w:val="ListParagraph"/>
              <w:widowControl w:val="0"/>
              <w:numPr>
                <w:ilvl w:val="0"/>
                <w:numId w:val="66"/>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Strengthen activities of civil society</w:t>
            </w:r>
          </w:p>
          <w:p w14:paraId="672B0B78" w14:textId="77777777" w:rsidR="00367167" w:rsidRPr="006645DC" w:rsidRDefault="00367167" w:rsidP="00C951D5">
            <w:pPr>
              <w:pStyle w:val="ListParagraph"/>
              <w:widowControl w:val="0"/>
              <w:numPr>
                <w:ilvl w:val="0"/>
                <w:numId w:val="66"/>
              </w:numPr>
              <w:autoSpaceDE w:val="0"/>
              <w:autoSpaceDN w:val="0"/>
              <w:adjustRightInd w:val="0"/>
              <w:spacing w:before="0" w:after="0"/>
              <w:contextualSpacing/>
              <w:jc w:val="left"/>
              <w:rPr>
                <w:rFonts w:cs="Calibri"/>
                <w:b/>
                <w:sz w:val="18"/>
                <w:szCs w:val="18"/>
                <w:lang w:val="en-GB"/>
              </w:rPr>
            </w:pPr>
            <w:r w:rsidRPr="006645DC">
              <w:rPr>
                <w:rFonts w:cs="Calibri"/>
                <w:b/>
                <w:sz w:val="18"/>
                <w:szCs w:val="18"/>
                <w:lang w:val="en-GB"/>
              </w:rPr>
              <w:t>Development of e-government solutions for peripheral areas</w:t>
            </w:r>
          </w:p>
        </w:tc>
      </w:tr>
    </w:tbl>
    <w:p w14:paraId="07D920FB" w14:textId="77777777" w:rsidR="00367167" w:rsidRPr="006645DC" w:rsidRDefault="00367167" w:rsidP="00367167">
      <w:pPr>
        <w:rPr>
          <w:rFonts w:cs="Calibri"/>
          <w:lang w:val="en-GB"/>
        </w:rPr>
      </w:pPr>
    </w:p>
    <w:p w14:paraId="2FD2EB91" w14:textId="77777777" w:rsidR="00367167" w:rsidRPr="006645DC" w:rsidRDefault="00367167" w:rsidP="00367167">
      <w:pPr>
        <w:rPr>
          <w:lang w:val="en-GB"/>
        </w:rPr>
      </w:pPr>
    </w:p>
    <w:p w14:paraId="49A3DDDC" w14:textId="77777777" w:rsidR="009C1C08" w:rsidRPr="006645DC" w:rsidRDefault="009C1C08" w:rsidP="00367167">
      <w:pPr>
        <w:rPr>
          <w:lang w:val="en-GB"/>
        </w:rPr>
        <w:sectPr w:rsidR="009C1C08" w:rsidRPr="006645DC" w:rsidSect="00367167">
          <w:pgSz w:w="15840" w:h="12240" w:orient="landscape"/>
          <w:pgMar w:top="1440" w:right="1440" w:bottom="1440" w:left="1440" w:header="720" w:footer="720" w:gutter="0"/>
          <w:cols w:space="720"/>
          <w:docGrid w:linePitch="360"/>
        </w:sectPr>
      </w:pPr>
    </w:p>
    <w:p w14:paraId="2E832600" w14:textId="77777777" w:rsidR="009C1C08" w:rsidRPr="006645DC" w:rsidRDefault="009C1C08" w:rsidP="009C1C08">
      <w:pPr>
        <w:pStyle w:val="Heading2"/>
        <w:rPr>
          <w:lang w:val="en-GB"/>
        </w:rPr>
      </w:pPr>
      <w:bookmarkStart w:id="2353" w:name="_Toc376200437"/>
      <w:bookmarkStart w:id="2354" w:name="_Toc254543868"/>
      <w:bookmarkStart w:id="2355" w:name="_Toc391150228"/>
      <w:r w:rsidRPr="006645DC">
        <w:rPr>
          <w:lang w:val="en-GB"/>
        </w:rPr>
        <w:lastRenderedPageBreak/>
        <w:t>The final swot table</w:t>
      </w:r>
      <w:bookmarkEnd w:id="2353"/>
      <w:bookmarkEnd w:id="2354"/>
      <w:bookmarkEnd w:id="23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7"/>
        <w:gridCol w:w="940"/>
        <w:gridCol w:w="6788"/>
        <w:gridCol w:w="91"/>
      </w:tblGrid>
      <w:tr w:rsidR="009C1C08" w:rsidRPr="006645DC" w14:paraId="09459295" w14:textId="77777777" w:rsidTr="001807BA">
        <w:trPr>
          <w:gridAfter w:val="1"/>
          <w:wAfter w:w="99" w:type="dxa"/>
          <w:jc w:val="center"/>
        </w:trPr>
        <w:tc>
          <w:tcPr>
            <w:tcW w:w="14077" w:type="dxa"/>
            <w:gridSpan w:val="3"/>
            <w:shd w:val="clear" w:color="auto" w:fill="76923C" w:themeFill="accent3" w:themeFillShade="BF"/>
          </w:tcPr>
          <w:p w14:paraId="7855A91C" w14:textId="77777777" w:rsidR="009C1C08" w:rsidRPr="006645DC" w:rsidRDefault="009C1C08" w:rsidP="00393EB7">
            <w:pPr>
              <w:spacing w:before="0" w:after="0"/>
              <w:jc w:val="center"/>
              <w:rPr>
                <w:rFonts w:ascii="Arial Narrow" w:eastAsia="MS Mincho" w:hAnsi="Arial Narrow" w:cs="Calibri"/>
                <w:b/>
                <w:color w:val="FFFFFF"/>
                <w:sz w:val="20"/>
                <w:szCs w:val="20"/>
                <w:lang w:val="en-GB"/>
              </w:rPr>
            </w:pPr>
            <w:r w:rsidRPr="006645DC">
              <w:rPr>
                <w:rFonts w:ascii="Arial Narrow" w:eastAsia="MS Mincho" w:hAnsi="Arial Narrow" w:cs="Calibri"/>
                <w:b/>
                <w:color w:val="FFFFFF"/>
                <w:sz w:val="20"/>
                <w:szCs w:val="20"/>
                <w:lang w:val="en-GB"/>
              </w:rPr>
              <w:t>Internal factors</w:t>
            </w:r>
          </w:p>
        </w:tc>
      </w:tr>
      <w:tr w:rsidR="009C1C08" w:rsidRPr="006645DC" w14:paraId="421E8D64" w14:textId="77777777" w:rsidTr="001807BA">
        <w:trPr>
          <w:gridAfter w:val="1"/>
          <w:wAfter w:w="99" w:type="dxa"/>
          <w:jc w:val="center"/>
        </w:trPr>
        <w:tc>
          <w:tcPr>
            <w:tcW w:w="5766" w:type="dxa"/>
            <w:shd w:val="clear" w:color="auto" w:fill="76923C" w:themeFill="accent3" w:themeFillShade="BF"/>
          </w:tcPr>
          <w:p w14:paraId="4D1517E6" w14:textId="77777777" w:rsidR="009C1C08" w:rsidRPr="006645DC" w:rsidRDefault="009C1C08" w:rsidP="00393EB7">
            <w:pPr>
              <w:spacing w:before="0" w:after="0"/>
              <w:jc w:val="center"/>
              <w:rPr>
                <w:rFonts w:ascii="Arial Narrow" w:eastAsia="MS Mincho" w:hAnsi="Arial Narrow" w:cs="Calibri"/>
                <w:b/>
                <w:color w:val="FFFFFF"/>
                <w:sz w:val="20"/>
                <w:szCs w:val="20"/>
                <w:lang w:val="en-GB"/>
              </w:rPr>
            </w:pPr>
            <w:r w:rsidRPr="006645DC">
              <w:rPr>
                <w:rFonts w:ascii="Arial Narrow" w:eastAsia="MS Mincho" w:hAnsi="Arial Narrow" w:cs="Calibri"/>
                <w:b/>
                <w:color w:val="FFFFFF"/>
                <w:sz w:val="20"/>
                <w:szCs w:val="20"/>
                <w:lang w:val="en-GB"/>
              </w:rPr>
              <w:t>Strengths</w:t>
            </w:r>
          </w:p>
        </w:tc>
        <w:tc>
          <w:tcPr>
            <w:tcW w:w="8311" w:type="dxa"/>
            <w:gridSpan w:val="2"/>
            <w:shd w:val="clear" w:color="auto" w:fill="76923C" w:themeFill="accent3" w:themeFillShade="BF"/>
          </w:tcPr>
          <w:p w14:paraId="3D42AE1E" w14:textId="77777777" w:rsidR="009C1C08" w:rsidRPr="006645DC" w:rsidRDefault="009C1C08" w:rsidP="00393EB7">
            <w:pPr>
              <w:keepNext/>
              <w:keepLines/>
              <w:spacing w:before="0" w:after="0"/>
              <w:ind w:left="757" w:hanging="360"/>
              <w:jc w:val="center"/>
              <w:outlineLvl w:val="1"/>
              <w:rPr>
                <w:rFonts w:ascii="Arial Narrow" w:eastAsia="MS Mincho" w:hAnsi="Arial Narrow" w:cs="Calibri"/>
                <w:b/>
                <w:color w:val="FFFFFF"/>
                <w:sz w:val="20"/>
                <w:szCs w:val="20"/>
                <w:lang w:val="en-GB"/>
              </w:rPr>
            </w:pPr>
            <w:bookmarkStart w:id="2356" w:name="_Toc376200438"/>
            <w:r w:rsidRPr="006645DC">
              <w:rPr>
                <w:rFonts w:ascii="Arial Narrow" w:eastAsia="MS Mincho" w:hAnsi="Arial Narrow" w:cs="Calibri"/>
                <w:b/>
                <w:color w:val="FFFFFF"/>
                <w:sz w:val="20"/>
                <w:szCs w:val="20"/>
                <w:lang w:val="en-GB"/>
              </w:rPr>
              <w:t>Weaknesses</w:t>
            </w:r>
            <w:bookmarkEnd w:id="2356"/>
          </w:p>
        </w:tc>
      </w:tr>
      <w:tr w:rsidR="009C1C08" w:rsidRPr="006645DC" w14:paraId="561A202E" w14:textId="77777777" w:rsidTr="00393EB7">
        <w:trPr>
          <w:gridAfter w:val="1"/>
          <w:wAfter w:w="99" w:type="dxa"/>
          <w:jc w:val="center"/>
        </w:trPr>
        <w:tc>
          <w:tcPr>
            <w:tcW w:w="5766" w:type="dxa"/>
            <w:shd w:val="clear" w:color="auto" w:fill="auto"/>
          </w:tcPr>
          <w:p w14:paraId="2922FCA9"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Development of a knowledge driven economy based on the expertise developed in traditional industries through the creation of cross-border cluster or poles promotion to foster innovation synergies. </w:t>
            </w:r>
          </w:p>
          <w:p w14:paraId="3E43B63D"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Increase of renewable energy (wind, solar, biomass, geothermal energy potentials) </w:t>
            </w:r>
          </w:p>
          <w:p w14:paraId="46B309A4"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Use of energy saving technologies (infrastructure, housing) </w:t>
            </w:r>
          </w:p>
          <w:p w14:paraId="5D85BD5B"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Richness and diversity of landscape, natural and cultural heritage </w:t>
            </w:r>
          </w:p>
          <w:p w14:paraId="6EBE31A9"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Unspoilt environment and nature in some areas</w:t>
            </w:r>
          </w:p>
          <w:p w14:paraId="118405ED"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On-going investments in connections in long-distance transport TEN-T networks/ potential multimodal accessibility along the Danube </w:t>
            </w:r>
          </w:p>
          <w:p w14:paraId="10E40D5F"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Diverse cultures and population </w:t>
            </w:r>
          </w:p>
          <w:p w14:paraId="17E1B8CD"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Benefits of specific geopolitical situations after EU-integration</w:t>
            </w:r>
          </w:p>
          <w:p w14:paraId="497B484B"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Existing cross-border links to develop cooperation on institutional, political &amp; administrative level and within projects </w:t>
            </w:r>
          </w:p>
          <w:p w14:paraId="19914B73"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Strong regional urban centres with international links and networks in public policy, academia and industry</w:t>
            </w:r>
          </w:p>
          <w:p w14:paraId="76084B53"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Strong well integrated universities in some regions</w:t>
            </w:r>
          </w:p>
          <w:p w14:paraId="373E931C"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Well educated women mainly in the public sector</w:t>
            </w:r>
          </w:p>
          <w:p w14:paraId="769E58A2" w14:textId="77777777" w:rsidR="009C1C08" w:rsidRPr="006645DC" w:rsidRDefault="009C1C08" w:rsidP="00393EB7">
            <w:pPr>
              <w:spacing w:before="0" w:after="0"/>
              <w:ind w:left="113" w:hanging="113"/>
              <w:rPr>
                <w:rFonts w:ascii="Arial Narrow" w:eastAsia="MS Mincho" w:hAnsi="Arial Narrow" w:cs="Calibri"/>
                <w:sz w:val="18"/>
                <w:szCs w:val="18"/>
                <w:lang w:val="en-GB"/>
              </w:rPr>
            </w:pPr>
          </w:p>
        </w:tc>
        <w:tc>
          <w:tcPr>
            <w:tcW w:w="8311" w:type="dxa"/>
            <w:gridSpan w:val="2"/>
            <w:shd w:val="clear" w:color="auto" w:fill="auto"/>
          </w:tcPr>
          <w:p w14:paraId="33BB3949" w14:textId="77777777" w:rsidR="009C1C08" w:rsidRPr="006645DC" w:rsidRDefault="009C1C08" w:rsidP="00C951D5">
            <w:pPr>
              <w:keepNext/>
              <w:keepLines/>
              <w:widowControl w:val="0"/>
              <w:numPr>
                <w:ilvl w:val="0"/>
                <w:numId w:val="68"/>
              </w:numPr>
              <w:autoSpaceDE w:val="0"/>
              <w:autoSpaceDN w:val="0"/>
              <w:adjustRightInd w:val="0"/>
              <w:spacing w:before="0" w:after="0"/>
              <w:ind w:left="113" w:hanging="113"/>
              <w:jc w:val="left"/>
              <w:outlineLvl w:val="1"/>
              <w:rPr>
                <w:rFonts w:ascii="Arial Narrow" w:eastAsia="MS Mincho" w:hAnsi="Arial Narrow" w:cs="Calibri"/>
                <w:color w:val="000000"/>
                <w:sz w:val="18"/>
                <w:szCs w:val="18"/>
                <w:lang w:val="en-GB"/>
              </w:rPr>
            </w:pPr>
            <w:bookmarkStart w:id="2357" w:name="_Toc376200439"/>
            <w:r w:rsidRPr="006645DC">
              <w:rPr>
                <w:rFonts w:ascii="Arial Narrow" w:eastAsia="MS Mincho" w:hAnsi="Arial Narrow" w:cs="Calibri"/>
                <w:color w:val="000000"/>
                <w:sz w:val="18"/>
                <w:szCs w:val="18"/>
                <w:lang w:val="en-GB"/>
              </w:rPr>
              <w:t>Low level of R&amp;D (environment of innovation, cooperation projects) in several regions/insufficient technology transfer and lack in the access to R&amp;D-results especially for SMEs</w:t>
            </w:r>
            <w:bookmarkEnd w:id="2357"/>
            <w:r w:rsidRPr="006645DC">
              <w:rPr>
                <w:rFonts w:ascii="Arial Narrow" w:eastAsia="MS Mincho" w:hAnsi="Arial Narrow" w:cs="Calibri"/>
                <w:color w:val="000000"/>
                <w:sz w:val="18"/>
                <w:szCs w:val="18"/>
                <w:lang w:val="en-GB"/>
              </w:rPr>
              <w:t xml:space="preserve"> </w:t>
            </w:r>
          </w:p>
          <w:p w14:paraId="309177DE"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Sectorial and spatial inequalities of ICT-infrastructure </w:t>
            </w:r>
          </w:p>
          <w:p w14:paraId="57B04B06"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Strong economic disparities in GDP </w:t>
            </w:r>
          </w:p>
          <w:p w14:paraId="213B1B0B"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Dependency on public and primary sector employment</w:t>
            </w:r>
          </w:p>
          <w:p w14:paraId="7389441E"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Vulnerable industrial regions</w:t>
            </w:r>
          </w:p>
          <w:p w14:paraId="74072BE8"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Restricted capacity for R&amp;D, innovation and entrepreneurship</w:t>
            </w:r>
          </w:p>
          <w:p w14:paraId="522C4A9B"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Few home-grown large or export firms</w:t>
            </w:r>
          </w:p>
          <w:p w14:paraId="083708BC"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Low value added of goods and services</w:t>
            </w:r>
          </w:p>
          <w:p w14:paraId="4256C167"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Lack of customer base</w:t>
            </w:r>
          </w:p>
          <w:p w14:paraId="15467399"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Youth out-migration</w:t>
            </w:r>
          </w:p>
          <w:p w14:paraId="4ACD6CA1"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Gender segregation</w:t>
            </w:r>
          </w:p>
          <w:p w14:paraId="45CD313B"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Structural unemployment</w:t>
            </w:r>
          </w:p>
          <w:p w14:paraId="6BE68EFB"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 xml:space="preserve">Lack of study and career opportunities; </w:t>
            </w:r>
          </w:p>
          <w:p w14:paraId="07081844"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Brain drain</w:t>
            </w:r>
          </w:p>
          <w:p w14:paraId="5C979D87"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Shortage of labour with appropriate skills</w:t>
            </w:r>
          </w:p>
          <w:p w14:paraId="3F83200E"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Low access to finance, especially for start-ups and small loans  </w:t>
            </w:r>
          </w:p>
          <w:p w14:paraId="24719506"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Lack of quality and quantity of environmental infrastructure in some regions (waste and water treatment) </w:t>
            </w:r>
          </w:p>
          <w:p w14:paraId="346EDC26"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Weak local, regional and transnational accessibility especially outside of agglomeration areas and lack of integrated transport systems and multimodality </w:t>
            </w:r>
          </w:p>
          <w:p w14:paraId="1C0076E6"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Low quality of public transport, decreasing share of public transport &amp; missing road links and border-crossings </w:t>
            </w:r>
          </w:p>
          <w:p w14:paraId="58DE07E8"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Ageing population </w:t>
            </w:r>
          </w:p>
          <w:p w14:paraId="58E22B84"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Low activity rate </w:t>
            </w:r>
          </w:p>
          <w:p w14:paraId="77AC57CB"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Increasing number of (youth) unemployment in some areas </w:t>
            </w:r>
          </w:p>
          <w:p w14:paraId="29B0F5B7"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Demographic change increases problems for financing social and technical infrastructure especially in shrinking regions </w:t>
            </w:r>
          </w:p>
          <w:p w14:paraId="04CF47C6" w14:textId="77777777" w:rsidR="009C1C08" w:rsidRPr="006645DC" w:rsidRDefault="009C1C08" w:rsidP="00C951D5">
            <w:pPr>
              <w:numPr>
                <w:ilvl w:val="0"/>
                <w:numId w:val="68"/>
              </w:numPr>
              <w:spacing w:before="0" w:after="0"/>
              <w:ind w:left="113" w:hanging="113"/>
              <w:contextualSpacing/>
              <w:jc w:val="left"/>
              <w:rPr>
                <w:rFonts w:ascii="Arial Narrow" w:eastAsia="MS Mincho" w:hAnsi="Arial Narrow" w:cs="Calibri"/>
                <w:sz w:val="18"/>
                <w:szCs w:val="18"/>
                <w:lang w:val="en-GB"/>
              </w:rPr>
            </w:pPr>
            <w:r w:rsidRPr="006645DC">
              <w:rPr>
                <w:rFonts w:ascii="Arial Narrow" w:eastAsia="MS Mincho" w:hAnsi="Arial Narrow" w:cs="Calibri"/>
                <w:sz w:val="18"/>
                <w:szCs w:val="18"/>
                <w:lang w:val="en-GB"/>
              </w:rPr>
              <w:t>Growing urban-rural dichotomy</w:t>
            </w:r>
          </w:p>
          <w:p w14:paraId="1F0125B0"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Marginalisation of peripheral areas and insufficient access to services and employment </w:t>
            </w:r>
          </w:p>
          <w:p w14:paraId="0A0F919B"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Insufficient access to services and employment in regions dominated by small villages and sparsely populated areas </w:t>
            </w:r>
          </w:p>
          <w:p w14:paraId="1251916C"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Risk of Poverty for different groups </w:t>
            </w:r>
          </w:p>
          <w:p w14:paraId="5E4492DB"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Disadvantages for ethnic minorities – social problems, low levels of education, high unemployment, etc. </w:t>
            </w:r>
          </w:p>
          <w:p w14:paraId="07C2C55C" w14:textId="77777777" w:rsidR="009C1C08" w:rsidRPr="006645DC" w:rsidRDefault="009C1C08" w:rsidP="00C951D5">
            <w:pPr>
              <w:widowControl w:val="0"/>
              <w:numPr>
                <w:ilvl w:val="0"/>
                <w:numId w:val="68"/>
              </w:numPr>
              <w:autoSpaceDE w:val="0"/>
              <w:autoSpaceDN w:val="0"/>
              <w:adjustRightInd w:val="0"/>
              <w:spacing w:before="0" w:after="0"/>
              <w:ind w:left="113" w:hanging="113"/>
              <w:jc w:val="left"/>
              <w:rPr>
                <w:rFonts w:ascii="Arial Narrow" w:eastAsia="MS Mincho" w:hAnsi="Arial Narrow" w:cs="Calibri"/>
                <w:color w:val="000000"/>
                <w:sz w:val="18"/>
                <w:szCs w:val="18"/>
                <w:lang w:val="en-GB"/>
              </w:rPr>
            </w:pPr>
            <w:r w:rsidRPr="006645DC">
              <w:rPr>
                <w:rFonts w:ascii="Arial Narrow" w:eastAsia="MS Mincho" w:hAnsi="Arial Narrow" w:cs="Calibri"/>
                <w:color w:val="000000"/>
                <w:sz w:val="18"/>
                <w:szCs w:val="18"/>
                <w:lang w:val="en-GB"/>
              </w:rPr>
              <w:t xml:space="preserve">Weak civil society/ Activation of citizens needed </w:t>
            </w:r>
          </w:p>
        </w:tc>
      </w:tr>
      <w:tr w:rsidR="00053729" w:rsidRPr="006645DC" w14:paraId="244331C9" w14:textId="77777777" w:rsidTr="001807BA">
        <w:trPr>
          <w:jc w:val="center"/>
        </w:trPr>
        <w:tc>
          <w:tcPr>
            <w:tcW w:w="14176" w:type="dxa"/>
            <w:gridSpan w:val="4"/>
            <w:shd w:val="clear" w:color="auto" w:fill="76923C" w:themeFill="accent3" w:themeFillShade="BF"/>
          </w:tcPr>
          <w:p w14:paraId="435162AC" w14:textId="77777777" w:rsidR="00053729" w:rsidRPr="006645DC" w:rsidRDefault="00053729" w:rsidP="00393EB7">
            <w:pPr>
              <w:keepNext/>
              <w:keepLines/>
              <w:spacing w:before="0" w:after="0"/>
              <w:ind w:left="757" w:hanging="360"/>
              <w:jc w:val="center"/>
              <w:outlineLvl w:val="1"/>
              <w:rPr>
                <w:rFonts w:ascii="Arial Narrow" w:eastAsia="Times New Roman" w:hAnsi="Arial Narrow" w:cs="Calibri"/>
                <w:b/>
                <w:color w:val="FFFFFF"/>
                <w:sz w:val="20"/>
                <w:szCs w:val="20"/>
                <w:lang w:val="en-GB"/>
              </w:rPr>
            </w:pPr>
            <w:bookmarkStart w:id="2358" w:name="_Toc376200440"/>
            <w:r w:rsidRPr="006645DC">
              <w:rPr>
                <w:rFonts w:ascii="Arial Narrow" w:eastAsia="Times New Roman" w:hAnsi="Arial Narrow" w:cs="Calibri"/>
                <w:b/>
                <w:color w:val="FFFFFF"/>
                <w:sz w:val="20"/>
                <w:szCs w:val="20"/>
                <w:lang w:val="en-GB"/>
              </w:rPr>
              <w:lastRenderedPageBreak/>
              <w:t>External Factors</w:t>
            </w:r>
            <w:bookmarkEnd w:id="2358"/>
          </w:p>
        </w:tc>
      </w:tr>
      <w:tr w:rsidR="00053729" w:rsidRPr="006645DC" w14:paraId="0F7B801C" w14:textId="77777777" w:rsidTr="001807BA">
        <w:trPr>
          <w:jc w:val="center"/>
        </w:trPr>
        <w:tc>
          <w:tcPr>
            <w:tcW w:w="6771" w:type="dxa"/>
            <w:gridSpan w:val="2"/>
            <w:shd w:val="clear" w:color="auto" w:fill="76923C" w:themeFill="accent3" w:themeFillShade="BF"/>
          </w:tcPr>
          <w:p w14:paraId="40D9A291" w14:textId="77777777" w:rsidR="00053729" w:rsidRPr="006645DC" w:rsidRDefault="00053729" w:rsidP="00393EB7">
            <w:pPr>
              <w:spacing w:before="0" w:after="0"/>
              <w:jc w:val="center"/>
              <w:rPr>
                <w:rFonts w:ascii="Arial Narrow" w:eastAsia="Times New Roman" w:hAnsi="Arial Narrow" w:cs="Calibri"/>
                <w:b/>
                <w:color w:val="FFFFFF"/>
                <w:sz w:val="20"/>
                <w:szCs w:val="20"/>
                <w:lang w:val="en-GB"/>
              </w:rPr>
            </w:pPr>
            <w:r w:rsidRPr="006645DC">
              <w:rPr>
                <w:rFonts w:ascii="Arial Narrow" w:eastAsia="Times New Roman" w:hAnsi="Arial Narrow" w:cs="Calibri"/>
                <w:b/>
                <w:color w:val="FFFFFF"/>
                <w:sz w:val="20"/>
                <w:szCs w:val="20"/>
                <w:lang w:val="en-GB"/>
              </w:rPr>
              <w:t>Opportunities</w:t>
            </w:r>
          </w:p>
        </w:tc>
        <w:tc>
          <w:tcPr>
            <w:tcW w:w="7405" w:type="dxa"/>
            <w:gridSpan w:val="2"/>
            <w:shd w:val="clear" w:color="auto" w:fill="76923C" w:themeFill="accent3" w:themeFillShade="BF"/>
          </w:tcPr>
          <w:p w14:paraId="783E7781" w14:textId="77777777" w:rsidR="00053729" w:rsidRPr="006645DC" w:rsidRDefault="00053729" w:rsidP="00393EB7">
            <w:pPr>
              <w:keepNext/>
              <w:keepLines/>
              <w:spacing w:before="0" w:after="0"/>
              <w:ind w:left="757" w:hanging="360"/>
              <w:jc w:val="center"/>
              <w:outlineLvl w:val="1"/>
              <w:rPr>
                <w:rFonts w:ascii="Arial Narrow" w:eastAsia="Times New Roman" w:hAnsi="Arial Narrow" w:cs="Calibri"/>
                <w:b/>
                <w:color w:val="FFFFFF"/>
                <w:sz w:val="20"/>
                <w:szCs w:val="20"/>
                <w:lang w:val="en-GB"/>
              </w:rPr>
            </w:pPr>
            <w:bookmarkStart w:id="2359" w:name="_Toc376200441"/>
            <w:r w:rsidRPr="006645DC">
              <w:rPr>
                <w:rFonts w:ascii="Arial Narrow" w:eastAsia="Times New Roman" w:hAnsi="Arial Narrow" w:cs="Calibri"/>
                <w:b/>
                <w:color w:val="FFFFFF"/>
                <w:sz w:val="20"/>
                <w:szCs w:val="20"/>
                <w:lang w:val="en-GB"/>
              </w:rPr>
              <w:t>Threats</w:t>
            </w:r>
            <w:bookmarkEnd w:id="2359"/>
          </w:p>
        </w:tc>
      </w:tr>
      <w:tr w:rsidR="00053729" w:rsidRPr="006645DC" w14:paraId="60EF1E6F" w14:textId="77777777" w:rsidTr="00393EB7">
        <w:trPr>
          <w:jc w:val="center"/>
        </w:trPr>
        <w:tc>
          <w:tcPr>
            <w:tcW w:w="6771" w:type="dxa"/>
            <w:gridSpan w:val="2"/>
            <w:shd w:val="clear" w:color="auto" w:fill="auto"/>
          </w:tcPr>
          <w:p w14:paraId="0FEE698C"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Promotion of innovation by reinforcing triple helix cooperation</w:t>
            </w:r>
            <w:r w:rsidRPr="006645DC">
              <w:rPr>
                <w:rStyle w:val="FootnoteReference"/>
                <w:rFonts w:ascii="Arial Narrow" w:hAnsi="Arial Narrow"/>
                <w:sz w:val="18"/>
                <w:szCs w:val="18"/>
                <w:lang w:val="en-GB"/>
              </w:rPr>
              <w:footnoteReference w:id="57"/>
            </w:r>
            <w:r w:rsidRPr="006645DC">
              <w:rPr>
                <w:rFonts w:ascii="Arial Narrow" w:hAnsi="Arial Narrow"/>
                <w:sz w:val="18"/>
                <w:szCs w:val="18"/>
                <w:lang w:val="en-GB"/>
              </w:rPr>
              <w:t>, in particular capacity of innovation and access to R&amp;D for SMEs</w:t>
            </w:r>
          </w:p>
          <w:p w14:paraId="4853DC40"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Supporting R&amp;D, technology and innovation &amp; research centres </w:t>
            </w:r>
          </w:p>
          <w:p w14:paraId="54356C86"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Large marginal benefits from technological modernisation </w:t>
            </w:r>
          </w:p>
          <w:p w14:paraId="20913263"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Development of new transport corridors, especially of the Danube Waterways</w:t>
            </w:r>
          </w:p>
          <w:p w14:paraId="7D46D468"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Revitalization and modernization of Danube ports for logistic and tourism purposes</w:t>
            </w:r>
          </w:p>
          <w:p w14:paraId="214F8ED2"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Attractiveness of the Romania Bulgaria Cross Border area as a destination for foreign investment through the development of a Danube Black Sea Logistical Gateway</w:t>
            </w:r>
          </w:p>
          <w:p w14:paraId="0426DDA4"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Development of common innovative clusters and networks </w:t>
            </w:r>
          </w:p>
          <w:p w14:paraId="62119DC4"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Increasing awareness about climate change effects and counter measures </w:t>
            </w:r>
          </w:p>
          <w:p w14:paraId="58DE4317"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Cohesion Policy focusing on environmental infrastructure, ranging from water supply, waste management and waste water treatment </w:t>
            </w:r>
          </w:p>
          <w:p w14:paraId="61C0AFDB"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In the wake of EU policies, enhancing the management of protected areas </w:t>
            </w:r>
          </w:p>
          <w:p w14:paraId="382750FB"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Support of alternative employment forms through EU funding </w:t>
            </w:r>
          </w:p>
          <w:p w14:paraId="575A80A7"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New employment opportunities by investments in renewable energy and environmental technology</w:t>
            </w:r>
          </w:p>
          <w:p w14:paraId="46066DD8"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Tourism as a tool to balance regional disparities and job creation with a focus on Eco-tourism</w:t>
            </w:r>
          </w:p>
          <w:p w14:paraId="7FB0D5E0"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Green products and service development including public goods</w:t>
            </w:r>
          </w:p>
          <w:p w14:paraId="3E09ED7C"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New agricultural opportunities </w:t>
            </w:r>
          </w:p>
          <w:p w14:paraId="1DE8724F"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Promotion of a polycentric and place based territorial development </w:t>
            </w:r>
          </w:p>
          <w:p w14:paraId="79760661"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Connectivity to co-operative macro-regional strategies such as the Danube Strategy and the possible future Black Sea Strategy </w:t>
            </w:r>
          </w:p>
          <w:p w14:paraId="3FDFB498"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Promoting social innovations </w:t>
            </w:r>
          </w:p>
          <w:p w14:paraId="042000B7"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Natural and cultural assets as basis for quality of life, recreation and traditional tourism Return of young and well educated out migrators </w:t>
            </w:r>
          </w:p>
        </w:tc>
        <w:tc>
          <w:tcPr>
            <w:tcW w:w="7405" w:type="dxa"/>
            <w:gridSpan w:val="2"/>
            <w:shd w:val="clear" w:color="auto" w:fill="auto"/>
          </w:tcPr>
          <w:p w14:paraId="5AC8299F" w14:textId="77777777" w:rsidR="00053729" w:rsidRPr="006645DC" w:rsidRDefault="00053729" w:rsidP="00C951D5">
            <w:pPr>
              <w:pStyle w:val="Default"/>
              <w:keepNext/>
              <w:keepLines/>
              <w:widowControl w:val="0"/>
              <w:numPr>
                <w:ilvl w:val="0"/>
                <w:numId w:val="69"/>
              </w:numPr>
              <w:ind w:left="173" w:hanging="115"/>
              <w:jc w:val="both"/>
              <w:outlineLvl w:val="1"/>
              <w:rPr>
                <w:rFonts w:ascii="Arial Narrow" w:hAnsi="Arial Narrow"/>
                <w:sz w:val="18"/>
                <w:szCs w:val="18"/>
                <w:lang w:val="en-GB"/>
              </w:rPr>
            </w:pPr>
            <w:bookmarkStart w:id="2360" w:name="_Toc376200442"/>
            <w:r w:rsidRPr="006645DC">
              <w:rPr>
                <w:rFonts w:ascii="Arial Narrow" w:hAnsi="Arial Narrow"/>
                <w:sz w:val="18"/>
                <w:szCs w:val="18"/>
                <w:lang w:val="en-GB"/>
              </w:rPr>
              <w:t>Small, open economies and small domestic markets</w:t>
            </w:r>
            <w:bookmarkEnd w:id="2360"/>
          </w:p>
          <w:p w14:paraId="4BF19AFE"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Underdeveloped capacity of SMEs for competition and internationalisation </w:t>
            </w:r>
          </w:p>
          <w:p w14:paraId="0ED3E123"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Lack of access to finance for small businesses </w:t>
            </w:r>
          </w:p>
          <w:p w14:paraId="7170AD8A"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Decline in employment in traditional sectors, leading to increased social exclusion and skill waste</w:t>
            </w:r>
          </w:p>
          <w:p w14:paraId="0ABE7F52"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Lack of Competitiveness (due to lack of trained workforce, lack of multimodal accessibility) </w:t>
            </w:r>
          </w:p>
          <w:p w14:paraId="49272DC0"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Continuous lack of investments to improve the Danube River navigability </w:t>
            </w:r>
          </w:p>
          <w:p w14:paraId="7F130B18"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Climate change affects natural environment (extinction of species; geographical shift of crops) </w:t>
            </w:r>
          </w:p>
          <w:p w14:paraId="189D8A96"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Increasing occurrences of natural hazards and floods </w:t>
            </w:r>
          </w:p>
          <w:p w14:paraId="6EDA6180"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Increased unsustainable use of environmental resources due to economic activities </w:t>
            </w:r>
          </w:p>
          <w:p w14:paraId="4ADB5081"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Brain drain of young and creative talents due to loss of urban and environmental quality </w:t>
            </w:r>
          </w:p>
          <w:p w14:paraId="5AAC3902"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Increasing (labour) market competition with other global regions (China, India, …) and pressure on economic productivity (due to disappearing borders) </w:t>
            </w:r>
          </w:p>
          <w:p w14:paraId="1C13DAE5" w14:textId="77777777" w:rsidR="00053729" w:rsidRPr="006645DC" w:rsidRDefault="00053729" w:rsidP="00C951D5">
            <w:pPr>
              <w:pStyle w:val="Default"/>
              <w:widowControl w:val="0"/>
              <w:numPr>
                <w:ilvl w:val="0"/>
                <w:numId w:val="69"/>
              </w:numPr>
              <w:ind w:left="173" w:hanging="115"/>
              <w:jc w:val="both"/>
              <w:rPr>
                <w:rFonts w:ascii="Arial Narrow" w:hAnsi="Arial Narrow"/>
                <w:sz w:val="18"/>
                <w:szCs w:val="18"/>
                <w:lang w:val="en-GB"/>
              </w:rPr>
            </w:pPr>
            <w:r w:rsidRPr="006645DC">
              <w:rPr>
                <w:rFonts w:ascii="Arial Narrow" w:hAnsi="Arial Narrow"/>
                <w:sz w:val="18"/>
                <w:szCs w:val="18"/>
                <w:lang w:val="en-GB"/>
              </w:rPr>
              <w:t xml:space="preserve">Increasing gaps between urban innovative areas and rural areas with innovation deficits, well connected areas and those with ICT deficit </w:t>
            </w:r>
          </w:p>
          <w:p w14:paraId="40C13C83" w14:textId="77777777" w:rsidR="00053729" w:rsidRPr="006645DC" w:rsidRDefault="00053729" w:rsidP="00C951D5">
            <w:pPr>
              <w:pStyle w:val="ListParagraph"/>
              <w:numPr>
                <w:ilvl w:val="0"/>
                <w:numId w:val="69"/>
              </w:numPr>
              <w:spacing w:before="0" w:after="0"/>
              <w:ind w:left="173" w:hanging="115"/>
              <w:rPr>
                <w:rFonts w:ascii="Arial Narrow" w:hAnsi="Arial Narrow" w:cs="Calibri"/>
                <w:sz w:val="18"/>
                <w:szCs w:val="18"/>
                <w:lang w:val="en-GB"/>
              </w:rPr>
            </w:pPr>
            <w:r w:rsidRPr="006645DC">
              <w:rPr>
                <w:rFonts w:ascii="Arial Narrow" w:hAnsi="Arial Narrow" w:cs="Calibri"/>
                <w:sz w:val="18"/>
                <w:szCs w:val="18"/>
                <w:lang w:val="en-GB"/>
              </w:rPr>
              <w:t>Failure to exploit natural resources in a sustainable way</w:t>
            </w:r>
          </w:p>
          <w:p w14:paraId="503B45B4" w14:textId="77777777" w:rsidR="00053729" w:rsidRPr="006645DC" w:rsidRDefault="00053729" w:rsidP="00C951D5">
            <w:pPr>
              <w:pStyle w:val="ListParagraph"/>
              <w:numPr>
                <w:ilvl w:val="0"/>
                <w:numId w:val="69"/>
              </w:numPr>
              <w:spacing w:before="0" w:after="0"/>
              <w:ind w:left="173" w:hanging="115"/>
              <w:rPr>
                <w:rFonts w:ascii="Arial Narrow" w:hAnsi="Arial Narrow" w:cs="Calibri"/>
                <w:sz w:val="18"/>
                <w:szCs w:val="18"/>
                <w:lang w:val="en-GB"/>
              </w:rPr>
            </w:pPr>
            <w:r w:rsidRPr="006645DC">
              <w:rPr>
                <w:rFonts w:ascii="Arial Narrow" w:hAnsi="Arial Narrow" w:cs="Calibri"/>
                <w:sz w:val="18"/>
                <w:szCs w:val="18"/>
                <w:lang w:val="en-GB"/>
              </w:rPr>
              <w:t>Manmade disasters in connection with extreme weather</w:t>
            </w:r>
          </w:p>
          <w:p w14:paraId="0CEDFB9C" w14:textId="77777777" w:rsidR="00053729" w:rsidRPr="006645DC" w:rsidRDefault="00053729" w:rsidP="00C951D5">
            <w:pPr>
              <w:pStyle w:val="ListParagraph"/>
              <w:numPr>
                <w:ilvl w:val="0"/>
                <w:numId w:val="69"/>
              </w:numPr>
              <w:spacing w:before="0" w:after="0"/>
              <w:ind w:left="173" w:hanging="115"/>
              <w:rPr>
                <w:rFonts w:ascii="Arial Narrow" w:hAnsi="Arial Narrow" w:cs="Calibri"/>
                <w:sz w:val="18"/>
                <w:szCs w:val="18"/>
                <w:lang w:val="en-GB"/>
              </w:rPr>
            </w:pPr>
            <w:r w:rsidRPr="006645DC">
              <w:rPr>
                <w:rFonts w:ascii="Arial Narrow" w:hAnsi="Arial Narrow" w:cs="Calibri"/>
                <w:sz w:val="18"/>
                <w:szCs w:val="18"/>
                <w:lang w:val="en-GB"/>
              </w:rPr>
              <w:t xml:space="preserve">Extreme costs for adaptation to climate change </w:t>
            </w:r>
          </w:p>
          <w:p w14:paraId="20DA54C2" w14:textId="77777777" w:rsidR="00053729" w:rsidRPr="006645DC" w:rsidRDefault="00053729" w:rsidP="00C951D5">
            <w:pPr>
              <w:pStyle w:val="ListParagraph"/>
              <w:numPr>
                <w:ilvl w:val="0"/>
                <w:numId w:val="69"/>
              </w:numPr>
              <w:spacing w:before="0" w:after="0"/>
              <w:ind w:left="173" w:hanging="115"/>
              <w:rPr>
                <w:rFonts w:ascii="Arial Narrow" w:hAnsi="Arial Narrow" w:cs="Calibri"/>
                <w:sz w:val="18"/>
                <w:szCs w:val="18"/>
                <w:lang w:val="en-GB"/>
              </w:rPr>
            </w:pPr>
            <w:r w:rsidRPr="006645DC">
              <w:rPr>
                <w:rFonts w:ascii="Arial Narrow" w:hAnsi="Arial Narrow" w:cs="Calibri"/>
                <w:sz w:val="18"/>
                <w:szCs w:val="18"/>
                <w:lang w:val="en-GB"/>
              </w:rPr>
              <w:t xml:space="preserve">Loss of bio-resource base </w:t>
            </w:r>
          </w:p>
          <w:p w14:paraId="72F25C15" w14:textId="77777777" w:rsidR="00053729" w:rsidRPr="006645DC" w:rsidRDefault="00053729" w:rsidP="00C951D5">
            <w:pPr>
              <w:pStyle w:val="ListParagraph"/>
              <w:numPr>
                <w:ilvl w:val="0"/>
                <w:numId w:val="69"/>
              </w:numPr>
              <w:spacing w:before="0" w:after="0"/>
              <w:ind w:left="173" w:hanging="115"/>
              <w:rPr>
                <w:rFonts w:ascii="Arial Narrow" w:hAnsi="Arial Narrow" w:cs="Calibri"/>
                <w:sz w:val="18"/>
                <w:szCs w:val="18"/>
                <w:lang w:val="en-GB"/>
              </w:rPr>
            </w:pPr>
            <w:r w:rsidRPr="006645DC">
              <w:rPr>
                <w:rFonts w:ascii="Arial Narrow" w:hAnsi="Arial Narrow" w:cs="Calibri"/>
                <w:sz w:val="18"/>
                <w:szCs w:val="18"/>
                <w:lang w:val="en-GB"/>
              </w:rPr>
              <w:t>Natural disasters implied by climate change</w:t>
            </w:r>
          </w:p>
          <w:p w14:paraId="56C38804" w14:textId="77777777" w:rsidR="00053729" w:rsidRPr="006645DC" w:rsidRDefault="00053729" w:rsidP="00C951D5">
            <w:pPr>
              <w:pStyle w:val="ListParagraph"/>
              <w:numPr>
                <w:ilvl w:val="0"/>
                <w:numId w:val="69"/>
              </w:numPr>
              <w:spacing w:before="0" w:after="0"/>
              <w:ind w:left="173" w:hanging="115"/>
              <w:rPr>
                <w:rFonts w:ascii="Arial Narrow" w:hAnsi="Arial Narrow" w:cs="Calibri"/>
                <w:sz w:val="18"/>
                <w:szCs w:val="18"/>
                <w:lang w:val="en-GB"/>
              </w:rPr>
            </w:pPr>
            <w:r w:rsidRPr="006645DC">
              <w:rPr>
                <w:rFonts w:ascii="Arial Narrow" w:hAnsi="Arial Narrow" w:cs="Calibri"/>
                <w:sz w:val="18"/>
                <w:szCs w:val="18"/>
                <w:lang w:val="en-GB"/>
              </w:rPr>
              <w:t>Increased Youth out-migration</w:t>
            </w:r>
          </w:p>
          <w:p w14:paraId="2645DAFF" w14:textId="77777777" w:rsidR="00053729" w:rsidRPr="006645DC" w:rsidRDefault="00053729" w:rsidP="00C951D5">
            <w:pPr>
              <w:pStyle w:val="ListParagraph"/>
              <w:numPr>
                <w:ilvl w:val="0"/>
                <w:numId w:val="69"/>
              </w:numPr>
              <w:spacing w:before="0" w:after="0"/>
              <w:ind w:left="173" w:hanging="115"/>
              <w:rPr>
                <w:rFonts w:ascii="Arial Narrow" w:hAnsi="Arial Narrow" w:cs="Calibri"/>
                <w:sz w:val="18"/>
                <w:szCs w:val="18"/>
                <w:lang w:val="en-GB"/>
              </w:rPr>
            </w:pPr>
            <w:r w:rsidRPr="006645DC">
              <w:rPr>
                <w:rFonts w:ascii="Arial Narrow" w:hAnsi="Arial Narrow" w:cs="Calibri"/>
                <w:sz w:val="18"/>
                <w:szCs w:val="18"/>
                <w:lang w:val="en-GB"/>
              </w:rPr>
              <w:t xml:space="preserve">International cooperation with neighbours, especially Danube river basin municipalities and public stakeholders. </w:t>
            </w:r>
          </w:p>
        </w:tc>
      </w:tr>
    </w:tbl>
    <w:p w14:paraId="506F7232" w14:textId="77777777" w:rsidR="005D1086" w:rsidRPr="006645DC" w:rsidRDefault="005D1086" w:rsidP="00367167">
      <w:pPr>
        <w:rPr>
          <w:lang w:val="en-GB"/>
        </w:rPr>
        <w:sectPr w:rsidR="005D1086" w:rsidRPr="006645DC" w:rsidSect="00367167">
          <w:pgSz w:w="15840" w:h="12240" w:orient="landscape"/>
          <w:pgMar w:top="1440" w:right="1440" w:bottom="1440" w:left="1440" w:header="720" w:footer="720" w:gutter="0"/>
          <w:cols w:space="720"/>
          <w:docGrid w:linePitch="360"/>
        </w:sectPr>
      </w:pPr>
    </w:p>
    <w:p w14:paraId="5E7CDB41" w14:textId="77777777" w:rsidR="00063294" w:rsidRPr="006645DC" w:rsidRDefault="00063294" w:rsidP="00367167">
      <w:pPr>
        <w:rPr>
          <w:lang w:val="en-GB"/>
        </w:rPr>
      </w:pPr>
    </w:p>
    <w:p w14:paraId="76F42673" w14:textId="77777777" w:rsidR="005D1086" w:rsidRPr="006645DC" w:rsidRDefault="00B20667" w:rsidP="005D1086">
      <w:pPr>
        <w:pStyle w:val="Heading2"/>
        <w:rPr>
          <w:lang w:val="en-GB"/>
        </w:rPr>
      </w:pPr>
      <w:bookmarkStart w:id="2361" w:name="_Toc254543869"/>
      <w:bookmarkStart w:id="2362" w:name="_Toc391150229"/>
      <w:r w:rsidRPr="006645DC">
        <w:rPr>
          <w:lang w:val="en-GB"/>
        </w:rPr>
        <w:t>Comparison of the SWOT analysis between the two programming periods</w:t>
      </w:r>
      <w:bookmarkEnd w:id="2361"/>
      <w:bookmarkEnd w:id="2362"/>
    </w:p>
    <w:p w14:paraId="0F7401D1" w14:textId="77777777" w:rsidR="005D1086" w:rsidRPr="006645DC" w:rsidRDefault="005D1086" w:rsidP="005D1086">
      <w:pPr>
        <w:rPr>
          <w:lang w:val="en-GB"/>
        </w:rPr>
      </w:pPr>
      <w:r w:rsidRPr="006645DC">
        <w:rPr>
          <w:lang w:val="en-GB"/>
        </w:rPr>
        <w:t xml:space="preserve">The 2007-2013 Romania-Bulgaria Cross-border Cooperation Programme’s SWOT was a tool that strived to be exhaustive and developed an analysis for each chapter of the Territorial Analysis of the 2007-2013 Programme. This was natural given this first programming period for the cross-border cooperation between the two countries and the need to review all the information for a territory that had only limited tradition of cooperation. </w:t>
      </w:r>
    </w:p>
    <w:p w14:paraId="70766219" w14:textId="77777777" w:rsidR="005D1086" w:rsidRPr="006645DC" w:rsidRDefault="005D1086" w:rsidP="005D1086">
      <w:pPr>
        <w:rPr>
          <w:lang w:val="en-GB"/>
        </w:rPr>
      </w:pPr>
      <w:r w:rsidRPr="006645DC">
        <w:rPr>
          <w:lang w:val="en-GB"/>
        </w:rPr>
        <w:t>Nevertheless this led to a SWOT analysis that included a big amount of information that took the form of a general static review of the socio-econom</w:t>
      </w:r>
      <w:r w:rsidR="00DC1F4A" w:rsidRPr="006645DC">
        <w:rPr>
          <w:lang w:val="en-GB"/>
        </w:rPr>
        <w:t>ic and environmental situation</w:t>
      </w:r>
      <w:r w:rsidRPr="006645DC">
        <w:rPr>
          <w:lang w:val="en-GB"/>
        </w:rPr>
        <w:t xml:space="preserve"> </w:t>
      </w:r>
      <w:r w:rsidR="00DC1F4A" w:rsidRPr="006645DC">
        <w:rPr>
          <w:lang w:val="en-GB"/>
        </w:rPr>
        <w:t xml:space="preserve">statistics. </w:t>
      </w:r>
      <w:r w:rsidRPr="006645DC">
        <w:rPr>
          <w:lang w:val="en-GB"/>
        </w:rPr>
        <w:t>This was also applied to a set of sectors that were reflected the statistical categories of each state: geography, economy, infrastructure, environment, human resources and tourism. This was illustrative of an approach that emphasized the existing without a very clear vision (of the role of the programme and on the potentialities of the territory</w:t>
      </w:r>
      <w:r w:rsidR="0056102E" w:rsidRPr="006645DC">
        <w:rPr>
          <w:lang w:val="en-GB"/>
        </w:rPr>
        <w:t>) with</w:t>
      </w:r>
      <w:r w:rsidRPr="006645DC">
        <w:rPr>
          <w:lang w:val="en-GB"/>
        </w:rPr>
        <w:t xml:space="preserve"> its associated system of strategic and operational objectives.  </w:t>
      </w:r>
    </w:p>
    <w:p w14:paraId="089E5B9C" w14:textId="77777777" w:rsidR="005D1086" w:rsidRPr="006645DC" w:rsidRDefault="005D1086" w:rsidP="005D1086">
      <w:pPr>
        <w:rPr>
          <w:lang w:val="en-GB"/>
        </w:rPr>
      </w:pPr>
      <w:r w:rsidRPr="006645DC">
        <w:rPr>
          <w:lang w:val="en-GB"/>
        </w:rPr>
        <w:t xml:space="preserve">Nevertheless, this type of approach was well adapted to the on the ground situation (where cross-border cooperation was weak) and to the socio-economic problematic of the area (the short and dynamic analysis that emphasized added-value and not simple statistical analysis was more adapted to a Western Europe territory with a strong history of territorial cooperation public policy than to the Romania-Bulgaria cross-border area. The programming of a Western Europe area meant a review and re-evaluation of previous objectives, while in the Romania-Bulgaria case it was a practically new </w:t>
      </w:r>
      <w:r w:rsidR="00DC1F4A" w:rsidRPr="006645DC">
        <w:rPr>
          <w:lang w:val="en-GB"/>
        </w:rPr>
        <w:t>endeavour</w:t>
      </w:r>
      <w:r w:rsidRPr="006645DC">
        <w:rPr>
          <w:lang w:val="en-GB"/>
        </w:rPr>
        <w:t xml:space="preserve">, unsure of its “starting blocks”). </w:t>
      </w:r>
    </w:p>
    <w:p w14:paraId="3E2D3355" w14:textId="77777777" w:rsidR="005D1086" w:rsidRPr="006645DC" w:rsidRDefault="005D1086" w:rsidP="005D1086">
      <w:pPr>
        <w:rPr>
          <w:lang w:val="en-GB"/>
        </w:rPr>
      </w:pPr>
      <w:r w:rsidRPr="006645DC">
        <w:rPr>
          <w:lang w:val="en-GB"/>
        </w:rPr>
        <w:t xml:space="preserve">The above reasons imposed the new approach of the present SWOT. This time a single general SWOT was drafted from the individual SWOTs of each chapter of the Territorial Analysis. These individual SWOTs were themselves based on chapters that approached the territory in a more dynamic way, on actual topics of interest, that inform public policy everywhere in Europe. </w:t>
      </w:r>
    </w:p>
    <w:p w14:paraId="67171E8A" w14:textId="77777777" w:rsidR="005D1086" w:rsidRPr="006645DC" w:rsidRDefault="005D1086" w:rsidP="005D1086">
      <w:pPr>
        <w:rPr>
          <w:lang w:val="en-GB"/>
        </w:rPr>
      </w:pPr>
      <w:r w:rsidRPr="006645DC">
        <w:rPr>
          <w:lang w:val="en-GB"/>
        </w:rPr>
        <w:t>Nevertheless the present SWOT had also to be less ambitious and build on a similar “statistical approach” its more dynamic perspective of the territory, given the little substantial changes that took place from 2007 until now and the worsening of the on the ground situation, especially</w:t>
      </w:r>
      <w:r w:rsidR="00D668FB" w:rsidRPr="006645DC">
        <w:rPr>
          <w:lang w:val="en-GB"/>
        </w:rPr>
        <w:t xml:space="preserve"> in the demographic and the economic fields</w:t>
      </w:r>
      <w:r w:rsidRPr="006645DC">
        <w:rPr>
          <w:lang w:val="en-GB"/>
        </w:rPr>
        <w:t xml:space="preserve">. Indicators that are key for piloting public policy on a very short-term basis in Western Europe, have only a limited relevance here in an area of sharply declining population, low R&amp;D level, low activity levels and lower administrative capacity.  By drafting a general SWOT, there is a structural obligation for the author to be concise and to prioritize territorial aspects in order to find the basis for the vision.  </w:t>
      </w:r>
    </w:p>
    <w:p w14:paraId="7CFB8C17" w14:textId="77777777" w:rsidR="005D1086" w:rsidRPr="006645DC" w:rsidRDefault="005D1086" w:rsidP="005D1086">
      <w:pPr>
        <w:rPr>
          <w:lang w:val="en-GB"/>
        </w:rPr>
      </w:pPr>
      <w:r w:rsidRPr="006645DC">
        <w:rPr>
          <w:lang w:val="en-GB"/>
        </w:rPr>
        <w:t xml:space="preserve">In terms of content, there is only a limited difference between the 2007-2013 and the 2014-2020 SWOT. The present SWOT </w:t>
      </w:r>
      <w:r w:rsidR="00D668FB" w:rsidRPr="006645DC">
        <w:rPr>
          <w:lang w:val="en-GB"/>
        </w:rPr>
        <w:t>use</w:t>
      </w:r>
      <w:r w:rsidRPr="006645DC">
        <w:rPr>
          <w:lang w:val="en-GB"/>
        </w:rPr>
        <w:t xml:space="preserve"> the EU strategic documents and orientations (Europa 2020) in order to identify the strengths and weaknesses that can really substantiate potentials that are fertile in the present European context and future strategic orientations.  </w:t>
      </w:r>
    </w:p>
    <w:p w14:paraId="593A4723" w14:textId="77777777" w:rsidR="005D1086" w:rsidRPr="006645DC" w:rsidRDefault="005D1086" w:rsidP="005D1086">
      <w:pPr>
        <w:rPr>
          <w:lang w:val="en-GB"/>
        </w:rPr>
        <w:sectPr w:rsidR="005D1086" w:rsidRPr="006645DC" w:rsidSect="005D1086">
          <w:pgSz w:w="12240" w:h="15840"/>
          <w:pgMar w:top="1440" w:right="1440" w:bottom="1440" w:left="1440" w:header="720" w:footer="720" w:gutter="0"/>
          <w:cols w:space="720"/>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5"/>
        <w:gridCol w:w="2515"/>
        <w:gridCol w:w="3848"/>
        <w:gridCol w:w="2825"/>
        <w:gridCol w:w="249"/>
        <w:gridCol w:w="2011"/>
      </w:tblGrid>
      <w:tr w:rsidR="005D1086" w:rsidRPr="006645DC" w14:paraId="6D9D94EB" w14:textId="77777777" w:rsidTr="004A7DE4">
        <w:trPr>
          <w:tblHeader/>
        </w:trPr>
        <w:tc>
          <w:tcPr>
            <w:tcW w:w="1485" w:type="dxa"/>
            <w:vMerge w:val="restart"/>
          </w:tcPr>
          <w:p w14:paraId="2BC8026D" w14:textId="77777777" w:rsidR="005D1086" w:rsidRPr="006645DC" w:rsidRDefault="005D1086" w:rsidP="005D1086">
            <w:pPr>
              <w:spacing w:before="40" w:after="40"/>
              <w:rPr>
                <w:rFonts w:cstheme="minorHAnsi"/>
                <w:lang w:val="en-GB"/>
              </w:rPr>
            </w:pPr>
            <w:r w:rsidRPr="006645DC">
              <w:rPr>
                <w:rFonts w:cstheme="minorHAnsi"/>
                <w:b/>
                <w:lang w:val="en-GB"/>
              </w:rPr>
              <w:lastRenderedPageBreak/>
              <w:t>Geographical position</w:t>
            </w:r>
          </w:p>
        </w:tc>
        <w:tc>
          <w:tcPr>
            <w:tcW w:w="2515" w:type="dxa"/>
          </w:tcPr>
          <w:p w14:paraId="3311DAFA" w14:textId="77777777" w:rsidR="005D1086" w:rsidRPr="006645DC" w:rsidRDefault="005D1086" w:rsidP="005D1086">
            <w:pPr>
              <w:spacing w:before="40" w:after="40"/>
              <w:rPr>
                <w:rFonts w:cstheme="minorHAnsi"/>
                <w:lang w:val="en-GB"/>
              </w:rPr>
            </w:pPr>
            <w:r w:rsidRPr="006645DC">
              <w:rPr>
                <w:rFonts w:cstheme="minorHAnsi"/>
                <w:b/>
                <w:lang w:val="en-GB"/>
              </w:rPr>
              <w:t>STRENGTHS</w:t>
            </w:r>
          </w:p>
        </w:tc>
        <w:tc>
          <w:tcPr>
            <w:tcW w:w="3848" w:type="dxa"/>
          </w:tcPr>
          <w:p w14:paraId="4F0A7852" w14:textId="77777777" w:rsidR="005D1086" w:rsidRPr="006645DC" w:rsidRDefault="005D1086" w:rsidP="005D1086">
            <w:pPr>
              <w:spacing w:before="40" w:after="40"/>
              <w:rPr>
                <w:rFonts w:cstheme="minorHAnsi"/>
                <w:lang w:val="en-GB"/>
              </w:rPr>
            </w:pPr>
            <w:r w:rsidRPr="006645DC">
              <w:rPr>
                <w:rFonts w:cstheme="minorHAnsi"/>
                <w:b/>
                <w:lang w:val="en-GB"/>
              </w:rPr>
              <w:t>WEAKNESSES</w:t>
            </w:r>
          </w:p>
        </w:tc>
        <w:tc>
          <w:tcPr>
            <w:tcW w:w="2825" w:type="dxa"/>
          </w:tcPr>
          <w:p w14:paraId="5FB6B0E9" w14:textId="77777777" w:rsidR="005D1086" w:rsidRPr="006645DC" w:rsidRDefault="005D1086" w:rsidP="005D1086">
            <w:pPr>
              <w:spacing w:before="40" w:after="40"/>
              <w:rPr>
                <w:rFonts w:cstheme="minorHAnsi"/>
                <w:lang w:val="en-GB"/>
              </w:rPr>
            </w:pPr>
            <w:r w:rsidRPr="006645DC">
              <w:rPr>
                <w:rFonts w:cstheme="minorHAnsi"/>
                <w:b/>
                <w:lang w:val="en-GB"/>
              </w:rPr>
              <w:t>OPPORTUNITIES</w:t>
            </w:r>
          </w:p>
        </w:tc>
        <w:tc>
          <w:tcPr>
            <w:tcW w:w="2260" w:type="dxa"/>
            <w:gridSpan w:val="2"/>
          </w:tcPr>
          <w:p w14:paraId="7EADD3A6" w14:textId="77777777" w:rsidR="005D1086" w:rsidRPr="006645DC" w:rsidRDefault="005D1086" w:rsidP="005D1086">
            <w:pPr>
              <w:spacing w:before="40" w:after="40"/>
              <w:rPr>
                <w:rFonts w:cstheme="minorHAnsi"/>
                <w:lang w:val="en-GB"/>
              </w:rPr>
            </w:pPr>
            <w:r w:rsidRPr="006645DC">
              <w:rPr>
                <w:rFonts w:cstheme="minorHAnsi"/>
                <w:b/>
                <w:lang w:val="en-GB"/>
              </w:rPr>
              <w:t>THREATS</w:t>
            </w:r>
          </w:p>
        </w:tc>
      </w:tr>
      <w:tr w:rsidR="005D1086" w:rsidRPr="006645DC" w14:paraId="048BA9CB" w14:textId="77777777" w:rsidTr="004A7DE4">
        <w:tc>
          <w:tcPr>
            <w:tcW w:w="1485" w:type="dxa"/>
            <w:vMerge/>
          </w:tcPr>
          <w:p w14:paraId="5166E0E6" w14:textId="77777777" w:rsidR="005D1086" w:rsidRPr="006645DC" w:rsidRDefault="005D1086" w:rsidP="005D1086">
            <w:pPr>
              <w:spacing w:before="40" w:after="40"/>
              <w:rPr>
                <w:rFonts w:cstheme="minorHAnsi"/>
                <w:lang w:val="en-GB"/>
              </w:rPr>
            </w:pPr>
          </w:p>
        </w:tc>
        <w:tc>
          <w:tcPr>
            <w:tcW w:w="2515" w:type="dxa"/>
          </w:tcPr>
          <w:p w14:paraId="72CEB630" w14:textId="77777777" w:rsidR="005D1086" w:rsidRPr="006645DC" w:rsidRDefault="005D1086" w:rsidP="005D1086">
            <w:pPr>
              <w:pStyle w:val="Default"/>
              <w:autoSpaceDE/>
              <w:autoSpaceDN/>
              <w:adjustRightInd/>
              <w:spacing w:before="40" w:after="40"/>
              <w:rPr>
                <w:rFonts w:asciiTheme="minorHAnsi" w:hAnsiTheme="minorHAnsi" w:cstheme="minorHAnsi"/>
                <w:sz w:val="22"/>
                <w:lang w:val="en-GB"/>
              </w:rPr>
            </w:pPr>
            <w:r w:rsidRPr="006645DC">
              <w:rPr>
                <w:rFonts w:asciiTheme="minorHAnsi" w:hAnsiTheme="minorHAnsi" w:cstheme="minorHAnsi"/>
                <w:sz w:val="22"/>
                <w:lang w:val="en-GB"/>
              </w:rPr>
              <w:t xml:space="preserve">The area derives political and strategic significance from its Danube orientation and </w:t>
            </w:r>
            <w:r w:rsidR="00E343F3" w:rsidRPr="006645DC">
              <w:rPr>
                <w:rFonts w:asciiTheme="minorHAnsi" w:hAnsiTheme="minorHAnsi" w:cstheme="minorHAnsi"/>
                <w:sz w:val="22"/>
                <w:lang w:val="en-GB"/>
              </w:rPr>
              <w:t>worldwide</w:t>
            </w:r>
            <w:r w:rsidRPr="006645DC">
              <w:rPr>
                <w:rFonts w:asciiTheme="minorHAnsi" w:hAnsiTheme="minorHAnsi" w:cstheme="minorHAnsi"/>
                <w:sz w:val="22"/>
                <w:lang w:val="en-GB"/>
              </w:rPr>
              <w:t xml:space="preserve"> sea connections from its Black Sea ports. </w:t>
            </w:r>
          </w:p>
          <w:p w14:paraId="7F303915" w14:textId="77777777" w:rsidR="005D1086" w:rsidRPr="006645DC" w:rsidRDefault="005D1086" w:rsidP="005D1086">
            <w:pPr>
              <w:spacing w:before="40" w:after="40"/>
              <w:rPr>
                <w:rFonts w:cstheme="minorHAnsi"/>
                <w:lang w:val="en-GB"/>
              </w:rPr>
            </w:pPr>
            <w:r w:rsidRPr="006645DC">
              <w:rPr>
                <w:rFonts w:cstheme="minorHAnsi"/>
                <w:lang w:val="en-GB"/>
              </w:rPr>
              <w:t xml:space="preserve">Its rich variety of landscapes (mountain ranges, hills, lowlands, Danube River, Black Sea coast), flora and fauna constitute an area of outstanding natural </w:t>
            </w:r>
            <w:r w:rsidR="00E343F3" w:rsidRPr="006645DC">
              <w:rPr>
                <w:rFonts w:cstheme="minorHAnsi"/>
                <w:lang w:val="en-GB"/>
              </w:rPr>
              <w:t>beauty, which</w:t>
            </w:r>
            <w:r w:rsidRPr="006645DC">
              <w:rPr>
                <w:rFonts w:cstheme="minorHAnsi"/>
                <w:lang w:val="en-GB"/>
              </w:rPr>
              <w:t xml:space="preserve"> has been a cradle of </w:t>
            </w:r>
            <w:r w:rsidR="00417F4A" w:rsidRPr="006645DC">
              <w:rPr>
                <w:rFonts w:cstheme="minorHAnsi"/>
                <w:lang w:val="en-GB"/>
              </w:rPr>
              <w:t>civilization</w:t>
            </w:r>
            <w:r w:rsidRPr="006645DC">
              <w:rPr>
                <w:rFonts w:cstheme="minorHAnsi"/>
                <w:lang w:val="en-GB"/>
              </w:rPr>
              <w:t xml:space="preserve"> for thousands of years.</w:t>
            </w:r>
          </w:p>
        </w:tc>
        <w:tc>
          <w:tcPr>
            <w:tcW w:w="3848" w:type="dxa"/>
          </w:tcPr>
          <w:p w14:paraId="780ADF53" w14:textId="77777777" w:rsidR="005D1086" w:rsidRPr="006645DC" w:rsidRDefault="005D1086" w:rsidP="005D1086">
            <w:pPr>
              <w:spacing w:before="40" w:after="40"/>
              <w:rPr>
                <w:rFonts w:cstheme="minorHAnsi"/>
                <w:lang w:val="en-GB"/>
              </w:rPr>
            </w:pPr>
            <w:r w:rsidRPr="006645DC">
              <w:rPr>
                <w:rFonts w:cstheme="minorHAnsi"/>
                <w:lang w:val="en-GB"/>
              </w:rPr>
              <w:t xml:space="preserve">The Danube River is not so important to the border region’s economy. Despites its significance as an TEN-T Priority axis, the Danube is remote from most of the area’s major industrial </w:t>
            </w:r>
            <w:r w:rsidR="00417F4A" w:rsidRPr="006645DC">
              <w:rPr>
                <w:rFonts w:cstheme="minorHAnsi"/>
                <w:lang w:val="en-GB"/>
              </w:rPr>
              <w:t>centers</w:t>
            </w:r>
            <w:r w:rsidRPr="006645DC">
              <w:rPr>
                <w:rFonts w:cstheme="minorHAnsi"/>
                <w:lang w:val="en-GB"/>
              </w:rPr>
              <w:t xml:space="preserve"> and has limited use for local transportation.  Moreover, marshy banks and perennial flooding impede navigation in some areas.  The frequent </w:t>
            </w:r>
            <w:r w:rsidR="00417F4A" w:rsidRPr="006645DC">
              <w:rPr>
                <w:rFonts w:cstheme="minorHAnsi"/>
                <w:lang w:val="en-GB"/>
              </w:rPr>
              <w:t>occurrence of natural disasters (especially flooding and pollution) acts as a barrier to economic development and marginalizes</w:t>
            </w:r>
            <w:r w:rsidRPr="006645DC">
              <w:rPr>
                <w:rFonts w:cstheme="minorHAnsi"/>
                <w:lang w:val="en-GB"/>
              </w:rPr>
              <w:t xml:space="preserve"> the region.</w:t>
            </w:r>
          </w:p>
          <w:p w14:paraId="5426675D" w14:textId="77777777" w:rsidR="005D1086" w:rsidRPr="006645DC" w:rsidRDefault="005D1086" w:rsidP="005D1086">
            <w:pPr>
              <w:spacing w:before="40" w:after="40"/>
              <w:rPr>
                <w:rFonts w:cstheme="minorHAnsi"/>
                <w:lang w:val="en-GB"/>
              </w:rPr>
            </w:pPr>
          </w:p>
        </w:tc>
        <w:tc>
          <w:tcPr>
            <w:tcW w:w="2825" w:type="dxa"/>
          </w:tcPr>
          <w:p w14:paraId="6058507F" w14:textId="77777777" w:rsidR="005D1086" w:rsidRPr="006645DC" w:rsidRDefault="005D1086" w:rsidP="005D1086">
            <w:pPr>
              <w:spacing w:before="40" w:after="40"/>
              <w:rPr>
                <w:rFonts w:cstheme="minorHAnsi"/>
                <w:szCs w:val="20"/>
                <w:lang w:val="en-GB"/>
              </w:rPr>
            </w:pPr>
            <w:r w:rsidRPr="006645DC">
              <w:rPr>
                <w:rFonts w:cstheme="minorHAnsi"/>
                <w:szCs w:val="20"/>
                <w:lang w:val="en-GB"/>
              </w:rPr>
              <w:t>Coordinated development of economic advantages of location on the Danube inland waterways TEN-T Priority axis no. 18 and the new Vidin-Calafat road and rail bridge (TEN-T Priority Axis no. 22) could benefit the area as a transport hub.</w:t>
            </w:r>
          </w:p>
          <w:p w14:paraId="3714FFB0" w14:textId="77777777" w:rsidR="005D1086" w:rsidRPr="006645DC" w:rsidRDefault="005D1086" w:rsidP="005D1086">
            <w:pPr>
              <w:spacing w:before="40" w:after="40"/>
              <w:rPr>
                <w:rFonts w:cstheme="minorHAnsi"/>
                <w:color w:val="000000"/>
                <w:lang w:val="en-GB"/>
              </w:rPr>
            </w:pPr>
            <w:r w:rsidRPr="006645DC">
              <w:rPr>
                <w:rFonts w:cstheme="minorHAnsi"/>
                <w:color w:val="000000"/>
                <w:lang w:val="en-GB"/>
              </w:rPr>
              <w:t xml:space="preserve">Implementing joint flood prevention strategies will reduce threats from natural disasters. </w:t>
            </w:r>
          </w:p>
          <w:p w14:paraId="3BA1DDD3" w14:textId="77777777" w:rsidR="005D1086" w:rsidRPr="006645DC" w:rsidRDefault="005D1086" w:rsidP="005D1086">
            <w:pPr>
              <w:rPr>
                <w:rFonts w:cstheme="minorHAnsi"/>
                <w:lang w:val="en-GB"/>
              </w:rPr>
            </w:pPr>
            <w:r w:rsidRPr="006645DC">
              <w:rPr>
                <w:rFonts w:cstheme="minorHAnsi"/>
                <w:lang w:val="en-GB"/>
              </w:rPr>
              <w:t>Attractive environment for working, living and tourism.</w:t>
            </w:r>
          </w:p>
          <w:p w14:paraId="4BC7CE27" w14:textId="77777777" w:rsidR="005D1086" w:rsidRPr="006645DC" w:rsidRDefault="005D1086" w:rsidP="005D1086">
            <w:pPr>
              <w:spacing w:before="40" w:after="40"/>
              <w:rPr>
                <w:rFonts w:cstheme="minorHAnsi"/>
                <w:color w:val="000000"/>
                <w:lang w:val="en-GB"/>
              </w:rPr>
            </w:pPr>
            <w:r w:rsidRPr="006645DC">
              <w:rPr>
                <w:rFonts w:cstheme="minorHAnsi"/>
                <w:color w:val="000000"/>
                <w:lang w:val="en-GB"/>
              </w:rPr>
              <w:t xml:space="preserve">Accession of Romania and Bulgaria to the EU will encourage joint approach to regional development and will contribute to the </w:t>
            </w:r>
            <w:r w:rsidR="007D47F2" w:rsidRPr="006645DC">
              <w:rPr>
                <w:rFonts w:cstheme="minorHAnsi"/>
                <w:color w:val="000000"/>
                <w:lang w:val="en-GB"/>
              </w:rPr>
              <w:t>harmonization</w:t>
            </w:r>
            <w:r w:rsidRPr="006645DC">
              <w:rPr>
                <w:rFonts w:cstheme="minorHAnsi"/>
                <w:color w:val="000000"/>
                <w:lang w:val="en-GB"/>
              </w:rPr>
              <w:t xml:space="preserve"> of cross-border strategies.</w:t>
            </w:r>
          </w:p>
          <w:p w14:paraId="6020A35A" w14:textId="77777777" w:rsidR="005D1086" w:rsidRDefault="005D1086" w:rsidP="005D1086">
            <w:pPr>
              <w:spacing w:before="40" w:after="40"/>
              <w:rPr>
                <w:rFonts w:cstheme="minorHAnsi"/>
                <w:color w:val="000000"/>
                <w:lang w:val="en-GB"/>
              </w:rPr>
            </w:pPr>
            <w:r w:rsidRPr="006645DC">
              <w:rPr>
                <w:rFonts w:cstheme="minorHAnsi"/>
                <w:color w:val="000000"/>
                <w:lang w:val="en-GB"/>
              </w:rPr>
              <w:t>Increase of funds available for developing cross-border co-operation.</w:t>
            </w:r>
          </w:p>
          <w:p w14:paraId="5F27A390" w14:textId="77777777" w:rsidR="004A7DE4" w:rsidRDefault="004A7DE4" w:rsidP="005D1086">
            <w:pPr>
              <w:spacing w:before="40" w:after="40"/>
              <w:rPr>
                <w:rFonts w:cstheme="minorHAnsi"/>
                <w:color w:val="000000"/>
                <w:lang w:val="en-GB"/>
              </w:rPr>
            </w:pPr>
          </w:p>
          <w:p w14:paraId="0EBAAC6C" w14:textId="77777777" w:rsidR="004A7DE4" w:rsidRDefault="004A7DE4" w:rsidP="005D1086">
            <w:pPr>
              <w:spacing w:before="40" w:after="40"/>
              <w:rPr>
                <w:rFonts w:cstheme="minorHAnsi"/>
                <w:color w:val="000000"/>
                <w:lang w:val="en-GB"/>
              </w:rPr>
            </w:pPr>
          </w:p>
          <w:p w14:paraId="4B3C9A97" w14:textId="77777777" w:rsidR="004A7DE4" w:rsidRPr="006645DC" w:rsidRDefault="004A7DE4" w:rsidP="005D1086">
            <w:pPr>
              <w:spacing w:before="40" w:after="40"/>
              <w:rPr>
                <w:rFonts w:cstheme="minorHAnsi"/>
                <w:lang w:val="en-GB"/>
              </w:rPr>
            </w:pPr>
          </w:p>
        </w:tc>
        <w:tc>
          <w:tcPr>
            <w:tcW w:w="2260" w:type="dxa"/>
            <w:gridSpan w:val="2"/>
          </w:tcPr>
          <w:p w14:paraId="6F036653" w14:textId="77777777" w:rsidR="005D1086" w:rsidRPr="006645DC" w:rsidRDefault="005D1086" w:rsidP="005D1086">
            <w:pPr>
              <w:spacing w:before="40" w:after="40"/>
              <w:rPr>
                <w:rFonts w:cstheme="minorHAnsi"/>
                <w:color w:val="000000"/>
                <w:lang w:val="en-GB"/>
              </w:rPr>
            </w:pPr>
            <w:r w:rsidRPr="006645DC">
              <w:rPr>
                <w:rFonts w:cstheme="minorHAnsi"/>
                <w:color w:val="000000"/>
                <w:lang w:val="en-GB"/>
              </w:rPr>
              <w:t>Lack of development of new facilities along the TEN-T priority axes will diminish area’s economic benefits, if it becomes merely a transit corridor.</w:t>
            </w:r>
          </w:p>
          <w:p w14:paraId="70796553" w14:textId="77777777" w:rsidR="005D1086" w:rsidRPr="006645DC" w:rsidRDefault="005D1086" w:rsidP="005D1086">
            <w:pPr>
              <w:spacing w:before="40" w:after="40"/>
              <w:rPr>
                <w:rFonts w:cstheme="minorHAnsi"/>
                <w:color w:val="000000"/>
                <w:lang w:val="en-GB"/>
              </w:rPr>
            </w:pPr>
            <w:r w:rsidRPr="006645DC">
              <w:rPr>
                <w:rFonts w:cstheme="minorHAnsi"/>
                <w:color w:val="000000"/>
                <w:lang w:val="en-GB"/>
              </w:rPr>
              <w:t>Lack of improvements to flood prevention measures and the relatively high risk of serious natural disasters discourages economic development.</w:t>
            </w:r>
          </w:p>
          <w:p w14:paraId="7C3125FF" w14:textId="77777777" w:rsidR="005D1086" w:rsidRPr="006645DC" w:rsidRDefault="005D1086" w:rsidP="005D1086">
            <w:pPr>
              <w:spacing w:before="40" w:after="40"/>
              <w:rPr>
                <w:rFonts w:cstheme="minorHAnsi"/>
                <w:lang w:val="en-GB"/>
              </w:rPr>
            </w:pPr>
          </w:p>
        </w:tc>
      </w:tr>
      <w:tr w:rsidR="005D1086" w:rsidRPr="006645DC" w14:paraId="364309F6" w14:textId="77777777" w:rsidTr="004A7DE4">
        <w:tc>
          <w:tcPr>
            <w:tcW w:w="1485" w:type="dxa"/>
            <w:vMerge/>
          </w:tcPr>
          <w:p w14:paraId="7CFD717D" w14:textId="77777777" w:rsidR="005D1086" w:rsidRPr="006645DC" w:rsidRDefault="005D1086" w:rsidP="005D1086">
            <w:pPr>
              <w:spacing w:before="40" w:after="40"/>
              <w:rPr>
                <w:rFonts w:cstheme="minorHAnsi"/>
                <w:b/>
                <w:lang w:val="en-GB"/>
              </w:rPr>
            </w:pPr>
          </w:p>
        </w:tc>
        <w:tc>
          <w:tcPr>
            <w:tcW w:w="11448" w:type="dxa"/>
            <w:gridSpan w:val="5"/>
          </w:tcPr>
          <w:p w14:paraId="21F7B0B6" w14:textId="77777777" w:rsidR="005D1086" w:rsidRPr="006645DC" w:rsidRDefault="005D1086" w:rsidP="005D1086">
            <w:pPr>
              <w:spacing w:before="40" w:after="40"/>
              <w:jc w:val="center"/>
              <w:rPr>
                <w:rFonts w:cstheme="minorHAnsi"/>
                <w:b/>
                <w:color w:val="000000"/>
                <w:lang w:val="en-GB"/>
              </w:rPr>
            </w:pPr>
            <w:r w:rsidRPr="006645DC">
              <w:rPr>
                <w:rFonts w:cstheme="minorHAnsi"/>
                <w:b/>
                <w:color w:val="000000"/>
                <w:lang w:val="en-GB"/>
              </w:rPr>
              <w:t>COMMENTS FROM THE 2014-2020 TA PERSPECTIVE</w:t>
            </w:r>
          </w:p>
        </w:tc>
      </w:tr>
      <w:tr w:rsidR="005D1086" w:rsidRPr="006645DC" w14:paraId="05239AD2" w14:textId="77777777" w:rsidTr="004A7DE4">
        <w:tc>
          <w:tcPr>
            <w:tcW w:w="1485" w:type="dxa"/>
            <w:vMerge/>
          </w:tcPr>
          <w:p w14:paraId="44E20606" w14:textId="77777777" w:rsidR="005D1086" w:rsidRPr="006645DC" w:rsidRDefault="005D1086" w:rsidP="005D1086">
            <w:pPr>
              <w:spacing w:before="40" w:after="40"/>
              <w:rPr>
                <w:rFonts w:cstheme="minorHAnsi"/>
                <w:b/>
                <w:lang w:val="en-GB"/>
              </w:rPr>
            </w:pPr>
          </w:p>
        </w:tc>
        <w:tc>
          <w:tcPr>
            <w:tcW w:w="2515" w:type="dxa"/>
          </w:tcPr>
          <w:p w14:paraId="2E0DDDFC" w14:textId="77777777" w:rsidR="005D1086" w:rsidRPr="006645DC" w:rsidRDefault="005D1086" w:rsidP="005D1086">
            <w:pPr>
              <w:pStyle w:val="Default"/>
              <w:autoSpaceDE/>
              <w:autoSpaceDN/>
              <w:adjustRightInd/>
              <w:spacing w:before="40" w:after="40"/>
              <w:rPr>
                <w:rFonts w:asciiTheme="minorHAnsi" w:hAnsiTheme="minorHAnsi" w:cstheme="minorHAnsi"/>
                <w:sz w:val="22"/>
                <w:lang w:val="en-GB"/>
              </w:rPr>
            </w:pPr>
            <w:r w:rsidRPr="006645DC">
              <w:rPr>
                <w:rFonts w:asciiTheme="minorHAnsi" w:hAnsiTheme="minorHAnsi" w:cstheme="minorHAnsi"/>
                <w:sz w:val="22"/>
                <w:lang w:val="en-GB"/>
              </w:rPr>
              <w:t xml:space="preserve">The aspects evoked are of general character and are still valid for the ROBG CBC area. </w:t>
            </w:r>
          </w:p>
        </w:tc>
        <w:tc>
          <w:tcPr>
            <w:tcW w:w="3848" w:type="dxa"/>
          </w:tcPr>
          <w:p w14:paraId="6509E329" w14:textId="77777777" w:rsidR="005D1086" w:rsidRPr="006645DC" w:rsidRDefault="005D1086" w:rsidP="005D1086">
            <w:pPr>
              <w:spacing w:before="40" w:after="40"/>
              <w:rPr>
                <w:rFonts w:cstheme="minorHAnsi"/>
                <w:lang w:val="en-GB"/>
              </w:rPr>
            </w:pPr>
            <w:r w:rsidRPr="006645DC">
              <w:rPr>
                <w:rFonts w:cstheme="minorHAnsi"/>
                <w:lang w:val="en-GB"/>
              </w:rPr>
              <w:t xml:space="preserve">These aspects are still valid with Danube’s role as a </w:t>
            </w:r>
            <w:r w:rsidR="00417F4A" w:rsidRPr="006645DC">
              <w:rPr>
                <w:rFonts w:cstheme="minorHAnsi"/>
                <w:lang w:val="en-GB"/>
              </w:rPr>
              <w:t>strategic axis</w:t>
            </w:r>
            <w:r w:rsidRPr="006645DC">
              <w:rPr>
                <w:rFonts w:cstheme="minorHAnsi"/>
                <w:lang w:val="en-GB"/>
              </w:rPr>
              <w:t xml:space="preserve"> for socio-economic development being strongly emphasized by the EUSDR.</w:t>
            </w:r>
          </w:p>
        </w:tc>
        <w:tc>
          <w:tcPr>
            <w:tcW w:w="2825" w:type="dxa"/>
          </w:tcPr>
          <w:p w14:paraId="2A756E4C" w14:textId="77777777" w:rsidR="005D1086" w:rsidRDefault="005D1086" w:rsidP="005D1086">
            <w:pPr>
              <w:spacing w:before="40" w:after="40"/>
              <w:rPr>
                <w:rFonts w:cstheme="minorHAnsi"/>
                <w:szCs w:val="20"/>
                <w:lang w:val="en-GB"/>
              </w:rPr>
            </w:pPr>
            <w:r w:rsidRPr="006645DC">
              <w:rPr>
                <w:rFonts w:cstheme="minorHAnsi"/>
                <w:szCs w:val="20"/>
                <w:lang w:val="en-GB"/>
              </w:rPr>
              <w:t>The better integration of the region as a transport hub, mainly based on the Danube is still not a reality, even though some infrastructure facilities have been finalized (Vidin-Calafat bridge). The better joint connection of key inland socio-economic resources (Danube port cities, inland urban centers and their neighboring agricultural, industrial and touristic-cultural areas) to the Danube transport axis and the implementation of additional measures to tackle floods and pollution can unleash the local potential and foster private investments in the area. The availability of funds in the future programming period (2014-2020) is again an opportunity.</w:t>
            </w:r>
          </w:p>
          <w:p w14:paraId="761522E3" w14:textId="77777777" w:rsidR="004A7DE4" w:rsidRDefault="004A7DE4" w:rsidP="005D1086">
            <w:pPr>
              <w:spacing w:before="40" w:after="40"/>
              <w:rPr>
                <w:rFonts w:cstheme="minorHAnsi"/>
                <w:szCs w:val="20"/>
                <w:lang w:val="en-GB"/>
              </w:rPr>
            </w:pPr>
          </w:p>
          <w:p w14:paraId="475C9B33" w14:textId="77777777" w:rsidR="004A7DE4" w:rsidRPr="006645DC" w:rsidRDefault="004A7DE4" w:rsidP="005D1086">
            <w:pPr>
              <w:spacing w:before="40" w:after="40"/>
              <w:rPr>
                <w:rFonts w:cstheme="minorHAnsi"/>
                <w:szCs w:val="20"/>
                <w:lang w:val="en-GB"/>
              </w:rPr>
            </w:pPr>
          </w:p>
        </w:tc>
        <w:tc>
          <w:tcPr>
            <w:tcW w:w="2260" w:type="dxa"/>
            <w:gridSpan w:val="2"/>
          </w:tcPr>
          <w:p w14:paraId="46BABE4E" w14:textId="77777777" w:rsidR="005D1086" w:rsidRPr="006645DC" w:rsidRDefault="005D1086" w:rsidP="005D1086">
            <w:pPr>
              <w:spacing w:before="40" w:after="40"/>
              <w:rPr>
                <w:rFonts w:cstheme="minorHAnsi"/>
                <w:color w:val="000000"/>
                <w:lang w:val="en-GB"/>
              </w:rPr>
            </w:pPr>
            <w:r w:rsidRPr="006645DC">
              <w:rPr>
                <w:rFonts w:cstheme="minorHAnsi"/>
                <w:color w:val="000000"/>
                <w:lang w:val="en-GB"/>
              </w:rPr>
              <w:t>The threat of becoming a mere transit area is a limited one, as the area is still in a stage where it needs connecting its resources basins to the transport corridors in order to make them available to investments and foster development. The risk of floods and natural disasters is still important, but it has not a degree that might impede economic development (at least at this level of development)</w:t>
            </w:r>
          </w:p>
        </w:tc>
      </w:tr>
      <w:tr w:rsidR="005D1086" w:rsidRPr="006645DC" w14:paraId="515A89B8" w14:textId="77777777" w:rsidTr="004A7DE4">
        <w:tc>
          <w:tcPr>
            <w:tcW w:w="1485" w:type="dxa"/>
          </w:tcPr>
          <w:p w14:paraId="41F70DA8" w14:textId="77777777" w:rsidR="005D1086" w:rsidRPr="006645DC" w:rsidRDefault="005D1086" w:rsidP="005D1086">
            <w:pPr>
              <w:spacing w:before="40" w:after="40"/>
              <w:rPr>
                <w:rFonts w:cstheme="minorHAnsi"/>
                <w:lang w:val="en-GB"/>
              </w:rPr>
            </w:pPr>
            <w:r w:rsidRPr="006645DC">
              <w:rPr>
                <w:rFonts w:cstheme="minorHAnsi"/>
                <w:b/>
                <w:lang w:val="en-GB"/>
              </w:rPr>
              <w:lastRenderedPageBreak/>
              <w:t>Economy</w:t>
            </w:r>
          </w:p>
        </w:tc>
        <w:tc>
          <w:tcPr>
            <w:tcW w:w="2515" w:type="dxa"/>
          </w:tcPr>
          <w:p w14:paraId="3DD3B5AE" w14:textId="77777777" w:rsidR="005D1086" w:rsidRPr="006645DC" w:rsidRDefault="005D1086" w:rsidP="005D1086">
            <w:pPr>
              <w:pStyle w:val="Default"/>
              <w:autoSpaceDE/>
              <w:autoSpaceDN/>
              <w:adjustRightInd/>
              <w:spacing w:before="40" w:after="40"/>
              <w:rPr>
                <w:rFonts w:asciiTheme="minorHAnsi" w:hAnsiTheme="minorHAnsi" w:cstheme="minorHAnsi"/>
                <w:sz w:val="22"/>
                <w:lang w:val="en-GB"/>
              </w:rPr>
            </w:pPr>
            <w:r w:rsidRPr="006645DC">
              <w:rPr>
                <w:rFonts w:asciiTheme="minorHAnsi" w:hAnsiTheme="minorHAnsi" w:cstheme="minorHAnsi"/>
                <w:sz w:val="22"/>
                <w:lang w:val="en-GB"/>
              </w:rPr>
              <w:t>Economic complementarity of the border areas.</w:t>
            </w:r>
          </w:p>
          <w:p w14:paraId="7DEDB145" w14:textId="77777777" w:rsidR="005D1086" w:rsidRPr="006645DC" w:rsidRDefault="005D1086" w:rsidP="005D1086">
            <w:pPr>
              <w:spacing w:before="40" w:after="40"/>
              <w:rPr>
                <w:rFonts w:cstheme="minorHAnsi"/>
                <w:lang w:val="en-GB"/>
              </w:rPr>
            </w:pPr>
            <w:r w:rsidRPr="006645DC">
              <w:rPr>
                <w:rFonts w:cstheme="minorHAnsi"/>
                <w:lang w:val="en-GB"/>
              </w:rPr>
              <w:t xml:space="preserve">Growing SME sector replacing heavy industry as the engine for growth in the area. </w:t>
            </w:r>
          </w:p>
          <w:p w14:paraId="22B694D6" w14:textId="77777777" w:rsidR="005D1086" w:rsidRPr="006645DC" w:rsidRDefault="005D1086" w:rsidP="005D1086">
            <w:pPr>
              <w:pStyle w:val="Default"/>
              <w:autoSpaceDE/>
              <w:autoSpaceDN/>
              <w:adjustRightInd/>
              <w:spacing w:before="40" w:after="40"/>
              <w:rPr>
                <w:rFonts w:asciiTheme="minorHAnsi" w:hAnsiTheme="minorHAnsi" w:cstheme="minorHAnsi"/>
                <w:sz w:val="22"/>
                <w:lang w:val="en-GB"/>
              </w:rPr>
            </w:pPr>
            <w:r w:rsidRPr="006645DC">
              <w:rPr>
                <w:rFonts w:asciiTheme="minorHAnsi" w:hAnsiTheme="minorHAnsi" w:cstheme="minorHAnsi"/>
                <w:sz w:val="22"/>
                <w:lang w:val="en-GB"/>
              </w:rPr>
              <w:t xml:space="preserve">Large population (17% of population of the two countries) creates important consumer market. </w:t>
            </w:r>
          </w:p>
          <w:p w14:paraId="51789774" w14:textId="77777777" w:rsidR="005D1086" w:rsidRPr="006645DC" w:rsidRDefault="005D1086" w:rsidP="005D1086">
            <w:pPr>
              <w:pStyle w:val="Default"/>
              <w:autoSpaceDE/>
              <w:autoSpaceDN/>
              <w:adjustRightInd/>
              <w:spacing w:before="40" w:after="40"/>
              <w:rPr>
                <w:rFonts w:asciiTheme="minorHAnsi" w:hAnsiTheme="minorHAnsi" w:cstheme="minorHAnsi"/>
                <w:sz w:val="22"/>
                <w:lang w:val="en-GB"/>
              </w:rPr>
            </w:pPr>
            <w:r w:rsidRPr="006645DC">
              <w:rPr>
                <w:rFonts w:asciiTheme="minorHAnsi" w:hAnsiTheme="minorHAnsi" w:cstheme="minorHAnsi"/>
                <w:sz w:val="22"/>
                <w:lang w:val="en-GB"/>
              </w:rPr>
              <w:t>Long Danube river inferior flow and a generous access to the Black Sea.</w:t>
            </w:r>
          </w:p>
          <w:p w14:paraId="1A572272" w14:textId="77777777" w:rsidR="005D1086" w:rsidRPr="006645DC" w:rsidRDefault="005D1086" w:rsidP="005D1086">
            <w:pPr>
              <w:spacing w:before="40" w:after="40"/>
              <w:rPr>
                <w:rFonts w:cstheme="minorHAnsi"/>
                <w:lang w:val="en-GB"/>
              </w:rPr>
            </w:pPr>
            <w:r w:rsidRPr="006645DC">
              <w:rPr>
                <w:rFonts w:cstheme="minorHAnsi"/>
                <w:lang w:val="en-GB"/>
              </w:rPr>
              <w:t xml:space="preserve">Fertile land and experienced agricultural sector capable of producing large variety of high quality and </w:t>
            </w:r>
            <w:r w:rsidR="00FD6464" w:rsidRPr="006645DC">
              <w:rPr>
                <w:rFonts w:cstheme="minorHAnsi"/>
                <w:lang w:val="en-GB"/>
              </w:rPr>
              <w:t>traditional food</w:t>
            </w:r>
            <w:r w:rsidRPr="006645DC">
              <w:rPr>
                <w:rFonts w:cstheme="minorHAnsi"/>
                <w:lang w:val="en-GB"/>
              </w:rPr>
              <w:t xml:space="preserve"> products demanded by international consumers.</w:t>
            </w:r>
          </w:p>
          <w:p w14:paraId="1BD13912" w14:textId="77777777" w:rsidR="005D1086" w:rsidRPr="006645DC" w:rsidRDefault="005D1086" w:rsidP="005D1086">
            <w:pPr>
              <w:spacing w:before="40" w:after="40"/>
              <w:rPr>
                <w:rFonts w:cstheme="minorHAnsi"/>
                <w:lang w:val="en-GB"/>
              </w:rPr>
            </w:pPr>
            <w:r w:rsidRPr="006645DC">
              <w:rPr>
                <w:rFonts w:cstheme="minorHAnsi"/>
                <w:lang w:val="en-GB"/>
              </w:rPr>
              <w:t>Development of free trade zones.</w:t>
            </w:r>
          </w:p>
          <w:p w14:paraId="44873038" w14:textId="77777777" w:rsidR="005D1086" w:rsidRPr="006645DC" w:rsidRDefault="005D1086" w:rsidP="005D1086">
            <w:pPr>
              <w:spacing w:before="40" w:after="40"/>
              <w:rPr>
                <w:rFonts w:cstheme="minorHAnsi"/>
                <w:lang w:val="en-GB"/>
              </w:rPr>
            </w:pPr>
          </w:p>
        </w:tc>
        <w:tc>
          <w:tcPr>
            <w:tcW w:w="3848" w:type="dxa"/>
          </w:tcPr>
          <w:p w14:paraId="1151B587" w14:textId="77777777" w:rsidR="005D1086" w:rsidRPr="006645DC" w:rsidRDefault="005D1086" w:rsidP="005D1086">
            <w:pPr>
              <w:spacing w:before="40" w:after="40"/>
              <w:rPr>
                <w:rFonts w:cstheme="minorHAnsi"/>
                <w:lang w:val="en-GB"/>
              </w:rPr>
            </w:pPr>
            <w:r w:rsidRPr="006645DC">
              <w:rPr>
                <w:rFonts w:cstheme="minorHAnsi"/>
                <w:lang w:val="en-GB"/>
              </w:rPr>
              <w:t xml:space="preserve">Underperforming overall area economy </w:t>
            </w:r>
            <w:r w:rsidR="00417F4A" w:rsidRPr="006645DC">
              <w:rPr>
                <w:rFonts w:cstheme="minorHAnsi"/>
                <w:lang w:val="en-GB"/>
              </w:rPr>
              <w:t>characterized</w:t>
            </w:r>
            <w:r w:rsidRPr="006645DC">
              <w:rPr>
                <w:rFonts w:cstheme="minorHAnsi"/>
                <w:lang w:val="en-GB"/>
              </w:rPr>
              <w:t xml:space="preserve"> by low GDP, low incomes, low new investment, poor transport infrastructure.</w:t>
            </w:r>
          </w:p>
          <w:p w14:paraId="06ADC613" w14:textId="77777777" w:rsidR="005D1086" w:rsidRPr="006645DC" w:rsidRDefault="005D1086" w:rsidP="005D1086">
            <w:pPr>
              <w:spacing w:before="40" w:after="40"/>
              <w:rPr>
                <w:rFonts w:cstheme="minorHAnsi"/>
                <w:lang w:val="en-GB"/>
              </w:rPr>
            </w:pPr>
            <w:r w:rsidRPr="006645DC">
              <w:rPr>
                <w:rFonts w:cstheme="minorHAnsi"/>
                <w:lang w:val="en-GB"/>
              </w:rPr>
              <w:t xml:space="preserve">Overall peripheral character </w:t>
            </w:r>
            <w:r w:rsidR="00417F4A" w:rsidRPr="006645DC">
              <w:rPr>
                <w:rFonts w:cstheme="minorHAnsi"/>
                <w:lang w:val="en-GB"/>
              </w:rPr>
              <w:t>characterized</w:t>
            </w:r>
            <w:r w:rsidRPr="006645DC">
              <w:rPr>
                <w:rFonts w:cstheme="minorHAnsi"/>
                <w:lang w:val="en-GB"/>
              </w:rPr>
              <w:t xml:space="preserve"> by small SME numbers, lack of export-oriented businesses, relatively low use of IT and modern technologies and business management skills.</w:t>
            </w:r>
          </w:p>
          <w:p w14:paraId="53948C0F" w14:textId="77777777" w:rsidR="005D1086" w:rsidRPr="006645DC" w:rsidRDefault="005D1086" w:rsidP="005D1086">
            <w:pPr>
              <w:spacing w:before="40" w:after="40"/>
              <w:rPr>
                <w:rFonts w:cstheme="minorHAnsi"/>
                <w:lang w:val="en-GB"/>
              </w:rPr>
            </w:pPr>
            <w:r w:rsidRPr="006645DC">
              <w:rPr>
                <w:rFonts w:cstheme="minorHAnsi"/>
                <w:lang w:val="en-GB"/>
              </w:rPr>
              <w:t xml:space="preserve">Insufficient development of local business infrastructure </w:t>
            </w:r>
          </w:p>
          <w:p w14:paraId="04CE0E65" w14:textId="77777777" w:rsidR="005D1086" w:rsidRPr="006645DC" w:rsidRDefault="005D1086" w:rsidP="005D1086">
            <w:pPr>
              <w:pStyle w:val="Default"/>
              <w:autoSpaceDE/>
              <w:autoSpaceDN/>
              <w:adjustRightInd/>
              <w:spacing w:before="40" w:after="40"/>
              <w:rPr>
                <w:rFonts w:asciiTheme="minorHAnsi" w:hAnsiTheme="minorHAnsi" w:cstheme="minorHAnsi"/>
                <w:sz w:val="22"/>
                <w:lang w:val="en-GB"/>
              </w:rPr>
            </w:pPr>
            <w:r w:rsidRPr="006645DC">
              <w:rPr>
                <w:rFonts w:asciiTheme="minorHAnsi" w:hAnsiTheme="minorHAnsi" w:cstheme="minorHAnsi"/>
                <w:sz w:val="22"/>
                <w:lang w:val="en-GB"/>
              </w:rPr>
              <w:t>Competitiveness and technological gaps compared to national economies and to EU.</w:t>
            </w:r>
          </w:p>
          <w:p w14:paraId="700ADE3A" w14:textId="77777777" w:rsidR="005D1086" w:rsidRPr="006645DC" w:rsidRDefault="005D1086" w:rsidP="005D1086">
            <w:pPr>
              <w:spacing w:before="40" w:after="40"/>
              <w:rPr>
                <w:rFonts w:cstheme="minorHAnsi"/>
                <w:lang w:val="en-GB"/>
              </w:rPr>
            </w:pPr>
            <w:r w:rsidRPr="006645DC">
              <w:rPr>
                <w:rFonts w:cstheme="minorHAnsi"/>
                <w:lang w:val="en-GB"/>
              </w:rPr>
              <w:t>Agriculture and industry uncompetitive in European markets through lack of productivity, lack of investment in modern equipment and farm machinery.</w:t>
            </w:r>
          </w:p>
          <w:p w14:paraId="6BFC5758" w14:textId="77777777" w:rsidR="005D1086" w:rsidRPr="006645DC" w:rsidRDefault="005D1086" w:rsidP="005D1086">
            <w:pPr>
              <w:spacing w:before="40" w:after="40"/>
              <w:rPr>
                <w:rFonts w:cstheme="minorHAnsi"/>
                <w:lang w:val="en-GB"/>
              </w:rPr>
            </w:pPr>
            <w:r w:rsidRPr="006645DC">
              <w:rPr>
                <w:rFonts w:cstheme="minorHAnsi"/>
                <w:lang w:val="en-GB"/>
              </w:rPr>
              <w:t>Few opportunities to react to restructuring of markets and national and international economies.</w:t>
            </w:r>
          </w:p>
          <w:p w14:paraId="4AAFC9F9" w14:textId="77777777" w:rsidR="005D1086" w:rsidRPr="006645DC" w:rsidRDefault="005D1086" w:rsidP="005D1086">
            <w:pPr>
              <w:spacing w:before="40" w:after="40"/>
              <w:rPr>
                <w:rFonts w:cstheme="minorHAnsi"/>
                <w:lang w:val="en-GB"/>
              </w:rPr>
            </w:pPr>
            <w:r w:rsidRPr="006645DC">
              <w:rPr>
                <w:rFonts w:cstheme="minorHAnsi"/>
                <w:lang w:val="en-GB"/>
              </w:rPr>
              <w:t>Limited cross-border economic cooperation experience with few initiatives owing to a lack of information and coordination and support facilities.</w:t>
            </w:r>
          </w:p>
          <w:p w14:paraId="54E42ACD" w14:textId="77777777" w:rsidR="005D1086" w:rsidRPr="006645DC" w:rsidRDefault="005D1086" w:rsidP="005D1086">
            <w:pPr>
              <w:pStyle w:val="FootnoteText"/>
              <w:spacing w:before="40" w:after="40"/>
              <w:rPr>
                <w:rFonts w:asciiTheme="minorHAnsi" w:hAnsiTheme="minorHAnsi" w:cstheme="minorHAnsi"/>
                <w:sz w:val="22"/>
                <w:lang w:val="en-GB"/>
              </w:rPr>
            </w:pPr>
            <w:r w:rsidRPr="006645DC">
              <w:rPr>
                <w:rFonts w:asciiTheme="minorHAnsi" w:hAnsiTheme="minorHAnsi" w:cstheme="minorHAnsi"/>
                <w:sz w:val="22"/>
                <w:lang w:val="en-GB"/>
              </w:rPr>
              <w:t xml:space="preserve">Insufficiently explored and </w:t>
            </w:r>
            <w:r w:rsidR="00FD6464" w:rsidRPr="006645DC">
              <w:rPr>
                <w:rFonts w:asciiTheme="minorHAnsi" w:hAnsiTheme="minorHAnsi" w:cstheme="minorHAnsi"/>
                <w:sz w:val="22"/>
                <w:lang w:val="en-GB"/>
              </w:rPr>
              <w:t>recognized</w:t>
            </w:r>
            <w:r w:rsidRPr="006645DC">
              <w:rPr>
                <w:rFonts w:asciiTheme="minorHAnsi" w:hAnsiTheme="minorHAnsi" w:cstheme="minorHAnsi"/>
                <w:sz w:val="22"/>
                <w:lang w:val="en-GB"/>
              </w:rPr>
              <w:t xml:space="preserve"> </w:t>
            </w:r>
            <w:r w:rsidRPr="006645DC">
              <w:rPr>
                <w:rFonts w:asciiTheme="minorHAnsi" w:hAnsiTheme="minorHAnsi" w:cstheme="minorHAnsi"/>
                <w:sz w:val="22"/>
                <w:lang w:val="en-GB"/>
              </w:rPr>
              <w:lastRenderedPageBreak/>
              <w:t xml:space="preserve">potential of intellectual property and creative industries for the economy and the competitiveness of the region. </w:t>
            </w:r>
          </w:p>
          <w:p w14:paraId="504AD00A" w14:textId="77777777" w:rsidR="005D1086" w:rsidRPr="006645DC" w:rsidRDefault="005D1086" w:rsidP="005D1086">
            <w:pPr>
              <w:pStyle w:val="FootnoteText"/>
              <w:spacing w:before="40" w:after="40"/>
              <w:rPr>
                <w:rFonts w:asciiTheme="minorHAnsi" w:hAnsiTheme="minorHAnsi" w:cstheme="minorHAnsi"/>
                <w:sz w:val="22"/>
                <w:lang w:val="en-GB"/>
              </w:rPr>
            </w:pPr>
            <w:r w:rsidRPr="006645DC">
              <w:rPr>
                <w:rFonts w:asciiTheme="minorHAnsi" w:hAnsiTheme="minorHAnsi" w:cstheme="minorHAnsi"/>
                <w:sz w:val="22"/>
                <w:lang w:val="en-GB"/>
              </w:rPr>
              <w:t>Owing to its geographical, historic, economic and cultural development, the Ro-Bg border region has never been a homogenous region.</w:t>
            </w:r>
          </w:p>
        </w:tc>
        <w:tc>
          <w:tcPr>
            <w:tcW w:w="2825" w:type="dxa"/>
          </w:tcPr>
          <w:p w14:paraId="611BFA1B" w14:textId="77777777" w:rsidR="005D1086" w:rsidRPr="006645DC" w:rsidRDefault="005D1086" w:rsidP="005D1086">
            <w:pPr>
              <w:spacing w:before="40" w:after="40"/>
              <w:rPr>
                <w:rFonts w:cstheme="minorHAnsi"/>
                <w:lang w:val="en-GB"/>
              </w:rPr>
            </w:pPr>
            <w:r w:rsidRPr="006645DC">
              <w:rPr>
                <w:rFonts w:cstheme="minorHAnsi"/>
                <w:lang w:val="en-GB"/>
              </w:rPr>
              <w:lastRenderedPageBreak/>
              <w:t>EU membership will increase opportunities for forming cross-border partnerships and associations to develop joint strategies to address deficits in economy.</w:t>
            </w:r>
          </w:p>
          <w:p w14:paraId="0956BBEC" w14:textId="77777777" w:rsidR="005D1086" w:rsidRPr="006645DC" w:rsidRDefault="005D1086" w:rsidP="005D1086">
            <w:pPr>
              <w:spacing w:before="40" w:after="40"/>
              <w:rPr>
                <w:rFonts w:cstheme="minorHAnsi"/>
                <w:lang w:val="en-GB"/>
              </w:rPr>
            </w:pPr>
            <w:r w:rsidRPr="006645DC">
              <w:rPr>
                <w:rFonts w:cstheme="minorHAnsi"/>
                <w:lang w:val="en-GB"/>
              </w:rPr>
              <w:t>Developing and implementing a cross-border strategy to improve transport infrastructure will stimulate investment in existing and new businesses.</w:t>
            </w:r>
          </w:p>
          <w:p w14:paraId="5F74059A" w14:textId="77777777" w:rsidR="005D1086" w:rsidRPr="006645DC" w:rsidRDefault="005D1086" w:rsidP="005D1086">
            <w:pPr>
              <w:spacing w:before="40" w:after="40"/>
              <w:rPr>
                <w:rFonts w:cstheme="minorHAnsi"/>
                <w:lang w:val="en-GB"/>
              </w:rPr>
            </w:pPr>
            <w:r w:rsidRPr="006645DC">
              <w:rPr>
                <w:rFonts w:cstheme="minorHAnsi"/>
                <w:lang w:val="en-GB"/>
              </w:rPr>
              <w:t>Create special low interest facilities for cross-border initiatives that create employment and stimulate economic growth.</w:t>
            </w:r>
          </w:p>
          <w:p w14:paraId="0107DFFB" w14:textId="77777777" w:rsidR="005D1086" w:rsidRPr="006645DC" w:rsidRDefault="005D1086" w:rsidP="005D1086">
            <w:pPr>
              <w:spacing w:before="40" w:after="40"/>
              <w:rPr>
                <w:rFonts w:cstheme="minorHAnsi"/>
                <w:lang w:val="en-GB"/>
              </w:rPr>
            </w:pPr>
            <w:r w:rsidRPr="006645DC">
              <w:rPr>
                <w:rFonts w:cstheme="minorHAnsi"/>
                <w:lang w:val="en-GB"/>
              </w:rPr>
              <w:t xml:space="preserve">Identify sectors where the creation of cross-border information and consultancy services for businesses will stimulate co-operation and joint initiatives. </w:t>
            </w:r>
          </w:p>
          <w:p w14:paraId="26285D67" w14:textId="77777777" w:rsidR="005D1086" w:rsidRPr="006645DC" w:rsidRDefault="005D1086" w:rsidP="005D1086">
            <w:pPr>
              <w:spacing w:before="40" w:after="40"/>
              <w:rPr>
                <w:rFonts w:cstheme="minorHAnsi"/>
                <w:lang w:val="en-GB"/>
              </w:rPr>
            </w:pPr>
            <w:r w:rsidRPr="006645DC">
              <w:rPr>
                <w:rFonts w:cstheme="minorHAnsi"/>
                <w:lang w:val="en-GB"/>
              </w:rPr>
              <w:t>Increasing interest of potential investors and tourists in the border area as a result of EU accession.</w:t>
            </w:r>
          </w:p>
          <w:p w14:paraId="7593FB41" w14:textId="77777777" w:rsidR="005D1086" w:rsidRPr="006645DC" w:rsidRDefault="005D1086" w:rsidP="005D1086">
            <w:pPr>
              <w:spacing w:before="40" w:after="40"/>
              <w:rPr>
                <w:rFonts w:cstheme="minorHAnsi"/>
                <w:lang w:val="en-GB"/>
              </w:rPr>
            </w:pPr>
            <w:r w:rsidRPr="006645DC">
              <w:rPr>
                <w:rFonts w:cstheme="minorHAnsi"/>
                <w:lang w:val="en-GB"/>
              </w:rPr>
              <w:t xml:space="preserve">Initiatives to support the co-operation of business </w:t>
            </w:r>
            <w:r w:rsidRPr="006645DC">
              <w:rPr>
                <w:rFonts w:cstheme="minorHAnsi"/>
                <w:lang w:val="en-GB"/>
              </w:rPr>
              <w:lastRenderedPageBreak/>
              <w:t xml:space="preserve">advisory services to encourage joint marketing networks and tourist associations will stimulate growth in existing and new sectors. </w:t>
            </w:r>
          </w:p>
          <w:p w14:paraId="491AD2DA" w14:textId="77777777" w:rsidR="005D1086" w:rsidRPr="006645DC" w:rsidRDefault="005D1086" w:rsidP="005D1086">
            <w:pPr>
              <w:spacing w:before="40" w:after="40"/>
              <w:rPr>
                <w:rFonts w:cstheme="minorHAnsi"/>
                <w:lang w:val="en-GB"/>
              </w:rPr>
            </w:pPr>
            <w:r w:rsidRPr="006645DC">
              <w:rPr>
                <w:rFonts w:cstheme="minorHAnsi"/>
                <w:lang w:val="en-GB"/>
              </w:rPr>
              <w:t xml:space="preserve">Exploit the growing international market for organic food and vegetables by cross-border co-operation in the production and joint marketing </w:t>
            </w:r>
            <w:r w:rsidR="00FD6464" w:rsidRPr="006645DC">
              <w:rPr>
                <w:rFonts w:cstheme="minorHAnsi"/>
                <w:lang w:val="en-GB"/>
              </w:rPr>
              <w:t>of key</w:t>
            </w:r>
            <w:r w:rsidRPr="006645DC">
              <w:rPr>
                <w:rFonts w:cstheme="minorHAnsi"/>
                <w:lang w:val="en-GB"/>
              </w:rPr>
              <w:t xml:space="preserve"> produce (grapes, vegetables and fruit).</w:t>
            </w:r>
          </w:p>
          <w:p w14:paraId="2517DC86" w14:textId="77777777" w:rsidR="005D1086" w:rsidRPr="006645DC" w:rsidRDefault="005D1086" w:rsidP="005D1086">
            <w:pPr>
              <w:spacing w:before="40" w:after="40"/>
              <w:rPr>
                <w:rFonts w:cstheme="minorHAnsi"/>
                <w:lang w:val="en-GB"/>
              </w:rPr>
            </w:pPr>
            <w:r w:rsidRPr="006645DC">
              <w:rPr>
                <w:rFonts w:cstheme="minorHAnsi"/>
                <w:lang w:val="en-GB"/>
              </w:rPr>
              <w:t>Non-existent at present, opportunities for creating formal and informal partnerships and associations to co-ordinate development and marketing of selected joint tourism products.</w:t>
            </w:r>
          </w:p>
          <w:p w14:paraId="23E85108" w14:textId="77777777" w:rsidR="005D1086" w:rsidRDefault="005D1086" w:rsidP="005D1086">
            <w:pPr>
              <w:spacing w:before="40" w:after="40"/>
              <w:rPr>
                <w:rFonts w:cstheme="minorHAnsi"/>
                <w:lang w:val="en-GB"/>
              </w:rPr>
            </w:pPr>
            <w:r w:rsidRPr="006645DC">
              <w:rPr>
                <w:rFonts w:cstheme="minorHAnsi"/>
                <w:lang w:val="en-GB"/>
              </w:rPr>
              <w:t>Increased efficiency in public spending, due to application of EU procedures.</w:t>
            </w:r>
          </w:p>
          <w:p w14:paraId="22796F68" w14:textId="77777777" w:rsidR="004A7DE4" w:rsidRDefault="004A7DE4" w:rsidP="005D1086">
            <w:pPr>
              <w:spacing w:before="40" w:after="40"/>
              <w:rPr>
                <w:rFonts w:cstheme="minorHAnsi"/>
                <w:lang w:val="en-GB"/>
              </w:rPr>
            </w:pPr>
          </w:p>
          <w:p w14:paraId="27B3B7E8" w14:textId="77777777" w:rsidR="004A7DE4" w:rsidRDefault="004A7DE4" w:rsidP="005D1086">
            <w:pPr>
              <w:spacing w:before="40" w:after="40"/>
              <w:rPr>
                <w:rFonts w:cstheme="minorHAnsi"/>
                <w:lang w:val="en-GB"/>
              </w:rPr>
            </w:pPr>
          </w:p>
          <w:p w14:paraId="1F73C6AA" w14:textId="77777777" w:rsidR="004A7DE4" w:rsidRPr="006645DC" w:rsidRDefault="004A7DE4" w:rsidP="005D1086">
            <w:pPr>
              <w:spacing w:before="40" w:after="40"/>
              <w:rPr>
                <w:rFonts w:cstheme="minorHAnsi"/>
                <w:lang w:val="en-GB"/>
              </w:rPr>
            </w:pPr>
          </w:p>
        </w:tc>
        <w:tc>
          <w:tcPr>
            <w:tcW w:w="2260" w:type="dxa"/>
            <w:gridSpan w:val="2"/>
          </w:tcPr>
          <w:p w14:paraId="37993443" w14:textId="77777777" w:rsidR="005D1086" w:rsidRPr="006645DC" w:rsidRDefault="005D1086" w:rsidP="005D1086">
            <w:pPr>
              <w:spacing w:before="40" w:after="40"/>
              <w:rPr>
                <w:rFonts w:cstheme="minorHAnsi"/>
                <w:lang w:val="en-GB"/>
              </w:rPr>
            </w:pPr>
            <w:r w:rsidRPr="006645DC">
              <w:rPr>
                <w:rFonts w:cstheme="minorHAnsi"/>
                <w:lang w:val="en-GB"/>
              </w:rPr>
              <w:lastRenderedPageBreak/>
              <w:t>Traditional barriers to economic growth ( the black economy,  corruption, or the perceived threat of corruption) will prevent the success of new legitimate businesses.</w:t>
            </w:r>
          </w:p>
          <w:p w14:paraId="0B76B347" w14:textId="77777777" w:rsidR="005D1086" w:rsidRPr="006645DC" w:rsidRDefault="005D1086" w:rsidP="005D1086">
            <w:pPr>
              <w:spacing w:before="40" w:after="40"/>
              <w:rPr>
                <w:rFonts w:cstheme="minorHAnsi"/>
                <w:lang w:val="en-GB"/>
              </w:rPr>
            </w:pPr>
            <w:r w:rsidRPr="006645DC">
              <w:rPr>
                <w:rFonts w:cstheme="minorHAnsi"/>
                <w:lang w:val="en-GB"/>
              </w:rPr>
              <w:t xml:space="preserve">Increased exposure to global markets and increased competition within the Single Market will further erode the region’s competitiveness. </w:t>
            </w:r>
          </w:p>
          <w:p w14:paraId="63C86276" w14:textId="77777777" w:rsidR="005D1086" w:rsidRPr="006645DC" w:rsidRDefault="005D1086" w:rsidP="005D1086">
            <w:pPr>
              <w:spacing w:before="40" w:after="40"/>
              <w:rPr>
                <w:rFonts w:cstheme="minorHAnsi"/>
                <w:lang w:val="en-GB"/>
              </w:rPr>
            </w:pPr>
            <w:r w:rsidRPr="006645DC">
              <w:rPr>
                <w:rFonts w:cstheme="minorHAnsi"/>
                <w:lang w:val="en-GB"/>
              </w:rPr>
              <w:t>Perceptions of the area as a low value-added economy will remain a barrier to investment.</w:t>
            </w:r>
          </w:p>
          <w:p w14:paraId="19764780" w14:textId="77777777" w:rsidR="005D1086" w:rsidRPr="006645DC" w:rsidRDefault="005D1086" w:rsidP="005D1086">
            <w:pPr>
              <w:spacing w:before="40" w:after="40"/>
              <w:rPr>
                <w:rFonts w:cstheme="minorHAnsi"/>
                <w:lang w:val="en-GB"/>
              </w:rPr>
            </w:pPr>
            <w:r w:rsidRPr="006645DC">
              <w:rPr>
                <w:rFonts w:cstheme="minorHAnsi"/>
                <w:lang w:val="en-GB"/>
              </w:rPr>
              <w:t>Continuation of the relatively low level of economic development and lack of capital risk reducing interest in cross-border cooperation.</w:t>
            </w:r>
          </w:p>
          <w:p w14:paraId="69A1ABED" w14:textId="77777777" w:rsidR="005D1086" w:rsidRPr="006645DC" w:rsidRDefault="005D1086" w:rsidP="005D1086">
            <w:pPr>
              <w:spacing w:before="40" w:after="40"/>
              <w:rPr>
                <w:rFonts w:cstheme="minorHAnsi"/>
                <w:lang w:val="en-GB"/>
              </w:rPr>
            </w:pPr>
            <w:r w:rsidRPr="006645DC">
              <w:rPr>
                <w:rFonts w:cstheme="minorHAnsi"/>
                <w:lang w:val="en-GB"/>
              </w:rPr>
              <w:t xml:space="preserve">Administrative </w:t>
            </w:r>
            <w:r w:rsidRPr="006645DC">
              <w:rPr>
                <w:rFonts w:cstheme="minorHAnsi"/>
                <w:lang w:val="en-GB"/>
              </w:rPr>
              <w:lastRenderedPageBreak/>
              <w:t xml:space="preserve">barriers to business, including </w:t>
            </w:r>
            <w:r w:rsidR="00FD6464" w:rsidRPr="006645DC">
              <w:rPr>
                <w:rFonts w:cstheme="minorHAnsi"/>
                <w:lang w:val="en-GB"/>
              </w:rPr>
              <w:t>unfavorable</w:t>
            </w:r>
            <w:r w:rsidRPr="006645DC">
              <w:rPr>
                <w:rFonts w:cstheme="minorHAnsi"/>
                <w:lang w:val="en-GB"/>
              </w:rPr>
              <w:t xml:space="preserve"> lending policies and high levels of taxation for enterprises.</w:t>
            </w:r>
          </w:p>
          <w:p w14:paraId="7A4D864D" w14:textId="77777777" w:rsidR="005D1086" w:rsidRPr="006645DC" w:rsidRDefault="005D1086" w:rsidP="005D1086">
            <w:pPr>
              <w:spacing w:before="40" w:after="40"/>
              <w:rPr>
                <w:rFonts w:cstheme="minorHAnsi"/>
                <w:lang w:val="en-GB"/>
              </w:rPr>
            </w:pPr>
            <w:r w:rsidRPr="006645DC">
              <w:rPr>
                <w:rFonts w:cstheme="minorHAnsi"/>
                <w:lang w:val="en-GB"/>
              </w:rPr>
              <w:t>Increase of pollution due to industrial processes, especially the energy ones.</w:t>
            </w:r>
          </w:p>
          <w:p w14:paraId="0B2624B2" w14:textId="77777777" w:rsidR="005D1086" w:rsidRPr="006645DC" w:rsidRDefault="005D1086" w:rsidP="005D1086">
            <w:pPr>
              <w:spacing w:before="40" w:after="40"/>
              <w:rPr>
                <w:rFonts w:cstheme="minorHAnsi"/>
                <w:lang w:val="en-GB"/>
              </w:rPr>
            </w:pPr>
          </w:p>
        </w:tc>
      </w:tr>
      <w:tr w:rsidR="005D1086" w:rsidRPr="006645DC" w14:paraId="5B59E65C" w14:textId="77777777" w:rsidTr="004A7DE4">
        <w:tc>
          <w:tcPr>
            <w:tcW w:w="1485" w:type="dxa"/>
            <w:vMerge w:val="restart"/>
          </w:tcPr>
          <w:p w14:paraId="19623582" w14:textId="77777777" w:rsidR="005D1086" w:rsidRPr="006645DC" w:rsidRDefault="005D1086" w:rsidP="005D1086">
            <w:pPr>
              <w:spacing w:before="40" w:after="40"/>
              <w:rPr>
                <w:rFonts w:cstheme="minorHAnsi"/>
                <w:b/>
                <w:lang w:val="en-GB"/>
              </w:rPr>
            </w:pPr>
          </w:p>
        </w:tc>
        <w:tc>
          <w:tcPr>
            <w:tcW w:w="11448" w:type="dxa"/>
            <w:gridSpan w:val="5"/>
          </w:tcPr>
          <w:p w14:paraId="67AB71A6" w14:textId="77777777" w:rsidR="00417F4A" w:rsidRPr="006645DC" w:rsidRDefault="00417F4A" w:rsidP="005D1086">
            <w:pPr>
              <w:spacing w:before="40" w:after="40"/>
              <w:jc w:val="center"/>
              <w:rPr>
                <w:rFonts w:cstheme="minorHAnsi"/>
                <w:b/>
                <w:lang w:val="en-GB"/>
              </w:rPr>
            </w:pPr>
          </w:p>
          <w:p w14:paraId="3733DAB3" w14:textId="77777777" w:rsidR="005D1086" w:rsidRPr="006645DC" w:rsidRDefault="005D1086" w:rsidP="005D1086">
            <w:pPr>
              <w:spacing w:before="40" w:after="40"/>
              <w:jc w:val="center"/>
              <w:rPr>
                <w:rFonts w:cstheme="minorHAnsi"/>
                <w:lang w:val="en-GB"/>
              </w:rPr>
            </w:pPr>
            <w:r w:rsidRPr="006645DC">
              <w:rPr>
                <w:rFonts w:cstheme="minorHAnsi"/>
                <w:b/>
                <w:lang w:val="en-GB"/>
              </w:rPr>
              <w:t>COMMENTS FROM THE 2014-2020 TA PERSPECTIVE</w:t>
            </w:r>
          </w:p>
        </w:tc>
      </w:tr>
      <w:tr w:rsidR="005D1086" w:rsidRPr="006645DC" w14:paraId="216B8A1B" w14:textId="77777777" w:rsidTr="004A7DE4">
        <w:tc>
          <w:tcPr>
            <w:tcW w:w="1485" w:type="dxa"/>
            <w:vMerge/>
          </w:tcPr>
          <w:p w14:paraId="22E72F64" w14:textId="77777777" w:rsidR="005D1086" w:rsidRPr="006645DC" w:rsidRDefault="005D1086" w:rsidP="005D1086">
            <w:pPr>
              <w:spacing w:before="40" w:after="40"/>
              <w:rPr>
                <w:rFonts w:cstheme="minorHAnsi"/>
                <w:b/>
                <w:lang w:val="en-GB"/>
              </w:rPr>
            </w:pPr>
          </w:p>
        </w:tc>
        <w:tc>
          <w:tcPr>
            <w:tcW w:w="2515" w:type="dxa"/>
          </w:tcPr>
          <w:p w14:paraId="1A11CC3F" w14:textId="77777777" w:rsidR="005D1086" w:rsidRPr="006645DC" w:rsidRDefault="005D1086" w:rsidP="005D1086">
            <w:pPr>
              <w:pStyle w:val="Default"/>
              <w:autoSpaceDE/>
              <w:autoSpaceDN/>
              <w:adjustRightInd/>
              <w:spacing w:before="40" w:after="40"/>
              <w:rPr>
                <w:rFonts w:asciiTheme="minorHAnsi" w:hAnsiTheme="minorHAnsi" w:cstheme="minorHAnsi"/>
                <w:sz w:val="22"/>
                <w:lang w:val="en-GB"/>
              </w:rPr>
            </w:pPr>
            <w:r w:rsidRPr="006645DC">
              <w:rPr>
                <w:rFonts w:asciiTheme="minorHAnsi" w:hAnsiTheme="minorHAnsi" w:cstheme="minorHAnsi"/>
                <w:sz w:val="22"/>
                <w:lang w:val="en-GB"/>
              </w:rPr>
              <w:t xml:space="preserve">The economic complementarity is not obvious and has not resulted from the 2014-2020 TA. The SMEs are not the main engine of growth even though this sector is developing. The big FDIs in industry are the main driver of economic development. Employing big parts of the active population, agriculture is not the biggest contributor to the regional GDP. The agricultural potential is nevertheless very important (fertile land, consumer market nearby, etc.).  </w:t>
            </w:r>
          </w:p>
        </w:tc>
        <w:tc>
          <w:tcPr>
            <w:tcW w:w="3848" w:type="dxa"/>
          </w:tcPr>
          <w:p w14:paraId="37D55A37" w14:textId="77777777" w:rsidR="005D1086" w:rsidRPr="006645DC" w:rsidRDefault="005D1086" w:rsidP="005D1086">
            <w:pPr>
              <w:spacing w:before="40" w:after="40"/>
              <w:rPr>
                <w:rFonts w:cstheme="minorHAnsi"/>
                <w:lang w:val="en-GB"/>
              </w:rPr>
            </w:pPr>
            <w:r w:rsidRPr="006645DC">
              <w:rPr>
                <w:rFonts w:cstheme="minorHAnsi"/>
                <w:lang w:val="en-GB"/>
              </w:rPr>
              <w:t xml:space="preserve">The area continues to experience low incomes and low investments; even though some major investments were made in the 2007-2013 period mainly in the industry and services. Agriculture has also been the focus of some investments targeting mainly big land surfaces. </w:t>
            </w:r>
          </w:p>
          <w:p w14:paraId="0EF2B4D8" w14:textId="77777777" w:rsidR="005D1086" w:rsidRPr="006645DC" w:rsidRDefault="005D1086" w:rsidP="005D1086">
            <w:pPr>
              <w:spacing w:before="40" w:after="40"/>
              <w:rPr>
                <w:rFonts w:cstheme="minorHAnsi"/>
                <w:lang w:val="en-GB"/>
              </w:rPr>
            </w:pPr>
            <w:r w:rsidRPr="006645DC">
              <w:rPr>
                <w:rFonts w:cstheme="minorHAnsi"/>
                <w:lang w:val="en-GB"/>
              </w:rPr>
              <w:t xml:space="preserve">Nevertheless the productivity levels (that increase too slowly and are at a low absolute level) and low-wage-based competitiveness that is rapidly eroding are the major weakness of the cross-border economy. As a corollary, the technological transfer and the R&amp;I transfer in the economic activity are low. </w:t>
            </w:r>
          </w:p>
          <w:p w14:paraId="1010732D" w14:textId="77777777" w:rsidR="005D1086" w:rsidRPr="006645DC" w:rsidRDefault="005D1086" w:rsidP="005D1086">
            <w:pPr>
              <w:spacing w:before="40" w:after="40"/>
              <w:rPr>
                <w:rFonts w:cstheme="minorHAnsi"/>
                <w:lang w:val="en-GB"/>
              </w:rPr>
            </w:pPr>
            <w:r w:rsidRPr="006645DC">
              <w:rPr>
                <w:rFonts w:cstheme="minorHAnsi"/>
                <w:lang w:val="en-GB"/>
              </w:rPr>
              <w:t>Still, the following 2007-2013 aspects are still valid:</w:t>
            </w:r>
          </w:p>
          <w:p w14:paraId="621F3B5F" w14:textId="77777777" w:rsidR="005D1086" w:rsidRPr="006645DC" w:rsidRDefault="005D1086" w:rsidP="005D1086">
            <w:pPr>
              <w:spacing w:before="40" w:after="40"/>
              <w:rPr>
                <w:rFonts w:cstheme="minorHAnsi"/>
                <w:lang w:val="en-GB"/>
              </w:rPr>
            </w:pPr>
            <w:r w:rsidRPr="006645DC">
              <w:rPr>
                <w:rFonts w:cstheme="minorHAnsi"/>
                <w:lang w:val="en-GB"/>
              </w:rPr>
              <w:t xml:space="preserve">“Overall peripheral character </w:t>
            </w:r>
            <w:r w:rsidR="00FD6464" w:rsidRPr="006645DC">
              <w:rPr>
                <w:rFonts w:cstheme="minorHAnsi"/>
                <w:lang w:val="en-GB"/>
              </w:rPr>
              <w:t>characterized</w:t>
            </w:r>
            <w:r w:rsidRPr="006645DC">
              <w:rPr>
                <w:rFonts w:cstheme="minorHAnsi"/>
                <w:lang w:val="en-GB"/>
              </w:rPr>
              <w:t xml:space="preserve"> by small SME numbers, lack of export-oriented businesses, relatively low use of IT and modern technologies and business management skills.</w:t>
            </w:r>
          </w:p>
          <w:p w14:paraId="633583ED" w14:textId="77777777" w:rsidR="005D1086" w:rsidRPr="006645DC" w:rsidRDefault="005D1086" w:rsidP="005D1086">
            <w:pPr>
              <w:spacing w:before="40" w:after="40"/>
              <w:rPr>
                <w:rFonts w:cstheme="minorHAnsi"/>
                <w:lang w:val="en-GB"/>
              </w:rPr>
            </w:pPr>
            <w:r w:rsidRPr="006645DC">
              <w:rPr>
                <w:rFonts w:cstheme="minorHAnsi"/>
                <w:lang w:val="en-GB"/>
              </w:rPr>
              <w:t xml:space="preserve">Insufficient development of local </w:t>
            </w:r>
            <w:r w:rsidRPr="006645DC">
              <w:rPr>
                <w:rFonts w:cstheme="minorHAnsi"/>
                <w:lang w:val="en-GB"/>
              </w:rPr>
              <w:lastRenderedPageBreak/>
              <w:t xml:space="preserve">business infrastructure.” </w:t>
            </w:r>
          </w:p>
          <w:p w14:paraId="171301D4" w14:textId="77777777" w:rsidR="005D1086" w:rsidRPr="006645DC" w:rsidRDefault="005D1086" w:rsidP="005D1086">
            <w:pPr>
              <w:pStyle w:val="Default"/>
              <w:autoSpaceDE/>
              <w:autoSpaceDN/>
              <w:adjustRightInd/>
              <w:spacing w:before="40" w:after="40"/>
              <w:rPr>
                <w:rFonts w:asciiTheme="minorHAnsi" w:hAnsiTheme="minorHAnsi" w:cstheme="minorHAnsi"/>
                <w:sz w:val="22"/>
                <w:lang w:val="en-GB"/>
              </w:rPr>
            </w:pPr>
            <w:r w:rsidRPr="006645DC">
              <w:rPr>
                <w:rFonts w:asciiTheme="minorHAnsi" w:hAnsiTheme="minorHAnsi" w:cstheme="minorHAnsi"/>
                <w:sz w:val="22"/>
                <w:lang w:val="en-GB"/>
              </w:rPr>
              <w:t>Despite some new FDI-based industrial enterprises the competitiveness and technological gaps compared to national economies and to EU remain.</w:t>
            </w:r>
          </w:p>
          <w:p w14:paraId="4F39D69D" w14:textId="77777777" w:rsidR="005D1086" w:rsidRPr="006645DC" w:rsidRDefault="005D1086" w:rsidP="005D1086">
            <w:pPr>
              <w:pStyle w:val="Default"/>
              <w:autoSpaceDE/>
              <w:autoSpaceDN/>
              <w:adjustRightInd/>
              <w:spacing w:before="40" w:after="40"/>
              <w:rPr>
                <w:rFonts w:asciiTheme="minorHAnsi" w:hAnsiTheme="minorHAnsi" w:cstheme="minorHAnsi"/>
                <w:sz w:val="22"/>
                <w:lang w:val="en-GB"/>
              </w:rPr>
            </w:pPr>
            <w:r w:rsidRPr="006645DC">
              <w:rPr>
                <w:rFonts w:asciiTheme="minorHAnsi" w:hAnsiTheme="minorHAnsi" w:cstheme="minorHAnsi"/>
                <w:sz w:val="22"/>
                <w:lang w:val="en-GB"/>
              </w:rPr>
              <w:t xml:space="preserve">The weak tradition of cross-border economic cooperation in recent history as well as the economic crisis that hit both sides of the Danube in recent years and the enduring legacy of the post-Communist economic de-structuring are factors that limit the cross-border economic development and limit the capacity to take advantage of the cross-border opportunity and resources. </w:t>
            </w:r>
          </w:p>
        </w:tc>
        <w:tc>
          <w:tcPr>
            <w:tcW w:w="2825" w:type="dxa"/>
          </w:tcPr>
          <w:p w14:paraId="78EB3281" w14:textId="77777777" w:rsidR="005D1086" w:rsidRPr="006645DC" w:rsidRDefault="005D1086" w:rsidP="005D1086">
            <w:pPr>
              <w:spacing w:before="40" w:after="40"/>
              <w:rPr>
                <w:rFonts w:cstheme="minorHAnsi"/>
                <w:lang w:val="en-GB"/>
              </w:rPr>
            </w:pPr>
            <w:r w:rsidRPr="006645DC">
              <w:rPr>
                <w:rFonts w:cstheme="minorHAnsi"/>
                <w:lang w:val="en-GB"/>
              </w:rPr>
              <w:lastRenderedPageBreak/>
              <w:t xml:space="preserve">All the aspects that were identified as opportunities in the previous period SWOT are still </w:t>
            </w:r>
            <w:r w:rsidR="007D47F2" w:rsidRPr="006645DC">
              <w:rPr>
                <w:rFonts w:cstheme="minorHAnsi"/>
                <w:lang w:val="en-GB"/>
              </w:rPr>
              <w:t>valid:</w:t>
            </w:r>
            <w:r w:rsidRPr="006645DC">
              <w:rPr>
                <w:rFonts w:cstheme="minorHAnsi"/>
                <w:lang w:val="en-GB"/>
              </w:rPr>
              <w:t xml:space="preserve"> improvement of transport infrastructure, improvement of business-support services and infrastructures, development of joint-strategies and joint initiatives and bodies for tourism development and promotion, development of the joint organic agricultural production and marketing, making better and adapted financing available to local SMEs. Nevertheless these opportunities are too general and need to take into account: the real possibilities of the ETC instruments (and their necessary complementarity with the national OPs and macro-regional strategies) and the need to have a real </w:t>
            </w:r>
            <w:r w:rsidRPr="006645DC">
              <w:rPr>
                <w:rFonts w:cstheme="minorHAnsi"/>
                <w:lang w:val="en-GB"/>
              </w:rPr>
              <w:lastRenderedPageBreak/>
              <w:t>impact on the economic sectors with the biggest potential (given the resources available and their market readiness). E.g.: Common clustering and the creation of business incubators in agriculture and tourism should be preferred to the general “creation of business-support infrastructure”.</w:t>
            </w:r>
          </w:p>
        </w:tc>
        <w:tc>
          <w:tcPr>
            <w:tcW w:w="2260" w:type="dxa"/>
            <w:gridSpan w:val="2"/>
          </w:tcPr>
          <w:p w14:paraId="71FD6729" w14:textId="77777777" w:rsidR="005D1086" w:rsidRPr="006645DC" w:rsidRDefault="005D1086" w:rsidP="005D1086">
            <w:pPr>
              <w:spacing w:before="40" w:after="40"/>
              <w:rPr>
                <w:rFonts w:cstheme="minorHAnsi"/>
                <w:lang w:val="en-GB"/>
              </w:rPr>
            </w:pPr>
            <w:r w:rsidRPr="006645DC">
              <w:rPr>
                <w:rFonts w:cstheme="minorHAnsi"/>
                <w:lang w:val="en-GB"/>
              </w:rPr>
              <w:lastRenderedPageBreak/>
              <w:t xml:space="preserve">The informal economical practices are a lower level risk compared to the difficulties represented by the world economy and the limited capacity of the cross-border economy to evolve towards a more competitive model. The main threats are thus the ones that represent barriers and hurdles to the market </w:t>
            </w:r>
            <w:r w:rsidR="00FD6464" w:rsidRPr="006645DC">
              <w:rPr>
                <w:rFonts w:cstheme="minorHAnsi"/>
                <w:lang w:val="en-GB"/>
              </w:rPr>
              <w:t>readiness of</w:t>
            </w:r>
            <w:r w:rsidRPr="006645DC">
              <w:rPr>
                <w:rFonts w:cstheme="minorHAnsi"/>
                <w:lang w:val="en-GB"/>
              </w:rPr>
              <w:t xml:space="preserve"> local resources (agricultural land, human </w:t>
            </w:r>
            <w:r w:rsidR="00FD6464" w:rsidRPr="006645DC">
              <w:rPr>
                <w:rFonts w:cstheme="minorHAnsi"/>
                <w:lang w:val="en-GB"/>
              </w:rPr>
              <w:t>resources</w:t>
            </w:r>
            <w:r w:rsidRPr="006645DC">
              <w:rPr>
                <w:rFonts w:cstheme="minorHAnsi"/>
                <w:lang w:val="en-GB"/>
              </w:rPr>
              <w:t xml:space="preserve">, tourism </w:t>
            </w:r>
            <w:r w:rsidR="00FD6464" w:rsidRPr="006645DC">
              <w:rPr>
                <w:rFonts w:cstheme="minorHAnsi"/>
                <w:lang w:val="en-GB"/>
              </w:rPr>
              <w:t>resources</w:t>
            </w:r>
            <w:r w:rsidRPr="006645DC">
              <w:rPr>
                <w:rFonts w:cstheme="minorHAnsi"/>
                <w:lang w:val="en-GB"/>
              </w:rPr>
              <w:t>, etc.</w:t>
            </w:r>
            <w:r w:rsidR="00FD6464" w:rsidRPr="006645DC">
              <w:rPr>
                <w:rFonts w:cstheme="minorHAnsi"/>
                <w:lang w:val="en-GB"/>
              </w:rPr>
              <w:t>):</w:t>
            </w:r>
            <w:r w:rsidRPr="006645DC">
              <w:rPr>
                <w:rFonts w:cstheme="minorHAnsi"/>
                <w:lang w:val="en-GB"/>
              </w:rPr>
              <w:t xml:space="preserve"> taxes, local regulations and administrative burden, low administrative capacity</w:t>
            </w:r>
          </w:p>
        </w:tc>
      </w:tr>
      <w:tr w:rsidR="005D1086" w:rsidRPr="006645DC" w14:paraId="29FC47ED" w14:textId="77777777" w:rsidTr="004A7DE4">
        <w:tc>
          <w:tcPr>
            <w:tcW w:w="1485" w:type="dxa"/>
          </w:tcPr>
          <w:p w14:paraId="359DEB2D" w14:textId="77777777" w:rsidR="005D1086" w:rsidRPr="006645DC" w:rsidRDefault="005D1086" w:rsidP="005D1086">
            <w:pPr>
              <w:spacing w:before="40" w:after="40"/>
              <w:rPr>
                <w:rFonts w:cstheme="minorHAnsi"/>
                <w:lang w:val="en-GB"/>
              </w:rPr>
            </w:pPr>
            <w:r w:rsidRPr="006645DC">
              <w:rPr>
                <w:rFonts w:cstheme="minorHAnsi"/>
                <w:b/>
                <w:lang w:val="en-GB"/>
              </w:rPr>
              <w:lastRenderedPageBreak/>
              <w:t>Infrastructure</w:t>
            </w:r>
          </w:p>
        </w:tc>
        <w:tc>
          <w:tcPr>
            <w:tcW w:w="2515" w:type="dxa"/>
          </w:tcPr>
          <w:p w14:paraId="0653EE20"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Prime location along key axis of TEN-T 18 and 22.</w:t>
            </w:r>
          </w:p>
          <w:p w14:paraId="5CE2EDC2" w14:textId="77777777" w:rsidR="005D1086" w:rsidRPr="006645DC" w:rsidRDefault="005D1086" w:rsidP="005D1086">
            <w:pPr>
              <w:pStyle w:val="Default"/>
              <w:spacing w:before="40" w:after="40"/>
              <w:rPr>
                <w:rFonts w:asciiTheme="minorHAnsi" w:hAnsiTheme="minorHAnsi" w:cstheme="minorHAnsi"/>
                <w:sz w:val="22"/>
                <w:lang w:val="en-GB"/>
              </w:rPr>
            </w:pPr>
            <w:r w:rsidRPr="006645DC">
              <w:rPr>
                <w:rFonts w:asciiTheme="minorHAnsi" w:hAnsiTheme="minorHAnsi" w:cstheme="minorHAnsi"/>
                <w:sz w:val="22"/>
                <w:lang w:val="en-GB"/>
              </w:rPr>
              <w:t>Different transport modes: road, water, rail and air</w:t>
            </w:r>
          </w:p>
          <w:p w14:paraId="08C804CB" w14:textId="77777777" w:rsidR="005D1086" w:rsidRPr="006645DC" w:rsidRDefault="005D1086" w:rsidP="005D1086">
            <w:pPr>
              <w:spacing w:before="40" w:after="40"/>
              <w:rPr>
                <w:rFonts w:cstheme="minorHAnsi"/>
                <w:lang w:val="en-GB"/>
              </w:rPr>
            </w:pPr>
            <w:r w:rsidRPr="006645DC">
              <w:rPr>
                <w:rFonts w:cstheme="minorHAnsi"/>
                <w:lang w:val="en-GB"/>
              </w:rPr>
              <w:t xml:space="preserve">Danube - an important water route for domestic shipping, as well as international trade. It is navigable for river vessels along the entire border area. </w:t>
            </w:r>
          </w:p>
          <w:p w14:paraId="7C6CA700"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 xml:space="preserve">Constanta – the largest Black Sea port on the </w:t>
            </w:r>
            <w:r w:rsidRPr="006645DC">
              <w:rPr>
                <w:rFonts w:cstheme="minorHAnsi"/>
                <w:lang w:val="en-GB"/>
              </w:rPr>
              <w:lastRenderedPageBreak/>
              <w:t xml:space="preserve">TEN-T axis offers adequate space for further expansion to accommodate the largest ships and accompanying international port services. </w:t>
            </w:r>
          </w:p>
          <w:p w14:paraId="6F4FA13C" w14:textId="77777777" w:rsidR="005D1086" w:rsidRPr="006645DC" w:rsidRDefault="005D1086" w:rsidP="005D1086">
            <w:pPr>
              <w:spacing w:before="40" w:after="40"/>
              <w:rPr>
                <w:rFonts w:cstheme="minorHAnsi"/>
                <w:lang w:val="en-GB"/>
              </w:rPr>
            </w:pPr>
            <w:r w:rsidRPr="006645DC">
              <w:rPr>
                <w:rFonts w:cstheme="minorHAnsi"/>
                <w:lang w:val="en-GB"/>
              </w:rPr>
              <w:t xml:space="preserve">Several ports along the fluvial Danube with important cargo handling capacity. </w:t>
            </w:r>
          </w:p>
          <w:p w14:paraId="5CE96CE9" w14:textId="77777777" w:rsidR="005D1086" w:rsidRPr="006645DC" w:rsidRDefault="005D1086" w:rsidP="005D1086">
            <w:pPr>
              <w:pStyle w:val="BodyText"/>
              <w:spacing w:before="40" w:after="40"/>
              <w:rPr>
                <w:rFonts w:asciiTheme="minorHAnsi" w:hAnsiTheme="minorHAnsi" w:cstheme="minorHAnsi"/>
                <w:sz w:val="22"/>
                <w:lang w:val="en-GB"/>
              </w:rPr>
            </w:pPr>
            <w:r w:rsidRPr="006645DC">
              <w:rPr>
                <w:rFonts w:asciiTheme="minorHAnsi" w:hAnsiTheme="minorHAnsi" w:cstheme="minorHAnsi"/>
                <w:sz w:val="22"/>
                <w:szCs w:val="21"/>
                <w:lang w:val="en-GB"/>
              </w:rPr>
              <w:t>Extensive water transport resources are suitable to low cost bulk transportation of low value commodities in an environmentally friendly mode that can provide a cost effective link in the development of new higher value intermodal transport systems.</w:t>
            </w:r>
          </w:p>
          <w:p w14:paraId="02041910" w14:textId="77777777" w:rsidR="005D1086" w:rsidRPr="006645DC" w:rsidRDefault="005D1086" w:rsidP="005D1086">
            <w:pPr>
              <w:spacing w:before="40" w:after="40"/>
              <w:rPr>
                <w:rFonts w:cstheme="minorHAnsi"/>
                <w:lang w:val="en-GB"/>
              </w:rPr>
            </w:pPr>
            <w:r w:rsidRPr="006645DC">
              <w:rPr>
                <w:rFonts w:cstheme="minorHAnsi"/>
                <w:lang w:val="en-GB"/>
              </w:rPr>
              <w:t>Relatively dense urban transport network.</w:t>
            </w:r>
          </w:p>
          <w:p w14:paraId="72423C4C"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Privately operated road freight and passenger services are available at most main locations.</w:t>
            </w:r>
          </w:p>
          <w:p w14:paraId="7210265F" w14:textId="77777777" w:rsidR="005D1086" w:rsidRPr="006645DC" w:rsidRDefault="005D1086" w:rsidP="005D1086">
            <w:pPr>
              <w:autoSpaceDE w:val="0"/>
              <w:autoSpaceDN w:val="0"/>
              <w:adjustRightInd w:val="0"/>
              <w:spacing w:before="40" w:after="40"/>
              <w:rPr>
                <w:rFonts w:cstheme="minorHAnsi"/>
                <w:szCs w:val="20"/>
                <w:lang w:val="en-GB"/>
              </w:rPr>
            </w:pPr>
            <w:r w:rsidRPr="006645DC">
              <w:rPr>
                <w:rFonts w:cstheme="minorHAnsi"/>
                <w:lang w:val="en-GB"/>
              </w:rPr>
              <w:t xml:space="preserve">Low cost skilled </w:t>
            </w:r>
            <w:r w:rsidR="00826AAD" w:rsidRPr="006645DC">
              <w:rPr>
                <w:rFonts w:cstheme="minorHAnsi"/>
                <w:lang w:val="en-GB"/>
              </w:rPr>
              <w:t>labor</w:t>
            </w:r>
            <w:r w:rsidRPr="006645DC">
              <w:rPr>
                <w:rFonts w:cstheme="minorHAnsi"/>
                <w:lang w:val="en-GB"/>
              </w:rPr>
              <w:t xml:space="preserve"> </w:t>
            </w:r>
            <w:r w:rsidRPr="006645DC">
              <w:rPr>
                <w:rFonts w:cstheme="minorHAnsi"/>
                <w:lang w:val="en-GB"/>
              </w:rPr>
              <w:lastRenderedPageBreak/>
              <w:t>force with good basic education available, although new skills will be required to meet transport reconstruction demands.</w:t>
            </w:r>
          </w:p>
          <w:p w14:paraId="709CF788" w14:textId="77777777" w:rsidR="005D1086" w:rsidRPr="006645DC" w:rsidRDefault="005D1086" w:rsidP="005D1086">
            <w:pPr>
              <w:pStyle w:val="Default"/>
              <w:autoSpaceDE/>
              <w:autoSpaceDN/>
              <w:adjustRightInd/>
              <w:spacing w:before="40" w:after="40"/>
              <w:rPr>
                <w:rFonts w:asciiTheme="minorHAnsi" w:hAnsiTheme="minorHAnsi" w:cstheme="minorHAnsi"/>
                <w:sz w:val="22"/>
                <w:lang w:val="en-GB"/>
              </w:rPr>
            </w:pPr>
            <w:r w:rsidRPr="006645DC">
              <w:rPr>
                <w:rFonts w:asciiTheme="minorHAnsi" w:hAnsiTheme="minorHAnsi" w:cstheme="minorHAnsi"/>
                <w:sz w:val="22"/>
                <w:lang w:val="en-GB"/>
              </w:rPr>
              <w:t>Liberalization of telecommunications market.</w:t>
            </w:r>
          </w:p>
        </w:tc>
        <w:tc>
          <w:tcPr>
            <w:tcW w:w="3848" w:type="dxa"/>
          </w:tcPr>
          <w:p w14:paraId="50D10155" w14:textId="77777777" w:rsidR="005D1086" w:rsidRPr="006645DC" w:rsidRDefault="005D1086" w:rsidP="005D1086">
            <w:pPr>
              <w:spacing w:before="40" w:after="40"/>
              <w:rPr>
                <w:rFonts w:cstheme="minorHAnsi"/>
                <w:szCs w:val="18"/>
                <w:lang w:val="en-GB"/>
              </w:rPr>
            </w:pPr>
            <w:r w:rsidRPr="006645DC">
              <w:rPr>
                <w:rFonts w:cstheme="minorHAnsi"/>
                <w:lang w:val="en-GB"/>
              </w:rPr>
              <w:lastRenderedPageBreak/>
              <w:t>Navigation on the Danube for large vessels is limited by the depth and width of canals and rivers. The few bridges and ferries for transit by road transport create a natural barrier to access and mobility.</w:t>
            </w:r>
          </w:p>
          <w:p w14:paraId="7D2D0D7D" w14:textId="77777777" w:rsidR="005D1086" w:rsidRPr="006645DC" w:rsidRDefault="005D1086" w:rsidP="005D1086">
            <w:pPr>
              <w:autoSpaceDE w:val="0"/>
              <w:autoSpaceDN w:val="0"/>
              <w:adjustRightInd w:val="0"/>
              <w:spacing w:before="40" w:after="40"/>
              <w:rPr>
                <w:rFonts w:cstheme="minorHAnsi"/>
                <w:szCs w:val="20"/>
                <w:lang w:val="en-GB"/>
              </w:rPr>
            </w:pPr>
            <w:r w:rsidRPr="006645DC">
              <w:rPr>
                <w:rFonts w:cstheme="minorHAnsi"/>
                <w:lang w:val="en-GB"/>
              </w:rPr>
              <w:t>Lack of investment in river management and services reduces the potential value of the waterways, with traffic loss to other modes.</w:t>
            </w:r>
          </w:p>
          <w:p w14:paraId="446B7F07"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szCs w:val="18"/>
                <w:lang w:val="en-GB"/>
              </w:rPr>
              <w:t xml:space="preserve">The small </w:t>
            </w:r>
            <w:r w:rsidRPr="006645DC">
              <w:rPr>
                <w:rFonts w:cstheme="minorHAnsi"/>
                <w:lang w:val="en-GB"/>
              </w:rPr>
              <w:t xml:space="preserve">number of points (only one main road and one rail connection) </w:t>
            </w:r>
            <w:r w:rsidR="00417F4A" w:rsidRPr="006645DC">
              <w:rPr>
                <w:rFonts w:cstheme="minorHAnsi"/>
                <w:lang w:val="en-GB"/>
              </w:rPr>
              <w:t>for crossing</w:t>
            </w:r>
            <w:r w:rsidRPr="006645DC">
              <w:rPr>
                <w:rFonts w:cstheme="minorHAnsi"/>
                <w:lang w:val="en-GB"/>
              </w:rPr>
              <w:t xml:space="preserve"> the Danube create natural barriers to cooperation across Europe’s </w:t>
            </w:r>
            <w:r w:rsidRPr="006645DC">
              <w:rPr>
                <w:rFonts w:cstheme="minorHAnsi"/>
                <w:lang w:val="en-GB"/>
              </w:rPr>
              <w:lastRenderedPageBreak/>
              <w:t xml:space="preserve">second longest border. </w:t>
            </w:r>
          </w:p>
          <w:p w14:paraId="6AF50AE1"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Low investment in new buildings, and poor maintenance of fluvial port infrastructure including handling facilities.</w:t>
            </w:r>
          </w:p>
          <w:p w14:paraId="55AF43B0" w14:textId="77777777" w:rsidR="005D1086" w:rsidRPr="006645DC" w:rsidRDefault="005D1086" w:rsidP="005D1086">
            <w:pPr>
              <w:autoSpaceDE w:val="0"/>
              <w:autoSpaceDN w:val="0"/>
              <w:adjustRightInd w:val="0"/>
              <w:spacing w:before="40" w:after="40"/>
              <w:rPr>
                <w:rFonts w:cstheme="minorHAnsi"/>
                <w:szCs w:val="20"/>
                <w:lang w:val="en-GB"/>
              </w:rPr>
            </w:pPr>
            <w:r w:rsidRPr="006645DC">
              <w:rPr>
                <w:rFonts w:cstheme="minorHAnsi"/>
                <w:lang w:val="en-GB"/>
              </w:rPr>
              <w:t>Road networks are underdeveloped throughout the area and poorly maintained, creating poor safety and high accident risks.</w:t>
            </w:r>
          </w:p>
          <w:p w14:paraId="3FC48AC8" w14:textId="77777777" w:rsidR="005D1086" w:rsidRPr="006645DC" w:rsidRDefault="005D1086" w:rsidP="005D1086">
            <w:pPr>
              <w:autoSpaceDE w:val="0"/>
              <w:autoSpaceDN w:val="0"/>
              <w:adjustRightInd w:val="0"/>
              <w:spacing w:before="40" w:after="40"/>
              <w:rPr>
                <w:rFonts w:cstheme="minorHAnsi"/>
                <w:szCs w:val="20"/>
                <w:lang w:val="en-GB"/>
              </w:rPr>
            </w:pPr>
            <w:r w:rsidRPr="006645DC">
              <w:rPr>
                <w:rFonts w:cstheme="minorHAnsi"/>
                <w:lang w:val="en-GB"/>
              </w:rPr>
              <w:t xml:space="preserve">No motorway links to EU and few north-south crossings. </w:t>
            </w:r>
          </w:p>
          <w:p w14:paraId="720CFE4F" w14:textId="77777777" w:rsidR="005D1086" w:rsidRPr="006645DC" w:rsidRDefault="005D1086" w:rsidP="005D1086">
            <w:pPr>
              <w:spacing w:before="40" w:after="40"/>
              <w:rPr>
                <w:rFonts w:cstheme="minorHAnsi"/>
                <w:lang w:val="en-GB"/>
              </w:rPr>
            </w:pPr>
            <w:r w:rsidRPr="006645DC">
              <w:rPr>
                <w:rFonts w:cstheme="minorHAnsi"/>
                <w:lang w:val="en-GB"/>
              </w:rPr>
              <w:t>Poor access to main roads; secondary and tertiary roads insufficiently developed or are of poor quality, and poorly serve rural and smaller settlements.</w:t>
            </w:r>
          </w:p>
          <w:p w14:paraId="77850CDD" w14:textId="77777777" w:rsidR="005D1086" w:rsidRPr="006645DC" w:rsidRDefault="005D1086" w:rsidP="005D1086">
            <w:pPr>
              <w:autoSpaceDE w:val="0"/>
              <w:autoSpaceDN w:val="0"/>
              <w:adjustRightInd w:val="0"/>
              <w:spacing w:before="40" w:after="40"/>
              <w:rPr>
                <w:rFonts w:cstheme="minorHAnsi"/>
                <w:szCs w:val="20"/>
                <w:lang w:val="en-GB"/>
              </w:rPr>
            </w:pPr>
            <w:r w:rsidRPr="006645DC">
              <w:rPr>
                <w:rFonts w:cstheme="minorHAnsi"/>
                <w:lang w:val="en-GB"/>
              </w:rPr>
              <w:t>Private road freight and passenger transport services do not operate in most rural locations.</w:t>
            </w:r>
          </w:p>
          <w:p w14:paraId="464B7757" w14:textId="77777777" w:rsidR="005D1086" w:rsidRPr="006645DC" w:rsidRDefault="005D1086" w:rsidP="005D1086">
            <w:pPr>
              <w:pStyle w:val="xl24"/>
              <w:pBdr>
                <w:left w:val="none" w:sz="0" w:space="0" w:color="auto"/>
                <w:bottom w:val="none" w:sz="0" w:space="0" w:color="auto"/>
                <w:right w:val="none" w:sz="0" w:space="0" w:color="auto"/>
              </w:pBdr>
              <w:spacing w:before="40" w:beforeAutospacing="0" w:after="40" w:afterAutospacing="0"/>
              <w:rPr>
                <w:rFonts w:asciiTheme="minorHAnsi" w:eastAsia="Times New Roman" w:hAnsiTheme="minorHAnsi" w:cstheme="minorHAnsi"/>
                <w:szCs w:val="18"/>
                <w:lang w:eastAsia="en-GB"/>
              </w:rPr>
            </w:pPr>
            <w:r w:rsidRPr="006645DC">
              <w:rPr>
                <w:rFonts w:asciiTheme="minorHAnsi" w:eastAsia="Times New Roman" w:hAnsiTheme="minorHAnsi" w:cstheme="minorHAnsi"/>
                <w:szCs w:val="18"/>
                <w:lang w:eastAsia="en-GB"/>
              </w:rPr>
              <w:t>Underdeveloped and insufficiently linked information over the border and telecommunication infrastructure poorly developed, especially in rural areas.</w:t>
            </w:r>
          </w:p>
        </w:tc>
        <w:tc>
          <w:tcPr>
            <w:tcW w:w="2825" w:type="dxa"/>
          </w:tcPr>
          <w:p w14:paraId="582E2496" w14:textId="77777777" w:rsidR="005D1086" w:rsidRPr="006645DC" w:rsidRDefault="005D1086" w:rsidP="005D1086">
            <w:pPr>
              <w:autoSpaceDE w:val="0"/>
              <w:autoSpaceDN w:val="0"/>
              <w:adjustRightInd w:val="0"/>
              <w:spacing w:before="40" w:after="40"/>
              <w:rPr>
                <w:rFonts w:cstheme="minorHAnsi"/>
                <w:szCs w:val="20"/>
                <w:lang w:val="en-GB"/>
              </w:rPr>
            </w:pPr>
            <w:r w:rsidRPr="006645DC">
              <w:rPr>
                <w:rFonts w:cstheme="minorHAnsi"/>
                <w:lang w:val="en-GB"/>
              </w:rPr>
              <w:lastRenderedPageBreak/>
              <w:t>EU membership will allow access to new funding opportunities for the development of transport infrastructure in all transport modes.</w:t>
            </w:r>
          </w:p>
          <w:p w14:paraId="7D3E827A" w14:textId="77777777" w:rsidR="005D1086" w:rsidRPr="006645DC" w:rsidRDefault="005D1086" w:rsidP="005D1086">
            <w:pPr>
              <w:autoSpaceDE w:val="0"/>
              <w:autoSpaceDN w:val="0"/>
              <w:adjustRightInd w:val="0"/>
              <w:spacing w:before="40" w:after="40"/>
              <w:rPr>
                <w:rFonts w:cstheme="minorHAnsi"/>
                <w:szCs w:val="20"/>
                <w:lang w:val="en-GB"/>
              </w:rPr>
            </w:pPr>
            <w:r w:rsidRPr="006645DC">
              <w:rPr>
                <w:rFonts w:cstheme="minorHAnsi"/>
                <w:lang w:val="en-GB"/>
              </w:rPr>
              <w:t>Increased mobility within Europe will create the potential for economic growth in the cross-border area.</w:t>
            </w:r>
          </w:p>
          <w:p w14:paraId="6220896A"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 xml:space="preserve">Potential to develop new cost effective and environmentally friendly </w:t>
            </w:r>
            <w:r w:rsidRPr="006645DC">
              <w:rPr>
                <w:rFonts w:cstheme="minorHAnsi"/>
                <w:lang w:val="en-GB"/>
              </w:rPr>
              <w:lastRenderedPageBreak/>
              <w:t>waterborne bulk freight and container traffic in addition to leisure traffic on the Danube River.</w:t>
            </w:r>
          </w:p>
          <w:p w14:paraId="15449488" w14:textId="77777777" w:rsidR="005D1086" w:rsidRPr="006645DC" w:rsidRDefault="005D1086" w:rsidP="005D1086">
            <w:pPr>
              <w:autoSpaceDE w:val="0"/>
              <w:autoSpaceDN w:val="0"/>
              <w:adjustRightInd w:val="0"/>
              <w:spacing w:before="40" w:after="40"/>
              <w:rPr>
                <w:rFonts w:cstheme="minorHAnsi"/>
                <w:szCs w:val="20"/>
                <w:lang w:val="en-GB"/>
              </w:rPr>
            </w:pPr>
            <w:r w:rsidRPr="006645DC">
              <w:rPr>
                <w:rFonts w:cstheme="minorHAnsi"/>
                <w:szCs w:val="21"/>
                <w:lang w:val="en-GB"/>
              </w:rPr>
              <w:t>Multimodal transport (road/water/rail) is an environmentally friendly mode that provides a cost effective alternative to road transport.</w:t>
            </w:r>
          </w:p>
          <w:p w14:paraId="0302E3E7" w14:textId="77777777" w:rsidR="005D1086" w:rsidRPr="006645DC" w:rsidRDefault="005D1086" w:rsidP="005D1086">
            <w:pPr>
              <w:autoSpaceDE w:val="0"/>
              <w:autoSpaceDN w:val="0"/>
              <w:adjustRightInd w:val="0"/>
              <w:spacing w:before="40" w:after="40"/>
              <w:rPr>
                <w:rFonts w:cstheme="minorHAnsi"/>
                <w:szCs w:val="20"/>
                <w:lang w:val="en-GB"/>
              </w:rPr>
            </w:pPr>
            <w:r w:rsidRPr="006645DC">
              <w:rPr>
                <w:rFonts w:cstheme="minorHAnsi"/>
                <w:lang w:val="en-GB"/>
              </w:rPr>
              <w:t>Increased efficiency of road transport operations through building of new motorways and through the application of all EU laws on road transport will increase competition and efficiency.</w:t>
            </w:r>
          </w:p>
          <w:p w14:paraId="20EDB4C4" w14:textId="77777777" w:rsidR="005D1086" w:rsidRPr="006645DC" w:rsidRDefault="005D1086" w:rsidP="005D1086">
            <w:pPr>
              <w:spacing w:before="40" w:after="40"/>
              <w:rPr>
                <w:rFonts w:cstheme="minorHAnsi"/>
                <w:lang w:val="en-GB"/>
              </w:rPr>
            </w:pPr>
            <w:r w:rsidRPr="006645DC">
              <w:rPr>
                <w:rFonts w:cstheme="minorHAnsi"/>
                <w:lang w:val="en-GB"/>
              </w:rPr>
              <w:t xml:space="preserve">Develop a coordinated integrated transport infrastructure policy for the area to take into account the expected increased freight and passenger traffic, improving the effectiveness of existing, and creating additional crossing points, improvements to public transport systems, exploiting the potential of the Danube </w:t>
            </w:r>
            <w:r w:rsidRPr="006645DC">
              <w:rPr>
                <w:rFonts w:cstheme="minorHAnsi"/>
                <w:lang w:val="en-GB"/>
              </w:rPr>
              <w:lastRenderedPageBreak/>
              <w:t>as a transport corridor within the EU, and the construction of access roads and railways towards the new Vidin-Calafat bridge.</w:t>
            </w:r>
          </w:p>
          <w:p w14:paraId="5A3C7E3F" w14:textId="77777777" w:rsidR="005D1086" w:rsidRPr="006645DC" w:rsidRDefault="005D1086" w:rsidP="005D1086">
            <w:pPr>
              <w:spacing w:before="40" w:after="40"/>
              <w:rPr>
                <w:rFonts w:cstheme="minorHAnsi"/>
                <w:lang w:val="en-GB"/>
              </w:rPr>
            </w:pPr>
            <w:r w:rsidRPr="006645DC">
              <w:rPr>
                <w:rFonts w:cstheme="minorHAnsi"/>
                <w:lang w:val="en-GB"/>
              </w:rPr>
              <w:t>Create cross-border cooperation in identifying and exploiting renewable energy sources.</w:t>
            </w:r>
          </w:p>
        </w:tc>
        <w:tc>
          <w:tcPr>
            <w:tcW w:w="2260" w:type="dxa"/>
            <w:gridSpan w:val="2"/>
          </w:tcPr>
          <w:p w14:paraId="5DC42CD3" w14:textId="77777777" w:rsidR="005D1086" w:rsidRPr="006645DC" w:rsidRDefault="005D1086" w:rsidP="005D1086">
            <w:pPr>
              <w:spacing w:before="40" w:after="40"/>
              <w:rPr>
                <w:rFonts w:cstheme="minorHAnsi"/>
                <w:lang w:val="en-GB"/>
              </w:rPr>
            </w:pPr>
            <w:r w:rsidRPr="006645DC">
              <w:rPr>
                <w:rFonts w:cstheme="minorHAnsi"/>
                <w:lang w:val="en-GB"/>
              </w:rPr>
              <w:lastRenderedPageBreak/>
              <w:t>Delays in the implementation of big transport projects.</w:t>
            </w:r>
          </w:p>
          <w:p w14:paraId="49F870BF" w14:textId="77777777" w:rsidR="005D1086" w:rsidRPr="006645DC" w:rsidRDefault="005D1086" w:rsidP="005D1086">
            <w:pPr>
              <w:autoSpaceDE w:val="0"/>
              <w:autoSpaceDN w:val="0"/>
              <w:adjustRightInd w:val="0"/>
              <w:spacing w:before="40" w:after="40"/>
              <w:rPr>
                <w:rFonts w:cstheme="minorHAnsi"/>
                <w:szCs w:val="20"/>
                <w:lang w:val="en-GB"/>
              </w:rPr>
            </w:pPr>
            <w:r w:rsidRPr="006645DC">
              <w:rPr>
                <w:rFonts w:cstheme="minorHAnsi"/>
                <w:lang w:val="en-GB"/>
              </w:rPr>
              <w:t>The pace of reconstruction works has been slow to date and in future the N+3/ N+2 rule will require faster implementation to prevent compromise or reduction in funding.</w:t>
            </w:r>
          </w:p>
          <w:p w14:paraId="5B0A1DE9" w14:textId="77777777" w:rsidR="005D1086" w:rsidRPr="006645DC" w:rsidRDefault="005D1086" w:rsidP="005D1086">
            <w:pPr>
              <w:spacing w:before="40" w:after="40"/>
              <w:rPr>
                <w:rFonts w:cstheme="minorHAnsi"/>
                <w:lang w:val="en-GB"/>
              </w:rPr>
            </w:pPr>
            <w:r w:rsidRPr="006645DC">
              <w:rPr>
                <w:rFonts w:cstheme="minorHAnsi"/>
                <w:lang w:val="en-GB"/>
              </w:rPr>
              <w:t xml:space="preserve">High transport costs due to the present </w:t>
            </w:r>
            <w:r w:rsidRPr="006645DC">
              <w:rPr>
                <w:rFonts w:cstheme="minorHAnsi"/>
                <w:lang w:val="en-GB"/>
              </w:rPr>
              <w:lastRenderedPageBreak/>
              <w:t>underdevelopment in transport infrastructure.</w:t>
            </w:r>
          </w:p>
          <w:p w14:paraId="2E2A5B46" w14:textId="77777777" w:rsidR="005D1086" w:rsidRPr="006645DC" w:rsidRDefault="005D1086" w:rsidP="005D1086">
            <w:pPr>
              <w:spacing w:before="40" w:after="40"/>
              <w:rPr>
                <w:rFonts w:cstheme="minorHAnsi"/>
                <w:lang w:val="en-GB"/>
              </w:rPr>
            </w:pPr>
            <w:r w:rsidRPr="006645DC">
              <w:rPr>
                <w:rFonts w:cstheme="minorHAnsi"/>
                <w:lang w:val="en-GB"/>
              </w:rPr>
              <w:t>Lack of infrastructure will encourage freight operators to use other routes that avoid the area owing to poor transit flow.</w:t>
            </w:r>
          </w:p>
        </w:tc>
      </w:tr>
      <w:tr w:rsidR="005D1086" w:rsidRPr="006645DC" w14:paraId="272540D4" w14:textId="77777777" w:rsidTr="004A7DE4">
        <w:tc>
          <w:tcPr>
            <w:tcW w:w="1485" w:type="dxa"/>
          </w:tcPr>
          <w:p w14:paraId="4E600B1D" w14:textId="77777777" w:rsidR="005D1086" w:rsidRPr="006645DC" w:rsidRDefault="005D1086" w:rsidP="005D1086">
            <w:pPr>
              <w:spacing w:before="40" w:after="40"/>
              <w:rPr>
                <w:rFonts w:cstheme="minorHAnsi"/>
                <w:b/>
                <w:lang w:val="en-GB"/>
              </w:rPr>
            </w:pPr>
          </w:p>
        </w:tc>
        <w:tc>
          <w:tcPr>
            <w:tcW w:w="11448" w:type="dxa"/>
            <w:gridSpan w:val="5"/>
          </w:tcPr>
          <w:p w14:paraId="55974454" w14:textId="77777777" w:rsidR="005D1086" w:rsidRPr="006645DC" w:rsidRDefault="005D1086" w:rsidP="005D1086">
            <w:pPr>
              <w:spacing w:before="40" w:after="40"/>
              <w:jc w:val="center"/>
              <w:rPr>
                <w:rFonts w:cstheme="minorHAnsi"/>
                <w:lang w:val="en-GB"/>
              </w:rPr>
            </w:pPr>
            <w:r w:rsidRPr="006645DC">
              <w:rPr>
                <w:rFonts w:cstheme="minorHAnsi"/>
                <w:b/>
                <w:lang w:val="en-GB"/>
              </w:rPr>
              <w:t>COMMENTS FROM THE 2014-2020 TA PERSPECTIVE</w:t>
            </w:r>
          </w:p>
        </w:tc>
      </w:tr>
      <w:tr w:rsidR="005D1086" w:rsidRPr="006645DC" w14:paraId="4A54FD53" w14:textId="77777777" w:rsidTr="004A7DE4">
        <w:tc>
          <w:tcPr>
            <w:tcW w:w="1485" w:type="dxa"/>
          </w:tcPr>
          <w:p w14:paraId="5B34D796" w14:textId="77777777" w:rsidR="005D1086" w:rsidRPr="006645DC" w:rsidRDefault="005D1086" w:rsidP="005D1086">
            <w:pPr>
              <w:spacing w:before="40" w:after="40"/>
              <w:rPr>
                <w:rFonts w:cstheme="minorHAnsi"/>
                <w:b/>
                <w:lang w:val="en-GB"/>
              </w:rPr>
            </w:pPr>
          </w:p>
        </w:tc>
        <w:tc>
          <w:tcPr>
            <w:tcW w:w="2515" w:type="dxa"/>
          </w:tcPr>
          <w:p w14:paraId="153F75C7"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The following are still valid:  Prime location along key axis of TEN-T.</w:t>
            </w:r>
          </w:p>
          <w:p w14:paraId="3E96166E"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Presence of the Danube and the Black Sea.</w:t>
            </w:r>
          </w:p>
          <w:p w14:paraId="1EE74A36"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 xml:space="preserve">Port of Constanta – the largest Black Sea port on the TEN-T axis offers adequate space for further expansion to accommodate the largest ships and accompanying international port services. </w:t>
            </w:r>
          </w:p>
          <w:p w14:paraId="2A16C1B3"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w:t>
            </w:r>
          </w:p>
          <w:p w14:paraId="4611BFD3"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Road network improvement in progress.</w:t>
            </w:r>
          </w:p>
          <w:p w14:paraId="31F8ECA7"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lastRenderedPageBreak/>
              <w:t>Twin-city ports exist</w:t>
            </w:r>
          </w:p>
          <w:p w14:paraId="359B84D5"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Usage of ITC tools and the number of Internet users increased between 2009 and 2011.</w:t>
            </w:r>
          </w:p>
          <w:p w14:paraId="2A43A1C4"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Romania: lower trade costs than other European countries</w:t>
            </w:r>
          </w:p>
          <w:p w14:paraId="7FA1B37E"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Ports on the Danube have the potential to become logistic hubs</w:t>
            </w:r>
          </w:p>
        </w:tc>
        <w:tc>
          <w:tcPr>
            <w:tcW w:w="3848" w:type="dxa"/>
          </w:tcPr>
          <w:p w14:paraId="796FDA10" w14:textId="77777777" w:rsidR="005D1086" w:rsidRPr="006645DC" w:rsidRDefault="005D1086" w:rsidP="005D1086">
            <w:pPr>
              <w:spacing w:before="40" w:after="40"/>
              <w:rPr>
                <w:rFonts w:cstheme="minorHAnsi"/>
                <w:lang w:val="en-GB"/>
              </w:rPr>
            </w:pPr>
            <w:r w:rsidRPr="006645DC">
              <w:rPr>
                <w:rFonts w:cstheme="minorHAnsi"/>
                <w:lang w:val="en-GB"/>
              </w:rPr>
              <w:lastRenderedPageBreak/>
              <w:t xml:space="preserve">The majority of the weaknesses are still valid: Costly and time-consuming </w:t>
            </w:r>
            <w:r w:rsidR="00826AAD" w:rsidRPr="006645DC">
              <w:rPr>
                <w:rFonts w:cstheme="minorHAnsi"/>
                <w:lang w:val="en-GB"/>
              </w:rPr>
              <w:t>river crossing</w:t>
            </w:r>
            <w:r w:rsidRPr="006645DC">
              <w:rPr>
                <w:rFonts w:cstheme="minorHAnsi"/>
                <w:lang w:val="en-GB"/>
              </w:rPr>
              <w:t>.</w:t>
            </w:r>
          </w:p>
          <w:p w14:paraId="530D8A3A" w14:textId="77777777" w:rsidR="005D1086" w:rsidRPr="006645DC" w:rsidRDefault="005D1086" w:rsidP="005D1086">
            <w:pPr>
              <w:spacing w:before="40" w:after="40"/>
              <w:rPr>
                <w:rFonts w:cstheme="minorHAnsi"/>
                <w:lang w:val="en-GB"/>
              </w:rPr>
            </w:pPr>
            <w:r w:rsidRPr="006645DC">
              <w:rPr>
                <w:rFonts w:cstheme="minorHAnsi"/>
                <w:lang w:val="en-GB"/>
              </w:rPr>
              <w:t>Small number of points to cross the Danube. Closed main railroad connection between the two countries.</w:t>
            </w:r>
          </w:p>
          <w:p w14:paraId="497CBAFF"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In dry season the water level on the Danube is low.</w:t>
            </w:r>
          </w:p>
          <w:p w14:paraId="511EA001"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Winter isolation because of the poor quality of the secondary and tertiary roads.</w:t>
            </w:r>
          </w:p>
          <w:p w14:paraId="1EED1843" w14:textId="77777777" w:rsidR="005D1086" w:rsidRPr="006645DC" w:rsidRDefault="005D1086" w:rsidP="005D1086">
            <w:pPr>
              <w:autoSpaceDE w:val="0"/>
              <w:autoSpaceDN w:val="0"/>
              <w:adjustRightInd w:val="0"/>
              <w:spacing w:before="40" w:after="40"/>
              <w:rPr>
                <w:rFonts w:cstheme="minorHAnsi"/>
                <w:lang w:val="en-GB"/>
              </w:rPr>
            </w:pPr>
          </w:p>
          <w:p w14:paraId="08C88A46"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w:t>
            </w:r>
          </w:p>
          <w:p w14:paraId="106D614B"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 xml:space="preserve">Lack of investment in rail infrastructure: The 280 km railway section Sofia-Vidin allowed speed is less than 100km/h. Length of railway network has not been </w:t>
            </w:r>
            <w:r w:rsidRPr="006645DC">
              <w:rPr>
                <w:rFonts w:cstheme="minorHAnsi"/>
                <w:lang w:val="en-GB"/>
              </w:rPr>
              <w:lastRenderedPageBreak/>
              <w:t xml:space="preserve">expanded from 2010 to 2012. </w:t>
            </w:r>
          </w:p>
          <w:p w14:paraId="4F3A471F"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The cross-border region contains only one motorway.</w:t>
            </w:r>
          </w:p>
          <w:p w14:paraId="09C7580B"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Lack of sustainable urban mobility plans</w:t>
            </w:r>
          </w:p>
          <w:p w14:paraId="3F894110"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 xml:space="preserve"> </w:t>
            </w:r>
          </w:p>
          <w:p w14:paraId="0F91DCF4" w14:textId="77777777" w:rsidR="005D1086" w:rsidRPr="006645DC" w:rsidRDefault="005D1086" w:rsidP="005D1086">
            <w:pPr>
              <w:autoSpaceDE w:val="0"/>
              <w:autoSpaceDN w:val="0"/>
              <w:adjustRightInd w:val="0"/>
              <w:spacing w:before="40" w:after="40"/>
              <w:rPr>
                <w:rFonts w:cstheme="minorHAnsi"/>
                <w:lang w:val="en-GB"/>
              </w:rPr>
            </w:pPr>
          </w:p>
          <w:p w14:paraId="69D643D2" w14:textId="77777777" w:rsidR="005D1086" w:rsidRPr="006645DC" w:rsidRDefault="005D1086" w:rsidP="005D1086">
            <w:pPr>
              <w:autoSpaceDE w:val="0"/>
              <w:autoSpaceDN w:val="0"/>
              <w:adjustRightInd w:val="0"/>
              <w:spacing w:before="40" w:after="40"/>
              <w:rPr>
                <w:rFonts w:cstheme="minorHAnsi"/>
                <w:lang w:val="en-GB"/>
              </w:rPr>
            </w:pPr>
          </w:p>
          <w:p w14:paraId="5BF4BE8E"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Infrastructures of the ports on the Danube are in poor quality.</w:t>
            </w:r>
          </w:p>
          <w:p w14:paraId="573F43AC" w14:textId="77777777" w:rsidR="005D1086" w:rsidRPr="006645DC" w:rsidRDefault="005D1086" w:rsidP="005D1086">
            <w:pPr>
              <w:autoSpaceDE w:val="0"/>
              <w:autoSpaceDN w:val="0"/>
              <w:adjustRightInd w:val="0"/>
              <w:spacing w:before="40" w:after="40"/>
              <w:rPr>
                <w:rFonts w:cstheme="minorHAnsi"/>
                <w:lang w:val="en-GB"/>
              </w:rPr>
            </w:pPr>
          </w:p>
          <w:p w14:paraId="31140184" w14:textId="77777777" w:rsidR="005D1086" w:rsidRPr="006645DC" w:rsidRDefault="005D1086" w:rsidP="005D1086">
            <w:pPr>
              <w:autoSpaceDE w:val="0"/>
              <w:autoSpaceDN w:val="0"/>
              <w:adjustRightInd w:val="0"/>
              <w:spacing w:after="0"/>
              <w:rPr>
                <w:rFonts w:cstheme="minorHAnsi"/>
                <w:lang w:val="en-GB"/>
              </w:rPr>
            </w:pPr>
          </w:p>
        </w:tc>
        <w:tc>
          <w:tcPr>
            <w:tcW w:w="2825" w:type="dxa"/>
          </w:tcPr>
          <w:p w14:paraId="678AEB3C"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lastRenderedPageBreak/>
              <w:t>Strong willingness from both countries to build a third bridge on the Danube. Creation of new infrastructures to cross the Danube.</w:t>
            </w:r>
          </w:p>
          <w:p w14:paraId="576F452C" w14:textId="77777777" w:rsidR="005D1086" w:rsidRPr="006645DC" w:rsidRDefault="005D1086" w:rsidP="005D1086">
            <w:pPr>
              <w:spacing w:before="40" w:after="40"/>
              <w:rPr>
                <w:rFonts w:cstheme="minorHAnsi"/>
                <w:lang w:val="en-GB"/>
              </w:rPr>
            </w:pPr>
            <w:r w:rsidRPr="006645DC">
              <w:rPr>
                <w:rFonts w:cstheme="minorHAnsi"/>
                <w:lang w:val="en-GB"/>
              </w:rPr>
              <w:t xml:space="preserve">Develop a coordinated integrated transport infrastructure policy for the area to take into account the expected increased freight and passenger traffic, improving the effectiveness of existing, and creating additional crossing points, improvements to public transport systems, exploiting the potential of the Danube as a transport corridor </w:t>
            </w:r>
            <w:r w:rsidRPr="006645DC">
              <w:rPr>
                <w:rFonts w:cstheme="minorHAnsi"/>
                <w:lang w:val="en-GB"/>
              </w:rPr>
              <w:lastRenderedPageBreak/>
              <w:t>within the EU, and the construction of access roads and railways towards the new Calarasi - Silistra bridge.</w:t>
            </w:r>
          </w:p>
          <w:p w14:paraId="62BD83CC"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Strategic documents include reference to the cross-border area (example: Romania general Transport Master Plan, Strategy for Development of the Transport System of the Republic of Bulgaria until 2020)</w:t>
            </w:r>
          </w:p>
          <w:p w14:paraId="1B7608A5"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Planned railway and road development projects.</w:t>
            </w:r>
          </w:p>
          <w:p w14:paraId="1A366C20"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Rhine-Danube Corridor connecting 8 countries.</w:t>
            </w:r>
          </w:p>
          <w:p w14:paraId="34DEB45C"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Orient/East-Med Corridor, increasing transit trade of goods between Asia and Europe</w:t>
            </w:r>
          </w:p>
          <w:p w14:paraId="5EB9F1C1"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Two countries are working together on improving navigability of the Danube (agreement signed).</w:t>
            </w:r>
          </w:p>
          <w:p w14:paraId="1E7C6C21"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Good potential of the ports of the Danube to become logistic hubs.</w:t>
            </w:r>
          </w:p>
          <w:p w14:paraId="264D00DC"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 xml:space="preserve">Improving the </w:t>
            </w:r>
            <w:r w:rsidRPr="006645DC">
              <w:rPr>
                <w:rFonts w:cstheme="minorHAnsi"/>
                <w:lang w:val="en-GB"/>
              </w:rPr>
              <w:lastRenderedPageBreak/>
              <w:t>telecommunication infrastructure.</w:t>
            </w:r>
          </w:p>
          <w:p w14:paraId="7326CDB6"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Solving the problem of winter isolation.</w:t>
            </w:r>
          </w:p>
          <w:p w14:paraId="32AEBE7F"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Improving the infrastructure and developing twin-city-ports.</w:t>
            </w:r>
          </w:p>
        </w:tc>
        <w:tc>
          <w:tcPr>
            <w:tcW w:w="2260" w:type="dxa"/>
            <w:gridSpan w:val="2"/>
          </w:tcPr>
          <w:p w14:paraId="74CEDFE1"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lastRenderedPageBreak/>
              <w:t>Still valid: The lack and the poor quality of infrastructure (Limited length of motorways, durable surface of road network, no expansion between 2007-2009, high risk of accidents</w:t>
            </w:r>
            <w:r w:rsidR="00826AAD" w:rsidRPr="006645DC">
              <w:rPr>
                <w:rFonts w:cstheme="minorHAnsi"/>
                <w:lang w:val="en-GB"/>
              </w:rPr>
              <w:t>), which</w:t>
            </w:r>
            <w:r w:rsidRPr="006645DC">
              <w:rPr>
                <w:rFonts w:cstheme="minorHAnsi"/>
                <w:lang w:val="en-GB"/>
              </w:rPr>
              <w:t xml:space="preserve"> will affect both the cross-border integration and the socio-economic territorial integration.</w:t>
            </w:r>
          </w:p>
          <w:p w14:paraId="3F6FC176"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No connectivity --&gt; no hub/port development.</w:t>
            </w:r>
          </w:p>
          <w:p w14:paraId="3D5D961F" w14:textId="77777777" w:rsidR="005D1086" w:rsidRPr="006645DC" w:rsidRDefault="005D1086" w:rsidP="005D1086">
            <w:pPr>
              <w:spacing w:before="40" w:after="40"/>
              <w:rPr>
                <w:rFonts w:cstheme="minorHAnsi"/>
                <w:lang w:val="en-GB"/>
              </w:rPr>
            </w:pPr>
          </w:p>
        </w:tc>
      </w:tr>
      <w:tr w:rsidR="005D1086" w:rsidRPr="006645DC" w14:paraId="70BC1CF5" w14:textId="77777777" w:rsidTr="004A7DE4">
        <w:tc>
          <w:tcPr>
            <w:tcW w:w="1485" w:type="dxa"/>
          </w:tcPr>
          <w:p w14:paraId="39873FBB" w14:textId="77777777" w:rsidR="005D1086" w:rsidRPr="006645DC" w:rsidRDefault="005D1086" w:rsidP="005D1086">
            <w:pPr>
              <w:spacing w:before="40" w:after="40"/>
              <w:rPr>
                <w:rFonts w:cstheme="minorHAnsi"/>
                <w:lang w:val="en-GB"/>
              </w:rPr>
            </w:pPr>
            <w:r w:rsidRPr="006645DC">
              <w:rPr>
                <w:rFonts w:cstheme="minorHAnsi"/>
                <w:b/>
                <w:lang w:val="en-GB"/>
              </w:rPr>
              <w:lastRenderedPageBreak/>
              <w:t>Environment</w:t>
            </w:r>
          </w:p>
        </w:tc>
        <w:tc>
          <w:tcPr>
            <w:tcW w:w="2515" w:type="dxa"/>
          </w:tcPr>
          <w:p w14:paraId="14A4B5F6" w14:textId="77777777" w:rsidR="005D1086" w:rsidRPr="006645DC" w:rsidRDefault="005D1086" w:rsidP="005D1086">
            <w:pPr>
              <w:spacing w:before="40" w:after="40"/>
              <w:rPr>
                <w:rFonts w:cstheme="minorHAnsi"/>
                <w:lang w:val="en-GB"/>
              </w:rPr>
            </w:pPr>
            <w:r w:rsidRPr="006645DC">
              <w:rPr>
                <w:rFonts w:cstheme="minorHAnsi"/>
                <w:lang w:val="en-GB"/>
              </w:rPr>
              <w:t>Large number of valuable landscape and nature areas suitable for protection.</w:t>
            </w:r>
          </w:p>
          <w:p w14:paraId="0DE56DB8" w14:textId="77777777" w:rsidR="005D1086" w:rsidRPr="006645DC" w:rsidRDefault="005D1086" w:rsidP="005D1086">
            <w:pPr>
              <w:spacing w:before="40" w:after="40"/>
              <w:rPr>
                <w:rFonts w:cstheme="minorHAnsi"/>
                <w:lang w:val="en-GB"/>
              </w:rPr>
            </w:pPr>
            <w:r w:rsidRPr="006645DC">
              <w:rPr>
                <w:rFonts w:cstheme="minorHAnsi"/>
                <w:lang w:val="en-GB"/>
              </w:rPr>
              <w:t xml:space="preserve">Rich water resources </w:t>
            </w:r>
          </w:p>
          <w:p w14:paraId="35AEED08" w14:textId="77777777" w:rsidR="005D1086" w:rsidRPr="006645DC" w:rsidRDefault="005D1086" w:rsidP="005D1086">
            <w:pPr>
              <w:spacing w:before="40" w:after="40"/>
              <w:rPr>
                <w:rFonts w:cstheme="minorHAnsi"/>
                <w:lang w:val="en-GB"/>
              </w:rPr>
            </w:pPr>
            <w:r w:rsidRPr="006645DC">
              <w:rPr>
                <w:rFonts w:cstheme="minorHAnsi"/>
                <w:lang w:val="en-GB"/>
              </w:rPr>
              <w:t>Variety and richness of biodiversity.</w:t>
            </w:r>
          </w:p>
          <w:p w14:paraId="12C826CC" w14:textId="77777777" w:rsidR="005D1086" w:rsidRPr="006645DC" w:rsidRDefault="005D1086" w:rsidP="005D1086">
            <w:pPr>
              <w:spacing w:before="40" w:after="40"/>
              <w:rPr>
                <w:rFonts w:cstheme="minorHAnsi"/>
                <w:lang w:val="en-GB"/>
              </w:rPr>
            </w:pPr>
            <w:r w:rsidRPr="006645DC">
              <w:rPr>
                <w:rFonts w:cstheme="minorHAnsi"/>
                <w:lang w:val="en-GB"/>
              </w:rPr>
              <w:t>Rich and varied coastline.</w:t>
            </w:r>
          </w:p>
          <w:p w14:paraId="23852040" w14:textId="77777777" w:rsidR="005D1086" w:rsidRPr="006645DC" w:rsidRDefault="005D1086" w:rsidP="005D1086">
            <w:pPr>
              <w:pStyle w:val="Default"/>
              <w:spacing w:before="40" w:after="40"/>
              <w:rPr>
                <w:rFonts w:asciiTheme="minorHAnsi" w:hAnsiTheme="minorHAnsi" w:cstheme="minorHAnsi"/>
                <w:sz w:val="22"/>
                <w:szCs w:val="22"/>
                <w:lang w:val="en-GB"/>
              </w:rPr>
            </w:pPr>
            <w:r w:rsidRPr="006645DC">
              <w:rPr>
                <w:rFonts w:asciiTheme="minorHAnsi" w:hAnsiTheme="minorHAnsi" w:cstheme="minorHAnsi"/>
                <w:sz w:val="22"/>
                <w:szCs w:val="22"/>
                <w:lang w:val="en-GB"/>
              </w:rPr>
              <w:t>Delimitation of protected areas in progress.</w:t>
            </w:r>
          </w:p>
          <w:p w14:paraId="4532FD4F" w14:textId="77777777" w:rsidR="005D1086" w:rsidRPr="006645DC" w:rsidRDefault="005D1086" w:rsidP="005D1086">
            <w:pPr>
              <w:spacing w:before="40" w:after="40"/>
              <w:rPr>
                <w:rFonts w:cstheme="minorHAnsi"/>
                <w:lang w:val="en-GB"/>
              </w:rPr>
            </w:pPr>
            <w:r w:rsidRPr="006645DC">
              <w:rPr>
                <w:rFonts w:cstheme="minorHAnsi"/>
                <w:lang w:val="en-GB"/>
              </w:rPr>
              <w:t>Rich and diversified natural resources (oil, natural gas, coals, salt, mineral waters, arable lands, forests).</w:t>
            </w:r>
          </w:p>
          <w:p w14:paraId="502C932B" w14:textId="77777777" w:rsidR="005D1086" w:rsidRPr="006645DC" w:rsidRDefault="005D1086" w:rsidP="005D1086">
            <w:pPr>
              <w:spacing w:before="40" w:after="40"/>
              <w:rPr>
                <w:rFonts w:cstheme="minorHAnsi"/>
                <w:lang w:val="en-GB"/>
              </w:rPr>
            </w:pPr>
            <w:r w:rsidRPr="006645DC">
              <w:rPr>
                <w:rFonts w:cstheme="minorHAnsi"/>
                <w:szCs w:val="18"/>
                <w:lang w:val="en-GB"/>
              </w:rPr>
              <w:t xml:space="preserve">Positive environmental effects due to several successfully implemented CBC projects. </w:t>
            </w:r>
          </w:p>
          <w:p w14:paraId="5916BFCC" w14:textId="77777777" w:rsidR="005D1086" w:rsidRPr="006645DC" w:rsidRDefault="005D1086" w:rsidP="005D1086">
            <w:pPr>
              <w:spacing w:before="40" w:after="40"/>
              <w:rPr>
                <w:rFonts w:cstheme="minorHAnsi"/>
                <w:lang w:val="en-GB"/>
              </w:rPr>
            </w:pPr>
          </w:p>
        </w:tc>
        <w:tc>
          <w:tcPr>
            <w:tcW w:w="3848" w:type="dxa"/>
          </w:tcPr>
          <w:p w14:paraId="58C8D385" w14:textId="77777777" w:rsidR="005D1086" w:rsidRPr="006645DC" w:rsidRDefault="005D1086" w:rsidP="005D1086">
            <w:pPr>
              <w:spacing w:before="40" w:after="40"/>
              <w:rPr>
                <w:rFonts w:cstheme="minorHAnsi"/>
                <w:lang w:val="en-GB"/>
              </w:rPr>
            </w:pPr>
            <w:r w:rsidRPr="006645DC">
              <w:rPr>
                <w:rFonts w:cstheme="minorHAnsi"/>
                <w:lang w:val="en-GB"/>
              </w:rPr>
              <w:t xml:space="preserve">Frequent serious floods caused by Danube River. </w:t>
            </w:r>
          </w:p>
          <w:p w14:paraId="2B676A10" w14:textId="77777777" w:rsidR="005D1086" w:rsidRPr="006645DC" w:rsidRDefault="005D1086" w:rsidP="005D1086">
            <w:pPr>
              <w:spacing w:before="40" w:after="40"/>
              <w:rPr>
                <w:rFonts w:cstheme="minorHAnsi"/>
                <w:lang w:val="en-GB"/>
              </w:rPr>
            </w:pPr>
            <w:r w:rsidRPr="006645DC">
              <w:rPr>
                <w:rFonts w:cstheme="minorHAnsi"/>
                <w:lang w:val="en-GB" w:eastAsia="ro-RO"/>
              </w:rPr>
              <w:t>Low</w:t>
            </w:r>
            <w:r w:rsidRPr="006645DC">
              <w:rPr>
                <w:rFonts w:cstheme="minorHAnsi"/>
                <w:lang w:val="en-GB"/>
              </w:rPr>
              <w:t xml:space="preserve"> human and financial resources for the management of protected areas and species and habitats of community interest.</w:t>
            </w:r>
          </w:p>
          <w:p w14:paraId="395CABFF" w14:textId="77777777" w:rsidR="005D1086" w:rsidRPr="006645DC" w:rsidRDefault="005D1086" w:rsidP="005D1086">
            <w:pPr>
              <w:spacing w:before="40" w:after="40"/>
              <w:rPr>
                <w:rFonts w:cstheme="minorHAnsi"/>
                <w:lang w:val="en-GB"/>
              </w:rPr>
            </w:pPr>
            <w:r w:rsidRPr="006645DC">
              <w:rPr>
                <w:rFonts w:cstheme="minorHAnsi"/>
                <w:lang w:val="en-GB"/>
              </w:rPr>
              <w:t>Limited number of management plans for protected areas in place.</w:t>
            </w:r>
          </w:p>
          <w:p w14:paraId="333F3AB7"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Gaps in the existing protected areas network.</w:t>
            </w:r>
          </w:p>
          <w:p w14:paraId="1BBC5999" w14:textId="77777777" w:rsidR="005D1086" w:rsidRPr="006645DC" w:rsidRDefault="005D1086" w:rsidP="005D1086">
            <w:pPr>
              <w:pStyle w:val="Default"/>
              <w:spacing w:before="40" w:after="40"/>
              <w:rPr>
                <w:rFonts w:asciiTheme="minorHAnsi" w:hAnsiTheme="minorHAnsi" w:cstheme="minorHAnsi"/>
                <w:sz w:val="22"/>
                <w:szCs w:val="22"/>
                <w:lang w:val="en-GB"/>
              </w:rPr>
            </w:pPr>
            <w:r w:rsidRPr="006645DC">
              <w:rPr>
                <w:rFonts w:asciiTheme="minorHAnsi" w:hAnsiTheme="minorHAnsi" w:cstheme="minorHAnsi"/>
                <w:sz w:val="22"/>
                <w:szCs w:val="22"/>
                <w:lang w:val="en-GB"/>
              </w:rPr>
              <w:t>Lack of inter-sectorial communication and coordination for the management of natural resources and of the environment.</w:t>
            </w:r>
          </w:p>
          <w:p w14:paraId="23C5F144" w14:textId="77777777" w:rsidR="005D1086" w:rsidRPr="006645DC" w:rsidRDefault="005D1086" w:rsidP="005D1086">
            <w:pPr>
              <w:spacing w:before="40" w:after="40"/>
              <w:rPr>
                <w:rFonts w:cstheme="minorHAnsi"/>
                <w:lang w:val="en-GB"/>
              </w:rPr>
            </w:pPr>
            <w:r w:rsidRPr="006645DC">
              <w:rPr>
                <w:rFonts w:cstheme="minorHAnsi"/>
                <w:lang w:val="en-GB"/>
              </w:rPr>
              <w:t>Numerous fauna and flora species in danger.</w:t>
            </w:r>
          </w:p>
          <w:p w14:paraId="7BC57765" w14:textId="77777777" w:rsidR="005D1086" w:rsidRPr="006645DC" w:rsidRDefault="005D1086" w:rsidP="005D1086">
            <w:pPr>
              <w:spacing w:before="40" w:after="40"/>
              <w:rPr>
                <w:rFonts w:cstheme="minorHAnsi"/>
                <w:lang w:val="en-GB"/>
              </w:rPr>
            </w:pPr>
            <w:r w:rsidRPr="006645DC">
              <w:rPr>
                <w:rFonts w:cstheme="minorHAnsi"/>
                <w:lang w:val="en-GB"/>
              </w:rPr>
              <w:t>Environment made more fragile and vulnerable due to the poor state of basic infrastructure (e.g. water, sewage, cleaning water, gases, wastes management, communications).</w:t>
            </w:r>
          </w:p>
          <w:p w14:paraId="618258A6" w14:textId="77777777" w:rsidR="005D1086" w:rsidRPr="006645DC" w:rsidRDefault="005D1086" w:rsidP="005D1086">
            <w:pPr>
              <w:spacing w:before="40" w:after="40"/>
              <w:rPr>
                <w:rFonts w:cstheme="minorHAnsi"/>
                <w:lang w:val="en-GB"/>
              </w:rPr>
            </w:pPr>
            <w:r w:rsidRPr="006645DC">
              <w:rPr>
                <w:rFonts w:cstheme="minorHAnsi"/>
                <w:lang w:val="en-GB"/>
              </w:rPr>
              <w:lastRenderedPageBreak/>
              <w:t>River and water pollution by agriculture and industry causing serious damage to biodiversity.</w:t>
            </w:r>
          </w:p>
          <w:p w14:paraId="608FB4FD" w14:textId="77777777" w:rsidR="005D1086" w:rsidRPr="006645DC" w:rsidRDefault="005D1086" w:rsidP="005D1086">
            <w:pPr>
              <w:autoSpaceDE w:val="0"/>
              <w:autoSpaceDN w:val="0"/>
              <w:adjustRightInd w:val="0"/>
              <w:spacing w:before="40" w:after="40"/>
              <w:rPr>
                <w:rFonts w:cstheme="minorHAnsi"/>
                <w:lang w:val="en-GB"/>
              </w:rPr>
            </w:pPr>
            <w:r w:rsidRPr="006645DC">
              <w:rPr>
                <w:rFonts w:cstheme="minorHAnsi"/>
                <w:lang w:val="en-GB"/>
              </w:rPr>
              <w:t>Low awareness of population and economic operators regarding the management of special protected areas.</w:t>
            </w:r>
          </w:p>
          <w:p w14:paraId="041F4234" w14:textId="77777777" w:rsidR="005D1086" w:rsidRPr="006645DC" w:rsidRDefault="005D1086" w:rsidP="005D1086">
            <w:pPr>
              <w:spacing w:before="40" w:after="40"/>
              <w:rPr>
                <w:rFonts w:cstheme="minorHAnsi"/>
                <w:lang w:val="en-GB"/>
              </w:rPr>
            </w:pPr>
            <w:r w:rsidRPr="006645DC">
              <w:rPr>
                <w:rFonts w:cstheme="minorHAnsi"/>
                <w:szCs w:val="18"/>
                <w:lang w:val="en-GB"/>
              </w:rPr>
              <w:t>Few joint integrated projects and realized cross-border measures in environmental protection.</w:t>
            </w:r>
          </w:p>
        </w:tc>
        <w:tc>
          <w:tcPr>
            <w:tcW w:w="2825" w:type="dxa"/>
          </w:tcPr>
          <w:p w14:paraId="3E3B74C5" w14:textId="77777777" w:rsidR="005D1086" w:rsidRPr="006645DC" w:rsidRDefault="005D1086" w:rsidP="005D1086">
            <w:pPr>
              <w:spacing w:before="40" w:after="40"/>
              <w:rPr>
                <w:rFonts w:cstheme="minorHAnsi"/>
                <w:szCs w:val="18"/>
                <w:lang w:val="en-GB"/>
              </w:rPr>
            </w:pPr>
            <w:r w:rsidRPr="006645DC">
              <w:rPr>
                <w:rFonts w:cstheme="minorHAnsi"/>
                <w:szCs w:val="18"/>
                <w:lang w:val="en-GB"/>
              </w:rPr>
              <w:lastRenderedPageBreak/>
              <w:t>Natural assets represent one of the key elements characterizing the regional identity of the area (e.g. landscapes and rivers).  Opportunities for their protection and exploitation should form an important element of cross-border cooperation.</w:t>
            </w:r>
          </w:p>
          <w:p w14:paraId="09FB8608" w14:textId="77777777" w:rsidR="005D1086" w:rsidRPr="006645DC" w:rsidRDefault="005D1086" w:rsidP="005D1086">
            <w:pPr>
              <w:spacing w:before="40" w:after="40"/>
              <w:rPr>
                <w:rFonts w:cstheme="minorHAnsi"/>
                <w:szCs w:val="18"/>
                <w:lang w:val="en-GB"/>
              </w:rPr>
            </w:pPr>
            <w:r w:rsidRPr="006645DC">
              <w:rPr>
                <w:rFonts w:cstheme="minorHAnsi"/>
                <w:szCs w:val="18"/>
                <w:lang w:val="en-GB"/>
              </w:rPr>
              <w:t xml:space="preserve">Potential exists for coordination of efforts to tackle pollution at source and to reduce pollution. </w:t>
            </w:r>
          </w:p>
          <w:p w14:paraId="115199EE" w14:textId="77777777" w:rsidR="005D1086" w:rsidRPr="006645DC" w:rsidRDefault="005D1086" w:rsidP="005D1086">
            <w:pPr>
              <w:spacing w:before="40" w:after="40"/>
              <w:rPr>
                <w:rFonts w:cstheme="minorHAnsi"/>
                <w:lang w:val="en-GB"/>
              </w:rPr>
            </w:pPr>
            <w:r w:rsidRPr="006645DC">
              <w:rPr>
                <w:rFonts w:cstheme="minorHAnsi"/>
                <w:lang w:val="en-GB"/>
              </w:rPr>
              <w:t>Opportunities exist for developing new research facilities in environment protection to meet the requirements of EU legislation.</w:t>
            </w:r>
          </w:p>
          <w:p w14:paraId="028AFBB5" w14:textId="77777777" w:rsidR="005D1086" w:rsidRPr="006645DC" w:rsidRDefault="005D1086" w:rsidP="005D1086">
            <w:pPr>
              <w:spacing w:before="40" w:after="40"/>
              <w:rPr>
                <w:rFonts w:cstheme="minorHAnsi"/>
                <w:lang w:val="en-GB"/>
              </w:rPr>
            </w:pPr>
            <w:r w:rsidRPr="006645DC">
              <w:rPr>
                <w:rFonts w:cstheme="minorHAnsi"/>
                <w:lang w:val="en-GB"/>
              </w:rPr>
              <w:t xml:space="preserve">Opportunities for joint risk management and flood </w:t>
            </w:r>
            <w:r w:rsidRPr="006645DC">
              <w:rPr>
                <w:rFonts w:cstheme="minorHAnsi"/>
                <w:lang w:val="en-GB"/>
              </w:rPr>
              <w:lastRenderedPageBreak/>
              <w:t>protection.</w:t>
            </w:r>
          </w:p>
          <w:p w14:paraId="28E703BB" w14:textId="77777777" w:rsidR="005D1086" w:rsidRPr="006645DC" w:rsidRDefault="005D1086" w:rsidP="005D1086">
            <w:pPr>
              <w:spacing w:before="40" w:after="40"/>
              <w:rPr>
                <w:rFonts w:cstheme="minorHAnsi"/>
                <w:lang w:val="en-GB"/>
              </w:rPr>
            </w:pPr>
            <w:r w:rsidRPr="006645DC">
              <w:rPr>
                <w:rFonts w:cstheme="minorHAnsi"/>
                <w:lang w:val="en-GB"/>
              </w:rPr>
              <w:t>Joint design and management measures to improve the coordination of water systems and functions.</w:t>
            </w:r>
          </w:p>
          <w:p w14:paraId="4186E086" w14:textId="77777777" w:rsidR="005D1086" w:rsidRPr="006645DC" w:rsidRDefault="005D1086" w:rsidP="005D1086">
            <w:pPr>
              <w:spacing w:before="40" w:after="40"/>
              <w:rPr>
                <w:rFonts w:cstheme="minorHAnsi"/>
                <w:lang w:val="en-GB"/>
              </w:rPr>
            </w:pPr>
            <w:r w:rsidRPr="006645DC">
              <w:rPr>
                <w:rFonts w:cstheme="minorHAnsi"/>
                <w:lang w:val="en-GB"/>
              </w:rPr>
              <w:t>Increased environmental awareness.</w:t>
            </w:r>
          </w:p>
          <w:p w14:paraId="6E603903" w14:textId="77777777" w:rsidR="005D1086" w:rsidRPr="006645DC" w:rsidRDefault="005D1086" w:rsidP="005D1086">
            <w:pPr>
              <w:spacing w:before="40" w:after="40"/>
              <w:rPr>
                <w:rFonts w:cstheme="minorHAnsi"/>
                <w:lang w:val="en-GB"/>
              </w:rPr>
            </w:pPr>
            <w:r w:rsidRPr="006645DC">
              <w:rPr>
                <w:rFonts w:cstheme="minorHAnsi"/>
                <w:lang w:val="en-GB"/>
              </w:rPr>
              <w:t>Exchange of environmental knowledge between the environmental authorities across the area.</w:t>
            </w:r>
          </w:p>
          <w:p w14:paraId="7C781B1A" w14:textId="77777777" w:rsidR="005D1086" w:rsidRPr="006645DC" w:rsidRDefault="005D1086" w:rsidP="005D1086">
            <w:pPr>
              <w:spacing w:before="40" w:after="40"/>
              <w:rPr>
                <w:rFonts w:cstheme="minorHAnsi"/>
                <w:lang w:val="en-GB"/>
              </w:rPr>
            </w:pPr>
            <w:r w:rsidRPr="006645DC">
              <w:rPr>
                <w:rFonts w:cstheme="minorHAnsi"/>
                <w:lang w:val="en-GB"/>
              </w:rPr>
              <w:t>Opportunities for development of eco-tourism.</w:t>
            </w:r>
          </w:p>
          <w:p w14:paraId="26B4ADC2" w14:textId="77777777" w:rsidR="005D1086" w:rsidRPr="006645DC" w:rsidRDefault="005D1086" w:rsidP="005D1086">
            <w:pPr>
              <w:spacing w:before="40" w:after="40"/>
              <w:rPr>
                <w:rFonts w:cstheme="minorHAnsi"/>
                <w:lang w:val="en-GB"/>
              </w:rPr>
            </w:pPr>
            <w:r w:rsidRPr="006645DC">
              <w:rPr>
                <w:rFonts w:cstheme="minorHAnsi"/>
                <w:lang w:val="en-GB"/>
              </w:rPr>
              <w:t>Development of long-term investment plans in the context of sustainable development.</w:t>
            </w:r>
          </w:p>
          <w:p w14:paraId="122873B7" w14:textId="77777777" w:rsidR="005D1086" w:rsidRDefault="005D1086" w:rsidP="005D1086">
            <w:pPr>
              <w:pStyle w:val="Default"/>
              <w:spacing w:before="40" w:after="40"/>
              <w:rPr>
                <w:rFonts w:asciiTheme="minorHAnsi" w:hAnsiTheme="minorHAnsi" w:cstheme="minorHAnsi"/>
                <w:sz w:val="22"/>
                <w:lang w:val="en-GB"/>
              </w:rPr>
            </w:pPr>
          </w:p>
          <w:p w14:paraId="34EBDDD1" w14:textId="77777777" w:rsidR="004A7DE4" w:rsidRDefault="004A7DE4" w:rsidP="005D1086">
            <w:pPr>
              <w:pStyle w:val="Default"/>
              <w:spacing w:before="40" w:after="40"/>
              <w:rPr>
                <w:rFonts w:asciiTheme="minorHAnsi" w:hAnsiTheme="minorHAnsi" w:cstheme="minorHAnsi"/>
                <w:sz w:val="22"/>
                <w:lang w:val="en-GB"/>
              </w:rPr>
            </w:pPr>
          </w:p>
          <w:p w14:paraId="57A96674" w14:textId="77777777" w:rsidR="004A7DE4" w:rsidRDefault="004A7DE4" w:rsidP="005D1086">
            <w:pPr>
              <w:pStyle w:val="Default"/>
              <w:spacing w:before="40" w:after="40"/>
              <w:rPr>
                <w:rFonts w:asciiTheme="minorHAnsi" w:hAnsiTheme="minorHAnsi" w:cstheme="minorHAnsi"/>
                <w:sz w:val="22"/>
                <w:lang w:val="en-GB"/>
              </w:rPr>
            </w:pPr>
          </w:p>
          <w:p w14:paraId="18CC4D94" w14:textId="77777777" w:rsidR="004A7DE4" w:rsidRDefault="004A7DE4" w:rsidP="005D1086">
            <w:pPr>
              <w:pStyle w:val="Default"/>
              <w:spacing w:before="40" w:after="40"/>
              <w:rPr>
                <w:rFonts w:asciiTheme="minorHAnsi" w:hAnsiTheme="minorHAnsi" w:cstheme="minorHAnsi"/>
                <w:sz w:val="22"/>
                <w:lang w:val="en-GB"/>
              </w:rPr>
            </w:pPr>
          </w:p>
          <w:p w14:paraId="70C8EDA5" w14:textId="77777777" w:rsidR="004A7DE4" w:rsidRDefault="004A7DE4" w:rsidP="005D1086">
            <w:pPr>
              <w:pStyle w:val="Default"/>
              <w:spacing w:before="40" w:after="40"/>
              <w:rPr>
                <w:rFonts w:asciiTheme="minorHAnsi" w:hAnsiTheme="minorHAnsi" w:cstheme="minorHAnsi"/>
                <w:sz w:val="22"/>
                <w:lang w:val="en-GB"/>
              </w:rPr>
            </w:pPr>
          </w:p>
          <w:p w14:paraId="6751CCB3" w14:textId="77777777" w:rsidR="004A7DE4" w:rsidRDefault="004A7DE4" w:rsidP="005D1086">
            <w:pPr>
              <w:pStyle w:val="Default"/>
              <w:spacing w:before="40" w:after="40"/>
              <w:rPr>
                <w:rFonts w:asciiTheme="minorHAnsi" w:hAnsiTheme="minorHAnsi" w:cstheme="minorHAnsi"/>
                <w:sz w:val="22"/>
                <w:lang w:val="en-GB"/>
              </w:rPr>
            </w:pPr>
          </w:p>
          <w:p w14:paraId="4826CF4F" w14:textId="77777777" w:rsidR="004A7DE4" w:rsidRDefault="004A7DE4" w:rsidP="005D1086">
            <w:pPr>
              <w:pStyle w:val="Default"/>
              <w:spacing w:before="40" w:after="40"/>
              <w:rPr>
                <w:rFonts w:asciiTheme="minorHAnsi" w:hAnsiTheme="minorHAnsi" w:cstheme="minorHAnsi"/>
                <w:sz w:val="22"/>
                <w:lang w:val="en-GB"/>
              </w:rPr>
            </w:pPr>
          </w:p>
          <w:p w14:paraId="13EBF334" w14:textId="77777777" w:rsidR="004A7DE4" w:rsidRDefault="004A7DE4" w:rsidP="005D1086">
            <w:pPr>
              <w:pStyle w:val="Default"/>
              <w:spacing w:before="40" w:after="40"/>
              <w:rPr>
                <w:rFonts w:asciiTheme="minorHAnsi" w:hAnsiTheme="minorHAnsi" w:cstheme="minorHAnsi"/>
                <w:sz w:val="22"/>
                <w:lang w:val="en-GB"/>
              </w:rPr>
            </w:pPr>
          </w:p>
          <w:p w14:paraId="7C7AA1F2" w14:textId="77777777" w:rsidR="004A7DE4" w:rsidRPr="006645DC" w:rsidRDefault="004A7DE4" w:rsidP="005D1086">
            <w:pPr>
              <w:pStyle w:val="Default"/>
              <w:spacing w:before="40" w:after="40"/>
              <w:rPr>
                <w:rFonts w:asciiTheme="minorHAnsi" w:hAnsiTheme="minorHAnsi" w:cstheme="minorHAnsi"/>
                <w:sz w:val="22"/>
                <w:lang w:val="en-GB"/>
              </w:rPr>
            </w:pPr>
          </w:p>
        </w:tc>
        <w:tc>
          <w:tcPr>
            <w:tcW w:w="2260" w:type="dxa"/>
            <w:gridSpan w:val="2"/>
          </w:tcPr>
          <w:p w14:paraId="07A3C325" w14:textId="77777777" w:rsidR="005D1086" w:rsidRPr="006645DC" w:rsidRDefault="005D1086" w:rsidP="005D1086">
            <w:pPr>
              <w:spacing w:before="40" w:after="40"/>
              <w:rPr>
                <w:rFonts w:cstheme="minorHAnsi"/>
                <w:lang w:val="en-GB"/>
              </w:rPr>
            </w:pPr>
            <w:r w:rsidRPr="006645DC">
              <w:rPr>
                <w:rFonts w:cstheme="minorHAnsi"/>
                <w:lang w:val="en-GB"/>
              </w:rPr>
              <w:lastRenderedPageBreak/>
              <w:t>Poor flood prevention management systems could have a long-term negative effects on the environment.</w:t>
            </w:r>
          </w:p>
          <w:p w14:paraId="30820A3B" w14:textId="77777777" w:rsidR="005D1086" w:rsidRPr="006645DC" w:rsidRDefault="005D1086" w:rsidP="005D1086">
            <w:pPr>
              <w:pStyle w:val="Default"/>
              <w:spacing w:before="40" w:after="40"/>
              <w:rPr>
                <w:rFonts w:asciiTheme="minorHAnsi" w:hAnsiTheme="minorHAnsi" w:cstheme="minorHAnsi"/>
                <w:sz w:val="22"/>
                <w:szCs w:val="22"/>
                <w:lang w:val="en-GB"/>
              </w:rPr>
            </w:pPr>
            <w:r w:rsidRPr="006645DC">
              <w:rPr>
                <w:rFonts w:asciiTheme="minorHAnsi" w:hAnsiTheme="minorHAnsi" w:cstheme="minorHAnsi"/>
                <w:sz w:val="22"/>
                <w:szCs w:val="22"/>
                <w:lang w:val="en-GB"/>
              </w:rPr>
              <w:t>Inefficiency of short and middle term investments in order to reduce the risk of natural disasters could result in important material and human losses.</w:t>
            </w:r>
          </w:p>
          <w:p w14:paraId="07CF3E39" w14:textId="77777777" w:rsidR="005D1086" w:rsidRPr="006645DC" w:rsidRDefault="005D1086" w:rsidP="005D1086">
            <w:pPr>
              <w:spacing w:before="40" w:after="40"/>
              <w:rPr>
                <w:rFonts w:cstheme="minorHAnsi"/>
                <w:lang w:val="en-GB"/>
              </w:rPr>
            </w:pPr>
            <w:r w:rsidRPr="006645DC">
              <w:rPr>
                <w:rFonts w:cstheme="minorHAnsi"/>
                <w:lang w:val="en-GB"/>
              </w:rPr>
              <w:t>Failure to implement environmental and nature protection regulations will hinder the joint protection of sensitive cross-border areas.</w:t>
            </w:r>
          </w:p>
          <w:p w14:paraId="3492BA71" w14:textId="77777777" w:rsidR="005D1086" w:rsidRPr="006645DC" w:rsidRDefault="005D1086" w:rsidP="005D1086">
            <w:pPr>
              <w:spacing w:before="40" w:after="40"/>
              <w:rPr>
                <w:rFonts w:cstheme="minorHAnsi"/>
                <w:lang w:val="en-GB"/>
              </w:rPr>
            </w:pPr>
            <w:r w:rsidRPr="006645DC">
              <w:rPr>
                <w:rFonts w:cstheme="minorHAnsi"/>
                <w:lang w:val="en-GB"/>
              </w:rPr>
              <w:t xml:space="preserve">Increase in transit and cross-border traffic </w:t>
            </w:r>
            <w:r w:rsidRPr="006645DC">
              <w:rPr>
                <w:rFonts w:cstheme="minorHAnsi"/>
                <w:lang w:val="en-GB"/>
              </w:rPr>
              <w:lastRenderedPageBreak/>
              <w:t>with consequences impacting the environment.</w:t>
            </w:r>
          </w:p>
          <w:p w14:paraId="7C07618E" w14:textId="77777777" w:rsidR="005D1086" w:rsidRPr="006645DC" w:rsidRDefault="005D1086" w:rsidP="005D1086">
            <w:pPr>
              <w:spacing w:before="40" w:after="40"/>
              <w:rPr>
                <w:rFonts w:cstheme="minorHAnsi"/>
                <w:lang w:val="en-GB"/>
              </w:rPr>
            </w:pPr>
            <w:r w:rsidRPr="006645DC">
              <w:rPr>
                <w:rFonts w:cstheme="minorHAnsi"/>
                <w:lang w:val="en-GB"/>
              </w:rPr>
              <w:t>Much needed new infrastructure investment has the potential of negatively affecting the environment.</w:t>
            </w:r>
          </w:p>
          <w:p w14:paraId="423682FD" w14:textId="77777777" w:rsidR="005D1086" w:rsidRPr="006645DC" w:rsidRDefault="005D1086" w:rsidP="005D1086">
            <w:pPr>
              <w:spacing w:before="40" w:after="40"/>
              <w:rPr>
                <w:rFonts w:cstheme="minorHAnsi"/>
                <w:lang w:val="en-GB"/>
              </w:rPr>
            </w:pPr>
            <w:r w:rsidRPr="006645DC">
              <w:rPr>
                <w:rFonts w:cstheme="minorHAnsi"/>
                <w:lang w:val="en-GB"/>
              </w:rPr>
              <w:t>Uncontrolled economic development may bring problems to air, water and soil quality.</w:t>
            </w:r>
          </w:p>
          <w:p w14:paraId="404C0E3C" w14:textId="77777777" w:rsidR="005D1086" w:rsidRPr="006645DC" w:rsidRDefault="005D1086" w:rsidP="005D1086">
            <w:pPr>
              <w:autoSpaceDE w:val="0"/>
              <w:autoSpaceDN w:val="0"/>
              <w:adjustRightInd w:val="0"/>
              <w:spacing w:before="40" w:after="40"/>
              <w:rPr>
                <w:rFonts w:cstheme="minorHAnsi"/>
                <w:szCs w:val="20"/>
                <w:lang w:val="en-GB"/>
              </w:rPr>
            </w:pPr>
            <w:r w:rsidRPr="006645DC">
              <w:rPr>
                <w:rFonts w:cstheme="minorHAnsi"/>
                <w:lang w:val="en-GB"/>
              </w:rPr>
              <w:t>Increased pressure on biodiversity in connection with economic growth.</w:t>
            </w:r>
          </w:p>
          <w:p w14:paraId="40CAE3F8" w14:textId="77777777" w:rsidR="005D1086" w:rsidRPr="006645DC" w:rsidRDefault="005D1086" w:rsidP="005D1086">
            <w:pPr>
              <w:pStyle w:val="Default"/>
              <w:spacing w:before="40" w:after="40"/>
              <w:rPr>
                <w:rFonts w:asciiTheme="minorHAnsi" w:hAnsiTheme="minorHAnsi" w:cstheme="minorHAnsi"/>
                <w:sz w:val="22"/>
                <w:szCs w:val="22"/>
                <w:lang w:val="en-GB"/>
              </w:rPr>
            </w:pPr>
            <w:r w:rsidRPr="006645DC">
              <w:rPr>
                <w:rFonts w:asciiTheme="minorHAnsi" w:hAnsiTheme="minorHAnsi" w:cstheme="minorHAnsi"/>
                <w:sz w:val="22"/>
                <w:szCs w:val="22"/>
                <w:lang w:val="en-GB"/>
              </w:rPr>
              <w:t>Potential challenges posed by climate change.</w:t>
            </w:r>
          </w:p>
          <w:p w14:paraId="42988892" w14:textId="77777777" w:rsidR="005D1086" w:rsidRPr="006645DC" w:rsidRDefault="005D1086" w:rsidP="005D1086">
            <w:pPr>
              <w:pStyle w:val="Default"/>
              <w:spacing w:before="40" w:after="40"/>
              <w:rPr>
                <w:rFonts w:asciiTheme="minorHAnsi" w:hAnsiTheme="minorHAnsi" w:cstheme="minorHAnsi"/>
                <w:sz w:val="22"/>
                <w:lang w:val="en-GB"/>
              </w:rPr>
            </w:pPr>
            <w:r w:rsidRPr="006645DC">
              <w:rPr>
                <w:rFonts w:asciiTheme="minorHAnsi" w:hAnsiTheme="minorHAnsi" w:cstheme="minorHAnsi"/>
                <w:sz w:val="22"/>
                <w:lang w:val="en-GB"/>
              </w:rPr>
              <w:t>Limited capacity of final beneficiaries/ local authorities to develop good project proposals.</w:t>
            </w:r>
          </w:p>
        </w:tc>
      </w:tr>
      <w:tr w:rsidR="005D1086" w:rsidRPr="006645DC" w14:paraId="4C02D1EC" w14:textId="77777777" w:rsidTr="004A7DE4">
        <w:tc>
          <w:tcPr>
            <w:tcW w:w="1485" w:type="dxa"/>
            <w:vMerge w:val="restart"/>
          </w:tcPr>
          <w:p w14:paraId="7BAFCDA0" w14:textId="77777777" w:rsidR="005D1086" w:rsidRPr="006645DC" w:rsidRDefault="005D1086" w:rsidP="005D1086">
            <w:pPr>
              <w:spacing w:before="40" w:after="40"/>
              <w:rPr>
                <w:rFonts w:cstheme="minorHAnsi"/>
                <w:b/>
                <w:lang w:val="en-GB"/>
              </w:rPr>
            </w:pPr>
          </w:p>
        </w:tc>
        <w:tc>
          <w:tcPr>
            <w:tcW w:w="11448" w:type="dxa"/>
            <w:gridSpan w:val="5"/>
          </w:tcPr>
          <w:p w14:paraId="22705F40" w14:textId="77777777" w:rsidR="005D1086" w:rsidRPr="006645DC" w:rsidRDefault="005D1086" w:rsidP="005D1086">
            <w:pPr>
              <w:spacing w:before="40" w:after="40"/>
              <w:jc w:val="center"/>
              <w:rPr>
                <w:rFonts w:cstheme="minorHAnsi"/>
                <w:lang w:val="en-GB"/>
              </w:rPr>
            </w:pPr>
            <w:r w:rsidRPr="006645DC">
              <w:rPr>
                <w:rFonts w:cstheme="minorHAnsi"/>
                <w:b/>
                <w:lang w:val="en-GB"/>
              </w:rPr>
              <w:t>COMMENTS FROM THE 2014-2020 TA PERSPECTIVE</w:t>
            </w:r>
          </w:p>
        </w:tc>
      </w:tr>
      <w:tr w:rsidR="005D1086" w:rsidRPr="006645DC" w14:paraId="57180EA7" w14:textId="77777777" w:rsidTr="004A7DE4">
        <w:trPr>
          <w:trHeight w:val="1061"/>
        </w:trPr>
        <w:tc>
          <w:tcPr>
            <w:tcW w:w="1485" w:type="dxa"/>
            <w:vMerge/>
          </w:tcPr>
          <w:p w14:paraId="233C2301" w14:textId="77777777" w:rsidR="005D1086" w:rsidRPr="006645DC" w:rsidRDefault="005D1086" w:rsidP="005D1086">
            <w:pPr>
              <w:spacing w:before="40" w:after="40"/>
              <w:rPr>
                <w:rFonts w:cstheme="minorHAnsi"/>
                <w:b/>
                <w:lang w:val="en-GB"/>
              </w:rPr>
            </w:pPr>
          </w:p>
        </w:tc>
        <w:tc>
          <w:tcPr>
            <w:tcW w:w="2515" w:type="dxa"/>
          </w:tcPr>
          <w:p w14:paraId="55178FCA" w14:textId="77777777" w:rsidR="005D1086" w:rsidRPr="006645DC" w:rsidRDefault="005D1086" w:rsidP="005D1086">
            <w:pPr>
              <w:spacing w:before="40" w:after="40"/>
              <w:rPr>
                <w:rFonts w:cstheme="minorHAnsi"/>
                <w:lang w:val="en-GB"/>
              </w:rPr>
            </w:pPr>
            <w:r w:rsidRPr="006645DC">
              <w:rPr>
                <w:rFonts w:cstheme="minorHAnsi"/>
                <w:lang w:val="en-GB"/>
              </w:rPr>
              <w:t>Following are still valid: Specific, diverse and rich flora and fauna.</w:t>
            </w:r>
          </w:p>
          <w:p w14:paraId="03F41B98" w14:textId="77777777" w:rsidR="005D1086" w:rsidRPr="006645DC" w:rsidRDefault="005D1086" w:rsidP="005D1086">
            <w:pPr>
              <w:spacing w:before="40" w:after="40"/>
              <w:rPr>
                <w:rFonts w:cstheme="minorHAnsi"/>
                <w:lang w:val="en-GB"/>
              </w:rPr>
            </w:pPr>
            <w:r w:rsidRPr="006645DC">
              <w:rPr>
                <w:rFonts w:cstheme="minorHAnsi"/>
                <w:lang w:val="en-GB"/>
              </w:rPr>
              <w:t>Various types of mineral and energy sources on the Romanian side: coal, marble, limestone, stone, and siderite, underground crude oil reserves.</w:t>
            </w:r>
          </w:p>
          <w:p w14:paraId="46D33637" w14:textId="77777777" w:rsidR="005D1086" w:rsidRPr="006645DC" w:rsidRDefault="005D1086" w:rsidP="005D1086">
            <w:pPr>
              <w:spacing w:before="40" w:after="40"/>
              <w:rPr>
                <w:rFonts w:cstheme="minorHAnsi"/>
                <w:lang w:val="en-GB"/>
              </w:rPr>
            </w:pPr>
            <w:r w:rsidRPr="006645DC">
              <w:rPr>
                <w:rFonts w:cstheme="minorHAnsi"/>
                <w:lang w:val="en-GB"/>
              </w:rPr>
              <w:t>Shale gas resort in the county of Dobrudja (RO).</w:t>
            </w:r>
          </w:p>
          <w:p w14:paraId="2FD3A4F6" w14:textId="77777777" w:rsidR="005D1086" w:rsidRPr="006645DC" w:rsidRDefault="005D1086" w:rsidP="005D1086">
            <w:pPr>
              <w:spacing w:before="40" w:after="40"/>
              <w:rPr>
                <w:rFonts w:cstheme="minorHAnsi"/>
                <w:lang w:val="en-GB"/>
              </w:rPr>
            </w:pPr>
            <w:r w:rsidRPr="006645DC">
              <w:rPr>
                <w:rFonts w:cstheme="minorHAnsi"/>
                <w:lang w:val="en-GB"/>
              </w:rPr>
              <w:t>Bulgarian CBC region rich in minerals.</w:t>
            </w:r>
          </w:p>
          <w:p w14:paraId="656C480F" w14:textId="77777777" w:rsidR="005D1086" w:rsidRPr="006645DC" w:rsidRDefault="005D1086" w:rsidP="005D1086">
            <w:pPr>
              <w:spacing w:before="40" w:after="40"/>
              <w:rPr>
                <w:rFonts w:cstheme="minorHAnsi"/>
                <w:lang w:val="en-GB"/>
              </w:rPr>
            </w:pPr>
            <w:r w:rsidRPr="006645DC">
              <w:rPr>
                <w:rFonts w:cstheme="minorHAnsi"/>
                <w:lang w:val="en-GB"/>
              </w:rPr>
              <w:t>Several natural parks and protected areas.</w:t>
            </w:r>
          </w:p>
          <w:p w14:paraId="0615475C" w14:textId="77777777" w:rsidR="005D1086" w:rsidRPr="006645DC" w:rsidRDefault="005D1086" w:rsidP="005D1086">
            <w:pPr>
              <w:spacing w:before="40" w:after="40"/>
              <w:rPr>
                <w:rFonts w:cstheme="minorHAnsi"/>
                <w:lang w:val="en-GB"/>
              </w:rPr>
            </w:pPr>
            <w:r w:rsidRPr="006645DC">
              <w:rPr>
                <w:rFonts w:cstheme="minorHAnsi"/>
                <w:lang w:val="en-GB"/>
              </w:rPr>
              <w:t>------------------------</w:t>
            </w:r>
          </w:p>
          <w:p w14:paraId="795F5B13" w14:textId="77777777" w:rsidR="005D1086" w:rsidRPr="006645DC" w:rsidRDefault="005D1086" w:rsidP="005D1086">
            <w:pPr>
              <w:spacing w:before="40" w:after="40"/>
              <w:rPr>
                <w:rFonts w:cstheme="minorHAnsi"/>
                <w:lang w:val="en-GB"/>
              </w:rPr>
            </w:pPr>
            <w:r w:rsidRPr="006645DC">
              <w:rPr>
                <w:rFonts w:cstheme="minorHAnsi"/>
                <w:lang w:val="en-GB"/>
              </w:rPr>
              <w:t>Green house gas emissions decreased by 50% (RO)</w:t>
            </w:r>
          </w:p>
          <w:p w14:paraId="5A35F31E" w14:textId="77777777" w:rsidR="005D1086" w:rsidRPr="006645DC" w:rsidRDefault="005D1086" w:rsidP="005D1086">
            <w:pPr>
              <w:spacing w:before="40" w:after="40"/>
              <w:rPr>
                <w:rFonts w:cstheme="minorHAnsi"/>
                <w:lang w:val="en-GB"/>
              </w:rPr>
            </w:pPr>
          </w:p>
          <w:p w14:paraId="62BCB29E" w14:textId="77777777" w:rsidR="005D1086" w:rsidRPr="006645DC" w:rsidRDefault="005D1086" w:rsidP="005D1086">
            <w:pPr>
              <w:spacing w:before="40" w:after="40"/>
              <w:rPr>
                <w:rFonts w:cstheme="minorHAnsi"/>
                <w:lang w:val="en-GB"/>
              </w:rPr>
            </w:pPr>
            <w:r w:rsidRPr="006645DC">
              <w:rPr>
                <w:rFonts w:cstheme="minorHAnsi"/>
                <w:lang w:val="en-GB"/>
              </w:rPr>
              <w:t>Numerous touristic nature destinations</w:t>
            </w:r>
          </w:p>
          <w:p w14:paraId="7C1D46BD" w14:textId="77777777" w:rsidR="005D1086" w:rsidRPr="006645DC" w:rsidRDefault="005D1086" w:rsidP="005D1086">
            <w:pPr>
              <w:spacing w:before="40" w:after="40"/>
              <w:rPr>
                <w:rFonts w:cstheme="minorHAnsi"/>
                <w:lang w:val="en-GB"/>
              </w:rPr>
            </w:pPr>
          </w:p>
          <w:p w14:paraId="648DF576" w14:textId="715F4100" w:rsidR="005D1086" w:rsidRPr="006645DC" w:rsidRDefault="005D1086" w:rsidP="005D1086">
            <w:pPr>
              <w:spacing w:before="40" w:after="40"/>
              <w:rPr>
                <w:rFonts w:cstheme="minorHAnsi"/>
                <w:lang w:val="en-GB"/>
              </w:rPr>
            </w:pPr>
            <w:r w:rsidRPr="006645DC">
              <w:rPr>
                <w:rFonts w:cstheme="minorHAnsi"/>
                <w:lang w:val="en-GB"/>
              </w:rPr>
              <w:t xml:space="preserve">Reduction of existing landfills in the Bulgarian cross-border area from </w:t>
            </w:r>
            <w:r w:rsidR="004A7DE4">
              <w:rPr>
                <w:rFonts w:cstheme="minorHAnsi"/>
                <w:lang w:val="en-GB"/>
              </w:rPr>
              <w:lastRenderedPageBreak/>
              <w:t xml:space="preserve">196 in 2007 to 42 in 2011. </w:t>
            </w:r>
          </w:p>
        </w:tc>
        <w:tc>
          <w:tcPr>
            <w:tcW w:w="3848" w:type="dxa"/>
          </w:tcPr>
          <w:p w14:paraId="350EA3DB" w14:textId="77777777" w:rsidR="005D1086" w:rsidRPr="006645DC" w:rsidRDefault="005D1086" w:rsidP="005D1086">
            <w:pPr>
              <w:spacing w:before="40" w:after="40"/>
              <w:rPr>
                <w:rFonts w:cstheme="minorHAnsi"/>
                <w:lang w:val="en-GB"/>
              </w:rPr>
            </w:pPr>
            <w:r w:rsidRPr="006645DC">
              <w:rPr>
                <w:rFonts w:cstheme="minorHAnsi"/>
                <w:lang w:val="en-GB"/>
              </w:rPr>
              <w:lastRenderedPageBreak/>
              <w:t>Still valid:</w:t>
            </w:r>
          </w:p>
          <w:p w14:paraId="0DB0E94B" w14:textId="77777777" w:rsidR="005D1086" w:rsidRPr="006645DC" w:rsidRDefault="005D1086" w:rsidP="005D1086">
            <w:pPr>
              <w:spacing w:before="40" w:after="40"/>
              <w:rPr>
                <w:rFonts w:cstheme="minorHAnsi"/>
                <w:lang w:val="en-GB"/>
              </w:rPr>
            </w:pPr>
            <w:r w:rsidRPr="006645DC">
              <w:rPr>
                <w:rFonts w:cstheme="minorHAnsi"/>
                <w:lang w:val="en-GB"/>
              </w:rPr>
              <w:t>Frequent serious floods and infrastructure of the flood protection is outdated in the CBC region.</w:t>
            </w:r>
          </w:p>
          <w:p w14:paraId="56F2A8D4" w14:textId="77777777" w:rsidR="005D1086" w:rsidRPr="006645DC" w:rsidRDefault="005D1086" w:rsidP="005D1086">
            <w:pPr>
              <w:spacing w:before="40" w:after="40"/>
              <w:rPr>
                <w:rFonts w:cstheme="minorHAnsi"/>
                <w:lang w:val="en-GB"/>
              </w:rPr>
            </w:pPr>
            <w:r w:rsidRPr="006645DC">
              <w:rPr>
                <w:rFonts w:cstheme="minorHAnsi"/>
                <w:lang w:val="en-GB"/>
              </w:rPr>
              <w:t>Population connected to wastewater management in the CBC region is below EU average.</w:t>
            </w:r>
          </w:p>
          <w:p w14:paraId="3643AAE7" w14:textId="77777777" w:rsidR="005D1086" w:rsidRPr="006645DC" w:rsidRDefault="005D1086" w:rsidP="005D1086">
            <w:pPr>
              <w:spacing w:before="40" w:after="40"/>
              <w:rPr>
                <w:rFonts w:cstheme="minorHAnsi"/>
                <w:lang w:val="en-GB"/>
              </w:rPr>
            </w:pPr>
            <w:r w:rsidRPr="006645DC">
              <w:rPr>
                <w:rFonts w:cstheme="minorHAnsi"/>
                <w:lang w:val="en-GB"/>
              </w:rPr>
              <w:t>Inefficient waste management</w:t>
            </w:r>
          </w:p>
          <w:p w14:paraId="5D002A3F" w14:textId="77777777" w:rsidR="005D1086" w:rsidRPr="006645DC" w:rsidRDefault="005D1086" w:rsidP="005D1086">
            <w:pPr>
              <w:spacing w:before="40" w:after="40"/>
              <w:rPr>
                <w:rFonts w:cstheme="minorHAnsi"/>
                <w:lang w:val="en-GB"/>
              </w:rPr>
            </w:pPr>
            <w:r w:rsidRPr="006645DC">
              <w:rPr>
                <w:rFonts w:cstheme="minorHAnsi"/>
                <w:lang w:val="en-GB"/>
              </w:rPr>
              <w:t>Lack of natural resource management</w:t>
            </w:r>
          </w:p>
          <w:p w14:paraId="6A6193EB" w14:textId="77777777" w:rsidR="005D1086" w:rsidRPr="006645DC" w:rsidRDefault="005D1086" w:rsidP="005D1086">
            <w:pPr>
              <w:spacing w:before="40" w:after="40"/>
              <w:rPr>
                <w:rFonts w:cstheme="minorHAnsi"/>
                <w:lang w:val="en-GB"/>
              </w:rPr>
            </w:pPr>
            <w:r w:rsidRPr="006645DC">
              <w:rPr>
                <w:rFonts w:cstheme="minorHAnsi"/>
                <w:lang w:val="en-GB"/>
              </w:rPr>
              <w:t>There is no protected area defined in the town planning and land management documentation around Seveso-type site areas.</w:t>
            </w:r>
          </w:p>
          <w:p w14:paraId="3C7480D4" w14:textId="77777777" w:rsidR="005D1086" w:rsidRPr="006645DC" w:rsidRDefault="005D1086" w:rsidP="005D1086">
            <w:pPr>
              <w:spacing w:before="40" w:after="40"/>
              <w:rPr>
                <w:rFonts w:cstheme="minorHAnsi"/>
                <w:lang w:val="en-GB"/>
              </w:rPr>
            </w:pPr>
            <w:r w:rsidRPr="006645DC">
              <w:rPr>
                <w:rFonts w:cstheme="minorHAnsi"/>
                <w:lang w:val="en-GB"/>
              </w:rPr>
              <w:t>River and water pollution by agriculture and industry causing serious damage to biodiversity.</w:t>
            </w:r>
          </w:p>
          <w:p w14:paraId="5C7F126A" w14:textId="77777777" w:rsidR="005D1086" w:rsidRPr="006645DC" w:rsidRDefault="005D1086" w:rsidP="005D1086">
            <w:pPr>
              <w:spacing w:before="40" w:after="40"/>
              <w:rPr>
                <w:rFonts w:cstheme="minorHAnsi"/>
                <w:lang w:val="en-GB"/>
              </w:rPr>
            </w:pPr>
            <w:r w:rsidRPr="006645DC">
              <w:rPr>
                <w:rFonts w:cstheme="minorHAnsi"/>
                <w:lang w:val="en-GB"/>
              </w:rPr>
              <w:t>------------------------------------------------</w:t>
            </w:r>
          </w:p>
          <w:p w14:paraId="11F25EB4" w14:textId="77777777" w:rsidR="005D1086" w:rsidRPr="006645DC" w:rsidRDefault="005D1086" w:rsidP="005D1086">
            <w:pPr>
              <w:spacing w:before="40" w:after="40"/>
              <w:rPr>
                <w:rFonts w:cstheme="minorHAnsi"/>
                <w:lang w:val="en-GB"/>
              </w:rPr>
            </w:pPr>
          </w:p>
          <w:p w14:paraId="1A27CBFA" w14:textId="77777777" w:rsidR="005D1086" w:rsidRPr="006645DC" w:rsidRDefault="005D1086" w:rsidP="005D1086">
            <w:pPr>
              <w:spacing w:before="40" w:after="40"/>
              <w:rPr>
                <w:rFonts w:cstheme="minorHAnsi"/>
                <w:lang w:val="en-GB"/>
              </w:rPr>
            </w:pPr>
          </w:p>
          <w:p w14:paraId="03C8EC39" w14:textId="77777777" w:rsidR="005D1086" w:rsidRPr="006645DC" w:rsidRDefault="005D1086" w:rsidP="005D1086">
            <w:pPr>
              <w:spacing w:before="40" w:after="40"/>
              <w:rPr>
                <w:rFonts w:cstheme="minorHAnsi"/>
                <w:lang w:val="en-GB"/>
              </w:rPr>
            </w:pPr>
            <w:r w:rsidRPr="006645DC">
              <w:rPr>
                <w:rFonts w:cstheme="minorHAnsi"/>
                <w:lang w:val="en-GB"/>
              </w:rPr>
              <w:t>Emission of harmful substances in the air; considerable pollution in some important touristic areas</w:t>
            </w:r>
          </w:p>
          <w:p w14:paraId="4E1AF53D" w14:textId="77777777" w:rsidR="005D1086" w:rsidRPr="006645DC" w:rsidRDefault="005D1086" w:rsidP="005D1086">
            <w:pPr>
              <w:spacing w:before="40" w:after="40"/>
              <w:rPr>
                <w:rFonts w:cstheme="minorHAnsi"/>
                <w:lang w:val="en-GB"/>
              </w:rPr>
            </w:pPr>
          </w:p>
          <w:p w14:paraId="7B3EF747" w14:textId="77777777" w:rsidR="005D1086" w:rsidRPr="006645DC" w:rsidRDefault="005D1086" w:rsidP="005D1086">
            <w:pPr>
              <w:autoSpaceDE w:val="0"/>
              <w:autoSpaceDN w:val="0"/>
              <w:adjustRightInd w:val="0"/>
              <w:spacing w:after="0"/>
              <w:rPr>
                <w:rFonts w:cs="Calibri"/>
                <w:sz w:val="24"/>
                <w:szCs w:val="24"/>
                <w:lang w:val="en-GB"/>
              </w:rPr>
            </w:pPr>
          </w:p>
          <w:tbl>
            <w:tblPr>
              <w:tblW w:w="0" w:type="auto"/>
              <w:tblBorders>
                <w:top w:val="nil"/>
                <w:left w:val="nil"/>
                <w:bottom w:val="nil"/>
                <w:right w:val="nil"/>
              </w:tblBorders>
              <w:tblLayout w:type="fixed"/>
              <w:tblLook w:val="0000" w:firstRow="0" w:lastRow="0" w:firstColumn="0" w:lastColumn="0" w:noHBand="0" w:noVBand="0"/>
            </w:tblPr>
            <w:tblGrid>
              <w:gridCol w:w="236"/>
            </w:tblGrid>
            <w:tr w:rsidR="005D1086" w:rsidRPr="006645DC" w14:paraId="7F392935" w14:textId="77777777" w:rsidTr="004A7DE4">
              <w:trPr>
                <w:trHeight w:val="759"/>
              </w:trPr>
              <w:tc>
                <w:tcPr>
                  <w:tcW w:w="222" w:type="dxa"/>
                </w:tcPr>
                <w:p w14:paraId="39A161FE" w14:textId="77777777" w:rsidR="005D1086" w:rsidRPr="006645DC" w:rsidRDefault="005D1086" w:rsidP="005D1086">
                  <w:pPr>
                    <w:autoSpaceDE w:val="0"/>
                    <w:autoSpaceDN w:val="0"/>
                    <w:adjustRightInd w:val="0"/>
                    <w:spacing w:after="0"/>
                    <w:rPr>
                      <w:rFonts w:cs="Calibri"/>
                      <w:lang w:val="en-GB"/>
                    </w:rPr>
                  </w:pPr>
                </w:p>
              </w:tc>
            </w:tr>
          </w:tbl>
          <w:p w14:paraId="3AEB40BB" w14:textId="77777777" w:rsidR="005D1086" w:rsidRPr="006645DC" w:rsidRDefault="005D1086" w:rsidP="005D1086">
            <w:pPr>
              <w:spacing w:before="40" w:after="40"/>
              <w:rPr>
                <w:rFonts w:cstheme="minorHAnsi"/>
                <w:lang w:val="en-GB"/>
              </w:rPr>
            </w:pPr>
          </w:p>
        </w:tc>
        <w:tc>
          <w:tcPr>
            <w:tcW w:w="2825" w:type="dxa"/>
          </w:tcPr>
          <w:p w14:paraId="6E1F2C95" w14:textId="77777777" w:rsidR="005D1086" w:rsidRPr="006645DC" w:rsidRDefault="005D1086" w:rsidP="005D1086">
            <w:pPr>
              <w:spacing w:before="40" w:after="40"/>
              <w:rPr>
                <w:rFonts w:cstheme="minorHAnsi"/>
                <w:lang w:val="en-GB"/>
              </w:rPr>
            </w:pPr>
            <w:r w:rsidRPr="006645DC">
              <w:rPr>
                <w:rFonts w:cstheme="minorHAnsi"/>
                <w:lang w:val="en-GB"/>
              </w:rPr>
              <w:lastRenderedPageBreak/>
              <w:t>Still valid:</w:t>
            </w:r>
          </w:p>
          <w:p w14:paraId="3CFE4A7D" w14:textId="77777777" w:rsidR="005D1086" w:rsidRPr="006645DC" w:rsidRDefault="005D1086" w:rsidP="005D1086">
            <w:pPr>
              <w:spacing w:before="40" w:after="40"/>
              <w:rPr>
                <w:rFonts w:cstheme="minorHAnsi"/>
                <w:lang w:val="en-GB"/>
              </w:rPr>
            </w:pPr>
            <w:r w:rsidRPr="006645DC">
              <w:rPr>
                <w:rFonts w:cstheme="minorHAnsi"/>
                <w:szCs w:val="18"/>
                <w:lang w:val="en-GB"/>
              </w:rPr>
              <w:t xml:space="preserve">Natural assets represent one of the key elements </w:t>
            </w:r>
            <w:r w:rsidR="00826AAD" w:rsidRPr="006645DC">
              <w:rPr>
                <w:rFonts w:cstheme="minorHAnsi"/>
                <w:szCs w:val="18"/>
                <w:lang w:val="en-GB"/>
              </w:rPr>
              <w:t>characterizing</w:t>
            </w:r>
            <w:r w:rsidRPr="006645DC">
              <w:rPr>
                <w:rFonts w:cstheme="minorHAnsi"/>
                <w:szCs w:val="18"/>
                <w:lang w:val="en-GB"/>
              </w:rPr>
              <w:t xml:space="preserve"> the regional identity of the area (e.g. landscapes and rivers).  </w:t>
            </w:r>
          </w:p>
          <w:p w14:paraId="027C68B8" w14:textId="77777777" w:rsidR="005D1086" w:rsidRPr="006645DC" w:rsidRDefault="005D1086" w:rsidP="005D1086">
            <w:pPr>
              <w:spacing w:before="40" w:after="40"/>
              <w:rPr>
                <w:rFonts w:cstheme="minorHAnsi"/>
                <w:lang w:val="en-GB"/>
              </w:rPr>
            </w:pPr>
            <w:r w:rsidRPr="006645DC">
              <w:rPr>
                <w:rFonts w:cstheme="minorHAnsi"/>
                <w:lang w:val="en-GB"/>
              </w:rPr>
              <w:t>Increased environmental awareness.</w:t>
            </w:r>
          </w:p>
          <w:p w14:paraId="79C9FD02" w14:textId="77777777" w:rsidR="005D1086" w:rsidRPr="006645DC" w:rsidRDefault="005D1086" w:rsidP="005D1086">
            <w:pPr>
              <w:spacing w:before="40" w:after="40"/>
              <w:rPr>
                <w:rFonts w:cstheme="minorHAnsi"/>
                <w:lang w:val="en-GB"/>
              </w:rPr>
            </w:pPr>
            <w:r w:rsidRPr="006645DC">
              <w:rPr>
                <w:rFonts w:cstheme="minorHAnsi"/>
                <w:lang w:val="en-GB"/>
              </w:rPr>
              <w:t>Opportunities exist for developing new research facilities in environment protection to meet the requirements of EU legislation.</w:t>
            </w:r>
          </w:p>
          <w:p w14:paraId="54FC2F56" w14:textId="77777777" w:rsidR="005D1086" w:rsidRPr="006645DC" w:rsidRDefault="005D1086" w:rsidP="005D1086">
            <w:pPr>
              <w:spacing w:before="40" w:after="40"/>
              <w:rPr>
                <w:rFonts w:cstheme="minorHAnsi"/>
                <w:szCs w:val="18"/>
                <w:lang w:val="en-GB"/>
              </w:rPr>
            </w:pPr>
            <w:r w:rsidRPr="006645DC">
              <w:rPr>
                <w:rFonts w:cstheme="minorHAnsi"/>
                <w:lang w:val="en-GB"/>
              </w:rPr>
              <w:t xml:space="preserve">Joint design and management measures to improve the coordination of water systems and functions. Example: </w:t>
            </w:r>
            <w:r w:rsidRPr="006645DC">
              <w:rPr>
                <w:rFonts w:cstheme="minorHAnsi"/>
                <w:szCs w:val="18"/>
                <w:lang w:val="en-GB"/>
              </w:rPr>
              <w:t>National level strategies to improve wastewater management --&gt; cooperation should be made.</w:t>
            </w:r>
          </w:p>
          <w:p w14:paraId="69B0DF84" w14:textId="77777777" w:rsidR="005D1086" w:rsidRPr="006645DC" w:rsidRDefault="005D1086" w:rsidP="005D1086">
            <w:pPr>
              <w:spacing w:before="40" w:after="40"/>
              <w:rPr>
                <w:rFonts w:cstheme="minorHAnsi"/>
                <w:lang w:val="en-GB"/>
              </w:rPr>
            </w:pPr>
            <w:r w:rsidRPr="006645DC">
              <w:rPr>
                <w:rFonts w:cstheme="minorHAnsi"/>
                <w:lang w:val="en-GB"/>
              </w:rPr>
              <w:t>------------------------</w:t>
            </w:r>
          </w:p>
          <w:p w14:paraId="2DE93DC8" w14:textId="1E798960" w:rsidR="005D1086" w:rsidRPr="004A7DE4" w:rsidRDefault="005D1086" w:rsidP="005D1086">
            <w:pPr>
              <w:spacing w:before="40" w:after="40"/>
              <w:rPr>
                <w:rFonts w:cs="Calibri"/>
                <w:lang w:val="en-GB"/>
              </w:rPr>
            </w:pPr>
            <w:r w:rsidRPr="006645DC">
              <w:rPr>
                <w:rFonts w:cstheme="minorHAnsi"/>
                <w:lang w:val="en-GB"/>
              </w:rPr>
              <w:t xml:space="preserve">Promoting projects </w:t>
            </w:r>
            <w:r w:rsidRPr="006645DC">
              <w:rPr>
                <w:rFonts w:cs="Calibri"/>
                <w:lang w:val="en-GB"/>
              </w:rPr>
              <w:t xml:space="preserve">related to the protection of biodiversity and sustainable </w:t>
            </w:r>
            <w:r w:rsidRPr="006645DC">
              <w:rPr>
                <w:rFonts w:cs="Calibri"/>
                <w:lang w:val="en-GB"/>
              </w:rPr>
              <w:lastRenderedPageBreak/>
              <w:t>use of natural resources and to decrease environme</w:t>
            </w:r>
            <w:r w:rsidR="004A7DE4">
              <w:rPr>
                <w:rFonts w:cs="Calibri"/>
                <w:lang w:val="en-GB"/>
              </w:rPr>
              <w:t>ntal vulnerability.</w:t>
            </w:r>
          </w:p>
        </w:tc>
        <w:tc>
          <w:tcPr>
            <w:tcW w:w="2260" w:type="dxa"/>
            <w:gridSpan w:val="2"/>
          </w:tcPr>
          <w:p w14:paraId="67F3F0DA" w14:textId="77777777" w:rsidR="005D1086" w:rsidRPr="006645DC" w:rsidRDefault="005D1086" w:rsidP="005D1086">
            <w:pPr>
              <w:spacing w:before="40" w:after="40"/>
              <w:rPr>
                <w:rFonts w:cstheme="minorHAnsi"/>
                <w:lang w:val="en-GB"/>
              </w:rPr>
            </w:pPr>
            <w:r w:rsidRPr="006645DC">
              <w:rPr>
                <w:rFonts w:cstheme="minorHAnsi"/>
                <w:lang w:val="en-GB"/>
              </w:rPr>
              <w:lastRenderedPageBreak/>
              <w:t>Still valid:</w:t>
            </w:r>
          </w:p>
          <w:p w14:paraId="146BDB2D" w14:textId="77777777" w:rsidR="005D1086" w:rsidRPr="006645DC" w:rsidRDefault="005D1086" w:rsidP="005D1086">
            <w:pPr>
              <w:spacing w:before="40" w:after="40"/>
              <w:rPr>
                <w:rFonts w:cstheme="minorHAnsi"/>
                <w:lang w:val="en-GB"/>
              </w:rPr>
            </w:pPr>
            <w:r w:rsidRPr="006645DC">
              <w:rPr>
                <w:rFonts w:cstheme="minorHAnsi"/>
                <w:lang w:val="en-GB"/>
              </w:rPr>
              <w:t>Industrial risks lead to air pollution, pollution of water and soil. Infrastructure of the flood protection is outdated in the CBC region; high flood-risk.</w:t>
            </w:r>
          </w:p>
          <w:p w14:paraId="08C40A1E" w14:textId="77777777" w:rsidR="005D1086" w:rsidRPr="006645DC" w:rsidRDefault="005D1086" w:rsidP="005D1086">
            <w:pPr>
              <w:spacing w:before="40" w:after="40"/>
              <w:rPr>
                <w:rFonts w:cstheme="minorHAnsi"/>
                <w:lang w:val="en-GB"/>
              </w:rPr>
            </w:pPr>
            <w:r w:rsidRPr="006645DC">
              <w:rPr>
                <w:rFonts w:cstheme="minorHAnsi"/>
                <w:lang w:val="en-GB"/>
              </w:rPr>
              <w:t>------------------------</w:t>
            </w:r>
          </w:p>
          <w:p w14:paraId="63C4E049" w14:textId="77777777" w:rsidR="005D1086" w:rsidRPr="006645DC" w:rsidRDefault="005D1086" w:rsidP="005D1086">
            <w:pPr>
              <w:spacing w:before="40" w:after="40"/>
              <w:rPr>
                <w:rFonts w:cstheme="minorHAnsi"/>
                <w:lang w:val="en-GB"/>
              </w:rPr>
            </w:pPr>
            <w:r w:rsidRPr="006645DC">
              <w:rPr>
                <w:rFonts w:cstheme="minorHAnsi"/>
                <w:lang w:val="en-GB"/>
              </w:rPr>
              <w:t>Protected areas exposed to risk because of illegal exploitations, tourism,</w:t>
            </w:r>
            <w:r w:rsidRPr="006645DC">
              <w:rPr>
                <w:rFonts w:cs="Calibri"/>
                <w:lang w:val="en-GB"/>
              </w:rPr>
              <w:t xml:space="preserve"> </w:t>
            </w:r>
            <w:r w:rsidRPr="006645DC">
              <w:rPr>
                <w:rFonts w:cstheme="minorHAnsi"/>
                <w:lang w:val="en-GB"/>
              </w:rPr>
              <w:t xml:space="preserve">constructions, and poaching. </w:t>
            </w:r>
          </w:p>
          <w:p w14:paraId="12DD43FD" w14:textId="77777777" w:rsidR="005D1086" w:rsidRPr="006645DC" w:rsidRDefault="005D1086" w:rsidP="005D1086">
            <w:pPr>
              <w:spacing w:before="40" w:after="40"/>
              <w:rPr>
                <w:rFonts w:cstheme="minorHAnsi"/>
                <w:lang w:val="en-GB"/>
              </w:rPr>
            </w:pPr>
            <w:r w:rsidRPr="006645DC">
              <w:rPr>
                <w:rFonts w:cstheme="minorHAnsi"/>
                <w:lang w:val="en-GB"/>
              </w:rPr>
              <w:t>Risk of earthquakes.</w:t>
            </w:r>
          </w:p>
          <w:p w14:paraId="4D85F0DD" w14:textId="77777777" w:rsidR="005D1086" w:rsidRPr="006645DC" w:rsidRDefault="005D1086" w:rsidP="005D1086">
            <w:pPr>
              <w:spacing w:before="40" w:after="40"/>
              <w:rPr>
                <w:rFonts w:cstheme="minorHAnsi"/>
                <w:lang w:val="en-GB"/>
              </w:rPr>
            </w:pPr>
            <w:r w:rsidRPr="006645DC">
              <w:rPr>
                <w:rFonts w:cstheme="minorHAnsi"/>
                <w:lang w:val="en-GB"/>
              </w:rPr>
              <w:t>Risk of landslides.</w:t>
            </w:r>
          </w:p>
          <w:p w14:paraId="267631B8" w14:textId="77777777" w:rsidR="005D1086" w:rsidRPr="006645DC" w:rsidRDefault="005D1086" w:rsidP="005D1086">
            <w:pPr>
              <w:spacing w:before="40" w:after="40"/>
              <w:rPr>
                <w:rFonts w:cstheme="minorHAnsi"/>
                <w:lang w:val="en-GB"/>
              </w:rPr>
            </w:pPr>
            <w:r w:rsidRPr="006645DC">
              <w:rPr>
                <w:rFonts w:cstheme="minorHAnsi"/>
                <w:lang w:val="en-GB"/>
              </w:rPr>
              <w:t>Erosion.</w:t>
            </w:r>
          </w:p>
          <w:p w14:paraId="1F5E14BF" w14:textId="77777777" w:rsidR="005D1086" w:rsidRPr="006645DC" w:rsidRDefault="005D1086" w:rsidP="005D1086">
            <w:pPr>
              <w:spacing w:before="40" w:after="40"/>
              <w:rPr>
                <w:rFonts w:cstheme="minorHAnsi"/>
                <w:lang w:val="en-GB"/>
              </w:rPr>
            </w:pPr>
            <w:r w:rsidRPr="006645DC">
              <w:rPr>
                <w:rFonts w:cstheme="minorHAnsi"/>
                <w:lang w:val="en-GB"/>
              </w:rPr>
              <w:t>No steps have been made in order to ecologically reconstruct the potential contaminated sites (RO).</w:t>
            </w:r>
          </w:p>
          <w:p w14:paraId="755BA00D" w14:textId="5C056C7B" w:rsidR="005D1086" w:rsidRPr="006645DC" w:rsidRDefault="005D1086" w:rsidP="005D1086">
            <w:pPr>
              <w:spacing w:before="40" w:after="40"/>
              <w:rPr>
                <w:rFonts w:cstheme="minorHAnsi"/>
                <w:lang w:val="en-GB"/>
              </w:rPr>
            </w:pPr>
            <w:r w:rsidRPr="006645DC">
              <w:rPr>
                <w:rFonts w:cstheme="minorHAnsi"/>
                <w:lang w:val="en-GB"/>
              </w:rPr>
              <w:t xml:space="preserve">Capacities of the regional depots in </w:t>
            </w:r>
            <w:r w:rsidRPr="006645DC">
              <w:rPr>
                <w:rFonts w:cstheme="minorHAnsi"/>
                <w:lang w:val="en-GB"/>
              </w:rPr>
              <w:lastRenderedPageBreak/>
              <w:t xml:space="preserve">Bulgarian part of </w:t>
            </w:r>
            <w:r w:rsidR="004A7DE4">
              <w:rPr>
                <w:rFonts w:cstheme="minorHAnsi"/>
                <w:lang w:val="en-GB"/>
              </w:rPr>
              <w:t>CBC region will be filled soon.</w:t>
            </w:r>
          </w:p>
        </w:tc>
      </w:tr>
      <w:tr w:rsidR="005D1086" w:rsidRPr="006645DC" w14:paraId="208CEBCC" w14:textId="77777777" w:rsidTr="004A7DE4">
        <w:tc>
          <w:tcPr>
            <w:tcW w:w="1485" w:type="dxa"/>
          </w:tcPr>
          <w:p w14:paraId="50F7074A" w14:textId="77777777" w:rsidR="005D1086" w:rsidRPr="006645DC" w:rsidRDefault="005D1086" w:rsidP="005D1086">
            <w:pPr>
              <w:spacing w:before="40" w:after="40"/>
              <w:rPr>
                <w:rFonts w:cstheme="minorHAnsi"/>
                <w:lang w:val="en-GB"/>
              </w:rPr>
            </w:pPr>
            <w:r w:rsidRPr="006645DC">
              <w:rPr>
                <w:rFonts w:cstheme="minorHAnsi"/>
                <w:b/>
                <w:lang w:val="en-GB"/>
              </w:rPr>
              <w:lastRenderedPageBreak/>
              <w:t>Human resources</w:t>
            </w:r>
          </w:p>
        </w:tc>
        <w:tc>
          <w:tcPr>
            <w:tcW w:w="2515" w:type="dxa"/>
          </w:tcPr>
          <w:p w14:paraId="2FDF8DEE" w14:textId="3232EA09" w:rsidR="005D1086" w:rsidRPr="006645DC" w:rsidRDefault="004A7DE4" w:rsidP="005D1086">
            <w:pPr>
              <w:spacing w:before="40" w:after="40"/>
              <w:rPr>
                <w:rFonts w:cstheme="minorHAnsi"/>
                <w:lang w:val="en-GB"/>
              </w:rPr>
            </w:pPr>
            <w:r w:rsidRPr="006645DC">
              <w:rPr>
                <w:rFonts w:cstheme="minorHAnsi"/>
                <w:lang w:val="en-GB"/>
              </w:rPr>
              <w:t>Well-developed</w:t>
            </w:r>
            <w:r w:rsidR="005D1086" w:rsidRPr="006645DC">
              <w:rPr>
                <w:rFonts w:cstheme="minorHAnsi"/>
                <w:lang w:val="en-GB"/>
              </w:rPr>
              <w:t xml:space="preserve"> primary and secondary education system.</w:t>
            </w:r>
          </w:p>
          <w:p w14:paraId="2E54BA74" w14:textId="77777777" w:rsidR="005D1086" w:rsidRPr="006645DC" w:rsidRDefault="005D1086" w:rsidP="005D1086">
            <w:pPr>
              <w:spacing w:before="40" w:after="40"/>
              <w:rPr>
                <w:rFonts w:cstheme="minorHAnsi"/>
                <w:lang w:val="en-GB"/>
              </w:rPr>
            </w:pPr>
            <w:r w:rsidRPr="006645DC">
              <w:rPr>
                <w:rFonts w:cstheme="minorHAnsi"/>
                <w:lang w:val="en-GB"/>
              </w:rPr>
              <w:t xml:space="preserve">Good accessibility to higher education; Developed network of universities. </w:t>
            </w:r>
          </w:p>
          <w:p w14:paraId="0381C990" w14:textId="77777777" w:rsidR="005D1086" w:rsidRPr="006645DC" w:rsidRDefault="005D1086" w:rsidP="005D1086">
            <w:pPr>
              <w:spacing w:before="40" w:after="40"/>
              <w:rPr>
                <w:rFonts w:cstheme="minorHAnsi"/>
                <w:lang w:val="en-GB"/>
              </w:rPr>
            </w:pPr>
            <w:r w:rsidRPr="006645DC">
              <w:rPr>
                <w:rFonts w:cstheme="minorHAnsi"/>
                <w:lang w:val="en-GB"/>
              </w:rPr>
              <w:t xml:space="preserve">Relatively flexible and qualified </w:t>
            </w:r>
            <w:r w:rsidR="00826AAD" w:rsidRPr="006645DC">
              <w:rPr>
                <w:rFonts w:cstheme="minorHAnsi"/>
                <w:lang w:val="en-GB"/>
              </w:rPr>
              <w:t>labor</w:t>
            </w:r>
            <w:r w:rsidRPr="006645DC">
              <w:rPr>
                <w:rFonts w:cstheme="minorHAnsi"/>
                <w:lang w:val="en-GB"/>
              </w:rPr>
              <w:t xml:space="preserve"> force. </w:t>
            </w:r>
          </w:p>
          <w:p w14:paraId="251E4F7D" w14:textId="77777777" w:rsidR="005D1086" w:rsidRPr="006645DC" w:rsidRDefault="005D1086" w:rsidP="005D1086">
            <w:pPr>
              <w:spacing w:before="40" w:after="40"/>
              <w:rPr>
                <w:rFonts w:cstheme="minorHAnsi"/>
                <w:lang w:val="en-GB"/>
              </w:rPr>
            </w:pPr>
            <w:r w:rsidRPr="006645DC">
              <w:rPr>
                <w:rFonts w:cstheme="minorHAnsi"/>
                <w:lang w:val="en-GB"/>
              </w:rPr>
              <w:t>Multicultural traditions and ethnical diversity, minorities from the several different nations live along the border, interested in developing support and cooperation.</w:t>
            </w:r>
          </w:p>
          <w:p w14:paraId="16DC2E67" w14:textId="77777777" w:rsidR="005D1086" w:rsidRPr="006645DC" w:rsidRDefault="005D1086" w:rsidP="005D1086">
            <w:pPr>
              <w:spacing w:before="40" w:after="40"/>
              <w:rPr>
                <w:rFonts w:cstheme="minorHAnsi"/>
                <w:lang w:val="en-GB"/>
              </w:rPr>
            </w:pPr>
            <w:r w:rsidRPr="006645DC">
              <w:rPr>
                <w:rFonts w:cstheme="minorHAnsi"/>
                <w:lang w:val="en-GB"/>
              </w:rPr>
              <w:t>Lack of any ethnic conflicts and tension.</w:t>
            </w:r>
          </w:p>
        </w:tc>
        <w:tc>
          <w:tcPr>
            <w:tcW w:w="3848" w:type="dxa"/>
          </w:tcPr>
          <w:p w14:paraId="17ECDD8B" w14:textId="77777777" w:rsidR="005D1086" w:rsidRPr="006645DC" w:rsidRDefault="005D1086" w:rsidP="005D1086">
            <w:pPr>
              <w:spacing w:before="40" w:after="40"/>
              <w:rPr>
                <w:rFonts w:cstheme="minorHAnsi"/>
                <w:lang w:val="en-GB"/>
              </w:rPr>
            </w:pPr>
            <w:r w:rsidRPr="006645DC">
              <w:rPr>
                <w:rFonts w:cstheme="minorHAnsi"/>
                <w:lang w:val="en-GB"/>
              </w:rPr>
              <w:t>Difficult communication between Bulgarians and Romanians- language and alphabet barriers. Only a relatively small number of people have the necessary language and communication skills.</w:t>
            </w:r>
          </w:p>
          <w:p w14:paraId="74FBD2D8" w14:textId="77777777" w:rsidR="005D1086" w:rsidRPr="006645DC" w:rsidRDefault="005D1086" w:rsidP="005D1086">
            <w:pPr>
              <w:spacing w:before="40" w:after="40"/>
              <w:rPr>
                <w:rFonts w:cstheme="minorHAnsi"/>
                <w:lang w:val="en-GB"/>
              </w:rPr>
            </w:pPr>
            <w:r w:rsidRPr="006645DC">
              <w:rPr>
                <w:rFonts w:cstheme="minorHAnsi"/>
                <w:lang w:val="en-GB"/>
              </w:rPr>
              <w:t>Brain drain and migration of skilled persons owing to lack of employment possibilities.</w:t>
            </w:r>
          </w:p>
          <w:p w14:paraId="7BD48EE4" w14:textId="77777777" w:rsidR="005D1086" w:rsidRPr="006645DC" w:rsidRDefault="005D1086" w:rsidP="005D1086">
            <w:pPr>
              <w:spacing w:before="40" w:after="40"/>
              <w:rPr>
                <w:rFonts w:cstheme="minorHAnsi"/>
                <w:lang w:val="en-GB"/>
              </w:rPr>
            </w:pPr>
            <w:r w:rsidRPr="006645DC">
              <w:rPr>
                <w:rFonts w:cstheme="minorHAnsi"/>
                <w:lang w:val="en-GB"/>
              </w:rPr>
              <w:t>High unemployment rate in rural areas, with large share of unemployed women and people with low educational and skills level.</w:t>
            </w:r>
          </w:p>
          <w:p w14:paraId="247ACCB9" w14:textId="77777777" w:rsidR="005D1086" w:rsidRPr="006645DC" w:rsidRDefault="005D1086" w:rsidP="005D1086">
            <w:pPr>
              <w:spacing w:before="40" w:after="40"/>
              <w:rPr>
                <w:rFonts w:cstheme="minorHAnsi"/>
                <w:lang w:val="en-GB"/>
              </w:rPr>
            </w:pPr>
            <w:r w:rsidRPr="006645DC">
              <w:rPr>
                <w:rFonts w:cstheme="minorHAnsi"/>
                <w:lang w:val="en-GB"/>
              </w:rPr>
              <w:t>Most existing employment requires low levels of education. Few employment opportunities for more highly qualified persons</w:t>
            </w:r>
          </w:p>
          <w:p w14:paraId="160C8D7B" w14:textId="77777777" w:rsidR="005D1086" w:rsidRPr="006645DC" w:rsidRDefault="005D1086" w:rsidP="005D1086">
            <w:pPr>
              <w:spacing w:before="40" w:after="40"/>
              <w:rPr>
                <w:rFonts w:cstheme="minorHAnsi"/>
                <w:lang w:val="en-GB"/>
              </w:rPr>
            </w:pPr>
            <w:r w:rsidRPr="006645DC">
              <w:rPr>
                <w:rFonts w:cstheme="minorHAnsi"/>
                <w:lang w:val="en-GB"/>
              </w:rPr>
              <w:t>Low level of lifelong education facilities.</w:t>
            </w:r>
          </w:p>
          <w:p w14:paraId="7A9C6AF7" w14:textId="77777777" w:rsidR="005D1086" w:rsidRPr="006645DC" w:rsidRDefault="005D1086" w:rsidP="005D1086">
            <w:pPr>
              <w:spacing w:before="40" w:after="40"/>
              <w:rPr>
                <w:rFonts w:cstheme="minorHAnsi"/>
                <w:lang w:val="en-GB"/>
              </w:rPr>
            </w:pPr>
            <w:r w:rsidRPr="006645DC">
              <w:rPr>
                <w:rFonts w:cstheme="minorHAnsi"/>
                <w:lang w:val="en-GB"/>
              </w:rPr>
              <w:t>Academic and business environment-insufficiently connected.</w:t>
            </w:r>
          </w:p>
          <w:p w14:paraId="5DC08A47" w14:textId="77777777" w:rsidR="005D1086" w:rsidRPr="006645DC" w:rsidRDefault="005D1086" w:rsidP="005D1086">
            <w:pPr>
              <w:spacing w:before="40" w:after="40"/>
              <w:rPr>
                <w:rFonts w:cstheme="minorHAnsi"/>
                <w:lang w:val="en-GB"/>
              </w:rPr>
            </w:pPr>
            <w:r w:rsidRPr="006645DC">
              <w:rPr>
                <w:rFonts w:cstheme="minorHAnsi"/>
                <w:lang w:val="en-GB"/>
              </w:rPr>
              <w:t>Low productivity reduces competitive strength and fosters low levels of innovation.</w:t>
            </w:r>
          </w:p>
          <w:p w14:paraId="3E85AC12" w14:textId="77777777" w:rsidR="005D1086" w:rsidRPr="006645DC" w:rsidRDefault="005D1086" w:rsidP="005D1086">
            <w:pPr>
              <w:spacing w:before="40" w:after="40"/>
              <w:rPr>
                <w:rFonts w:cstheme="minorHAnsi"/>
                <w:lang w:val="en-GB"/>
              </w:rPr>
            </w:pPr>
            <w:r w:rsidRPr="006645DC">
              <w:rPr>
                <w:rFonts w:cstheme="minorHAnsi"/>
                <w:lang w:val="en-GB"/>
              </w:rPr>
              <w:t xml:space="preserve">No strategies for the development of cross-border </w:t>
            </w:r>
            <w:r w:rsidR="00826AAD" w:rsidRPr="006645DC">
              <w:rPr>
                <w:rFonts w:cstheme="minorHAnsi"/>
                <w:lang w:val="en-GB"/>
              </w:rPr>
              <w:t>labor</w:t>
            </w:r>
            <w:r w:rsidRPr="006645DC">
              <w:rPr>
                <w:rFonts w:cstheme="minorHAnsi"/>
                <w:lang w:val="en-GB"/>
              </w:rPr>
              <w:t xml:space="preserve"> markets (e.g. </w:t>
            </w:r>
            <w:r w:rsidRPr="006645DC">
              <w:rPr>
                <w:rFonts w:cstheme="minorHAnsi"/>
                <w:lang w:val="en-GB"/>
              </w:rPr>
              <w:lastRenderedPageBreak/>
              <w:t>monitoring, cooperation of institutions).</w:t>
            </w:r>
          </w:p>
          <w:p w14:paraId="2927060F" w14:textId="77777777" w:rsidR="005D1086" w:rsidRPr="006645DC" w:rsidRDefault="005D1086" w:rsidP="005D1086">
            <w:pPr>
              <w:spacing w:before="40" w:after="40"/>
              <w:rPr>
                <w:rFonts w:cstheme="minorHAnsi"/>
                <w:lang w:val="en-GB"/>
              </w:rPr>
            </w:pPr>
            <w:r w:rsidRPr="006645DC">
              <w:rPr>
                <w:rFonts w:cstheme="minorHAnsi"/>
                <w:szCs w:val="18"/>
                <w:lang w:val="en-GB"/>
              </w:rPr>
              <w:t>Insufficient cross-border cooperation in the areas of health and social services.</w:t>
            </w:r>
          </w:p>
        </w:tc>
        <w:tc>
          <w:tcPr>
            <w:tcW w:w="2825" w:type="dxa"/>
          </w:tcPr>
          <w:p w14:paraId="592026EB" w14:textId="77777777" w:rsidR="005D1086" w:rsidRPr="006645DC" w:rsidRDefault="005D1086" w:rsidP="005D1086">
            <w:pPr>
              <w:spacing w:before="40" w:after="40"/>
              <w:rPr>
                <w:rFonts w:cstheme="minorHAnsi"/>
                <w:lang w:val="en-GB"/>
              </w:rPr>
            </w:pPr>
            <w:r w:rsidRPr="006645DC">
              <w:rPr>
                <w:rFonts w:cstheme="minorHAnsi"/>
                <w:lang w:val="en-GB"/>
              </w:rPr>
              <w:lastRenderedPageBreak/>
              <w:t xml:space="preserve">EU </w:t>
            </w:r>
            <w:r w:rsidR="00826AAD" w:rsidRPr="006645DC">
              <w:rPr>
                <w:rFonts w:cstheme="minorHAnsi"/>
                <w:lang w:val="en-GB"/>
              </w:rPr>
              <w:t>labor</w:t>
            </w:r>
            <w:r w:rsidRPr="006645DC">
              <w:rPr>
                <w:rFonts w:cstheme="minorHAnsi"/>
                <w:lang w:val="en-GB"/>
              </w:rPr>
              <w:t xml:space="preserve"> rules will permit the free movement of </w:t>
            </w:r>
            <w:r w:rsidR="00826AAD" w:rsidRPr="006645DC">
              <w:rPr>
                <w:rFonts w:cstheme="minorHAnsi"/>
                <w:lang w:val="en-GB"/>
              </w:rPr>
              <w:t>labor</w:t>
            </w:r>
            <w:r w:rsidRPr="006645DC">
              <w:rPr>
                <w:rFonts w:cstheme="minorHAnsi"/>
                <w:lang w:val="en-GB"/>
              </w:rPr>
              <w:t xml:space="preserve"> across the border.  Opportunities for joint job information </w:t>
            </w:r>
            <w:r w:rsidR="00826AAD" w:rsidRPr="006645DC">
              <w:rPr>
                <w:rFonts w:cstheme="minorHAnsi"/>
                <w:lang w:val="en-GB"/>
              </w:rPr>
              <w:t>center</w:t>
            </w:r>
            <w:r w:rsidRPr="006645DC">
              <w:rPr>
                <w:rFonts w:cstheme="minorHAnsi"/>
                <w:lang w:val="en-GB"/>
              </w:rPr>
              <w:t>(s).</w:t>
            </w:r>
          </w:p>
          <w:p w14:paraId="4181EB6C" w14:textId="77777777" w:rsidR="005D1086" w:rsidRPr="006645DC" w:rsidRDefault="005D1086" w:rsidP="005D1086">
            <w:pPr>
              <w:spacing w:before="40" w:after="40"/>
              <w:rPr>
                <w:rFonts w:cstheme="minorHAnsi"/>
                <w:lang w:val="en-GB"/>
              </w:rPr>
            </w:pPr>
            <w:r w:rsidRPr="006645DC">
              <w:rPr>
                <w:rFonts w:cstheme="minorHAnsi"/>
                <w:lang w:val="en-GB"/>
              </w:rPr>
              <w:t>Create new cross-border institutions for strengthening education and business co-operation.</w:t>
            </w:r>
          </w:p>
          <w:p w14:paraId="30317736" w14:textId="77777777" w:rsidR="005D1086" w:rsidRPr="006645DC" w:rsidRDefault="005D1086" w:rsidP="005D1086">
            <w:pPr>
              <w:spacing w:before="40" w:after="40"/>
              <w:rPr>
                <w:rFonts w:cstheme="minorHAnsi"/>
                <w:lang w:val="en-GB"/>
              </w:rPr>
            </w:pPr>
            <w:r w:rsidRPr="006645DC">
              <w:rPr>
                <w:rFonts w:cstheme="minorHAnsi"/>
                <w:lang w:val="en-GB"/>
              </w:rPr>
              <w:t>Begin the introduction of bi-lingual information technology in the field of education.</w:t>
            </w:r>
          </w:p>
          <w:p w14:paraId="74B71873" w14:textId="77777777" w:rsidR="005D1086" w:rsidRPr="006645DC" w:rsidRDefault="005D1086" w:rsidP="005D1086">
            <w:pPr>
              <w:spacing w:before="40" w:after="40"/>
              <w:rPr>
                <w:rFonts w:cstheme="minorHAnsi"/>
                <w:lang w:val="en-GB"/>
              </w:rPr>
            </w:pPr>
            <w:r w:rsidRPr="006645DC">
              <w:rPr>
                <w:rFonts w:cstheme="minorHAnsi"/>
                <w:lang w:val="en-GB"/>
              </w:rPr>
              <w:t>Development of equal opportunities for men and women, especially in rural areas.</w:t>
            </w:r>
          </w:p>
          <w:p w14:paraId="2F31D8B5" w14:textId="77777777" w:rsidR="005D1086" w:rsidRPr="006645DC" w:rsidRDefault="005D1086" w:rsidP="005D1086">
            <w:pPr>
              <w:spacing w:before="40" w:after="40"/>
              <w:rPr>
                <w:rFonts w:cstheme="minorHAnsi"/>
                <w:lang w:val="en-GB"/>
              </w:rPr>
            </w:pPr>
            <w:r w:rsidRPr="006645DC">
              <w:rPr>
                <w:rFonts w:cstheme="minorHAnsi"/>
                <w:lang w:val="en-GB"/>
              </w:rPr>
              <w:t xml:space="preserve">Development of vocational, lifelong education. </w:t>
            </w:r>
          </w:p>
          <w:p w14:paraId="26536502" w14:textId="77777777" w:rsidR="005D1086" w:rsidRPr="006645DC" w:rsidRDefault="005D1086" w:rsidP="005D1086">
            <w:pPr>
              <w:spacing w:before="40" w:after="40"/>
              <w:rPr>
                <w:rFonts w:cstheme="minorHAnsi"/>
                <w:lang w:val="en-GB"/>
              </w:rPr>
            </w:pPr>
            <w:r w:rsidRPr="006645DC">
              <w:rPr>
                <w:rFonts w:cstheme="minorHAnsi"/>
                <w:lang w:val="en-GB"/>
              </w:rPr>
              <w:t>Create new cross-border cultural events based on historic and ethnic relationships.</w:t>
            </w:r>
          </w:p>
          <w:p w14:paraId="6856BB9D" w14:textId="77777777" w:rsidR="005D1086" w:rsidRPr="006645DC" w:rsidRDefault="005D1086" w:rsidP="005D1086">
            <w:pPr>
              <w:spacing w:before="40" w:after="40"/>
              <w:rPr>
                <w:rFonts w:cstheme="minorHAnsi"/>
                <w:lang w:val="en-GB"/>
              </w:rPr>
            </w:pPr>
          </w:p>
        </w:tc>
        <w:tc>
          <w:tcPr>
            <w:tcW w:w="2260" w:type="dxa"/>
            <w:gridSpan w:val="2"/>
          </w:tcPr>
          <w:p w14:paraId="62687796" w14:textId="77777777" w:rsidR="005D1086" w:rsidRPr="006645DC" w:rsidRDefault="005D1086" w:rsidP="005D1086">
            <w:pPr>
              <w:spacing w:before="40" w:after="40"/>
              <w:rPr>
                <w:rFonts w:cstheme="minorHAnsi"/>
                <w:lang w:val="en-GB"/>
              </w:rPr>
            </w:pPr>
            <w:r w:rsidRPr="006645DC">
              <w:rPr>
                <w:rFonts w:cstheme="minorHAnsi"/>
                <w:lang w:val="en-GB"/>
              </w:rPr>
              <w:t xml:space="preserve">Emigration of young and well-qualified people. </w:t>
            </w:r>
          </w:p>
          <w:p w14:paraId="5CC09181" w14:textId="77777777" w:rsidR="005D1086" w:rsidRPr="006645DC" w:rsidRDefault="005D1086" w:rsidP="005D1086">
            <w:pPr>
              <w:spacing w:before="40" w:after="40"/>
              <w:rPr>
                <w:rFonts w:cstheme="minorHAnsi"/>
                <w:lang w:val="en-GB"/>
              </w:rPr>
            </w:pPr>
            <w:r w:rsidRPr="006645DC">
              <w:rPr>
                <w:rFonts w:cstheme="minorHAnsi"/>
                <w:lang w:val="en-GB"/>
              </w:rPr>
              <w:t>Migration of better-educated workers.</w:t>
            </w:r>
          </w:p>
          <w:p w14:paraId="629ADDCC" w14:textId="77777777" w:rsidR="005D1086" w:rsidRPr="006645DC" w:rsidRDefault="005D1086" w:rsidP="005D1086">
            <w:pPr>
              <w:spacing w:before="40" w:after="40"/>
              <w:rPr>
                <w:rFonts w:cstheme="minorHAnsi"/>
                <w:lang w:val="en-GB"/>
              </w:rPr>
            </w:pPr>
            <w:r w:rsidRPr="006645DC">
              <w:rPr>
                <w:rFonts w:cstheme="minorHAnsi"/>
                <w:lang w:val="en-GB"/>
              </w:rPr>
              <w:t>Growing price of skilled workforce after joining the EU.</w:t>
            </w:r>
          </w:p>
          <w:p w14:paraId="6A3BD670" w14:textId="77777777" w:rsidR="005D1086" w:rsidRPr="006645DC" w:rsidRDefault="005D1086" w:rsidP="005D1086">
            <w:pPr>
              <w:spacing w:before="40" w:after="40"/>
              <w:rPr>
                <w:rFonts w:cstheme="minorHAnsi"/>
                <w:lang w:val="en-GB"/>
              </w:rPr>
            </w:pPr>
            <w:r w:rsidRPr="006645DC">
              <w:rPr>
                <w:rFonts w:cstheme="minorHAnsi"/>
                <w:lang w:val="en-GB"/>
              </w:rPr>
              <w:t xml:space="preserve">The decrease in the level of specialists’ professional qualification in machinery construction industry. </w:t>
            </w:r>
          </w:p>
          <w:p w14:paraId="149E8625" w14:textId="18A7B1B4" w:rsidR="005D1086" w:rsidRPr="006645DC" w:rsidRDefault="004A7DE4" w:rsidP="005D1086">
            <w:pPr>
              <w:spacing w:before="40" w:after="40"/>
              <w:rPr>
                <w:rFonts w:cstheme="minorHAnsi"/>
                <w:lang w:val="en-GB"/>
              </w:rPr>
            </w:pPr>
            <w:r w:rsidRPr="006645DC">
              <w:rPr>
                <w:rFonts w:cstheme="minorHAnsi"/>
                <w:lang w:val="en-GB"/>
              </w:rPr>
              <w:t>Unfavourable</w:t>
            </w:r>
            <w:r w:rsidR="005D1086" w:rsidRPr="006645DC">
              <w:rPr>
                <w:rFonts w:cstheme="minorHAnsi"/>
                <w:lang w:val="en-GB"/>
              </w:rPr>
              <w:t xml:space="preserve"> demographic trends (ageing population, population decline).</w:t>
            </w:r>
          </w:p>
        </w:tc>
      </w:tr>
      <w:tr w:rsidR="005D1086" w:rsidRPr="006645DC" w14:paraId="2A3DC126" w14:textId="77777777" w:rsidTr="004A7DE4">
        <w:tc>
          <w:tcPr>
            <w:tcW w:w="1485" w:type="dxa"/>
            <w:vMerge w:val="restart"/>
          </w:tcPr>
          <w:p w14:paraId="593EA6FB" w14:textId="77777777" w:rsidR="005D1086" w:rsidRPr="006645DC" w:rsidRDefault="005D1086" w:rsidP="005D1086">
            <w:pPr>
              <w:spacing w:before="40" w:after="40"/>
              <w:rPr>
                <w:rFonts w:cstheme="minorHAnsi"/>
                <w:b/>
                <w:lang w:val="en-GB"/>
              </w:rPr>
            </w:pPr>
          </w:p>
        </w:tc>
        <w:tc>
          <w:tcPr>
            <w:tcW w:w="11448" w:type="dxa"/>
            <w:gridSpan w:val="5"/>
          </w:tcPr>
          <w:p w14:paraId="5398DC06" w14:textId="77777777" w:rsidR="005D1086" w:rsidRPr="006645DC" w:rsidRDefault="005D1086" w:rsidP="005D1086">
            <w:pPr>
              <w:spacing w:before="40" w:after="40"/>
              <w:jc w:val="center"/>
              <w:rPr>
                <w:rFonts w:cstheme="minorHAnsi"/>
                <w:lang w:val="en-GB"/>
              </w:rPr>
            </w:pPr>
            <w:r w:rsidRPr="006645DC">
              <w:rPr>
                <w:rFonts w:cstheme="minorHAnsi"/>
                <w:b/>
                <w:color w:val="000000"/>
                <w:lang w:val="en-GB"/>
              </w:rPr>
              <w:t>COMMENTS FROM THE 2014-2020 TA PERSPECTIVE</w:t>
            </w:r>
          </w:p>
        </w:tc>
      </w:tr>
      <w:tr w:rsidR="005D1086" w:rsidRPr="006645DC" w14:paraId="5D4F66D5" w14:textId="77777777" w:rsidTr="004A7DE4">
        <w:tc>
          <w:tcPr>
            <w:tcW w:w="1485" w:type="dxa"/>
            <w:vMerge/>
          </w:tcPr>
          <w:p w14:paraId="1E27A905" w14:textId="77777777" w:rsidR="005D1086" w:rsidRPr="006645DC" w:rsidRDefault="005D1086" w:rsidP="005D1086">
            <w:pPr>
              <w:spacing w:before="40" w:after="40"/>
              <w:rPr>
                <w:rFonts w:cstheme="minorHAnsi"/>
                <w:b/>
                <w:lang w:val="en-GB"/>
              </w:rPr>
            </w:pPr>
          </w:p>
        </w:tc>
        <w:tc>
          <w:tcPr>
            <w:tcW w:w="2515" w:type="dxa"/>
          </w:tcPr>
          <w:p w14:paraId="728BF2F7" w14:textId="77777777" w:rsidR="005D1086" w:rsidRPr="006645DC" w:rsidRDefault="005D1086" w:rsidP="005D1086">
            <w:pPr>
              <w:spacing w:before="40" w:after="40"/>
              <w:rPr>
                <w:rFonts w:cstheme="minorHAnsi"/>
                <w:lang w:val="en-GB"/>
              </w:rPr>
            </w:pPr>
            <w:r w:rsidRPr="006645DC">
              <w:rPr>
                <w:rFonts w:cstheme="minorHAnsi"/>
                <w:lang w:val="en-GB"/>
              </w:rPr>
              <w:t xml:space="preserve">The aspects in the 2007-2013 SWOT are still valid with the exception of the availability of relatively flexible and </w:t>
            </w:r>
            <w:r w:rsidR="00826AAD" w:rsidRPr="006645DC">
              <w:rPr>
                <w:rFonts w:cstheme="minorHAnsi"/>
                <w:lang w:val="en-GB"/>
              </w:rPr>
              <w:t>qualified</w:t>
            </w:r>
            <w:r w:rsidRPr="006645DC">
              <w:rPr>
                <w:rFonts w:cstheme="minorHAnsi"/>
                <w:lang w:val="en-GB"/>
              </w:rPr>
              <w:t xml:space="preserve"> workforce. Given the strong migration </w:t>
            </w:r>
            <w:r w:rsidR="00826AAD" w:rsidRPr="006645DC">
              <w:rPr>
                <w:rFonts w:cstheme="minorHAnsi"/>
                <w:lang w:val="en-GB"/>
              </w:rPr>
              <w:t>outside</w:t>
            </w:r>
            <w:r w:rsidRPr="006645DC">
              <w:rPr>
                <w:rFonts w:cstheme="minorHAnsi"/>
                <w:lang w:val="en-GB"/>
              </w:rPr>
              <w:t xml:space="preserve"> the area of the </w:t>
            </w:r>
            <w:r w:rsidR="00826AAD" w:rsidRPr="006645DC">
              <w:rPr>
                <w:rFonts w:cstheme="minorHAnsi"/>
                <w:lang w:val="en-GB"/>
              </w:rPr>
              <w:t>best-trained</w:t>
            </w:r>
            <w:r w:rsidRPr="006645DC">
              <w:rPr>
                <w:rFonts w:cstheme="minorHAnsi"/>
                <w:lang w:val="en-GB"/>
              </w:rPr>
              <w:t xml:space="preserve"> workforce and the constant </w:t>
            </w:r>
            <w:r w:rsidR="00826AAD" w:rsidRPr="006645DC">
              <w:rPr>
                <w:rFonts w:cstheme="minorHAnsi"/>
                <w:lang w:val="en-GB"/>
              </w:rPr>
              <w:t>brain drain</w:t>
            </w:r>
            <w:r w:rsidRPr="006645DC">
              <w:rPr>
                <w:rFonts w:cstheme="minorHAnsi"/>
                <w:lang w:val="en-GB"/>
              </w:rPr>
              <w:t xml:space="preserve">, this aspect is no longer valid.  </w:t>
            </w:r>
          </w:p>
        </w:tc>
        <w:tc>
          <w:tcPr>
            <w:tcW w:w="3848" w:type="dxa"/>
          </w:tcPr>
          <w:p w14:paraId="7DF4D8E0" w14:textId="77777777" w:rsidR="005D1086" w:rsidRPr="006645DC" w:rsidRDefault="005D1086" w:rsidP="005D1086">
            <w:pPr>
              <w:spacing w:before="40" w:after="40"/>
              <w:rPr>
                <w:rFonts w:cstheme="minorHAnsi"/>
                <w:lang w:val="en-GB"/>
              </w:rPr>
            </w:pPr>
            <w:r w:rsidRPr="006645DC">
              <w:rPr>
                <w:rFonts w:cstheme="minorHAnsi"/>
                <w:lang w:val="en-GB"/>
              </w:rPr>
              <w:t xml:space="preserve">The problems of language and cross-border communication are still a key aspect of the difficulties of cross-border actors to engage in cooperation. </w:t>
            </w:r>
          </w:p>
          <w:p w14:paraId="3530FFFD" w14:textId="77777777" w:rsidR="005D1086" w:rsidRPr="006645DC" w:rsidRDefault="005D1086" w:rsidP="005D1086">
            <w:pPr>
              <w:spacing w:before="40" w:after="40"/>
              <w:rPr>
                <w:rFonts w:cstheme="minorHAnsi"/>
                <w:lang w:val="en-GB"/>
              </w:rPr>
            </w:pPr>
            <w:r w:rsidRPr="006645DC">
              <w:rPr>
                <w:rFonts w:cstheme="minorHAnsi"/>
                <w:lang w:val="en-GB"/>
              </w:rPr>
              <w:t xml:space="preserve">The high unemployment (reinforced by the economic crisis) and the lack of employment opportunities for more highly qualified persons are still valid and respond to the high inactivity rates and the low productivity level of the area. This creates a structural vicious cycle that reinforces emigration, inactivity, high dependency ratios. </w:t>
            </w:r>
          </w:p>
          <w:p w14:paraId="33D95511" w14:textId="77777777" w:rsidR="005D1086" w:rsidRPr="006645DC" w:rsidRDefault="005D1086" w:rsidP="005D1086">
            <w:pPr>
              <w:spacing w:before="40" w:after="40"/>
              <w:rPr>
                <w:rFonts w:cstheme="minorHAnsi"/>
                <w:lang w:val="en-GB"/>
              </w:rPr>
            </w:pPr>
            <w:r w:rsidRPr="006645DC">
              <w:rPr>
                <w:rFonts w:cstheme="minorHAnsi"/>
                <w:lang w:val="en-GB"/>
              </w:rPr>
              <w:t xml:space="preserve">The low economic added values lead to low taxes revenue and put under stress the critical public services like healthcare, education and make very difficult the investment in green utilities. </w:t>
            </w:r>
          </w:p>
          <w:p w14:paraId="33A143F2" w14:textId="77777777" w:rsidR="005D1086" w:rsidRPr="006645DC" w:rsidRDefault="005D1086" w:rsidP="005D1086">
            <w:pPr>
              <w:spacing w:before="40" w:after="40"/>
              <w:rPr>
                <w:rFonts w:cstheme="minorHAnsi"/>
                <w:lang w:val="en-GB"/>
              </w:rPr>
            </w:pPr>
            <w:r w:rsidRPr="006645DC">
              <w:rPr>
                <w:rFonts w:cstheme="minorHAnsi"/>
                <w:lang w:val="en-GB"/>
              </w:rPr>
              <w:t>Even though the cooperation in the health and social services has seen some improvements and projects being implemented, is still deficient.</w:t>
            </w:r>
          </w:p>
        </w:tc>
        <w:tc>
          <w:tcPr>
            <w:tcW w:w="2825" w:type="dxa"/>
          </w:tcPr>
          <w:p w14:paraId="4CB85B6D" w14:textId="77777777" w:rsidR="005D1086" w:rsidRPr="006645DC" w:rsidRDefault="005D1086" w:rsidP="005D1086">
            <w:pPr>
              <w:spacing w:before="40" w:after="40"/>
              <w:rPr>
                <w:rFonts w:cstheme="minorHAnsi"/>
                <w:lang w:val="en-GB"/>
              </w:rPr>
            </w:pPr>
            <w:r w:rsidRPr="006645DC">
              <w:rPr>
                <w:rFonts w:cstheme="minorHAnsi"/>
                <w:lang w:val="en-GB"/>
              </w:rPr>
              <w:t xml:space="preserve">Many opportunities from the 2007-2013 SWOT seem to have only a limited relevance to the present situation of the Human Resources in the cross-border area. The free movement of labor inside the EU has proved to be a factor of risk given the incentives to migrate and not an opportunity. This can no longer be seen as an opportunity for the cross-border development of HR. Other opportunities, even though still valid, should be better identified in order to understand what cross-border HR aspect they can tackle. </w:t>
            </w:r>
          </w:p>
          <w:p w14:paraId="57984D7F" w14:textId="77777777" w:rsidR="005D1086" w:rsidRPr="006645DC" w:rsidRDefault="005D1086" w:rsidP="005D1086">
            <w:pPr>
              <w:spacing w:before="40" w:after="40"/>
              <w:rPr>
                <w:rFonts w:cstheme="minorHAnsi"/>
                <w:lang w:val="en-GB"/>
              </w:rPr>
            </w:pPr>
            <w:r w:rsidRPr="006645DC">
              <w:rPr>
                <w:rFonts w:cstheme="minorHAnsi"/>
                <w:lang w:val="en-GB"/>
              </w:rPr>
              <w:t xml:space="preserve">The vocational, lifelong education is still a big opportunity for fostering the integration of working-able </w:t>
            </w:r>
            <w:r w:rsidRPr="006645DC">
              <w:rPr>
                <w:rFonts w:cstheme="minorHAnsi"/>
                <w:lang w:val="en-GB"/>
              </w:rPr>
              <w:lastRenderedPageBreak/>
              <w:t xml:space="preserve">inactive persons into the labor market. These measures have to be supported by measures to support social business models (support infrastructures, incentives, etc.) as necessary and more adequate outlets for the trained HR.  </w:t>
            </w:r>
          </w:p>
        </w:tc>
        <w:tc>
          <w:tcPr>
            <w:tcW w:w="2260" w:type="dxa"/>
            <w:gridSpan w:val="2"/>
          </w:tcPr>
          <w:p w14:paraId="08E1E65E" w14:textId="77777777" w:rsidR="005D1086" w:rsidRPr="006645DC" w:rsidRDefault="005D1086" w:rsidP="005D1086">
            <w:pPr>
              <w:spacing w:before="40" w:after="40"/>
              <w:rPr>
                <w:rFonts w:cstheme="minorHAnsi"/>
                <w:lang w:val="en-GB"/>
              </w:rPr>
            </w:pPr>
            <w:r w:rsidRPr="006645DC">
              <w:rPr>
                <w:rFonts w:cstheme="minorHAnsi"/>
                <w:lang w:val="en-GB"/>
              </w:rPr>
              <w:lastRenderedPageBreak/>
              <w:t xml:space="preserve">The risks identified in 2007 have all become reality and are the norm. The </w:t>
            </w:r>
            <w:r w:rsidR="00826AAD" w:rsidRPr="006645DC">
              <w:rPr>
                <w:rFonts w:cstheme="minorHAnsi"/>
                <w:lang w:val="en-GB"/>
              </w:rPr>
              <w:t>continuation of these phenomena is</w:t>
            </w:r>
            <w:r w:rsidRPr="006645DC">
              <w:rPr>
                <w:rFonts w:cstheme="minorHAnsi"/>
                <w:lang w:val="en-GB"/>
              </w:rPr>
              <w:t xml:space="preserve"> the main risk for the future OP. The incapacity of public measures and administrative capacity to effectively address these phenomena represent additional risk factors. </w:t>
            </w:r>
          </w:p>
        </w:tc>
      </w:tr>
      <w:tr w:rsidR="005D1086" w:rsidRPr="006645DC" w14:paraId="2699738A" w14:textId="77777777" w:rsidTr="004A7DE4">
        <w:tc>
          <w:tcPr>
            <w:tcW w:w="1485" w:type="dxa"/>
          </w:tcPr>
          <w:p w14:paraId="4A28EC8B" w14:textId="77777777" w:rsidR="005D1086" w:rsidRPr="006645DC" w:rsidRDefault="005D1086" w:rsidP="005D1086">
            <w:pPr>
              <w:spacing w:before="40" w:after="40"/>
              <w:rPr>
                <w:rFonts w:cstheme="minorHAnsi"/>
                <w:b/>
                <w:lang w:val="en-GB"/>
              </w:rPr>
            </w:pPr>
            <w:r w:rsidRPr="006645DC">
              <w:rPr>
                <w:rFonts w:cstheme="minorHAnsi"/>
                <w:b/>
                <w:lang w:val="en-GB"/>
              </w:rPr>
              <w:lastRenderedPageBreak/>
              <w:t>Tourism</w:t>
            </w:r>
          </w:p>
        </w:tc>
        <w:tc>
          <w:tcPr>
            <w:tcW w:w="2515" w:type="dxa"/>
          </w:tcPr>
          <w:p w14:paraId="1F07714E" w14:textId="77777777" w:rsidR="005D1086" w:rsidRPr="006645DC" w:rsidRDefault="005D1086" w:rsidP="005D1086">
            <w:pPr>
              <w:spacing w:before="40" w:after="40"/>
              <w:rPr>
                <w:rFonts w:cstheme="minorHAnsi"/>
                <w:lang w:val="en-GB"/>
              </w:rPr>
            </w:pPr>
            <w:r w:rsidRPr="006645DC">
              <w:rPr>
                <w:rFonts w:cstheme="minorHAnsi"/>
                <w:lang w:val="en-GB"/>
              </w:rPr>
              <w:t xml:space="preserve">Area of outstanding natural beauty, many unspoiled, diversified landscapes and attractive natural environment containing rich flora and fauna resources offering favourable conditions for diversified tourism. </w:t>
            </w:r>
          </w:p>
          <w:p w14:paraId="7B928AE2" w14:textId="77777777" w:rsidR="005D1086" w:rsidRPr="006645DC" w:rsidRDefault="005D1086" w:rsidP="005D1086">
            <w:pPr>
              <w:spacing w:before="40" w:after="40"/>
              <w:rPr>
                <w:rFonts w:cstheme="minorHAnsi"/>
                <w:lang w:val="en-GB"/>
              </w:rPr>
            </w:pPr>
            <w:r w:rsidRPr="006645DC">
              <w:rPr>
                <w:rFonts w:cstheme="minorHAnsi"/>
                <w:lang w:val="en-GB"/>
              </w:rPr>
              <w:t>Rich and diverse cultural heritage (history, architecture, traditions and folklore) of regional and international interest.</w:t>
            </w:r>
          </w:p>
          <w:p w14:paraId="3FE7003B" w14:textId="77777777" w:rsidR="005D1086" w:rsidRPr="006645DC" w:rsidRDefault="005D1086" w:rsidP="005D1086">
            <w:pPr>
              <w:spacing w:before="40" w:after="40"/>
              <w:rPr>
                <w:rFonts w:cstheme="minorHAnsi"/>
                <w:lang w:val="en-GB"/>
              </w:rPr>
            </w:pPr>
            <w:r w:rsidRPr="006645DC">
              <w:rPr>
                <w:rFonts w:cstheme="minorHAnsi"/>
                <w:lang w:val="en-GB"/>
              </w:rPr>
              <w:t>Rural areas preserving the cultural and heritage traditions in daily life.</w:t>
            </w:r>
          </w:p>
          <w:p w14:paraId="1C00A24A" w14:textId="77777777" w:rsidR="005D1086" w:rsidRPr="006645DC" w:rsidRDefault="005D1086" w:rsidP="005D1086">
            <w:pPr>
              <w:spacing w:before="40" w:after="40"/>
              <w:rPr>
                <w:rFonts w:cstheme="minorHAnsi"/>
                <w:lang w:val="en-GB"/>
              </w:rPr>
            </w:pPr>
            <w:r w:rsidRPr="006645DC">
              <w:rPr>
                <w:rFonts w:cstheme="minorHAnsi"/>
                <w:lang w:val="en-GB"/>
              </w:rPr>
              <w:t xml:space="preserve">Partially developed </w:t>
            </w:r>
            <w:r w:rsidRPr="006645DC">
              <w:rPr>
                <w:rFonts w:cstheme="minorHAnsi"/>
                <w:lang w:val="en-GB"/>
              </w:rPr>
              <w:lastRenderedPageBreak/>
              <w:t>seaside tourism.</w:t>
            </w:r>
          </w:p>
          <w:p w14:paraId="5F5EB5F7" w14:textId="77777777" w:rsidR="005D1086" w:rsidRPr="006645DC" w:rsidRDefault="005D1086" w:rsidP="005D1086">
            <w:pPr>
              <w:spacing w:before="40" w:after="40"/>
              <w:rPr>
                <w:rFonts w:cstheme="minorHAnsi"/>
                <w:lang w:val="en-GB"/>
              </w:rPr>
            </w:pPr>
            <w:r w:rsidRPr="006645DC">
              <w:rPr>
                <w:rFonts w:cstheme="minorHAnsi"/>
                <w:lang w:val="en-GB"/>
              </w:rPr>
              <w:t>Accommodation capacity available, especially on the Black Sea shore.</w:t>
            </w:r>
          </w:p>
        </w:tc>
        <w:tc>
          <w:tcPr>
            <w:tcW w:w="3848" w:type="dxa"/>
          </w:tcPr>
          <w:p w14:paraId="4F77B0B4" w14:textId="77777777" w:rsidR="005D1086" w:rsidRPr="006645DC" w:rsidRDefault="005D1086" w:rsidP="005D1086">
            <w:pPr>
              <w:spacing w:before="40" w:after="40"/>
              <w:rPr>
                <w:rFonts w:cstheme="minorHAnsi"/>
                <w:lang w:val="en-GB"/>
              </w:rPr>
            </w:pPr>
            <w:r w:rsidRPr="006645DC">
              <w:rPr>
                <w:rFonts w:cstheme="minorHAnsi"/>
                <w:lang w:val="en-GB"/>
              </w:rPr>
              <w:lastRenderedPageBreak/>
              <w:t>Underdeveloped tourism infrastructure and services, except Black Sea coast; large quality discrepancies between old and new facilities.</w:t>
            </w:r>
          </w:p>
          <w:p w14:paraId="3DC2B96A" w14:textId="77777777" w:rsidR="005D1086" w:rsidRPr="006645DC" w:rsidRDefault="005D1086" w:rsidP="005D1086">
            <w:pPr>
              <w:spacing w:before="40" w:after="40"/>
              <w:rPr>
                <w:rFonts w:cstheme="minorHAnsi"/>
                <w:lang w:val="en-GB"/>
              </w:rPr>
            </w:pPr>
            <w:r w:rsidRPr="006645DC">
              <w:rPr>
                <w:rFonts w:cstheme="minorHAnsi"/>
                <w:lang w:val="en-GB"/>
              </w:rPr>
              <w:t>Seasonality of tourism at the seaside.</w:t>
            </w:r>
          </w:p>
          <w:p w14:paraId="724FF10B" w14:textId="77777777" w:rsidR="005D1086" w:rsidRPr="006645DC" w:rsidRDefault="005D1086" w:rsidP="005D1086">
            <w:pPr>
              <w:spacing w:before="40" w:after="40"/>
              <w:rPr>
                <w:rFonts w:cstheme="minorHAnsi"/>
                <w:lang w:val="en-GB"/>
              </w:rPr>
            </w:pPr>
            <w:r w:rsidRPr="006645DC">
              <w:rPr>
                <w:rFonts w:cstheme="minorHAnsi"/>
                <w:lang w:val="en-GB"/>
              </w:rPr>
              <w:t xml:space="preserve">Potential visitors currently unaware of the area’s tourism potential (e.g. thematic tourism: wine road, religious, historical heritage, spas etc.). </w:t>
            </w:r>
          </w:p>
          <w:p w14:paraId="7FDF3585" w14:textId="77777777" w:rsidR="005D1086" w:rsidRPr="006645DC" w:rsidRDefault="005D1086" w:rsidP="005D1086">
            <w:pPr>
              <w:spacing w:before="40" w:after="40"/>
              <w:rPr>
                <w:rFonts w:cstheme="minorHAnsi"/>
                <w:lang w:val="en-GB"/>
              </w:rPr>
            </w:pPr>
            <w:r w:rsidRPr="006645DC">
              <w:rPr>
                <w:rFonts w:cstheme="minorHAnsi"/>
                <w:lang w:val="en-GB"/>
              </w:rPr>
              <w:t>The absence of coherent cross-border tourism development policies and programmes.</w:t>
            </w:r>
          </w:p>
          <w:p w14:paraId="31151957" w14:textId="77777777" w:rsidR="005D1086" w:rsidRPr="006645DC" w:rsidRDefault="005D1086" w:rsidP="005D1086">
            <w:pPr>
              <w:spacing w:before="40" w:after="40"/>
              <w:rPr>
                <w:rFonts w:cstheme="minorHAnsi"/>
                <w:lang w:val="en-GB"/>
              </w:rPr>
            </w:pPr>
            <w:r w:rsidRPr="006645DC">
              <w:rPr>
                <w:rFonts w:cstheme="minorHAnsi"/>
                <w:lang w:val="en-GB"/>
              </w:rPr>
              <w:t>Lack of integrated tourist information and attractive programme packages.</w:t>
            </w:r>
          </w:p>
          <w:p w14:paraId="1179F959" w14:textId="77777777" w:rsidR="005D1086" w:rsidRPr="006645DC" w:rsidRDefault="005D1086" w:rsidP="005D1086">
            <w:pPr>
              <w:spacing w:before="40" w:after="40"/>
              <w:rPr>
                <w:rFonts w:cstheme="minorHAnsi"/>
                <w:lang w:val="en-GB"/>
              </w:rPr>
            </w:pPr>
            <w:r w:rsidRPr="006645DC">
              <w:rPr>
                <w:rFonts w:cstheme="minorHAnsi"/>
                <w:lang w:val="en-GB"/>
              </w:rPr>
              <w:t>Lack of local/cross-border tourism trade initiatives, no developed cross-border tourist organisations.</w:t>
            </w:r>
          </w:p>
          <w:p w14:paraId="0F5F7D8A" w14:textId="77777777" w:rsidR="005D1086" w:rsidRPr="006645DC" w:rsidRDefault="005D1086" w:rsidP="005D1086">
            <w:pPr>
              <w:spacing w:before="40" w:after="40"/>
              <w:rPr>
                <w:rFonts w:cstheme="minorHAnsi"/>
                <w:lang w:val="en-GB"/>
              </w:rPr>
            </w:pPr>
            <w:r w:rsidRPr="006645DC">
              <w:rPr>
                <w:rFonts w:cstheme="minorHAnsi"/>
                <w:szCs w:val="18"/>
                <w:lang w:val="en-GB"/>
              </w:rPr>
              <w:t xml:space="preserve">Inadequately developed leisure time </w:t>
            </w:r>
            <w:r w:rsidRPr="006645DC">
              <w:rPr>
                <w:rFonts w:cstheme="minorHAnsi"/>
                <w:szCs w:val="18"/>
                <w:lang w:val="en-GB"/>
              </w:rPr>
              <w:lastRenderedPageBreak/>
              <w:t>infrastructure.</w:t>
            </w:r>
          </w:p>
        </w:tc>
        <w:tc>
          <w:tcPr>
            <w:tcW w:w="2825" w:type="dxa"/>
          </w:tcPr>
          <w:p w14:paraId="5D5FBF11" w14:textId="77777777" w:rsidR="005D1086" w:rsidRPr="006645DC" w:rsidRDefault="005D1086" w:rsidP="005D1086">
            <w:pPr>
              <w:spacing w:before="40" w:after="40"/>
              <w:rPr>
                <w:rFonts w:cstheme="minorHAnsi"/>
                <w:lang w:val="en-GB"/>
              </w:rPr>
            </w:pPr>
            <w:r w:rsidRPr="006645DC">
              <w:rPr>
                <w:rFonts w:cstheme="minorHAnsi"/>
                <w:lang w:val="en-GB"/>
              </w:rPr>
              <w:lastRenderedPageBreak/>
              <w:t xml:space="preserve">The area’s unused tourism potential offers many opportunities for </w:t>
            </w:r>
            <w:r w:rsidR="00826AAD" w:rsidRPr="006645DC">
              <w:rPr>
                <w:rFonts w:cstheme="minorHAnsi"/>
                <w:lang w:val="en-GB"/>
              </w:rPr>
              <w:t>long-term</w:t>
            </w:r>
            <w:r w:rsidRPr="006645DC">
              <w:rPr>
                <w:rFonts w:cstheme="minorHAnsi"/>
                <w:lang w:val="en-GB"/>
              </w:rPr>
              <w:t xml:space="preserve"> development. Especially “niche markets” such as wellness and eco- tourism, action and adventure holidays.</w:t>
            </w:r>
          </w:p>
          <w:p w14:paraId="3D31E843" w14:textId="77777777" w:rsidR="005D1086" w:rsidRPr="006645DC" w:rsidRDefault="005D1086" w:rsidP="005D1086">
            <w:pPr>
              <w:spacing w:before="40" w:after="40"/>
              <w:rPr>
                <w:rFonts w:cstheme="minorHAnsi"/>
                <w:lang w:val="en-GB"/>
              </w:rPr>
            </w:pPr>
            <w:r w:rsidRPr="006645DC">
              <w:rPr>
                <w:rFonts w:cstheme="minorHAnsi"/>
                <w:lang w:val="en-GB"/>
              </w:rPr>
              <w:t>Centred on the Danube, creation of multi-level river tourism combining natural, historical and cultural heritage for sustainable growth and development of the region’s image.</w:t>
            </w:r>
          </w:p>
          <w:p w14:paraId="3EA81A32" w14:textId="77777777" w:rsidR="005D1086" w:rsidRPr="006645DC" w:rsidRDefault="005D1086" w:rsidP="005D1086">
            <w:pPr>
              <w:spacing w:before="40" w:after="40"/>
              <w:rPr>
                <w:rFonts w:cstheme="minorHAnsi"/>
                <w:lang w:val="en-GB"/>
              </w:rPr>
            </w:pPr>
            <w:r w:rsidRPr="006645DC">
              <w:rPr>
                <w:rFonts w:cstheme="minorHAnsi"/>
                <w:lang w:val="en-GB"/>
              </w:rPr>
              <w:t>Development of cross-border tourist infrastructure and services as cross-border products</w:t>
            </w:r>
          </w:p>
          <w:p w14:paraId="5201D16C" w14:textId="77777777" w:rsidR="005D1086" w:rsidRPr="006645DC" w:rsidRDefault="005D1086" w:rsidP="005D1086">
            <w:pPr>
              <w:spacing w:before="40" w:after="40"/>
              <w:rPr>
                <w:rFonts w:cstheme="minorHAnsi"/>
                <w:lang w:val="en-GB"/>
              </w:rPr>
            </w:pPr>
          </w:p>
        </w:tc>
        <w:tc>
          <w:tcPr>
            <w:tcW w:w="2260" w:type="dxa"/>
            <w:gridSpan w:val="2"/>
          </w:tcPr>
          <w:p w14:paraId="2ACBED3C" w14:textId="77777777" w:rsidR="005D1086" w:rsidRPr="006645DC" w:rsidRDefault="005D1086" w:rsidP="005D1086">
            <w:pPr>
              <w:spacing w:before="40" w:after="40"/>
              <w:rPr>
                <w:rFonts w:cstheme="minorHAnsi"/>
                <w:lang w:val="en-GB"/>
              </w:rPr>
            </w:pPr>
            <w:r w:rsidRPr="006645DC">
              <w:rPr>
                <w:rFonts w:cstheme="minorHAnsi"/>
                <w:lang w:val="en-GB"/>
              </w:rPr>
              <w:lastRenderedPageBreak/>
              <w:t>International competition for foreign tourist will prevent area from realising its potential.</w:t>
            </w:r>
          </w:p>
          <w:p w14:paraId="6C58D7D5" w14:textId="77777777" w:rsidR="005D1086" w:rsidRPr="006645DC" w:rsidRDefault="005D1086" w:rsidP="005D1086">
            <w:pPr>
              <w:spacing w:before="40" w:after="40"/>
              <w:rPr>
                <w:rFonts w:cstheme="minorHAnsi"/>
                <w:lang w:val="en-GB"/>
              </w:rPr>
            </w:pPr>
            <w:r w:rsidRPr="006645DC">
              <w:rPr>
                <w:rFonts w:cstheme="minorHAnsi"/>
                <w:lang w:val="en-GB"/>
              </w:rPr>
              <w:t xml:space="preserve">Badly maintained historical and cultural sites and lack of supporting infrastructure and services could deter sustainable growth of cultural tourism. </w:t>
            </w:r>
          </w:p>
          <w:p w14:paraId="275CF9B2" w14:textId="77777777" w:rsidR="005D1086" w:rsidRPr="006645DC" w:rsidRDefault="005D1086" w:rsidP="005D1086">
            <w:pPr>
              <w:spacing w:before="40" w:after="40"/>
              <w:rPr>
                <w:rFonts w:cstheme="minorHAnsi"/>
                <w:lang w:val="en-GB"/>
              </w:rPr>
            </w:pPr>
            <w:r w:rsidRPr="006645DC">
              <w:rPr>
                <w:rFonts w:cstheme="minorHAnsi"/>
                <w:lang w:val="en-GB"/>
              </w:rPr>
              <w:t xml:space="preserve">The unstable natural environment of the Danube area, e.g. risks of flooding, impassable roads, extreme weather, is a </w:t>
            </w:r>
            <w:r w:rsidRPr="006645DC">
              <w:rPr>
                <w:rFonts w:cstheme="minorHAnsi"/>
                <w:lang w:val="en-GB"/>
              </w:rPr>
              <w:lastRenderedPageBreak/>
              <w:t xml:space="preserve">threat to developing tourism in the area. </w:t>
            </w:r>
          </w:p>
          <w:p w14:paraId="34E3EA1F" w14:textId="77777777" w:rsidR="005D1086" w:rsidRPr="006645DC" w:rsidRDefault="005D1086" w:rsidP="005D1086">
            <w:pPr>
              <w:spacing w:before="40" w:after="40"/>
              <w:rPr>
                <w:rFonts w:cstheme="minorHAnsi"/>
                <w:lang w:val="en-GB"/>
              </w:rPr>
            </w:pPr>
          </w:p>
        </w:tc>
      </w:tr>
      <w:tr w:rsidR="005D1086" w:rsidRPr="006645DC" w14:paraId="4F825C68" w14:textId="77777777" w:rsidTr="004A7DE4">
        <w:tc>
          <w:tcPr>
            <w:tcW w:w="1485" w:type="dxa"/>
            <w:vMerge w:val="restart"/>
          </w:tcPr>
          <w:p w14:paraId="67F24B86" w14:textId="77777777" w:rsidR="005D1086" w:rsidRPr="006645DC" w:rsidRDefault="005D1086" w:rsidP="005D1086">
            <w:pPr>
              <w:spacing w:before="40" w:after="40"/>
              <w:rPr>
                <w:rFonts w:cstheme="minorHAnsi"/>
                <w:b/>
                <w:lang w:val="en-GB"/>
              </w:rPr>
            </w:pPr>
          </w:p>
        </w:tc>
        <w:tc>
          <w:tcPr>
            <w:tcW w:w="11448" w:type="dxa"/>
            <w:gridSpan w:val="5"/>
          </w:tcPr>
          <w:p w14:paraId="55483E14" w14:textId="77777777" w:rsidR="005D1086" w:rsidRPr="006645DC" w:rsidRDefault="005D1086" w:rsidP="005D1086">
            <w:pPr>
              <w:spacing w:before="40" w:after="40"/>
              <w:jc w:val="center"/>
              <w:rPr>
                <w:rFonts w:cstheme="minorHAnsi"/>
                <w:lang w:val="en-GB"/>
              </w:rPr>
            </w:pPr>
            <w:r w:rsidRPr="006645DC">
              <w:rPr>
                <w:rFonts w:cstheme="minorHAnsi"/>
                <w:b/>
                <w:color w:val="000000"/>
                <w:lang w:val="en-GB"/>
              </w:rPr>
              <w:t>COMMENTS FROM THE 2014-2020 TA PERSPECTIVE</w:t>
            </w:r>
          </w:p>
        </w:tc>
      </w:tr>
      <w:tr w:rsidR="005D1086" w:rsidRPr="006645DC" w14:paraId="5262C2FC" w14:textId="77777777" w:rsidTr="004A7DE4">
        <w:tc>
          <w:tcPr>
            <w:tcW w:w="1485" w:type="dxa"/>
            <w:vMerge/>
          </w:tcPr>
          <w:p w14:paraId="571FE523" w14:textId="77777777" w:rsidR="005D1086" w:rsidRPr="006645DC" w:rsidRDefault="005D1086" w:rsidP="005D1086">
            <w:pPr>
              <w:spacing w:before="40" w:after="40"/>
              <w:rPr>
                <w:rFonts w:cstheme="minorHAnsi"/>
                <w:b/>
                <w:lang w:val="en-GB"/>
              </w:rPr>
            </w:pPr>
          </w:p>
        </w:tc>
        <w:tc>
          <w:tcPr>
            <w:tcW w:w="2515" w:type="dxa"/>
          </w:tcPr>
          <w:p w14:paraId="7DA64401" w14:textId="77777777" w:rsidR="005D1086" w:rsidRPr="006645DC" w:rsidRDefault="005D1086" w:rsidP="005D1086">
            <w:pPr>
              <w:spacing w:before="40" w:after="40"/>
              <w:rPr>
                <w:rFonts w:cstheme="minorHAnsi"/>
                <w:lang w:val="en-GB"/>
              </w:rPr>
            </w:pPr>
            <w:r w:rsidRPr="006645DC">
              <w:rPr>
                <w:rFonts w:cstheme="minorHAnsi"/>
                <w:lang w:val="en-GB"/>
              </w:rPr>
              <w:t xml:space="preserve">The strengths are the same and have been preserved. The seaside tourism potential is nevertheless limited as new accommodation and leisure infrastructure is difficult to envisage on the seaside area (especially in the Romanian area). </w:t>
            </w:r>
          </w:p>
          <w:p w14:paraId="6E8BE7D3" w14:textId="77777777" w:rsidR="005D1086" w:rsidRPr="006645DC" w:rsidRDefault="005D1086" w:rsidP="005D1086">
            <w:pPr>
              <w:spacing w:before="40" w:after="40"/>
              <w:rPr>
                <w:rFonts w:cstheme="minorHAnsi"/>
                <w:lang w:val="en-GB"/>
              </w:rPr>
            </w:pPr>
          </w:p>
          <w:p w14:paraId="08498776" w14:textId="77777777" w:rsidR="005D1086" w:rsidRPr="006645DC" w:rsidRDefault="005D1086" w:rsidP="005D1086">
            <w:pPr>
              <w:spacing w:before="40" w:after="40"/>
              <w:rPr>
                <w:rFonts w:cstheme="minorHAnsi"/>
                <w:lang w:val="en-GB"/>
              </w:rPr>
            </w:pPr>
          </w:p>
        </w:tc>
        <w:tc>
          <w:tcPr>
            <w:tcW w:w="3848" w:type="dxa"/>
          </w:tcPr>
          <w:p w14:paraId="07DE6C73" w14:textId="77777777" w:rsidR="005D1086" w:rsidRPr="006645DC" w:rsidRDefault="005D1086" w:rsidP="005D1086">
            <w:pPr>
              <w:spacing w:before="40" w:after="40"/>
              <w:rPr>
                <w:rFonts w:cstheme="minorHAnsi"/>
                <w:lang w:val="en-GB"/>
              </w:rPr>
            </w:pPr>
            <w:r w:rsidRPr="006645DC">
              <w:rPr>
                <w:rFonts w:cstheme="minorHAnsi"/>
                <w:lang w:val="en-GB"/>
              </w:rPr>
              <w:t xml:space="preserve">Even though some weaknesses have been addressed in the 2007-2013 period (some cross-border tourism initiatives in promoting common products, brands were implemented. Common tourism development strategies for the cross-border area were drafted) the structural weaknesses of the cross-border area tourism, a sector that can strategically unleash local potential and energies in  a relatively poor and depopulating region, are still the same as the ones identified in 2007: unbalanced seasonality, big unbalance in tourist flows between the seaside and the rest, the low contribution of tourism to local GDP, low local retention of tourism benefits, lack of coherent touristic promotion at cross-border area, little tourism information infrastructure, little use of local cultural/historic/urban/folklore/gastronomic and natural resources and specificities in tourism products.    </w:t>
            </w:r>
          </w:p>
        </w:tc>
        <w:tc>
          <w:tcPr>
            <w:tcW w:w="3074" w:type="dxa"/>
            <w:gridSpan w:val="2"/>
          </w:tcPr>
          <w:p w14:paraId="7AF31C30" w14:textId="77777777" w:rsidR="005D1086" w:rsidRPr="006645DC" w:rsidRDefault="005D1086" w:rsidP="005D1086">
            <w:pPr>
              <w:spacing w:before="40" w:after="40"/>
              <w:rPr>
                <w:rFonts w:cstheme="minorHAnsi"/>
                <w:lang w:val="en-GB"/>
              </w:rPr>
            </w:pPr>
            <w:r w:rsidRPr="006645DC">
              <w:rPr>
                <w:rFonts w:cstheme="minorHAnsi"/>
                <w:lang w:val="en-GB"/>
              </w:rPr>
              <w:t>The opportunities are roughly the same as in 2007, with the biggest potential for nature, agro-folklore and MICE tourism products developed around the Danube as an accessibility axis and attraction.  The 2007-2013 SWOT identified many shortcomings but was unsure about the solutions.</w:t>
            </w:r>
          </w:p>
          <w:p w14:paraId="5B8D6847" w14:textId="77777777" w:rsidR="005D1086" w:rsidRPr="006645DC" w:rsidRDefault="005D1086" w:rsidP="005D1086">
            <w:pPr>
              <w:spacing w:before="40" w:after="40"/>
              <w:rPr>
                <w:rFonts w:cstheme="minorHAnsi"/>
                <w:lang w:val="en-GB"/>
              </w:rPr>
            </w:pPr>
            <w:r w:rsidRPr="006645DC">
              <w:rPr>
                <w:rFonts w:cstheme="minorHAnsi"/>
                <w:lang w:val="en-GB"/>
              </w:rPr>
              <w:t xml:space="preserve">Many highly specific products can be developed with limited investments. The proximity of big primary  tourist emitting basins (Bucharest, Sofia) that are also entry points for international tourists, as well as the Danube river cruises, represent excellent potential for the creation and highly effective promotion of these specific tourism products. The need for leisure alternatives and even MICE locations in and </w:t>
            </w:r>
            <w:r w:rsidRPr="006645DC">
              <w:rPr>
                <w:rFonts w:cstheme="minorHAnsi"/>
                <w:lang w:val="en-GB"/>
              </w:rPr>
              <w:lastRenderedPageBreak/>
              <w:t xml:space="preserve">around cities like Bucharest and Sofia can easily be turned into solvable demand and financial flows to the cross-border area.  </w:t>
            </w:r>
          </w:p>
        </w:tc>
        <w:tc>
          <w:tcPr>
            <w:tcW w:w="2011" w:type="dxa"/>
          </w:tcPr>
          <w:p w14:paraId="5AE65BF6" w14:textId="77777777" w:rsidR="005D1086" w:rsidRPr="006645DC" w:rsidRDefault="005D1086" w:rsidP="005D1086">
            <w:pPr>
              <w:spacing w:before="40" w:after="40"/>
              <w:rPr>
                <w:rFonts w:cstheme="minorHAnsi"/>
                <w:lang w:val="en-GB"/>
              </w:rPr>
            </w:pPr>
            <w:r w:rsidRPr="006645DC">
              <w:rPr>
                <w:rFonts w:cstheme="minorHAnsi"/>
                <w:lang w:val="en-GB"/>
              </w:rPr>
              <w:lastRenderedPageBreak/>
              <w:t>The disrepair of cultural and historic heritage, the environmental problems (especially in the Danube ports area) and the low accessibility of the area for tourists (accommodation services, transport, information, ,etc.) are the main threats that face the cross-border area, in continuation from the previous period.</w:t>
            </w:r>
          </w:p>
        </w:tc>
      </w:tr>
    </w:tbl>
    <w:p w14:paraId="31DF167D" w14:textId="77777777" w:rsidR="005D1086" w:rsidRPr="006645DC" w:rsidRDefault="005D1086" w:rsidP="000A6DE0">
      <w:pPr>
        <w:rPr>
          <w:lang w:val="en-GB"/>
        </w:rPr>
      </w:pPr>
    </w:p>
    <w:p w14:paraId="566E8430" w14:textId="77777777" w:rsidR="005D1086" w:rsidRPr="006645DC" w:rsidRDefault="005D1086" w:rsidP="005D1086">
      <w:pPr>
        <w:rPr>
          <w:lang w:val="en-GB"/>
        </w:rPr>
      </w:pPr>
    </w:p>
    <w:p w14:paraId="68D209EA" w14:textId="77777777" w:rsidR="00B20667" w:rsidRPr="006645DC" w:rsidRDefault="00B20667" w:rsidP="00B20667">
      <w:pPr>
        <w:rPr>
          <w:lang w:val="en-GB"/>
        </w:rPr>
        <w:sectPr w:rsidR="00B20667" w:rsidRPr="006645DC" w:rsidSect="005D1086">
          <w:pgSz w:w="15840" w:h="12240" w:orient="landscape"/>
          <w:pgMar w:top="1440" w:right="1440" w:bottom="1440" w:left="1440" w:header="720" w:footer="720" w:gutter="0"/>
          <w:cols w:space="720"/>
          <w:docGrid w:linePitch="360"/>
        </w:sectPr>
      </w:pPr>
    </w:p>
    <w:p w14:paraId="5CD34619" w14:textId="77777777" w:rsidR="009E2D0E" w:rsidRPr="006645DC" w:rsidRDefault="009E2D0E" w:rsidP="009E2D0E">
      <w:pPr>
        <w:pStyle w:val="Heading1"/>
        <w:rPr>
          <w:lang w:val="en-GB"/>
        </w:rPr>
      </w:pPr>
      <w:bookmarkStart w:id="2363" w:name="_Toc254543870"/>
      <w:bookmarkStart w:id="2364" w:name="_Toc391150230"/>
      <w:r w:rsidRPr="006645DC">
        <w:rPr>
          <w:lang w:val="en-GB"/>
        </w:rPr>
        <w:lastRenderedPageBreak/>
        <w:t>Programme Vision</w:t>
      </w:r>
      <w:bookmarkEnd w:id="2363"/>
      <w:bookmarkEnd w:id="2364"/>
    </w:p>
    <w:p w14:paraId="30352318" w14:textId="77777777" w:rsidR="009E2D0E" w:rsidRPr="006645DC" w:rsidRDefault="009E2D0E" w:rsidP="009E2D0E">
      <w:pPr>
        <w:rPr>
          <w:lang w:val="en-GB"/>
        </w:rPr>
      </w:pPr>
      <w:r w:rsidRPr="006645DC">
        <w:rPr>
          <w:lang w:val="en-GB"/>
        </w:rPr>
        <w:t>The Danube-lined Romanian-Bulgarian border represents an axis of discontinuity between two natural regions, each with its own distinct traits: in the north – the Romanian Plain that lines the Danube River is a sector of flood plains and well-developed terraces – and in the south – the Lugodorie Plateau, a part of the eastern Danube plain, with altitudes between 200 and 400 m, gradually descending northwards to 100 m at the level of the town of Ruse. Difficult to cross and with a defensive function since antiquity, this natural border has been clearly delimited due to the numerous tributaries that virtually doubles the Danube River flow in the hydrographical convergence area situated near Belgrade (Drava, Tisa, Sava, Morava). This border has always been a natural barrier, except for some fords that gradually became transversal circulation axes. These have favoured the individualisation of some nuclei of human concentration, leading to the appearance of twin settlements forming local or regional centres of activity: Calafat-Vidin, Bechet-Oreahovo, Turnu Magurele-Nikopol, Zimnicea-Svistov,</w:t>
      </w:r>
      <w:r w:rsidRPr="006645DC">
        <w:rPr>
          <w:rFonts w:ascii="Calluna-Regular" w:hAnsi="Calluna-Regular" w:cs="Calluna-Regular"/>
          <w:sz w:val="20"/>
          <w:szCs w:val="20"/>
          <w:lang w:val="en-GB"/>
        </w:rPr>
        <w:t xml:space="preserve"> </w:t>
      </w:r>
      <w:r w:rsidRPr="006645DC">
        <w:rPr>
          <w:lang w:val="en-GB"/>
        </w:rPr>
        <w:t>Giurgiu-Ruse, Oltenita-Tutrakan and Calarasi-Silistra.</w:t>
      </w:r>
    </w:p>
    <w:p w14:paraId="01902CC9" w14:textId="77777777" w:rsidR="009E2D0E" w:rsidRPr="006645DC" w:rsidRDefault="009E2D0E" w:rsidP="009E2D0E">
      <w:pPr>
        <w:rPr>
          <w:lang w:val="en-GB"/>
        </w:rPr>
      </w:pPr>
    </w:p>
    <w:p w14:paraId="1312BF10" w14:textId="77777777" w:rsidR="009E2D0E" w:rsidRPr="006645DC" w:rsidRDefault="009E2D0E" w:rsidP="009E2D0E">
      <w:pPr>
        <w:jc w:val="center"/>
        <w:rPr>
          <w:lang w:val="en-GB"/>
        </w:rPr>
      </w:pPr>
      <w:r w:rsidRPr="006645DC">
        <w:rPr>
          <w:i/>
          <w:noProof/>
          <w:lang w:val="bg-BG" w:eastAsia="bg-BG"/>
        </w:rPr>
        <w:drawing>
          <wp:inline distT="0" distB="0" distL="0" distR="0" wp14:anchorId="0288A462" wp14:editId="4F170430">
            <wp:extent cx="5058410" cy="2675255"/>
            <wp:effectExtent l="19050" t="19050" r="27940" b="10795"/>
            <wp:docPr id="8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58410" cy="2675255"/>
                    </a:xfrm>
                    <a:prstGeom prst="rect">
                      <a:avLst/>
                    </a:prstGeom>
                    <a:solidFill>
                      <a:srgbClr val="FFFFFF"/>
                    </a:solidFill>
                    <a:ln>
                      <a:solidFill>
                        <a:schemeClr val="tx1"/>
                      </a:solidFill>
                    </a:ln>
                  </pic:spPr>
                </pic:pic>
              </a:graphicData>
            </a:graphic>
          </wp:inline>
        </w:drawing>
      </w:r>
    </w:p>
    <w:p w14:paraId="51388A73" w14:textId="77777777" w:rsidR="009E2D0E" w:rsidRPr="006645DC" w:rsidRDefault="009E2D0E" w:rsidP="009E2D0E">
      <w:pPr>
        <w:pStyle w:val="Caption"/>
        <w:rPr>
          <w:lang w:val="en-GB"/>
        </w:rPr>
      </w:pPr>
      <w:bookmarkStart w:id="2365" w:name="_Toc391150045"/>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41</w:t>
      </w:r>
      <w:r w:rsidR="005979EB" w:rsidRPr="006645DC">
        <w:rPr>
          <w:lang w:val="en-GB"/>
        </w:rPr>
        <w:fldChar w:fldCharType="end"/>
      </w:r>
      <w:r w:rsidRPr="006645DC">
        <w:rPr>
          <w:lang w:val="en-GB"/>
        </w:rPr>
        <w:t xml:space="preserve"> – Pair of cities along the Danube</w:t>
      </w:r>
      <w:bookmarkEnd w:id="2365"/>
    </w:p>
    <w:p w14:paraId="0124479E" w14:textId="77777777" w:rsidR="009E2D0E" w:rsidRPr="006645DC" w:rsidRDefault="009E2D0E" w:rsidP="009E2D0E">
      <w:pPr>
        <w:pStyle w:val="Heading4"/>
        <w:rPr>
          <w:lang w:val="en-GB"/>
        </w:rPr>
      </w:pPr>
      <w:r w:rsidRPr="006645DC">
        <w:rPr>
          <w:lang w:val="en-GB"/>
        </w:rPr>
        <w:t>Source: Spatial Project</w:t>
      </w:r>
    </w:p>
    <w:p w14:paraId="67DC2E7F" w14:textId="77777777" w:rsidR="009E2D0E" w:rsidRPr="006645DC" w:rsidRDefault="009E2D0E" w:rsidP="009E2D0E">
      <w:pPr>
        <w:rPr>
          <w:lang w:val="en-GB"/>
        </w:rPr>
      </w:pPr>
      <w:r w:rsidRPr="006645DC">
        <w:rPr>
          <w:lang w:val="en-GB"/>
        </w:rPr>
        <w:t xml:space="preserve">These twin cities have played a leading role in setting up the connection between the RO BG cross-border area, the Black sea, the Balkan Peninsula and Central Asia by guiding and distributing the cross-border fluxes in the Danube lined sector of the Romanian-Bulgarian border. Indeed, the Danube River was both an important axis of transversal flows and of longitudinal flows that generated this “urban belt” based on specific economic activity. The capacity of harbour towns to accumulate local and regional functions was closely related to the process of connecting harbours to the land transport system, as well as the role of some towns as customs points. For example, during the Ottoman domination, the main directions of the cross-border vectors were given by the twin cities Giurgiu-Ruse and Turnu-Nikopole, where the Ottoman administration controlled the commerce and navigation on the Danube River. </w:t>
      </w:r>
    </w:p>
    <w:p w14:paraId="04F09D87" w14:textId="77777777" w:rsidR="009E2D0E" w:rsidRPr="006645DC" w:rsidRDefault="009E2D0E" w:rsidP="009E2D0E">
      <w:pPr>
        <w:rPr>
          <w:lang w:val="en-GB"/>
        </w:rPr>
      </w:pPr>
    </w:p>
    <w:p w14:paraId="1DD7E563" w14:textId="77777777" w:rsidR="009E2D0E" w:rsidRPr="006645DC" w:rsidRDefault="009E2D0E" w:rsidP="009E2D0E">
      <w:pPr>
        <w:rPr>
          <w:lang w:val="en-GB"/>
        </w:rPr>
      </w:pPr>
    </w:p>
    <w:p w14:paraId="7E87DA48" w14:textId="77777777" w:rsidR="009E2D0E" w:rsidRPr="006645DC" w:rsidRDefault="009E2D0E" w:rsidP="009E2D0E">
      <w:pPr>
        <w:jc w:val="center"/>
        <w:rPr>
          <w:b/>
          <w:bCs/>
          <w:color w:val="000000" w:themeColor="dark1"/>
          <w:kern w:val="24"/>
          <w:sz w:val="16"/>
          <w:szCs w:val="16"/>
          <w:lang w:val="en-GB"/>
        </w:rPr>
      </w:pPr>
      <w:r w:rsidRPr="006645DC">
        <w:rPr>
          <w:noProof/>
          <w:lang w:val="bg-BG" w:eastAsia="bg-BG"/>
        </w:rPr>
        <w:drawing>
          <wp:inline distT="0" distB="0" distL="0" distR="0" wp14:anchorId="4108954F" wp14:editId="0154C973">
            <wp:extent cx="4644000" cy="2715717"/>
            <wp:effectExtent l="0" t="0" r="4445" b="8890"/>
            <wp:docPr id="8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44000" cy="2715717"/>
                    </a:xfrm>
                    <a:prstGeom prst="rect">
                      <a:avLst/>
                    </a:prstGeom>
                    <a:noFill/>
                  </pic:spPr>
                </pic:pic>
              </a:graphicData>
            </a:graphic>
          </wp:inline>
        </w:drawing>
      </w:r>
    </w:p>
    <w:p w14:paraId="3CCDFBC2" w14:textId="77777777" w:rsidR="009E2D0E" w:rsidRPr="006645DC" w:rsidRDefault="009E2D0E" w:rsidP="009E2D0E">
      <w:pPr>
        <w:pStyle w:val="Caption"/>
        <w:rPr>
          <w:lang w:val="en-GB"/>
        </w:rPr>
      </w:pPr>
      <w:bookmarkStart w:id="2366" w:name="_Toc391150046"/>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42</w:t>
      </w:r>
      <w:r w:rsidR="005979EB" w:rsidRPr="006645DC">
        <w:rPr>
          <w:lang w:val="en-GB"/>
        </w:rPr>
        <w:fldChar w:fldCharType="end"/>
      </w:r>
      <w:r w:rsidRPr="006645DC">
        <w:rPr>
          <w:lang w:val="en-GB"/>
        </w:rPr>
        <w:t xml:space="preserve"> – Link between Central Europe and the East</w:t>
      </w:r>
      <w:bookmarkEnd w:id="2366"/>
    </w:p>
    <w:p w14:paraId="45402834" w14:textId="77777777" w:rsidR="009E2D0E" w:rsidRPr="006645DC" w:rsidRDefault="009E2D0E" w:rsidP="009E2D0E">
      <w:pPr>
        <w:pStyle w:val="Heading4"/>
        <w:rPr>
          <w:lang w:val="en-GB" w:eastAsia="ro-RO"/>
        </w:rPr>
      </w:pPr>
      <w:r w:rsidRPr="006645DC">
        <w:rPr>
          <w:lang w:val="en-GB" w:eastAsia="ro-RO"/>
        </w:rPr>
        <w:t>Source: Spatial project</w:t>
      </w:r>
    </w:p>
    <w:p w14:paraId="49532DDA" w14:textId="77777777" w:rsidR="009E2D0E" w:rsidRPr="006645DC" w:rsidRDefault="009E2D0E" w:rsidP="009E2D0E">
      <w:pPr>
        <w:rPr>
          <w:rFonts w:ascii="Times" w:hAnsi="Times" w:cs="Times"/>
          <w:color w:val="000000"/>
          <w:sz w:val="23"/>
          <w:szCs w:val="23"/>
          <w:lang w:val="en-GB" w:eastAsia="ja-JP"/>
        </w:rPr>
      </w:pPr>
      <w:r w:rsidRPr="006645DC">
        <w:rPr>
          <w:lang w:val="en-GB"/>
        </w:rPr>
        <w:t>Then, the construction of the Giurgiu-Bucharest railway in 1867, the second oldest railway in Romania, was of great strategic importance as it connected the capital with the biggest Romanian port at that time. After the Second World War, the Danube River became an axis which attracted different industries: chemistry in Vidin, Drobeta–Turnu Severin, Turnu Magurele, Svistov and Giurgiu; thermo-electrical power stations in Ruse; integrated metallurgic complexes in Calarasi; nuclear power stations at Kozlodui and Cernavoda. The commercial flows were almost exclusively concentrated on the Giurgiu-Ruse direction. On one hand, this was due to the importance of the two towns within the national urban and transport systems, and, on the other hand, to the fact that they were connected by the only bridge that crosses the Danube River in the Romanian- Bulgarian cross-border area.</w:t>
      </w:r>
      <w:r w:rsidRPr="006645DC">
        <w:rPr>
          <w:rFonts w:ascii="Times" w:hAnsi="Times" w:cs="Times"/>
          <w:color w:val="000000"/>
          <w:sz w:val="23"/>
          <w:szCs w:val="23"/>
          <w:lang w:val="en-GB" w:eastAsia="ja-JP"/>
        </w:rPr>
        <w:t xml:space="preserve"> </w:t>
      </w:r>
    </w:p>
    <w:p w14:paraId="1712F1AB" w14:textId="77777777" w:rsidR="009E2D0E" w:rsidRPr="006645DC" w:rsidRDefault="009E2D0E" w:rsidP="009E2D0E">
      <w:pPr>
        <w:rPr>
          <w:lang w:val="en-GB"/>
        </w:rPr>
      </w:pPr>
      <w:r w:rsidRPr="006645DC">
        <w:rPr>
          <w:lang w:val="en-GB"/>
        </w:rPr>
        <w:t>Currently, the role of the River and its link to the Black Sea are underestimated in the economic life of the cross-border area. The Danube River is linked by the Main-Danube canal to the Rhine, therefore connecting the Cross-Border area directly with nine countries from the North Sea to the Black Sea over a length of 3,500 km.</w:t>
      </w:r>
      <w:r w:rsidRPr="006645DC">
        <w:rPr>
          <w:rFonts w:ascii="Times" w:hAnsi="Times" w:cs="Times"/>
          <w:sz w:val="30"/>
          <w:szCs w:val="30"/>
          <w:lang w:val="en-GB" w:eastAsia="ja-JP"/>
        </w:rPr>
        <w:t xml:space="preserve"> </w:t>
      </w:r>
      <w:r w:rsidRPr="006645DC">
        <w:rPr>
          <w:lang w:val="en-GB"/>
        </w:rPr>
        <w:t xml:space="preserve">The importance of the Danube and its tributaries as well as of the Black Sea will increase, as 6 of the EUSDR countries 9 are “land-locked” without any sea gateways. The outlet into the Black Sea means that the cross-border area connects Europe to Asia as well as offering one of the main regional tourism destinations: the Black Sea coast. </w:t>
      </w:r>
    </w:p>
    <w:p w14:paraId="4CCDEF0F" w14:textId="77777777" w:rsidR="009E2D0E" w:rsidRPr="006645DC" w:rsidRDefault="009E2D0E" w:rsidP="009E2D0E">
      <w:pPr>
        <w:rPr>
          <w:lang w:val="en-GB"/>
        </w:rPr>
      </w:pPr>
      <w:r w:rsidRPr="006645DC">
        <w:rPr>
          <w:lang w:val="en-GB"/>
        </w:rPr>
        <w:t>The Danube River has to become a factor for economic development and cross-border cooperation for a region that is of key importance for the Danube region, the Western Balkan region and Europe.  A total of 115 million people live in the Danube catchment area and more than € 1300 billion GDP (2011) is generated in these countries (excluding Germany). The capital cities of the Danube countries together: Vienna, Bratislava, Budapest, Belgrade, Sofia and Bucharest, form a strong axis of economic development. This axis is referred to as the “Danube Belt”.</w:t>
      </w:r>
    </w:p>
    <w:p w14:paraId="1358E64C" w14:textId="77777777" w:rsidR="009E2D0E" w:rsidRPr="006645DC" w:rsidRDefault="009E2D0E" w:rsidP="009E2D0E">
      <w:pPr>
        <w:rPr>
          <w:lang w:val="en-GB"/>
        </w:rPr>
      </w:pPr>
      <w:r w:rsidRPr="006645DC">
        <w:rPr>
          <w:noProof/>
          <w:lang w:val="bg-BG" w:eastAsia="bg-BG"/>
        </w:rPr>
        <w:lastRenderedPageBreak/>
        <w:drawing>
          <wp:inline distT="0" distB="0" distL="0" distR="0" wp14:anchorId="2CC0FAC6" wp14:editId="0261480A">
            <wp:extent cx="3695700" cy="2844800"/>
            <wp:effectExtent l="0" t="0" r="12700" b="0"/>
            <wp:docPr id="47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157">
                      <a:extLst>
                        <a:ext uri="{28A0092B-C50C-407E-A947-70E740481C1C}">
                          <a14:useLocalDpi xmlns:a14="http://schemas.microsoft.com/office/drawing/2010/main" val="0"/>
                        </a:ext>
                      </a:extLst>
                    </a:blip>
                    <a:srcRect l="17951" t="5121" r="19863" b="6611"/>
                    <a:stretch/>
                  </pic:blipFill>
                  <pic:spPr bwMode="auto">
                    <a:xfrm>
                      <a:off x="0" y="0"/>
                      <a:ext cx="3696095" cy="2845104"/>
                    </a:xfrm>
                    <a:prstGeom prst="rect">
                      <a:avLst/>
                    </a:prstGeom>
                    <a:noFill/>
                    <a:ln>
                      <a:noFill/>
                    </a:ln>
                    <a:extLst>
                      <a:ext uri="{53640926-AAD7-44D8-BBD7-CCE9431645EC}">
                        <a14:shadowObscured xmlns:a14="http://schemas.microsoft.com/office/drawing/2010/main"/>
                      </a:ext>
                    </a:extLst>
                  </pic:spPr>
                </pic:pic>
              </a:graphicData>
            </a:graphic>
          </wp:inline>
        </w:drawing>
      </w:r>
    </w:p>
    <w:p w14:paraId="5487AEE6" w14:textId="77777777" w:rsidR="009E2D0E" w:rsidRPr="006645DC" w:rsidRDefault="009E2D0E" w:rsidP="009E2D0E">
      <w:pPr>
        <w:pStyle w:val="Caption"/>
        <w:rPr>
          <w:lang w:val="en-GB"/>
        </w:rPr>
      </w:pPr>
      <w:bookmarkStart w:id="2367" w:name="_Toc391150047"/>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43</w:t>
      </w:r>
      <w:r w:rsidR="005979EB" w:rsidRPr="006645DC">
        <w:rPr>
          <w:lang w:val="en-GB"/>
        </w:rPr>
        <w:fldChar w:fldCharType="end"/>
      </w:r>
      <w:r w:rsidRPr="006645DC">
        <w:rPr>
          <w:lang w:val="en-GB"/>
        </w:rPr>
        <w:t xml:space="preserve"> - Green areas: rural areas, Red areas: Danube Belt. 2000</w:t>
      </w:r>
      <w:bookmarkEnd w:id="2367"/>
    </w:p>
    <w:p w14:paraId="744D9DB8" w14:textId="77777777" w:rsidR="009E2D0E" w:rsidRPr="006645DC" w:rsidRDefault="009E2D0E" w:rsidP="009E2D0E">
      <w:pPr>
        <w:pStyle w:val="Heading4"/>
        <w:rPr>
          <w:lang w:val="en-GB"/>
        </w:rPr>
      </w:pPr>
      <w:r w:rsidRPr="006645DC">
        <w:rPr>
          <w:lang w:val="en-GB"/>
        </w:rPr>
        <w:t>Source: Austrian Institute for Regional Studies and Social Planning</w:t>
      </w:r>
    </w:p>
    <w:p w14:paraId="60A898D3" w14:textId="77777777" w:rsidR="009E2D0E" w:rsidRPr="006645DC" w:rsidRDefault="009E2D0E" w:rsidP="009E2D0E">
      <w:pPr>
        <w:rPr>
          <w:rFonts w:cstheme="minorHAnsi"/>
          <w:lang w:val="en-GB"/>
        </w:rPr>
      </w:pPr>
      <w:r w:rsidRPr="006645DC">
        <w:rPr>
          <w:rFonts w:cstheme="minorHAnsi"/>
          <w:lang w:val="en-GB"/>
        </w:rPr>
        <w:t xml:space="preserve">Through the accession of Danube countries Hungary and Slovakia in 2004 and Bulgaria and Romania in 2007, the economic development of the Danube countries has become of direct importance for other EU- countries, creating new markets and economic opportunities. Other European countries have discovered the increased opportunities in the interchange of labour, goods and foreign direct investments in the EU’s Danube countries. Moreover, the rise in demand for transport services follows from the economic integration of Danube countries within the EU. Inland navigation along the Danube should play an important role to accommodate the demand for transport. </w:t>
      </w:r>
    </w:p>
    <w:p w14:paraId="3EFBAF98" w14:textId="77777777" w:rsidR="009E2D0E" w:rsidRPr="006645DC" w:rsidRDefault="009E2D0E" w:rsidP="00C951D5">
      <w:pPr>
        <w:pStyle w:val="Heading3"/>
        <w:numPr>
          <w:ilvl w:val="0"/>
          <w:numId w:val="104"/>
        </w:numPr>
        <w:rPr>
          <w:lang w:val="en-GB"/>
        </w:rPr>
      </w:pPr>
      <w:bookmarkStart w:id="2368" w:name="_Toc254543871"/>
      <w:r w:rsidRPr="006645DC">
        <w:rPr>
          <w:lang w:val="en-GB"/>
        </w:rPr>
        <w:t>Proposal of a vision for the Romania-Bulgaria Cross-Border Cooperation Programme 2014-2020: "The Eastern Danube/ Black Sea Gateway"</w:t>
      </w:r>
      <w:bookmarkEnd w:id="2368"/>
    </w:p>
    <w:p w14:paraId="588C24FF" w14:textId="77777777" w:rsidR="009E2D0E" w:rsidRPr="006645DC" w:rsidRDefault="009E2D0E" w:rsidP="009E2D0E">
      <w:pPr>
        <w:rPr>
          <w:lang w:val="en-GB"/>
        </w:rPr>
      </w:pPr>
      <w:r w:rsidRPr="006645DC">
        <w:rPr>
          <w:lang w:val="en-GB"/>
        </w:rPr>
        <w:t>The Romania-Bulgaria Cross-Border region</w:t>
      </w:r>
      <w:r w:rsidRPr="006645DC">
        <w:rPr>
          <w:rFonts w:ascii="Times" w:hAnsi="Times"/>
          <w:sz w:val="20"/>
          <w:szCs w:val="20"/>
          <w:lang w:val="en-GB"/>
        </w:rPr>
        <w:t xml:space="preserve"> </w:t>
      </w:r>
      <w:r w:rsidRPr="006645DC">
        <w:rPr>
          <w:lang w:val="en-GB"/>
        </w:rPr>
        <w:t xml:space="preserve">has the potential to become the Eastern gateway of the EU and reinforce economic and political cooperation between the countries of Central and Western Europe and Asia. There is a real potential to develop combined river and sea transport (the Danube and the Black Sea) or sea and road/railroad transport of goods, which could become an important sector for the economy of the region. The region will thus become more attractive for businesses and for foreign investments because of its strategic location and the high availability of transport infrastructure, such as Pan-European transport corridors, roads and railroads, an international port, and international airports in its vicinity. </w:t>
      </w:r>
    </w:p>
    <w:p w14:paraId="13742F1E" w14:textId="77777777" w:rsidR="009E2D0E" w:rsidRPr="006645DC" w:rsidRDefault="009E2D0E" w:rsidP="009E2D0E">
      <w:pPr>
        <w:rPr>
          <w:rFonts w:cstheme="minorHAnsi"/>
          <w:lang w:val="en-GB"/>
        </w:rPr>
      </w:pPr>
      <w:r w:rsidRPr="006645DC">
        <w:rPr>
          <w:rFonts w:cstheme="minorHAnsi"/>
          <w:lang w:val="en-GB"/>
        </w:rPr>
        <w:t xml:space="preserve">Moreover, thanks to its natural assets, the region has significant potential to expand the use of renewable energy. Natural conditions for wind power generation are widely acknowledged making the coastal area already a part of the European Large-Scale Wind Power Zone. The region is also well positioned for photovoltaic power generation and geothermal energy is yet another option for the </w:t>
      </w:r>
      <w:r w:rsidR="007819C9" w:rsidRPr="006645DC">
        <w:rPr>
          <w:rFonts w:cstheme="minorHAnsi"/>
          <w:lang w:val="en-GB"/>
        </w:rPr>
        <w:t>North-eastern</w:t>
      </w:r>
      <w:r w:rsidRPr="006645DC">
        <w:rPr>
          <w:rFonts w:cstheme="minorHAnsi"/>
          <w:lang w:val="en-GB"/>
        </w:rPr>
        <w:t xml:space="preserve"> Bulgarian region.</w:t>
      </w:r>
    </w:p>
    <w:p w14:paraId="6B405BA0" w14:textId="77777777" w:rsidR="009E2D0E" w:rsidRPr="006645DC" w:rsidRDefault="009E2D0E" w:rsidP="009E2D0E">
      <w:pPr>
        <w:rPr>
          <w:lang w:val="en-GB"/>
        </w:rPr>
      </w:pPr>
      <w:r w:rsidRPr="006645DC">
        <w:rPr>
          <w:rFonts w:cstheme="minorHAnsi"/>
          <w:lang w:val="en-GB"/>
        </w:rPr>
        <w:t xml:space="preserve">Natural and cultural assets are still well preserved with many protected areas, great biodiversity, world heritage sites and a rich cultural heritage. Tourism presents an important development potential of a </w:t>
      </w:r>
      <w:r w:rsidRPr="006645DC">
        <w:rPr>
          <w:rFonts w:cstheme="minorHAnsi"/>
          <w:lang w:val="en-GB"/>
        </w:rPr>
        <w:lastRenderedPageBreak/>
        <w:t>new</w:t>
      </w:r>
      <w:r w:rsidRPr="006645DC">
        <w:rPr>
          <w:lang w:val="en-GB"/>
        </w:rPr>
        <w:t xml:space="preserve"> and integrated kind, offering complementary destinations and activities: seaside holidays, yachting, cruises, MICE</w:t>
      </w:r>
      <w:r w:rsidRPr="006645DC">
        <w:rPr>
          <w:rStyle w:val="FootnoteReference"/>
          <w:lang w:val="en-GB"/>
        </w:rPr>
        <w:footnoteReference w:id="58"/>
      </w:r>
      <w:r w:rsidRPr="006645DC">
        <w:rPr>
          <w:lang w:val="en-GB"/>
        </w:rPr>
        <w:t xml:space="preserve">, business, cultural, nature, wine or rural tourism. </w:t>
      </w:r>
    </w:p>
    <w:p w14:paraId="1F07FF24" w14:textId="77777777" w:rsidR="009E2D0E" w:rsidRPr="006645DC" w:rsidRDefault="009E2D0E" w:rsidP="009E2D0E">
      <w:pPr>
        <w:rPr>
          <w:lang w:val="en-GB"/>
        </w:rPr>
      </w:pPr>
      <w:r w:rsidRPr="006645DC">
        <w:rPr>
          <w:lang w:val="en-GB"/>
        </w:rPr>
        <w:t>The development of fisheries and aquaculture along the Danube and the Black Sea linked with the development of agriculture represent an enormous potential for the region’s rural areas.</w:t>
      </w:r>
    </w:p>
    <w:p w14:paraId="10D3BEDB" w14:textId="77777777" w:rsidR="009E2D0E" w:rsidRPr="006645DC" w:rsidRDefault="009E2D0E" w:rsidP="009E2D0E">
      <w:pPr>
        <w:rPr>
          <w:rFonts w:cs="Calibri"/>
          <w:color w:val="000000"/>
          <w:lang w:val="en-GB"/>
        </w:rPr>
      </w:pPr>
      <w:r w:rsidRPr="006645DC">
        <w:rPr>
          <w:lang w:val="en-GB"/>
        </w:rPr>
        <w:t>Last but not least, “</w:t>
      </w:r>
      <w:r w:rsidRPr="006645DC">
        <w:rPr>
          <w:i/>
          <w:lang w:val="en-GB"/>
        </w:rPr>
        <w:t xml:space="preserve">territorial analysis of innovation and R&amp;D patterns underlines the importance of </w:t>
      </w:r>
      <w:r w:rsidRPr="006645DC">
        <w:rPr>
          <w:b/>
          <w:bCs/>
          <w:i/>
          <w:lang w:val="en-GB"/>
        </w:rPr>
        <w:t>secondary cities for strengthening innovation and the translation of innovation into economic growth</w:t>
      </w:r>
      <w:r w:rsidRPr="006645DC">
        <w:rPr>
          <w:b/>
          <w:bCs/>
          <w:lang w:val="en-GB"/>
        </w:rPr>
        <w:t>”</w:t>
      </w:r>
      <w:r w:rsidRPr="006645DC">
        <w:rPr>
          <w:rStyle w:val="FootnoteReference"/>
          <w:b/>
          <w:bCs/>
          <w:lang w:val="en-GB"/>
        </w:rPr>
        <w:footnoteReference w:id="59"/>
      </w:r>
      <w:r w:rsidRPr="006645DC">
        <w:rPr>
          <w:b/>
          <w:bCs/>
          <w:lang w:val="en-GB"/>
        </w:rPr>
        <w:t xml:space="preserve">. </w:t>
      </w:r>
      <w:r w:rsidRPr="006645DC">
        <w:rPr>
          <w:bCs/>
          <w:lang w:val="en-GB"/>
        </w:rPr>
        <w:t xml:space="preserve">Here also, </w:t>
      </w:r>
      <w:r w:rsidRPr="006645DC">
        <w:rPr>
          <w:lang w:val="en-GB"/>
        </w:rPr>
        <w:t>the region has a strong potential in terms of development of urban areas according to the Bulgarian and Romanian National Regional Development Strategies</w:t>
      </w:r>
      <w:r w:rsidRPr="006645DC">
        <w:rPr>
          <w:rStyle w:val="FootnoteReference"/>
          <w:lang w:val="en-GB"/>
        </w:rPr>
        <w:footnoteReference w:id="60"/>
      </w:r>
      <w:r w:rsidRPr="006645DC">
        <w:rPr>
          <w:lang w:val="en-GB"/>
        </w:rPr>
        <w:t xml:space="preserve">. The two strategies refer to </w:t>
      </w:r>
      <w:r w:rsidRPr="006645DC">
        <w:rPr>
          <w:rFonts w:cs="Calibri"/>
          <w:color w:val="000000"/>
          <w:lang w:val="en-GB"/>
        </w:rPr>
        <w:t>the ‘people based ‘or ‘place neutral’ model, which is most commonly associated with the World Bank’s World Development Report 2009 (World Bank, 2009). This report, which brought the issue of economic geography strongly to the fore of the mainstream development agenda, emphasizes how processes of unevenness, spillovers, and circular causation (or, reinforced path dependence) contribute to agglomeration and shape economic integration and growth. In particular, the report highlights unequivocally that uneven patterns of economic activity and divergence in outcomes across regions is a natural consequence of processes of agglomeration: “</w:t>
      </w:r>
      <w:r w:rsidRPr="006645DC">
        <w:rPr>
          <w:rFonts w:cs="Calibri"/>
          <w:i/>
          <w:color w:val="000000"/>
          <w:lang w:val="en-GB"/>
        </w:rPr>
        <w:t>Economic growth is seldom balanced. Efforts to spread it prematurely will jeopardize progress. Two centuries of economic development show that spatial disparities in income and production are inevitable. A generation of economic research confirms this</w:t>
      </w:r>
      <w:r w:rsidRPr="006645DC">
        <w:rPr>
          <w:rFonts w:cs="Calibri"/>
          <w:color w:val="000000"/>
          <w:lang w:val="en-GB"/>
        </w:rPr>
        <w:t xml:space="preserve">” (World Bank, 2009). Thus, it argues that taking advantage of market forces like agglomeration is critical to achieving productivity gains, and therefore regional policy should focus most importantly on factor mobility, allowing people to take advantage of opportunities wherever they may be. </w:t>
      </w:r>
      <w:r w:rsidRPr="006645DC">
        <w:rPr>
          <w:lang w:val="en-GB"/>
        </w:rPr>
        <w:t>Urban areas are concentrating the largest economic output and this is true worldwide. This is because areas where people are concentrated are attractive to firms, as they offer them larger markets, enabling them to reap scale economies. This in turn attracts more workers (who are also consumers) and suppliers. The “</w:t>
      </w:r>
      <w:r w:rsidRPr="006645DC">
        <w:rPr>
          <w:i/>
          <w:lang w:val="en-GB"/>
        </w:rPr>
        <w:t>home market effect</w:t>
      </w:r>
      <w:r w:rsidRPr="006645DC">
        <w:rPr>
          <w:lang w:val="en-GB"/>
        </w:rPr>
        <w:t xml:space="preserve">” </w:t>
      </w:r>
      <w:r w:rsidRPr="006645DC">
        <w:rPr>
          <w:rStyle w:val="FootnoteReference"/>
          <w:lang w:val="en-GB"/>
        </w:rPr>
        <w:footnoteReference w:id="61"/>
      </w:r>
      <w:r w:rsidRPr="006645DC">
        <w:rPr>
          <w:lang w:val="en-GB"/>
        </w:rPr>
        <w:t xml:space="preserve"> kicks off a process of cumulative causation, concentrating more and more of the economy in urban agglomerations. Rising costs and wages act as counterbalancing forces, but most research suggests the benefits of proximity and access (to markets, workers, and supplies) tends to offset dispersion forces. Thus, the trend worldwide is strongly toward increasing concentration of economic output in urban areas.</w:t>
      </w:r>
    </w:p>
    <w:p w14:paraId="264D8292" w14:textId="77777777" w:rsidR="009E2D0E" w:rsidRPr="006645DC" w:rsidRDefault="009E2D0E" w:rsidP="009E2D0E">
      <w:pPr>
        <w:rPr>
          <w:lang w:val="en-GB"/>
        </w:rPr>
      </w:pPr>
    </w:p>
    <w:p w14:paraId="0696D88F" w14:textId="77777777" w:rsidR="009E2D0E" w:rsidRPr="006645DC" w:rsidRDefault="009E2D0E" w:rsidP="009E2D0E">
      <w:pPr>
        <w:rPr>
          <w:lang w:val="en-GB"/>
        </w:rPr>
      </w:pPr>
    </w:p>
    <w:p w14:paraId="63FE9E4B" w14:textId="77777777" w:rsidR="009E2D0E" w:rsidRPr="006645DC" w:rsidRDefault="009E2D0E" w:rsidP="009E2D0E">
      <w:pPr>
        <w:jc w:val="center"/>
        <w:rPr>
          <w:bCs/>
          <w:lang w:val="en-GB"/>
        </w:rPr>
      </w:pPr>
      <w:r w:rsidRPr="006645DC">
        <w:rPr>
          <w:bCs/>
          <w:noProof/>
          <w:lang w:val="bg-BG" w:eastAsia="bg-BG"/>
        </w:rPr>
        <w:lastRenderedPageBreak/>
        <w:drawing>
          <wp:inline distT="0" distB="0" distL="0" distR="0" wp14:anchorId="691558E5" wp14:editId="13372A6D">
            <wp:extent cx="5997039" cy="3624960"/>
            <wp:effectExtent l="0" t="0" r="3810" b="0"/>
            <wp:docPr id="88"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8" cstate="email">
                      <a:extLst>
                        <a:ext uri="{28A0092B-C50C-407E-A947-70E740481C1C}">
                          <a14:useLocalDpi xmlns:a14="http://schemas.microsoft.com/office/drawing/2010/main"/>
                        </a:ext>
                      </a:extLst>
                    </a:blip>
                    <a:srcRect/>
                    <a:stretch>
                      <a:fillRect/>
                    </a:stretch>
                  </pic:blipFill>
                  <pic:spPr bwMode="auto">
                    <a:xfrm>
                      <a:off x="0" y="0"/>
                      <a:ext cx="6012249" cy="3634154"/>
                    </a:xfrm>
                    <a:prstGeom prst="rect">
                      <a:avLst/>
                    </a:prstGeom>
                    <a:noFill/>
                  </pic:spPr>
                </pic:pic>
              </a:graphicData>
            </a:graphic>
          </wp:inline>
        </w:drawing>
      </w:r>
    </w:p>
    <w:p w14:paraId="3A0B93DD" w14:textId="77777777" w:rsidR="009E2D0E" w:rsidRPr="006645DC" w:rsidRDefault="009E2D0E" w:rsidP="009E2D0E">
      <w:pPr>
        <w:pStyle w:val="Caption"/>
        <w:rPr>
          <w:bCs/>
          <w:lang w:val="en-GB"/>
        </w:rPr>
      </w:pPr>
      <w:bookmarkStart w:id="2369" w:name="_Toc391150048"/>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44</w:t>
      </w:r>
      <w:r w:rsidR="005979EB" w:rsidRPr="006645DC">
        <w:rPr>
          <w:lang w:val="en-GB"/>
        </w:rPr>
        <w:fldChar w:fldCharType="end"/>
      </w:r>
      <w:r w:rsidRPr="006645DC">
        <w:rPr>
          <w:lang w:val="en-GB"/>
        </w:rPr>
        <w:t xml:space="preserve"> - </w:t>
      </w:r>
      <w:r w:rsidRPr="006645DC">
        <w:rPr>
          <w:bCs/>
          <w:lang w:val="en-GB"/>
        </w:rPr>
        <w:t>Policentrical network of localities</w:t>
      </w:r>
      <w:bookmarkEnd w:id="2369"/>
      <w:r w:rsidRPr="006645DC">
        <w:rPr>
          <w:bCs/>
          <w:lang w:val="en-GB"/>
        </w:rPr>
        <w:t xml:space="preserve"> </w:t>
      </w:r>
    </w:p>
    <w:p w14:paraId="193ABFE9" w14:textId="5B0C9FAC" w:rsidR="009E2D0E" w:rsidRPr="006645DC" w:rsidRDefault="009E2D0E" w:rsidP="004A7DE4">
      <w:pPr>
        <w:pStyle w:val="Heading4"/>
        <w:rPr>
          <w:lang w:val="en-GB"/>
        </w:rPr>
      </w:pPr>
      <w:r w:rsidRPr="006645DC">
        <w:rPr>
          <w:lang w:val="en-GB"/>
        </w:rPr>
        <w:t>Source: Romanian territorial Development Strategy- Preliminary elem</w:t>
      </w:r>
      <w:r w:rsidR="004A7DE4">
        <w:rPr>
          <w:lang w:val="en-GB"/>
        </w:rPr>
        <w:t>ents for territorial diagnostic</w:t>
      </w:r>
    </w:p>
    <w:p w14:paraId="7DE11AAB" w14:textId="77777777" w:rsidR="009E2D0E" w:rsidRPr="006645DC" w:rsidRDefault="009E2D0E" w:rsidP="009E2D0E">
      <w:pPr>
        <w:pStyle w:val="Heading4"/>
        <w:rPr>
          <w:lang w:val="en-GB"/>
        </w:rPr>
      </w:pPr>
      <w:r w:rsidRPr="006645DC">
        <w:rPr>
          <w:lang w:val="en-GB"/>
        </w:rPr>
        <w:t xml:space="preserve"> </w:t>
      </w:r>
    </w:p>
    <w:p w14:paraId="3FC907D5" w14:textId="77777777" w:rsidR="009E2D0E" w:rsidRPr="006645DC" w:rsidRDefault="009E2D0E" w:rsidP="009E2D0E">
      <w:pPr>
        <w:jc w:val="center"/>
        <w:rPr>
          <w:bCs/>
          <w:lang w:val="en-GB"/>
        </w:rPr>
      </w:pPr>
      <w:r w:rsidRPr="006645DC">
        <w:rPr>
          <w:bCs/>
          <w:noProof/>
          <w:lang w:val="bg-BG" w:eastAsia="bg-BG"/>
        </w:rPr>
        <w:drawing>
          <wp:inline distT="0" distB="0" distL="0" distR="0" wp14:anchorId="6CA3A50C" wp14:editId="743FD2BA">
            <wp:extent cx="5177642" cy="3230088"/>
            <wp:effectExtent l="0" t="0" r="4445" b="8890"/>
            <wp:docPr id="477"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rotWithShape="1">
                    <a:blip r:embed="rId159">
                      <a:extLst>
                        <a:ext uri="{28A0092B-C50C-407E-A947-70E740481C1C}">
                          <a14:useLocalDpi xmlns:a14="http://schemas.microsoft.com/office/drawing/2010/main" val="0"/>
                        </a:ext>
                      </a:extLst>
                    </a:blip>
                    <a:srcRect/>
                    <a:stretch/>
                  </pic:blipFill>
                  <pic:spPr bwMode="auto">
                    <a:xfrm>
                      <a:off x="0" y="0"/>
                      <a:ext cx="5195556" cy="3241264"/>
                    </a:xfrm>
                    <a:prstGeom prst="rect">
                      <a:avLst/>
                    </a:prstGeom>
                    <a:noFill/>
                    <a:ln>
                      <a:noFill/>
                    </a:ln>
                    <a:extLst>
                      <a:ext uri="{53640926-AAD7-44D8-BBD7-CCE9431645EC}">
                        <a14:shadowObscured xmlns:a14="http://schemas.microsoft.com/office/drawing/2010/main"/>
                      </a:ext>
                    </a:extLst>
                  </pic:spPr>
                </pic:pic>
              </a:graphicData>
            </a:graphic>
          </wp:inline>
        </w:drawing>
      </w:r>
    </w:p>
    <w:p w14:paraId="1E3E5E02" w14:textId="77777777" w:rsidR="009E2D0E" w:rsidRPr="006645DC" w:rsidRDefault="009E2D0E" w:rsidP="009E2D0E">
      <w:pPr>
        <w:pStyle w:val="Caption"/>
        <w:rPr>
          <w:bCs/>
          <w:lang w:val="en-GB"/>
        </w:rPr>
      </w:pPr>
      <w:bookmarkStart w:id="2370" w:name="_Toc391150049"/>
      <w:r w:rsidRPr="006645DC">
        <w:rPr>
          <w:lang w:val="en-GB"/>
        </w:rPr>
        <w:t xml:space="preserve">Map </w:t>
      </w:r>
      <w:r w:rsidR="005979EB" w:rsidRPr="006645DC">
        <w:rPr>
          <w:lang w:val="en-GB"/>
        </w:rPr>
        <w:fldChar w:fldCharType="begin"/>
      </w:r>
      <w:r w:rsidRPr="006645DC">
        <w:rPr>
          <w:lang w:val="en-GB"/>
        </w:rPr>
        <w:instrText xml:space="preserve"> SEQ Map \* ARABIC </w:instrText>
      </w:r>
      <w:r w:rsidR="005979EB" w:rsidRPr="006645DC">
        <w:rPr>
          <w:lang w:val="en-GB"/>
        </w:rPr>
        <w:fldChar w:fldCharType="separate"/>
      </w:r>
      <w:r w:rsidR="00523DE6">
        <w:rPr>
          <w:noProof/>
          <w:lang w:val="en-GB"/>
        </w:rPr>
        <w:t>45</w:t>
      </w:r>
      <w:r w:rsidR="005979EB" w:rsidRPr="006645DC">
        <w:rPr>
          <w:lang w:val="en-GB"/>
        </w:rPr>
        <w:fldChar w:fldCharType="end"/>
      </w:r>
      <w:r w:rsidRPr="006645DC">
        <w:rPr>
          <w:lang w:val="en-GB"/>
        </w:rPr>
        <w:t xml:space="preserve"> - </w:t>
      </w:r>
      <w:r w:rsidRPr="006645DC">
        <w:rPr>
          <w:bCs/>
          <w:lang w:val="en-GB"/>
        </w:rPr>
        <w:t>Structure of the network of populated areas</w:t>
      </w:r>
      <w:bookmarkEnd w:id="2370"/>
    </w:p>
    <w:p w14:paraId="59A92E38" w14:textId="77777777" w:rsidR="009E2D0E" w:rsidRPr="006645DC" w:rsidRDefault="009E2D0E" w:rsidP="009E2D0E">
      <w:pPr>
        <w:pStyle w:val="Heading4"/>
        <w:rPr>
          <w:lang w:val="en-GB"/>
        </w:rPr>
      </w:pPr>
      <w:r w:rsidRPr="006645DC">
        <w:rPr>
          <w:lang w:val="en-GB"/>
        </w:rPr>
        <w:t>Source: National Regional Development Strategy of the Republic of Bulgaria. 2012</w:t>
      </w:r>
    </w:p>
    <w:p w14:paraId="4A5EFCB9" w14:textId="77777777" w:rsidR="009E2D0E" w:rsidRPr="006645DC" w:rsidRDefault="009E2D0E" w:rsidP="009E2D0E">
      <w:pPr>
        <w:pStyle w:val="BodyText"/>
        <w:rPr>
          <w:rFonts w:ascii="Calibri" w:hAnsi="Calibri" w:cs="Times New Roman"/>
          <w:lang w:val="en-GB"/>
        </w:rPr>
      </w:pPr>
    </w:p>
    <w:p w14:paraId="39123201" w14:textId="77777777" w:rsidR="009E2D0E" w:rsidRPr="006645DC" w:rsidRDefault="009E2D0E" w:rsidP="009E2D0E">
      <w:pPr>
        <w:rPr>
          <w:bCs/>
          <w:lang w:val="en-GB"/>
        </w:rPr>
      </w:pPr>
      <w:r w:rsidRPr="006645DC">
        <w:rPr>
          <w:bCs/>
          <w:lang w:val="en-GB"/>
        </w:rPr>
        <w:lastRenderedPageBreak/>
        <w:t xml:space="preserve">Along the Danube, a network of key urban hubs with enhanced institutional collaboration and economic synergies could start articulating a common development strategy in order to mutually </w:t>
      </w:r>
      <w:r w:rsidR="002F7B9E" w:rsidRPr="006645DC">
        <w:rPr>
          <w:bCs/>
          <w:lang w:val="en-GB"/>
        </w:rPr>
        <w:t>strengthen</w:t>
      </w:r>
      <w:r w:rsidRPr="006645DC">
        <w:rPr>
          <w:bCs/>
          <w:lang w:val="en-GB"/>
        </w:rPr>
        <w:t xml:space="preserve"> the secondary and peripheral cities. The network of small and medium-sized cities, such as the twin cities described above,</w:t>
      </w:r>
      <w:r w:rsidRPr="006645DC">
        <w:rPr>
          <w:b/>
          <w:bCs/>
          <w:lang w:val="en-GB"/>
        </w:rPr>
        <w:t xml:space="preserve"> </w:t>
      </w:r>
      <w:r w:rsidRPr="006645DC">
        <w:rPr>
          <w:bCs/>
          <w:lang w:val="en-GB"/>
        </w:rPr>
        <w:t>is already developed across the region, which is a plus in terms of services provided to the rural areas around them. The close proximity of small cities to the neighbouring villages, however, is a factor, which should be taken advantage of in the future because it helps improve connections between urban and rural areas and transform small cities into support centres that provide services to the neighbouring villages with an emphasis on public services.</w:t>
      </w:r>
    </w:p>
    <w:p w14:paraId="0A152051" w14:textId="77777777" w:rsidR="009E2D0E" w:rsidRPr="006645DC" w:rsidRDefault="009E2D0E" w:rsidP="009E2D0E">
      <w:pPr>
        <w:rPr>
          <w:lang w:val="en-GB"/>
        </w:rPr>
      </w:pPr>
      <w:r w:rsidRPr="006645DC">
        <w:rPr>
          <w:lang w:val="en-GB"/>
        </w:rPr>
        <w:t xml:space="preserve">The </w:t>
      </w:r>
      <w:r w:rsidRPr="006645DC">
        <w:rPr>
          <w:b/>
          <w:lang w:val="en-GB"/>
        </w:rPr>
        <w:t>‘Territorial Agenda of the European Union 2020’</w:t>
      </w:r>
      <w:r w:rsidRPr="006645DC">
        <w:rPr>
          <w:lang w:val="en-GB"/>
        </w:rPr>
        <w:t xml:space="preserve"> (2011) emphasizes the following priorities with relevance to urban development:</w:t>
      </w:r>
    </w:p>
    <w:p w14:paraId="67856FA2" w14:textId="77777777" w:rsidR="009E2D0E" w:rsidRPr="006645DC" w:rsidRDefault="009E2D0E" w:rsidP="009E2D0E">
      <w:pPr>
        <w:pStyle w:val="ListParagraph"/>
        <w:rPr>
          <w:lang w:val="en-GB"/>
        </w:rPr>
      </w:pPr>
      <w:r w:rsidRPr="006645DC">
        <w:rPr>
          <w:b/>
          <w:lang w:val="en-GB"/>
        </w:rPr>
        <w:t>Supporting a polycentric and balanced territorial development</w:t>
      </w:r>
      <w:r w:rsidRPr="006645DC">
        <w:rPr>
          <w:lang w:val="en-GB"/>
        </w:rPr>
        <w:t xml:space="preserve"> – by promoting innovative networks between cities that would compete at European and global level; Emphasis on polycentric development at national and regional level; A significant role is assigned to towns and medium-sized cities at regional level;</w:t>
      </w:r>
    </w:p>
    <w:p w14:paraId="05187A23" w14:textId="77777777" w:rsidR="009E2D0E" w:rsidRPr="006645DC" w:rsidRDefault="009E2D0E" w:rsidP="009E2D0E">
      <w:pPr>
        <w:pStyle w:val="ListParagraph"/>
        <w:rPr>
          <w:lang w:val="en-GB"/>
        </w:rPr>
      </w:pPr>
      <w:r w:rsidRPr="006645DC">
        <w:rPr>
          <w:b/>
          <w:lang w:val="en-GB"/>
        </w:rPr>
        <w:t>Promotion of integrated development in urban, rural and specific areas</w:t>
      </w:r>
      <w:r w:rsidRPr="006645DC">
        <w:rPr>
          <w:lang w:val="en-GB"/>
        </w:rPr>
        <w:t xml:space="preserve"> – by applying an integrated approach at many levels in the regeneration and development of urban areas. It is also recommended to transcend the administrative boundaries and focus on a long-term basis on the functional urban areas (FUAs), i.e. on urban agglomeration nuclei and areas. In rural development, the focus is on the unique characteristics of the regions and on sustainable land use. Special attention should also be given to the peripheral and underdeveloped rural areas; </w:t>
      </w:r>
    </w:p>
    <w:p w14:paraId="171253DA" w14:textId="77777777" w:rsidR="009E2D0E" w:rsidRPr="006645DC" w:rsidRDefault="009E2D0E" w:rsidP="009E2D0E">
      <w:pPr>
        <w:pStyle w:val="ListParagraph"/>
        <w:rPr>
          <w:lang w:val="en-GB"/>
        </w:rPr>
      </w:pPr>
      <w:r w:rsidRPr="006645DC">
        <w:rPr>
          <w:b/>
          <w:lang w:val="en-GB"/>
        </w:rPr>
        <w:t>Strengthening of the ties between urban and rural areas</w:t>
      </w:r>
      <w:r w:rsidRPr="006645DC">
        <w:rPr>
          <w:lang w:val="en-GB"/>
        </w:rPr>
        <w:t xml:space="preserve"> at all levels, through improved accessibility and job opportunities; It is emphasized that the major metropolitan areas bear the brunt of responsibility for the development of the periphery;</w:t>
      </w:r>
    </w:p>
    <w:p w14:paraId="3527A272" w14:textId="77777777" w:rsidR="009E2D0E" w:rsidRPr="006645DC" w:rsidRDefault="009E2D0E" w:rsidP="009E2D0E">
      <w:pPr>
        <w:pStyle w:val="ListParagraph"/>
        <w:rPr>
          <w:lang w:val="en-GB"/>
        </w:rPr>
      </w:pPr>
      <w:r w:rsidRPr="006645DC">
        <w:rPr>
          <w:b/>
          <w:lang w:val="en-GB"/>
        </w:rPr>
        <w:t>Territorial integration</w:t>
      </w:r>
      <w:r w:rsidRPr="006645DC">
        <w:rPr>
          <w:lang w:val="en-GB"/>
        </w:rPr>
        <w:t xml:space="preserve"> in border areas. An important factor for strengthening the all-round competitiveness of a territory is its integration by way of territorial cooperation. Attention is also due to the EU’s external borders.</w:t>
      </w:r>
    </w:p>
    <w:p w14:paraId="4C8FB77F" w14:textId="77777777" w:rsidR="009E2D0E" w:rsidRPr="006645DC" w:rsidRDefault="009E2D0E" w:rsidP="009E2D0E">
      <w:pPr>
        <w:rPr>
          <w:lang w:val="en-GB"/>
        </w:rPr>
      </w:pPr>
      <w:r w:rsidRPr="006645DC">
        <w:rPr>
          <w:lang w:val="en-GB"/>
        </w:rPr>
        <w:t xml:space="preserve">The </w:t>
      </w:r>
      <w:r w:rsidRPr="006645DC">
        <w:rPr>
          <w:b/>
          <w:lang w:val="en-GB"/>
        </w:rPr>
        <w:t>Common Spatial Development Document of the V4 Countries + Bulgaria and Romania</w:t>
      </w:r>
      <w:r w:rsidRPr="006645DC">
        <w:rPr>
          <w:lang w:val="en-GB"/>
        </w:rPr>
        <w:t xml:space="preserve"> mentioned the fact that polycentric development creates the necessary expectations for reducing the existing regional disparities while ensuring equal opportunities for common economic and social development. The document identifies the growth poles and axes of significance for the V4+2 countries. The document underlines the important role of connectivity between Bulgaria’s population centres and urban areas and closely located ones in neighbouring countries. This process is expected to be especially pronounced between the twin cities located along the Bulgarian-Romanian border on the river Danube, following the example of Giurgiu and Ruse that have finalized recently a common urban development masterplan.</w:t>
      </w:r>
    </w:p>
    <w:p w14:paraId="407F52F0" w14:textId="77777777" w:rsidR="009E2D0E" w:rsidRPr="006645DC" w:rsidRDefault="009E2D0E" w:rsidP="009E2D0E">
      <w:pPr>
        <w:rPr>
          <w:lang w:val="en-GB"/>
        </w:rPr>
      </w:pPr>
      <w:r w:rsidRPr="006645DC">
        <w:rPr>
          <w:lang w:val="en-GB"/>
        </w:rPr>
        <w:t>In the context of globalisation and based on the region’s economic, human and environmental strengths, the Programme area is open to considerable new opportunities and a promising future.  The realisation of these opportunities depends on the timely, coherent and sensible tackling of issues through a coordinated and strategic management at all level. It requires a greater level of interaction within and across the area, as well as beyond the borders of the programme area.</w:t>
      </w:r>
    </w:p>
    <w:p w14:paraId="6F9D85D2" w14:textId="77777777" w:rsidR="009E2D0E" w:rsidRPr="006645DC" w:rsidRDefault="009E2D0E" w:rsidP="009E2D0E">
      <w:pPr>
        <w:pStyle w:val="Heading3"/>
        <w:rPr>
          <w:lang w:val="en-GB"/>
        </w:rPr>
      </w:pPr>
      <w:bookmarkStart w:id="2371" w:name="_Toc254543872"/>
      <w:r w:rsidRPr="006645DC">
        <w:rPr>
          <w:lang w:val="en-GB"/>
        </w:rPr>
        <w:lastRenderedPageBreak/>
        <w:t>A “Consolidated” European Territorial Cooperation Programme</w:t>
      </w:r>
      <w:bookmarkEnd w:id="2371"/>
      <w:r w:rsidRPr="006645DC">
        <w:rPr>
          <w:lang w:val="en-GB"/>
        </w:rPr>
        <w:t xml:space="preserve"> </w:t>
      </w:r>
    </w:p>
    <w:p w14:paraId="0923B1D1" w14:textId="77777777" w:rsidR="009E2D0E" w:rsidRPr="006645DC" w:rsidRDefault="009E2D0E" w:rsidP="009E2D0E">
      <w:pPr>
        <w:rPr>
          <w:lang w:val="en-GB"/>
        </w:rPr>
      </w:pPr>
      <w:r w:rsidRPr="006645DC">
        <w:rPr>
          <w:lang w:val="en-GB"/>
        </w:rPr>
        <w:t>It is therefore necessary to analyse how to foster the involvement and the interaction of the cross-border stakeholders. The ESPON TERCO project that, amongst others, assesses the intensity of transnational territorial cooperation in European regions and conducts an in-depth examination of the meaning and effectiveness of co-operation through case studies (cross-border, European, transcontinental), is identifying the “maturation process” in European Territorial Co-operation (ETC) as a central topic that requires more research. Indeed, maturity of cooperation can have a significant impact on what ETC can be expected to deliver and therefore can be a key consideration in the evaluation of its results but also in the drafting of the programme. More precisely, three phases – new, consolidated and embedded territorial cooperation - can be identified (see table below). These stages may differ from each other in relation to motivation, type of beneficiaries, governance structures and themes, measurement and impact.</w:t>
      </w:r>
    </w:p>
    <w:p w14:paraId="39696163" w14:textId="77777777" w:rsidR="009E2D0E" w:rsidRPr="006645DC" w:rsidRDefault="009E2D0E" w:rsidP="009E2D0E">
      <w:pPr>
        <w:rPr>
          <w:lang w:val="en-GB"/>
        </w:rPr>
        <w:sectPr w:rsidR="009E2D0E" w:rsidRPr="006645DC" w:rsidSect="009E2D0E">
          <w:pgSz w:w="12240" w:h="15840"/>
          <w:pgMar w:top="1440" w:right="1440" w:bottom="1440" w:left="1440" w:header="227" w:footer="397" w:gutter="0"/>
          <w:cols w:space="720"/>
          <w:docGrid w:linePitch="360"/>
        </w:sectPr>
      </w:pPr>
      <w:r w:rsidRPr="006645DC">
        <w:rPr>
          <w:lang w:val="en-GB"/>
        </w:rPr>
        <w:t xml:space="preserve"> </w:t>
      </w:r>
    </w:p>
    <w:tbl>
      <w:tblPr>
        <w:tblStyle w:val="TableGrid"/>
        <w:tblW w:w="0" w:type="auto"/>
        <w:jc w:val="center"/>
        <w:tblLook w:val="04A0" w:firstRow="1" w:lastRow="0" w:firstColumn="1" w:lastColumn="0" w:noHBand="0" w:noVBand="1"/>
      </w:tblPr>
      <w:tblGrid>
        <w:gridCol w:w="1415"/>
        <w:gridCol w:w="1701"/>
        <w:gridCol w:w="1871"/>
        <w:gridCol w:w="1388"/>
        <w:gridCol w:w="1951"/>
        <w:gridCol w:w="1452"/>
        <w:gridCol w:w="1507"/>
        <w:gridCol w:w="1110"/>
      </w:tblGrid>
      <w:tr w:rsidR="009E2D0E" w:rsidRPr="006645DC" w14:paraId="09DD780E" w14:textId="77777777" w:rsidTr="009E2D0E">
        <w:trPr>
          <w:cantSplit/>
          <w:trHeight w:val="841"/>
          <w:jc w:val="center"/>
        </w:trPr>
        <w:tc>
          <w:tcPr>
            <w:tcW w:w="1415" w:type="dxa"/>
            <w:shd w:val="clear" w:color="auto" w:fill="76923C" w:themeFill="accent3" w:themeFillShade="BF"/>
            <w:vAlign w:val="center"/>
          </w:tcPr>
          <w:p w14:paraId="1AC9F13A" w14:textId="77777777" w:rsidR="009E2D0E" w:rsidRPr="006645DC" w:rsidRDefault="009E2D0E" w:rsidP="009E2D0E">
            <w:pPr>
              <w:pStyle w:val="Default"/>
              <w:spacing w:before="120"/>
              <w:jc w:val="center"/>
              <w:rPr>
                <w:rFonts w:asciiTheme="minorHAnsi" w:hAnsiTheme="minorHAnsi" w:cstheme="minorHAnsi"/>
                <w:b/>
                <w:color w:val="FFFFFF" w:themeColor="background1"/>
                <w:sz w:val="22"/>
                <w:szCs w:val="22"/>
                <w:lang w:val="en-GB"/>
              </w:rPr>
            </w:pPr>
            <w:r w:rsidRPr="006645DC">
              <w:rPr>
                <w:rFonts w:asciiTheme="minorHAnsi" w:hAnsiTheme="minorHAnsi" w:cstheme="minorHAnsi"/>
                <w:b/>
                <w:color w:val="FFFFFF" w:themeColor="background1"/>
                <w:sz w:val="22"/>
                <w:szCs w:val="22"/>
                <w:lang w:val="en-GB"/>
              </w:rPr>
              <w:lastRenderedPageBreak/>
              <w:t>Maturity</w:t>
            </w:r>
          </w:p>
        </w:tc>
        <w:tc>
          <w:tcPr>
            <w:tcW w:w="1701" w:type="dxa"/>
            <w:shd w:val="clear" w:color="auto" w:fill="76923C" w:themeFill="accent3" w:themeFillShade="BF"/>
            <w:vAlign w:val="center"/>
          </w:tcPr>
          <w:p w14:paraId="503804E0" w14:textId="77777777" w:rsidR="009E2D0E" w:rsidRPr="006645DC" w:rsidRDefault="009E2D0E" w:rsidP="009E2D0E">
            <w:pPr>
              <w:pStyle w:val="Default"/>
              <w:jc w:val="center"/>
              <w:rPr>
                <w:rFonts w:asciiTheme="minorHAnsi" w:hAnsiTheme="minorHAnsi" w:cstheme="minorHAnsi"/>
                <w:b/>
                <w:color w:val="FFFFFF" w:themeColor="background1"/>
                <w:sz w:val="22"/>
                <w:szCs w:val="22"/>
                <w:lang w:val="en-GB"/>
              </w:rPr>
            </w:pPr>
            <w:r w:rsidRPr="006645DC">
              <w:rPr>
                <w:rFonts w:asciiTheme="minorHAnsi" w:hAnsiTheme="minorHAnsi" w:cstheme="minorHAnsi"/>
                <w:b/>
                <w:color w:val="FFFFFF" w:themeColor="background1"/>
                <w:sz w:val="22"/>
                <w:szCs w:val="22"/>
                <w:lang w:val="en-GB"/>
              </w:rPr>
              <w:t>Motivation</w:t>
            </w:r>
          </w:p>
        </w:tc>
        <w:tc>
          <w:tcPr>
            <w:tcW w:w="1871" w:type="dxa"/>
            <w:shd w:val="clear" w:color="auto" w:fill="76923C" w:themeFill="accent3" w:themeFillShade="BF"/>
            <w:vAlign w:val="center"/>
          </w:tcPr>
          <w:p w14:paraId="101FF82B" w14:textId="77777777" w:rsidR="009E2D0E" w:rsidRPr="006645DC" w:rsidRDefault="009E2D0E" w:rsidP="009E2D0E">
            <w:pPr>
              <w:pStyle w:val="Default"/>
              <w:jc w:val="center"/>
              <w:rPr>
                <w:rFonts w:asciiTheme="minorHAnsi" w:hAnsiTheme="minorHAnsi" w:cstheme="minorHAnsi"/>
                <w:b/>
                <w:color w:val="FFFFFF" w:themeColor="background1"/>
                <w:sz w:val="22"/>
                <w:szCs w:val="22"/>
                <w:lang w:val="en-GB"/>
              </w:rPr>
            </w:pPr>
            <w:r w:rsidRPr="006645DC">
              <w:rPr>
                <w:rFonts w:asciiTheme="minorHAnsi" w:hAnsiTheme="minorHAnsi" w:cstheme="minorHAnsi"/>
                <w:b/>
                <w:color w:val="FFFFFF" w:themeColor="background1"/>
                <w:sz w:val="22"/>
                <w:szCs w:val="22"/>
                <w:lang w:val="en-GB"/>
              </w:rPr>
              <w:t>Scale</w:t>
            </w:r>
          </w:p>
        </w:tc>
        <w:tc>
          <w:tcPr>
            <w:tcW w:w="1388" w:type="dxa"/>
            <w:shd w:val="clear" w:color="auto" w:fill="76923C" w:themeFill="accent3" w:themeFillShade="BF"/>
            <w:vAlign w:val="center"/>
          </w:tcPr>
          <w:p w14:paraId="35804796" w14:textId="77777777" w:rsidR="009E2D0E" w:rsidRPr="006645DC" w:rsidRDefault="009E2D0E" w:rsidP="009E2D0E">
            <w:pPr>
              <w:pStyle w:val="Default"/>
              <w:jc w:val="center"/>
              <w:rPr>
                <w:rFonts w:asciiTheme="minorHAnsi" w:hAnsiTheme="minorHAnsi" w:cstheme="minorHAnsi"/>
                <w:b/>
                <w:color w:val="FFFFFF" w:themeColor="background1"/>
                <w:sz w:val="22"/>
                <w:szCs w:val="22"/>
                <w:lang w:val="en-GB"/>
              </w:rPr>
            </w:pPr>
            <w:r w:rsidRPr="006645DC">
              <w:rPr>
                <w:rFonts w:asciiTheme="minorHAnsi" w:hAnsiTheme="minorHAnsi" w:cstheme="minorHAnsi"/>
                <w:b/>
                <w:color w:val="FFFFFF" w:themeColor="background1"/>
                <w:sz w:val="22"/>
                <w:szCs w:val="22"/>
                <w:lang w:val="en-GB"/>
              </w:rPr>
              <w:t>Type of Beneficiaries</w:t>
            </w:r>
          </w:p>
        </w:tc>
        <w:tc>
          <w:tcPr>
            <w:tcW w:w="1951" w:type="dxa"/>
            <w:shd w:val="clear" w:color="auto" w:fill="76923C" w:themeFill="accent3" w:themeFillShade="BF"/>
            <w:vAlign w:val="center"/>
          </w:tcPr>
          <w:p w14:paraId="154727A7" w14:textId="77777777" w:rsidR="009E2D0E" w:rsidRPr="006645DC" w:rsidRDefault="009E2D0E" w:rsidP="009E2D0E">
            <w:pPr>
              <w:pStyle w:val="Default"/>
              <w:jc w:val="center"/>
              <w:rPr>
                <w:rFonts w:asciiTheme="minorHAnsi" w:hAnsiTheme="minorHAnsi" w:cstheme="minorHAnsi"/>
                <w:b/>
                <w:color w:val="FFFFFF" w:themeColor="background1"/>
                <w:sz w:val="22"/>
                <w:szCs w:val="22"/>
                <w:lang w:val="en-GB"/>
              </w:rPr>
            </w:pPr>
            <w:r w:rsidRPr="006645DC">
              <w:rPr>
                <w:rFonts w:asciiTheme="minorHAnsi" w:hAnsiTheme="minorHAnsi" w:cstheme="minorHAnsi"/>
                <w:b/>
                <w:color w:val="FFFFFF" w:themeColor="background1"/>
                <w:sz w:val="22"/>
                <w:szCs w:val="22"/>
                <w:lang w:val="en-GB"/>
              </w:rPr>
              <w:t>Governance structures</w:t>
            </w:r>
          </w:p>
        </w:tc>
        <w:tc>
          <w:tcPr>
            <w:tcW w:w="1452" w:type="dxa"/>
            <w:shd w:val="clear" w:color="auto" w:fill="76923C" w:themeFill="accent3" w:themeFillShade="BF"/>
            <w:vAlign w:val="center"/>
          </w:tcPr>
          <w:p w14:paraId="65C8E332" w14:textId="77777777" w:rsidR="009E2D0E" w:rsidRPr="006645DC" w:rsidRDefault="009E2D0E" w:rsidP="009E2D0E">
            <w:pPr>
              <w:pStyle w:val="Default"/>
              <w:jc w:val="center"/>
              <w:rPr>
                <w:rFonts w:asciiTheme="minorHAnsi" w:hAnsiTheme="minorHAnsi" w:cstheme="minorHAnsi"/>
                <w:b/>
                <w:color w:val="FFFFFF" w:themeColor="background1"/>
                <w:sz w:val="22"/>
                <w:szCs w:val="22"/>
                <w:lang w:val="en-GB"/>
              </w:rPr>
            </w:pPr>
            <w:r w:rsidRPr="006645DC">
              <w:rPr>
                <w:rFonts w:asciiTheme="minorHAnsi" w:hAnsiTheme="minorHAnsi" w:cstheme="minorHAnsi"/>
                <w:b/>
                <w:color w:val="FFFFFF" w:themeColor="background1"/>
                <w:sz w:val="22"/>
                <w:szCs w:val="22"/>
                <w:lang w:val="en-GB"/>
              </w:rPr>
              <w:t>Themes</w:t>
            </w:r>
          </w:p>
        </w:tc>
        <w:tc>
          <w:tcPr>
            <w:tcW w:w="1507" w:type="dxa"/>
            <w:shd w:val="clear" w:color="auto" w:fill="76923C" w:themeFill="accent3" w:themeFillShade="BF"/>
            <w:vAlign w:val="center"/>
          </w:tcPr>
          <w:p w14:paraId="66C0D179" w14:textId="77777777" w:rsidR="009E2D0E" w:rsidRPr="006645DC" w:rsidRDefault="009E2D0E" w:rsidP="009E2D0E">
            <w:pPr>
              <w:pStyle w:val="Default"/>
              <w:jc w:val="center"/>
              <w:rPr>
                <w:rFonts w:asciiTheme="minorHAnsi" w:hAnsiTheme="minorHAnsi" w:cstheme="minorHAnsi"/>
                <w:b/>
                <w:color w:val="FFFFFF" w:themeColor="background1"/>
                <w:sz w:val="22"/>
                <w:szCs w:val="22"/>
                <w:lang w:val="en-GB"/>
              </w:rPr>
            </w:pPr>
            <w:r w:rsidRPr="006645DC">
              <w:rPr>
                <w:rFonts w:asciiTheme="minorHAnsi" w:hAnsiTheme="minorHAnsi" w:cstheme="minorHAnsi"/>
                <w:b/>
                <w:color w:val="FFFFFF" w:themeColor="background1"/>
                <w:sz w:val="22"/>
                <w:szCs w:val="22"/>
                <w:lang w:val="en-GB"/>
              </w:rPr>
              <w:t>Measurement</w:t>
            </w:r>
          </w:p>
        </w:tc>
        <w:tc>
          <w:tcPr>
            <w:tcW w:w="1110" w:type="dxa"/>
            <w:shd w:val="clear" w:color="auto" w:fill="76923C" w:themeFill="accent3" w:themeFillShade="BF"/>
            <w:vAlign w:val="center"/>
          </w:tcPr>
          <w:p w14:paraId="0E3106C5" w14:textId="77777777" w:rsidR="009E2D0E" w:rsidRPr="006645DC" w:rsidRDefault="009E2D0E" w:rsidP="009E2D0E">
            <w:pPr>
              <w:pStyle w:val="Default"/>
              <w:jc w:val="center"/>
              <w:rPr>
                <w:rFonts w:asciiTheme="minorHAnsi" w:hAnsiTheme="minorHAnsi" w:cstheme="minorHAnsi"/>
                <w:b/>
                <w:color w:val="FFFFFF" w:themeColor="background1"/>
                <w:sz w:val="22"/>
                <w:szCs w:val="22"/>
                <w:lang w:val="en-GB"/>
              </w:rPr>
            </w:pPr>
            <w:r w:rsidRPr="006645DC">
              <w:rPr>
                <w:rFonts w:asciiTheme="minorHAnsi" w:hAnsiTheme="minorHAnsi" w:cstheme="minorHAnsi"/>
                <w:b/>
                <w:color w:val="FFFFFF" w:themeColor="background1"/>
                <w:sz w:val="22"/>
                <w:szCs w:val="22"/>
                <w:lang w:val="en-GB"/>
              </w:rPr>
              <w:t>Impact</w:t>
            </w:r>
          </w:p>
        </w:tc>
      </w:tr>
      <w:tr w:rsidR="009E2D0E" w:rsidRPr="006645DC" w14:paraId="690A5CD5" w14:textId="77777777" w:rsidTr="009E2D0E">
        <w:trPr>
          <w:jc w:val="center"/>
        </w:trPr>
        <w:tc>
          <w:tcPr>
            <w:tcW w:w="1415" w:type="dxa"/>
            <w:shd w:val="clear" w:color="auto" w:fill="76923C" w:themeFill="accent3" w:themeFillShade="BF"/>
            <w:vAlign w:val="center"/>
          </w:tcPr>
          <w:p w14:paraId="10536550" w14:textId="77777777" w:rsidR="009E2D0E" w:rsidRPr="006645DC" w:rsidRDefault="009E2D0E" w:rsidP="009E2D0E">
            <w:pPr>
              <w:pStyle w:val="Default"/>
              <w:jc w:val="center"/>
              <w:rPr>
                <w:rFonts w:asciiTheme="minorHAnsi" w:hAnsiTheme="minorHAnsi" w:cstheme="minorHAnsi"/>
                <w:b/>
                <w:color w:val="FFFFFF" w:themeColor="background1"/>
                <w:sz w:val="22"/>
                <w:szCs w:val="22"/>
                <w:lang w:val="en-GB"/>
              </w:rPr>
            </w:pPr>
            <w:r w:rsidRPr="006645DC">
              <w:rPr>
                <w:rFonts w:asciiTheme="minorHAnsi" w:hAnsiTheme="minorHAnsi" w:cstheme="minorHAnsi"/>
                <w:b/>
                <w:color w:val="FFFFFF" w:themeColor="background1"/>
                <w:sz w:val="22"/>
                <w:szCs w:val="22"/>
                <w:lang w:val="en-GB"/>
              </w:rPr>
              <w:t>Embedded</w:t>
            </w:r>
          </w:p>
        </w:tc>
        <w:tc>
          <w:tcPr>
            <w:tcW w:w="1701" w:type="dxa"/>
          </w:tcPr>
          <w:p w14:paraId="6A6278B0" w14:textId="77777777" w:rsidR="009E2D0E" w:rsidRPr="006645DC" w:rsidRDefault="009E2D0E" w:rsidP="009E2D0E">
            <w:pPr>
              <w:jc w:val="left"/>
              <w:rPr>
                <w:lang w:val="en-GB"/>
              </w:rPr>
            </w:pPr>
            <w:r w:rsidRPr="006645DC">
              <w:rPr>
                <w:lang w:val="en-GB"/>
              </w:rPr>
              <w:t xml:space="preserve">Strong domestic commitment with limited requirement for external funding </w:t>
            </w:r>
          </w:p>
        </w:tc>
        <w:tc>
          <w:tcPr>
            <w:tcW w:w="1871" w:type="dxa"/>
          </w:tcPr>
          <w:p w14:paraId="5EBCF4D7" w14:textId="77777777" w:rsidR="009E2D0E" w:rsidRPr="006645DC" w:rsidRDefault="009E2D0E" w:rsidP="009E2D0E">
            <w:pPr>
              <w:jc w:val="left"/>
              <w:rPr>
                <w:lang w:val="en-GB"/>
              </w:rPr>
            </w:pPr>
            <w:r w:rsidRPr="006645DC">
              <w:rPr>
                <w:lang w:val="en-GB"/>
              </w:rPr>
              <w:t>Large number of actors are involved and a comprehensive strategic framework is in place</w:t>
            </w:r>
          </w:p>
        </w:tc>
        <w:tc>
          <w:tcPr>
            <w:tcW w:w="1388" w:type="dxa"/>
          </w:tcPr>
          <w:p w14:paraId="1209D472" w14:textId="77777777" w:rsidR="009E2D0E" w:rsidRPr="006645DC" w:rsidRDefault="009E2D0E" w:rsidP="009E2D0E">
            <w:pPr>
              <w:jc w:val="left"/>
              <w:rPr>
                <w:lang w:val="en-GB"/>
              </w:rPr>
            </w:pPr>
            <w:r w:rsidRPr="006645DC">
              <w:rPr>
                <w:lang w:val="en-GB"/>
              </w:rPr>
              <w:t xml:space="preserve">Public-private partnership (including third sector) </w:t>
            </w:r>
          </w:p>
        </w:tc>
        <w:tc>
          <w:tcPr>
            <w:tcW w:w="1951" w:type="dxa"/>
          </w:tcPr>
          <w:p w14:paraId="1E27C1F4" w14:textId="77777777" w:rsidR="009E2D0E" w:rsidRPr="006645DC" w:rsidRDefault="009E2D0E" w:rsidP="009E2D0E">
            <w:pPr>
              <w:jc w:val="left"/>
              <w:rPr>
                <w:lang w:val="en-GB"/>
              </w:rPr>
            </w:pPr>
            <w:r w:rsidRPr="006645DC">
              <w:rPr>
                <w:lang w:val="en-GB"/>
              </w:rPr>
              <w:t xml:space="preserve">Joint up approaches. Formalised and institutionalised framework. Senior level actors fully engaged </w:t>
            </w:r>
          </w:p>
        </w:tc>
        <w:tc>
          <w:tcPr>
            <w:tcW w:w="1452" w:type="dxa"/>
          </w:tcPr>
          <w:p w14:paraId="76486B61" w14:textId="77777777" w:rsidR="009E2D0E" w:rsidRPr="006645DC" w:rsidRDefault="009E2D0E" w:rsidP="009E2D0E">
            <w:pPr>
              <w:jc w:val="left"/>
              <w:rPr>
                <w:lang w:val="en-GB"/>
              </w:rPr>
            </w:pPr>
            <w:r w:rsidRPr="006645DC">
              <w:rPr>
                <w:lang w:val="en-GB"/>
              </w:rPr>
              <w:t>Key Economic development themes, including pressing and controversial issues</w:t>
            </w:r>
          </w:p>
        </w:tc>
        <w:tc>
          <w:tcPr>
            <w:tcW w:w="1507" w:type="dxa"/>
          </w:tcPr>
          <w:p w14:paraId="534C5BDA" w14:textId="77777777" w:rsidR="009E2D0E" w:rsidRPr="006645DC" w:rsidRDefault="009E2D0E" w:rsidP="009E2D0E">
            <w:pPr>
              <w:jc w:val="left"/>
              <w:rPr>
                <w:lang w:val="en-GB"/>
              </w:rPr>
            </w:pPr>
            <w:r w:rsidRPr="006645DC">
              <w:rPr>
                <w:lang w:val="en-GB"/>
              </w:rPr>
              <w:t xml:space="preserve">Scope for using impact indicators </w:t>
            </w:r>
          </w:p>
        </w:tc>
        <w:tc>
          <w:tcPr>
            <w:tcW w:w="1110" w:type="dxa"/>
          </w:tcPr>
          <w:p w14:paraId="336C9E86" w14:textId="77777777" w:rsidR="009E2D0E" w:rsidRPr="006645DC" w:rsidRDefault="009E2D0E" w:rsidP="009E2D0E">
            <w:pPr>
              <w:jc w:val="left"/>
              <w:rPr>
                <w:lang w:val="en-GB"/>
              </w:rPr>
            </w:pPr>
            <w:r w:rsidRPr="006645DC">
              <w:rPr>
                <w:lang w:val="en-GB"/>
              </w:rPr>
              <w:t xml:space="preserve">Territorial cohesion </w:t>
            </w:r>
          </w:p>
        </w:tc>
      </w:tr>
      <w:tr w:rsidR="009E2D0E" w:rsidRPr="006645DC" w14:paraId="491D3A63" w14:textId="77777777" w:rsidTr="009E2D0E">
        <w:trPr>
          <w:jc w:val="center"/>
        </w:trPr>
        <w:tc>
          <w:tcPr>
            <w:tcW w:w="1415" w:type="dxa"/>
            <w:shd w:val="clear" w:color="auto" w:fill="76923C" w:themeFill="accent3" w:themeFillShade="BF"/>
            <w:vAlign w:val="center"/>
          </w:tcPr>
          <w:p w14:paraId="4D9855A2" w14:textId="77777777" w:rsidR="009E2D0E" w:rsidRPr="006645DC" w:rsidRDefault="009E2D0E" w:rsidP="009E2D0E">
            <w:pPr>
              <w:pStyle w:val="Default"/>
              <w:keepNext/>
              <w:keepLines/>
              <w:spacing w:before="240"/>
              <w:outlineLvl w:val="1"/>
              <w:rPr>
                <w:rFonts w:asciiTheme="minorHAnsi" w:hAnsiTheme="minorHAnsi" w:cstheme="minorHAnsi"/>
                <w:b/>
                <w:color w:val="FFFFFF" w:themeColor="background1"/>
                <w:sz w:val="22"/>
                <w:szCs w:val="22"/>
                <w:lang w:val="en-GB"/>
              </w:rPr>
            </w:pPr>
            <w:r w:rsidRPr="006645DC">
              <w:rPr>
                <w:rFonts w:asciiTheme="minorHAnsi" w:hAnsiTheme="minorHAnsi" w:cstheme="minorHAnsi"/>
                <w:b/>
                <w:color w:val="FFFFFF" w:themeColor="background1"/>
                <w:sz w:val="22"/>
                <w:szCs w:val="22"/>
                <w:lang w:val="en-GB"/>
              </w:rPr>
              <w:t>Consolidated</w:t>
            </w:r>
          </w:p>
        </w:tc>
        <w:tc>
          <w:tcPr>
            <w:tcW w:w="1701" w:type="dxa"/>
          </w:tcPr>
          <w:p w14:paraId="681A0429" w14:textId="77777777" w:rsidR="009E2D0E" w:rsidRPr="006645DC" w:rsidRDefault="009E2D0E" w:rsidP="009E2D0E">
            <w:pPr>
              <w:jc w:val="left"/>
              <w:rPr>
                <w:lang w:val="en-GB"/>
              </w:rPr>
            </w:pPr>
            <w:r w:rsidRPr="006645DC">
              <w:rPr>
                <w:lang w:val="en-GB"/>
              </w:rPr>
              <w:t xml:space="preserve">Continued reliance on external funding but emerging domestic commitments </w:t>
            </w:r>
          </w:p>
        </w:tc>
        <w:tc>
          <w:tcPr>
            <w:tcW w:w="1871" w:type="dxa"/>
          </w:tcPr>
          <w:p w14:paraId="491E90B4" w14:textId="77777777" w:rsidR="009E2D0E" w:rsidRPr="006645DC" w:rsidRDefault="009E2D0E" w:rsidP="009E2D0E">
            <w:pPr>
              <w:jc w:val="left"/>
              <w:rPr>
                <w:lang w:val="en-GB"/>
              </w:rPr>
            </w:pPr>
            <w:r w:rsidRPr="006645DC">
              <w:rPr>
                <w:lang w:val="en-GB"/>
              </w:rPr>
              <w:t xml:space="preserve">A more strategic approach is emerging and attempts are made to coordinate efforts </w:t>
            </w:r>
          </w:p>
        </w:tc>
        <w:tc>
          <w:tcPr>
            <w:tcW w:w="1388" w:type="dxa"/>
          </w:tcPr>
          <w:p w14:paraId="34A2343D" w14:textId="77777777" w:rsidR="009E2D0E" w:rsidRPr="006645DC" w:rsidRDefault="009E2D0E" w:rsidP="009E2D0E">
            <w:pPr>
              <w:jc w:val="left"/>
              <w:rPr>
                <w:lang w:val="en-GB"/>
              </w:rPr>
            </w:pPr>
            <w:r w:rsidRPr="006645DC">
              <w:rPr>
                <w:lang w:val="en-GB"/>
              </w:rPr>
              <w:t xml:space="preserve">Public authorities leading with some involvement from other sectors </w:t>
            </w:r>
          </w:p>
        </w:tc>
        <w:tc>
          <w:tcPr>
            <w:tcW w:w="1951" w:type="dxa"/>
          </w:tcPr>
          <w:p w14:paraId="4DBAE2BF" w14:textId="77777777" w:rsidR="009E2D0E" w:rsidRPr="006645DC" w:rsidRDefault="009E2D0E" w:rsidP="009E2D0E">
            <w:pPr>
              <w:jc w:val="left"/>
              <w:rPr>
                <w:lang w:val="en-GB"/>
              </w:rPr>
            </w:pPr>
            <w:r w:rsidRPr="006645DC">
              <w:rPr>
                <w:lang w:val="en-GB"/>
              </w:rPr>
              <w:t xml:space="preserve">Increasing levels of institutionalisation appointment of dedicated staff </w:t>
            </w:r>
          </w:p>
        </w:tc>
        <w:tc>
          <w:tcPr>
            <w:tcW w:w="1452" w:type="dxa"/>
          </w:tcPr>
          <w:p w14:paraId="1599AA62" w14:textId="77777777" w:rsidR="009E2D0E" w:rsidRPr="006645DC" w:rsidRDefault="009E2D0E" w:rsidP="009E2D0E">
            <w:pPr>
              <w:jc w:val="left"/>
              <w:rPr>
                <w:lang w:val="en-GB"/>
              </w:rPr>
            </w:pPr>
          </w:p>
        </w:tc>
        <w:tc>
          <w:tcPr>
            <w:tcW w:w="1507" w:type="dxa"/>
          </w:tcPr>
          <w:p w14:paraId="432A21C8" w14:textId="77777777" w:rsidR="009E2D0E" w:rsidRPr="006645DC" w:rsidRDefault="009E2D0E" w:rsidP="009E2D0E">
            <w:pPr>
              <w:jc w:val="left"/>
              <w:rPr>
                <w:lang w:val="en-GB"/>
              </w:rPr>
            </w:pPr>
            <w:r w:rsidRPr="006645DC">
              <w:rPr>
                <w:lang w:val="en-GB"/>
              </w:rPr>
              <w:t xml:space="preserve">Scope for using harder quantitative measures that focus outputs and results </w:t>
            </w:r>
          </w:p>
        </w:tc>
        <w:tc>
          <w:tcPr>
            <w:tcW w:w="1110" w:type="dxa"/>
          </w:tcPr>
          <w:p w14:paraId="425EC7A1" w14:textId="77777777" w:rsidR="009E2D0E" w:rsidRPr="006645DC" w:rsidRDefault="009E2D0E" w:rsidP="009E2D0E">
            <w:pPr>
              <w:jc w:val="left"/>
              <w:rPr>
                <w:lang w:val="en-GB"/>
              </w:rPr>
            </w:pPr>
            <w:r w:rsidRPr="006645DC">
              <w:rPr>
                <w:lang w:val="en-GB"/>
              </w:rPr>
              <w:t xml:space="preserve">Larger strategic impact </w:t>
            </w:r>
          </w:p>
        </w:tc>
      </w:tr>
      <w:tr w:rsidR="009E2D0E" w:rsidRPr="006645DC" w14:paraId="41F26DF8" w14:textId="77777777" w:rsidTr="009E2D0E">
        <w:trPr>
          <w:jc w:val="center"/>
        </w:trPr>
        <w:tc>
          <w:tcPr>
            <w:tcW w:w="1415" w:type="dxa"/>
            <w:shd w:val="clear" w:color="auto" w:fill="76923C" w:themeFill="accent3" w:themeFillShade="BF"/>
            <w:vAlign w:val="center"/>
          </w:tcPr>
          <w:p w14:paraId="0155CC13" w14:textId="77777777" w:rsidR="009E2D0E" w:rsidRPr="006645DC" w:rsidRDefault="009E2D0E" w:rsidP="009E2D0E">
            <w:pPr>
              <w:pStyle w:val="Default"/>
              <w:keepNext/>
              <w:keepLines/>
              <w:spacing w:before="240"/>
              <w:ind w:left="757" w:hanging="360"/>
              <w:outlineLvl w:val="1"/>
              <w:rPr>
                <w:rFonts w:asciiTheme="minorHAnsi" w:hAnsiTheme="minorHAnsi" w:cstheme="minorHAnsi"/>
                <w:b/>
                <w:color w:val="FFFFFF" w:themeColor="background1"/>
                <w:sz w:val="22"/>
                <w:szCs w:val="22"/>
                <w:lang w:val="en-GB"/>
              </w:rPr>
            </w:pPr>
            <w:r w:rsidRPr="006645DC">
              <w:rPr>
                <w:rFonts w:asciiTheme="minorHAnsi" w:hAnsiTheme="minorHAnsi" w:cstheme="minorHAnsi"/>
                <w:b/>
                <w:color w:val="FFFFFF" w:themeColor="background1"/>
                <w:sz w:val="22"/>
                <w:szCs w:val="22"/>
                <w:lang w:val="en-GB"/>
              </w:rPr>
              <w:t>New</w:t>
            </w:r>
          </w:p>
        </w:tc>
        <w:tc>
          <w:tcPr>
            <w:tcW w:w="1701" w:type="dxa"/>
          </w:tcPr>
          <w:p w14:paraId="53829BCA" w14:textId="77777777" w:rsidR="009E2D0E" w:rsidRPr="006645DC" w:rsidRDefault="009E2D0E" w:rsidP="009E2D0E">
            <w:pPr>
              <w:jc w:val="left"/>
              <w:rPr>
                <w:lang w:val="en-GB"/>
              </w:rPr>
            </w:pPr>
            <w:r w:rsidRPr="006645DC">
              <w:rPr>
                <w:lang w:val="en-GB"/>
              </w:rPr>
              <w:t xml:space="preserve">Reliant on external funding and compliance requirement </w:t>
            </w:r>
          </w:p>
        </w:tc>
        <w:tc>
          <w:tcPr>
            <w:tcW w:w="1871" w:type="dxa"/>
          </w:tcPr>
          <w:p w14:paraId="549F78A3" w14:textId="77777777" w:rsidR="009E2D0E" w:rsidRPr="006645DC" w:rsidRDefault="009E2D0E" w:rsidP="009E2D0E">
            <w:pPr>
              <w:jc w:val="left"/>
              <w:rPr>
                <w:lang w:val="en-GB"/>
              </w:rPr>
            </w:pPr>
            <w:r w:rsidRPr="006645DC">
              <w:rPr>
                <w:lang w:val="en-GB"/>
              </w:rPr>
              <w:t xml:space="preserve">Relatively small number of actors and lack of coordination </w:t>
            </w:r>
          </w:p>
        </w:tc>
        <w:tc>
          <w:tcPr>
            <w:tcW w:w="1388" w:type="dxa"/>
          </w:tcPr>
          <w:p w14:paraId="04E3EBDF" w14:textId="77777777" w:rsidR="009E2D0E" w:rsidRPr="006645DC" w:rsidRDefault="009E2D0E" w:rsidP="009E2D0E">
            <w:pPr>
              <w:jc w:val="left"/>
              <w:rPr>
                <w:lang w:val="en-GB"/>
              </w:rPr>
            </w:pPr>
            <w:r w:rsidRPr="006645DC">
              <w:rPr>
                <w:lang w:val="en-GB"/>
              </w:rPr>
              <w:t xml:space="preserve">Public authorities </w:t>
            </w:r>
          </w:p>
        </w:tc>
        <w:tc>
          <w:tcPr>
            <w:tcW w:w="1951" w:type="dxa"/>
          </w:tcPr>
          <w:p w14:paraId="36DC77A5" w14:textId="77777777" w:rsidR="009E2D0E" w:rsidRPr="006645DC" w:rsidRDefault="009E2D0E" w:rsidP="009E2D0E">
            <w:pPr>
              <w:jc w:val="left"/>
              <w:rPr>
                <w:lang w:val="en-GB"/>
              </w:rPr>
            </w:pPr>
            <w:r w:rsidRPr="006645DC">
              <w:rPr>
                <w:lang w:val="en-GB"/>
              </w:rPr>
              <w:t xml:space="preserve">Parallel structures. Reliance on key individuals </w:t>
            </w:r>
          </w:p>
        </w:tc>
        <w:tc>
          <w:tcPr>
            <w:tcW w:w="1452" w:type="dxa"/>
          </w:tcPr>
          <w:p w14:paraId="42E6C02B" w14:textId="77777777" w:rsidR="009E2D0E" w:rsidRPr="006645DC" w:rsidRDefault="009E2D0E" w:rsidP="009E2D0E">
            <w:pPr>
              <w:jc w:val="left"/>
              <w:rPr>
                <w:lang w:val="en-GB"/>
              </w:rPr>
            </w:pPr>
            <w:r w:rsidRPr="006645DC">
              <w:rPr>
                <w:lang w:val="en-GB"/>
              </w:rPr>
              <w:t xml:space="preserve">Easy/non-controversial (e.g. culture, infrastructure or tourism) </w:t>
            </w:r>
          </w:p>
        </w:tc>
        <w:tc>
          <w:tcPr>
            <w:tcW w:w="1507" w:type="dxa"/>
          </w:tcPr>
          <w:p w14:paraId="2967198C" w14:textId="77777777" w:rsidR="009E2D0E" w:rsidRPr="006645DC" w:rsidRDefault="009E2D0E" w:rsidP="009E2D0E">
            <w:pPr>
              <w:jc w:val="left"/>
              <w:rPr>
                <w:lang w:val="en-GB"/>
              </w:rPr>
            </w:pPr>
            <w:r w:rsidRPr="006645DC">
              <w:rPr>
                <w:lang w:val="en-GB"/>
              </w:rPr>
              <w:t xml:space="preserve">Programme’s impact is measured using soft qualitative indicators </w:t>
            </w:r>
          </w:p>
        </w:tc>
        <w:tc>
          <w:tcPr>
            <w:tcW w:w="1110" w:type="dxa"/>
          </w:tcPr>
          <w:p w14:paraId="734BE739" w14:textId="77777777" w:rsidR="009E2D0E" w:rsidRPr="006645DC" w:rsidRDefault="009E2D0E" w:rsidP="009E2D0E">
            <w:pPr>
              <w:jc w:val="left"/>
              <w:rPr>
                <w:lang w:val="en-GB"/>
              </w:rPr>
            </w:pPr>
            <w:r w:rsidRPr="006645DC">
              <w:rPr>
                <w:lang w:val="en-GB"/>
              </w:rPr>
              <w:t xml:space="preserve">Limited small scale local impact </w:t>
            </w:r>
          </w:p>
        </w:tc>
      </w:tr>
    </w:tbl>
    <w:p w14:paraId="0C718B1A" w14:textId="77777777" w:rsidR="009E2D0E" w:rsidRPr="006645DC" w:rsidRDefault="009E2D0E" w:rsidP="009E2D0E">
      <w:pPr>
        <w:rPr>
          <w:lang w:val="en-GB"/>
        </w:rPr>
        <w:sectPr w:rsidR="009E2D0E" w:rsidRPr="006645DC" w:rsidSect="009E2D0E">
          <w:pgSz w:w="15840" w:h="12240" w:orient="landscape"/>
          <w:pgMar w:top="1440" w:right="1440" w:bottom="1440" w:left="1440" w:header="720" w:footer="720" w:gutter="0"/>
          <w:cols w:space="720"/>
          <w:docGrid w:linePitch="360"/>
        </w:sectPr>
      </w:pPr>
    </w:p>
    <w:p w14:paraId="7AF22D46" w14:textId="77777777" w:rsidR="009E2D0E" w:rsidRPr="006645DC" w:rsidRDefault="009E2D0E" w:rsidP="009E2D0E">
      <w:pPr>
        <w:rPr>
          <w:lang w:val="en-GB"/>
        </w:rPr>
      </w:pPr>
      <w:r w:rsidRPr="006645DC">
        <w:rPr>
          <w:lang w:val="en-GB"/>
        </w:rPr>
        <w:lastRenderedPageBreak/>
        <w:t xml:space="preserve">The framework as presented above clearly comes with several caveats. Indeed, there are important endogenous drivers, which have an impact on each phase of cooperation. Maturity does not solely depend on the length of time that a particular ETC programme has been in place. It can also depend on: </w:t>
      </w:r>
    </w:p>
    <w:p w14:paraId="37BFC58D" w14:textId="77777777" w:rsidR="009E2D0E" w:rsidRPr="006645DC" w:rsidRDefault="009E2D0E" w:rsidP="00C951D5">
      <w:pPr>
        <w:pStyle w:val="ListParagraph"/>
        <w:numPr>
          <w:ilvl w:val="0"/>
          <w:numId w:val="97"/>
        </w:numPr>
        <w:rPr>
          <w:lang w:val="en-GB"/>
        </w:rPr>
      </w:pPr>
      <w:r w:rsidRPr="006645DC">
        <w:rPr>
          <w:lang w:val="en-GB"/>
        </w:rPr>
        <w:t>Pre-existing cooperation efforts</w:t>
      </w:r>
    </w:p>
    <w:p w14:paraId="530A7415" w14:textId="77777777" w:rsidR="009E2D0E" w:rsidRPr="006645DC" w:rsidRDefault="009E2D0E" w:rsidP="00C951D5">
      <w:pPr>
        <w:pStyle w:val="ListParagraph"/>
        <w:numPr>
          <w:ilvl w:val="0"/>
          <w:numId w:val="97"/>
        </w:numPr>
        <w:rPr>
          <w:lang w:val="en-GB"/>
        </w:rPr>
      </w:pPr>
      <w:r w:rsidRPr="006645DC">
        <w:rPr>
          <w:lang w:val="en-GB"/>
        </w:rPr>
        <w:t xml:space="preserve">Cultural links and historic ties </w:t>
      </w:r>
    </w:p>
    <w:p w14:paraId="53143CDE" w14:textId="77777777" w:rsidR="009E2D0E" w:rsidRPr="006645DC" w:rsidRDefault="009E2D0E" w:rsidP="00C951D5">
      <w:pPr>
        <w:pStyle w:val="ListParagraph"/>
        <w:numPr>
          <w:ilvl w:val="0"/>
          <w:numId w:val="97"/>
        </w:numPr>
        <w:rPr>
          <w:lang w:val="en-GB"/>
        </w:rPr>
      </w:pPr>
      <w:r w:rsidRPr="006645DC">
        <w:rPr>
          <w:lang w:val="en-GB"/>
        </w:rPr>
        <w:t>Impact of cooperation</w:t>
      </w:r>
    </w:p>
    <w:p w14:paraId="4A6FF86C" w14:textId="77777777" w:rsidR="009E2D0E" w:rsidRPr="006645DC" w:rsidRDefault="009E2D0E" w:rsidP="00C951D5">
      <w:pPr>
        <w:pStyle w:val="ListParagraph"/>
        <w:numPr>
          <w:ilvl w:val="0"/>
          <w:numId w:val="97"/>
        </w:numPr>
        <w:rPr>
          <w:lang w:val="en-GB"/>
        </w:rPr>
      </w:pPr>
      <w:r w:rsidRPr="006645DC">
        <w:rPr>
          <w:lang w:val="en-GB"/>
        </w:rPr>
        <w:t xml:space="preserve">Administrative traditions and institutional/constitutional framework </w:t>
      </w:r>
    </w:p>
    <w:p w14:paraId="449A3707" w14:textId="77777777" w:rsidR="009E2D0E" w:rsidRPr="006645DC" w:rsidRDefault="009E2D0E" w:rsidP="00C951D5">
      <w:pPr>
        <w:pStyle w:val="ListParagraph"/>
        <w:numPr>
          <w:ilvl w:val="0"/>
          <w:numId w:val="97"/>
        </w:numPr>
        <w:rPr>
          <w:lang w:val="en-GB"/>
        </w:rPr>
      </w:pPr>
      <w:r w:rsidRPr="006645DC">
        <w:rPr>
          <w:lang w:val="en-GB"/>
        </w:rPr>
        <w:t xml:space="preserve">Social and economic disparities and commonalities between cross-border areas </w:t>
      </w:r>
    </w:p>
    <w:p w14:paraId="6B3DE1AE" w14:textId="77777777" w:rsidR="009E2D0E" w:rsidRPr="006645DC" w:rsidRDefault="009E2D0E" w:rsidP="00C951D5">
      <w:pPr>
        <w:pStyle w:val="ListParagraph"/>
        <w:numPr>
          <w:ilvl w:val="0"/>
          <w:numId w:val="97"/>
        </w:numPr>
        <w:rPr>
          <w:lang w:val="en-GB"/>
        </w:rPr>
      </w:pPr>
      <w:r w:rsidRPr="006645DC">
        <w:rPr>
          <w:lang w:val="en-GB"/>
        </w:rPr>
        <w:t>Physical and geographical links between countries (ESPON 2013)</w:t>
      </w:r>
    </w:p>
    <w:p w14:paraId="4007BDC2" w14:textId="77777777" w:rsidR="009E2D0E" w:rsidRPr="006645DC" w:rsidRDefault="009E2D0E" w:rsidP="009E2D0E">
      <w:pPr>
        <w:rPr>
          <w:rFonts w:cs="Calibri"/>
          <w:color w:val="000000"/>
          <w:lang w:val="en-GB"/>
        </w:rPr>
      </w:pPr>
      <w:r w:rsidRPr="006645DC">
        <w:rPr>
          <w:bCs/>
          <w:lang w:val="en-GB"/>
        </w:rPr>
        <w:t xml:space="preserve">Nevertheless, we can consider that one of the objectives of the </w:t>
      </w:r>
      <w:r w:rsidRPr="006645DC">
        <w:rPr>
          <w:lang w:val="en-GB"/>
        </w:rPr>
        <w:t>Romania-Bulgaria Cross-Border Cooperation Programme 2014-2020</w:t>
      </w:r>
      <w:r w:rsidRPr="006645DC">
        <w:rPr>
          <w:rFonts w:ascii="Times" w:hAnsi="Times"/>
          <w:sz w:val="20"/>
          <w:szCs w:val="20"/>
          <w:lang w:val="en-GB"/>
        </w:rPr>
        <w:t xml:space="preserve"> </w:t>
      </w:r>
      <w:r w:rsidRPr="006645DC">
        <w:rPr>
          <w:bCs/>
          <w:lang w:val="en-GB"/>
        </w:rPr>
        <w:t>is to foster the transition from a “New” to a “Consolidated” territorial cooperation programme by gathering the stakeholders’ commitments through a common vision of the area’s territorial development priorities</w:t>
      </w:r>
      <w:r w:rsidRPr="006645DC">
        <w:rPr>
          <w:rFonts w:cs="Calibri"/>
          <w:color w:val="000000"/>
          <w:lang w:val="en-GB"/>
        </w:rPr>
        <w:t xml:space="preserve"> in the framework of the so called “</w:t>
      </w:r>
      <w:r w:rsidRPr="006645DC">
        <w:rPr>
          <w:rFonts w:cs="Calibri"/>
          <w:b/>
          <w:bCs/>
          <w:color w:val="000000"/>
          <w:lang w:val="en-GB"/>
        </w:rPr>
        <w:t>Smart Cooperation or cooperation of second generation</w:t>
      </w:r>
      <w:r w:rsidRPr="006645DC">
        <w:rPr>
          <w:rFonts w:cs="Calibri"/>
          <w:color w:val="000000"/>
          <w:lang w:val="en-GB"/>
        </w:rPr>
        <w:t xml:space="preserve">” that boosts cross-border services and transnational collaboration in areas such as health, transport, etc. along with strategic priorities such as growth, employment, research, innovation or sustainable development. A more strategic cooperation approach in the programme “maturation process” is necessary </w:t>
      </w:r>
      <w:r w:rsidRPr="006645DC">
        <w:rPr>
          <w:lang w:val="en-GB"/>
        </w:rPr>
        <w:t>in order to compensate for the lack of critical mass that characterises many public and private activities within the Programme area.</w:t>
      </w:r>
    </w:p>
    <w:p w14:paraId="04078489" w14:textId="77777777" w:rsidR="009E2D0E" w:rsidRPr="006645DC" w:rsidRDefault="009E2D0E" w:rsidP="009E2D0E">
      <w:pPr>
        <w:pStyle w:val="Heading3"/>
        <w:rPr>
          <w:lang w:val="en-GB"/>
        </w:rPr>
      </w:pPr>
      <w:bookmarkStart w:id="2372" w:name="_Toc254543873"/>
      <w:r w:rsidRPr="006645DC">
        <w:rPr>
          <w:lang w:val="en-GB"/>
        </w:rPr>
        <w:t>The Eastern Danube/Black Sea Gateway</w:t>
      </w:r>
      <w:bookmarkEnd w:id="2372"/>
    </w:p>
    <w:p w14:paraId="2F743311" w14:textId="77777777" w:rsidR="009E2D0E" w:rsidRPr="006645DC" w:rsidRDefault="009E2D0E" w:rsidP="009E2D0E">
      <w:pPr>
        <w:rPr>
          <w:rFonts w:cs="Calibri"/>
          <w:lang w:val="en-GB"/>
        </w:rPr>
      </w:pPr>
      <w:r w:rsidRPr="006645DC">
        <w:rPr>
          <w:lang w:val="en-GB"/>
        </w:rPr>
        <w:t>The vision of the Cross-Border Romania-Bulgaria area</w:t>
      </w:r>
      <w:r w:rsidRPr="006645DC">
        <w:rPr>
          <w:sz w:val="20"/>
          <w:szCs w:val="20"/>
          <w:lang w:val="en-GB"/>
        </w:rPr>
        <w:t xml:space="preserve"> </w:t>
      </w:r>
      <w:r w:rsidRPr="006645DC">
        <w:rPr>
          <w:lang w:val="en-GB"/>
        </w:rPr>
        <w:t xml:space="preserve">as </w:t>
      </w:r>
      <w:r w:rsidRPr="006645DC">
        <w:rPr>
          <w:b/>
          <w:lang w:val="en-GB"/>
        </w:rPr>
        <w:t>The Eastern Danube/ Black Sea Gateway</w:t>
      </w:r>
      <w:r w:rsidRPr="006645DC">
        <w:rPr>
          <w:lang w:val="en-GB"/>
        </w:rPr>
        <w:t xml:space="preserve">, a logistics hub in a wider Black Sea- Danube-Rhine-North Sea context, is therefore complemented by a goal of exploiting proximate diversity in innovation. Indeed, a risk exists that the benefits from this position might be limited to the transport and logistics sectors, with few </w:t>
      </w:r>
      <w:r w:rsidR="00706814" w:rsidRPr="006645DC">
        <w:rPr>
          <w:lang w:val="en-GB"/>
        </w:rPr>
        <w:t>spill over</w:t>
      </w:r>
      <w:r w:rsidRPr="006645DC">
        <w:rPr>
          <w:lang w:val="en-GB"/>
        </w:rPr>
        <w:t xml:space="preserve"> effects to the rest of the economy. Another, complementary vision can be developed, geared towards the development of critical mass and an original combination of activities and competences for the development of innovative products and services. Therefore, through the development of its urban network, the Romania-Bulgaria Cross-Border area has the opportunity to evolve from a price-driven functional economic area towards a knowledge-driven one in order to</w:t>
      </w:r>
      <w:r w:rsidRPr="006645DC">
        <w:rPr>
          <w:rFonts w:cs="Calibri"/>
          <w:lang w:val="en-GB"/>
        </w:rPr>
        <w:t xml:space="preserve"> improve the value addition and innovation of its firms, while also addressing the challenge of growing unemployment. Thus, the Cross-Border area faces a dual challenge. On the one hand, in rural and small urban peripheral areas, the challenge is one of generating and capturing employment opportunities by exploiting regional assets more effectively, and improving access to opportunities elsewhere through the development of an Eastern Danube/ Black Sea Gateway. By contrast, in the urban hubs, the challenge is of upgrading competitiveness in order to deliver the value added commensurate to support upward wage pressure. </w:t>
      </w:r>
    </w:p>
    <w:p w14:paraId="17D7EEF7" w14:textId="77777777" w:rsidR="009E2D0E" w:rsidRPr="006645DC" w:rsidRDefault="009E2D0E" w:rsidP="009E2D0E">
      <w:pPr>
        <w:rPr>
          <w:lang w:val="en-GB"/>
        </w:rPr>
      </w:pPr>
      <w:r w:rsidRPr="006645DC">
        <w:rPr>
          <w:lang w:val="en-GB"/>
        </w:rPr>
        <w:t>Exploiting to a greater extent the existing opportunities for joint business and complementarities in skills across the border can enhance the competitiveness of both economies and attract FDI. Indeed, the Cross-Border Romania-Bulgaria area</w:t>
      </w:r>
      <w:r w:rsidRPr="006645DC">
        <w:rPr>
          <w:sz w:val="20"/>
          <w:szCs w:val="20"/>
          <w:lang w:val="en-GB"/>
        </w:rPr>
        <w:t xml:space="preserve"> </w:t>
      </w:r>
      <w:r w:rsidRPr="006645DC">
        <w:rPr>
          <w:lang w:val="en-GB"/>
        </w:rPr>
        <w:t xml:space="preserve">share similar economic development challenges but do not have the internal resources to address them. Being relatively peripheral in their own national contexts, and dominated by traditional industries facing intense international competition and low added value agriculture and services, the two economies face the need to diversify into more knowledge-based </w:t>
      </w:r>
      <w:r w:rsidRPr="006645DC">
        <w:rPr>
          <w:lang w:val="en-GB"/>
        </w:rPr>
        <w:lastRenderedPageBreak/>
        <w:t xml:space="preserve">activities and build critical mass around these. Some emerging activities can be built on expertise developed in traditional industries through the creation of cross-border cluster or poles promotion to foster innovation synergies in different fields such as: </w:t>
      </w:r>
    </w:p>
    <w:p w14:paraId="157C5A2D" w14:textId="77777777" w:rsidR="009E2D0E" w:rsidRPr="006645DC" w:rsidRDefault="009E2D0E" w:rsidP="009E2D0E">
      <w:pPr>
        <w:pStyle w:val="ListParagraph"/>
        <w:rPr>
          <w:lang w:val="en-GB"/>
        </w:rPr>
      </w:pPr>
      <w:r w:rsidRPr="006645DC">
        <w:rPr>
          <w:lang w:val="en-GB"/>
        </w:rPr>
        <w:t>The development of joint innovative services, such as for service delivery in sparsely populated areas (e.g. in the health sector), or goods and services for the needs of citizens in the periphery.</w:t>
      </w:r>
    </w:p>
    <w:p w14:paraId="5E9C21F3" w14:textId="77777777" w:rsidR="009E2D0E" w:rsidRPr="006645DC" w:rsidRDefault="009E2D0E" w:rsidP="009E2D0E">
      <w:pPr>
        <w:pStyle w:val="ListParagraph"/>
        <w:rPr>
          <w:lang w:val="en-GB"/>
        </w:rPr>
      </w:pPr>
      <w:r w:rsidRPr="006645DC">
        <w:rPr>
          <w:lang w:val="en-GB"/>
        </w:rPr>
        <w:t>In a broader point of view, “fresh and salted” water management appear therefore to be a central issue to the cross-border area that needs water for irrigation, industry, power generation, transport, tourism, to restore &amp; maintain its biodiversity and to manage and prevent environmental &amp; climate change risks.</w:t>
      </w:r>
    </w:p>
    <w:p w14:paraId="26CF4A8F" w14:textId="77777777" w:rsidR="009E2D0E" w:rsidRPr="006645DC" w:rsidRDefault="009E2D0E" w:rsidP="009E2D0E">
      <w:pPr>
        <w:pStyle w:val="ListParagraph"/>
        <w:rPr>
          <w:lang w:val="en-GB"/>
        </w:rPr>
      </w:pPr>
      <w:r w:rsidRPr="006645DC">
        <w:rPr>
          <w:lang w:val="en-GB"/>
        </w:rPr>
        <w:t xml:space="preserve">Tourism has also a strong potential for economic development based on the current cross-border area. Supporting the tourism sector through improved accessibility and economies of scale could be complemented by a distinctive “green and cultural Danube &amp; Black Sea” offer. Given the important competitive pressure on tourism industries worldwide, it seems appropriate that the cross-border area join their assets to develop an offer that is marketed internationally. The marketing of a distinctive image, based on unique assets and innovative products and services, needs to be developed to provide a sustainable higher added value tourism offer. This would give several actors, notably the universities and vocational schools, the opportunity to participate in upgrading skills and innovation potential of the sector. </w:t>
      </w:r>
    </w:p>
    <w:p w14:paraId="796C1D46" w14:textId="77777777" w:rsidR="009E2D0E" w:rsidRPr="006645DC" w:rsidRDefault="009E2D0E" w:rsidP="009E2D0E">
      <w:pPr>
        <w:pStyle w:val="ListParagraph"/>
        <w:rPr>
          <w:lang w:val="en-GB"/>
        </w:rPr>
      </w:pPr>
      <w:r w:rsidRPr="006645DC">
        <w:rPr>
          <w:lang w:val="en-GB"/>
        </w:rPr>
        <w:t>More widely, a strong collaboration is necessary in the area of lifelong and distance learning and for the development of joint talent attraction initiatives. Indeed, in weak regions, human capital is a more important precondition for growth than R&amp;D as knowledge embodied in human capital has a higher impact on regional production than R&amp;D expenditure.</w:t>
      </w:r>
      <w:r w:rsidRPr="006645DC">
        <w:rPr>
          <w:rStyle w:val="FootnoteReference"/>
          <w:lang w:val="en-GB"/>
        </w:rPr>
        <w:footnoteReference w:id="62"/>
      </w:r>
    </w:p>
    <w:p w14:paraId="43ABF1A7" w14:textId="77777777" w:rsidR="009E2D0E" w:rsidRPr="006645DC" w:rsidRDefault="009E2D0E" w:rsidP="009E2D0E">
      <w:pPr>
        <w:rPr>
          <w:rFonts w:asciiTheme="minorHAnsi" w:hAnsiTheme="minorHAnsi"/>
          <w:lang w:val="en-GB"/>
        </w:rPr>
      </w:pPr>
      <w:r w:rsidRPr="006645DC">
        <w:rPr>
          <w:iCs/>
          <w:lang w:val="en-GB"/>
        </w:rPr>
        <w:t xml:space="preserve">The </w:t>
      </w:r>
      <w:r w:rsidRPr="006645DC">
        <w:rPr>
          <w:lang w:val="en-GB"/>
        </w:rPr>
        <w:t>Romania-Bulgaria Cross-Border Cooperation Programme 2014-2020</w:t>
      </w:r>
      <w:r w:rsidRPr="006645DC">
        <w:rPr>
          <w:sz w:val="20"/>
          <w:szCs w:val="20"/>
          <w:lang w:val="en-GB"/>
        </w:rPr>
        <w:t xml:space="preserve"> </w:t>
      </w:r>
      <w:r w:rsidRPr="006645DC">
        <w:rPr>
          <w:iCs/>
          <w:lang w:val="en-GB"/>
        </w:rPr>
        <w:t>aims to expand the regions’ horizons, building on concrete outcomes and enabling the area to be a region to live, study, work, visit and invest in. The programme must sustain the process of creating competitive and sustainable communities, by harnessing innovation and seizing, in a resource efficient way, the unique growth initiatives and opportunities based on the development of transversal and horizontal flows on the area’s backbone, the Danube/Black Sea corridor.</w:t>
      </w:r>
    </w:p>
    <w:p w14:paraId="36626ACF" w14:textId="77777777" w:rsidR="009E2D0E" w:rsidRPr="006645DC" w:rsidRDefault="009E2D0E" w:rsidP="009E2D0E">
      <w:pPr>
        <w:rPr>
          <w:lang w:val="en-GB"/>
        </w:rPr>
      </w:pPr>
    </w:p>
    <w:p w14:paraId="78A86A8D" w14:textId="77777777" w:rsidR="009E2D0E" w:rsidRPr="006645DC" w:rsidRDefault="009E2D0E" w:rsidP="009E2D0E">
      <w:pPr>
        <w:pStyle w:val="Heading1"/>
        <w:pBdr>
          <w:top w:val="single" w:sz="4" w:space="1" w:color="4F6228" w:themeColor="accent3" w:themeShade="80"/>
          <w:left w:val="single" w:sz="4" w:space="4" w:color="4F6228" w:themeColor="accent3" w:themeShade="80"/>
          <w:bottom w:val="single" w:sz="4" w:space="1" w:color="4F6228" w:themeColor="accent3" w:themeShade="80"/>
          <w:right w:val="single" w:sz="4" w:space="4" w:color="4F6228" w:themeColor="accent3" w:themeShade="80"/>
        </w:pBdr>
        <w:shd w:val="clear" w:color="auto" w:fill="4F6228" w:themeFill="accent3" w:themeFillShade="80"/>
        <w:rPr>
          <w:lang w:val="en-GB"/>
        </w:rPr>
      </w:pPr>
      <w:bookmarkStart w:id="2373" w:name="_Toc254543874"/>
      <w:bookmarkStart w:id="2374" w:name="_Toc391150231"/>
      <w:r w:rsidRPr="006645DC">
        <w:rPr>
          <w:lang w:val="en-GB"/>
        </w:rPr>
        <w:lastRenderedPageBreak/>
        <w:t>Strategy for the cooperation programme’s contribution to the union strategy for smart, sustainable and inclusive growth and the achievement of economic, social and territorial cohesion</w:t>
      </w:r>
      <w:bookmarkEnd w:id="2373"/>
      <w:bookmarkEnd w:id="2374"/>
      <w:r w:rsidRPr="006645DC">
        <w:rPr>
          <w:lang w:val="en-GB"/>
        </w:rPr>
        <w:t xml:space="preserve"> </w:t>
      </w:r>
    </w:p>
    <w:p w14:paraId="700C9DE1" w14:textId="77777777" w:rsidR="009E2D0E" w:rsidRPr="006645DC" w:rsidRDefault="009E2D0E" w:rsidP="00C951D5">
      <w:pPr>
        <w:pStyle w:val="Heading2"/>
        <w:numPr>
          <w:ilvl w:val="0"/>
          <w:numId w:val="103"/>
        </w:numPr>
        <w:rPr>
          <w:lang w:val="en-GB"/>
        </w:rPr>
      </w:pPr>
      <w:bookmarkStart w:id="2375" w:name="_Toc254543875"/>
      <w:bookmarkStart w:id="2376" w:name="_Toc391150232"/>
      <w:r w:rsidRPr="006645DC">
        <w:rPr>
          <w:lang w:val="en-GB"/>
        </w:rPr>
        <w:t>European policy context</w:t>
      </w:r>
      <w:bookmarkEnd w:id="2375"/>
      <w:bookmarkEnd w:id="2376"/>
    </w:p>
    <w:p w14:paraId="2F11A7EA" w14:textId="77777777" w:rsidR="009E2D0E" w:rsidRPr="006645DC" w:rsidRDefault="009E2D0E" w:rsidP="00C951D5">
      <w:pPr>
        <w:pStyle w:val="Heading3"/>
        <w:numPr>
          <w:ilvl w:val="0"/>
          <w:numId w:val="102"/>
        </w:numPr>
        <w:rPr>
          <w:lang w:val="en-GB"/>
        </w:rPr>
      </w:pPr>
      <w:bookmarkStart w:id="2377" w:name="_Toc254543876"/>
      <w:r w:rsidRPr="006645DC">
        <w:rPr>
          <w:lang w:val="en-GB"/>
        </w:rPr>
        <w:t>The EU 2020 Strategy</w:t>
      </w:r>
      <w:bookmarkEnd w:id="2377"/>
    </w:p>
    <w:p w14:paraId="53639A7E" w14:textId="77777777" w:rsidR="009E2D0E" w:rsidRPr="006645DC" w:rsidRDefault="009E2D0E" w:rsidP="009E2D0E">
      <w:pPr>
        <w:rPr>
          <w:rFonts w:cs="Helvetica"/>
          <w:lang w:val="en-GB"/>
        </w:rPr>
      </w:pPr>
      <w:r w:rsidRPr="006645DC">
        <w:rPr>
          <w:lang w:val="en-GB"/>
        </w:rPr>
        <w:t xml:space="preserve">The overall programme strategy has to be formulated in direct response to the EU 2020 Strategy of smart, sustainable and inclusive growth. Within the EU 2020 Strategy, the EU has set ambitious objectives to be reached by 2020 in five main areas: </w:t>
      </w:r>
    </w:p>
    <w:p w14:paraId="2F2AAF7D" w14:textId="77777777" w:rsidR="009E2D0E" w:rsidRPr="006645DC" w:rsidRDefault="009E2D0E" w:rsidP="00C951D5">
      <w:pPr>
        <w:pStyle w:val="ListParagraph"/>
        <w:numPr>
          <w:ilvl w:val="0"/>
          <w:numId w:val="95"/>
        </w:numPr>
        <w:rPr>
          <w:rFonts w:cs="Helvetica"/>
          <w:lang w:val="en-GB"/>
        </w:rPr>
      </w:pPr>
      <w:r w:rsidRPr="006645DC">
        <w:rPr>
          <w:lang w:val="en-GB"/>
        </w:rPr>
        <w:t xml:space="preserve">Employment: 75% of the 20-64 year-olds to be employed </w:t>
      </w:r>
    </w:p>
    <w:p w14:paraId="139B0E7A" w14:textId="77777777" w:rsidR="009E2D0E" w:rsidRPr="006645DC" w:rsidRDefault="009E2D0E" w:rsidP="00C951D5">
      <w:pPr>
        <w:pStyle w:val="ListParagraph"/>
        <w:numPr>
          <w:ilvl w:val="0"/>
          <w:numId w:val="95"/>
        </w:numPr>
        <w:rPr>
          <w:rFonts w:cs="Helvetica"/>
          <w:lang w:val="en-GB"/>
        </w:rPr>
      </w:pPr>
      <w:r w:rsidRPr="006645DC">
        <w:rPr>
          <w:lang w:val="en-GB"/>
        </w:rPr>
        <w:t xml:space="preserve">Research and development: 3% of the EU’s GDP to be invested in R&amp;D </w:t>
      </w:r>
    </w:p>
    <w:p w14:paraId="3E871D69" w14:textId="77777777" w:rsidR="009E2D0E" w:rsidRPr="006645DC" w:rsidRDefault="009E2D0E" w:rsidP="00C951D5">
      <w:pPr>
        <w:pStyle w:val="ListParagraph"/>
        <w:numPr>
          <w:ilvl w:val="0"/>
          <w:numId w:val="95"/>
        </w:numPr>
        <w:rPr>
          <w:rFonts w:cs="Helvetica"/>
          <w:lang w:val="en-GB"/>
        </w:rPr>
      </w:pPr>
      <w:r w:rsidRPr="006645DC">
        <w:rPr>
          <w:lang w:val="en-GB"/>
        </w:rPr>
        <w:t xml:space="preserve">Climate change and energy sustainability: greenhouse gas emissions 20% (or even 30%, if the conditions are right) lower than 1990; 20% of energy from renewables, 20% increase in energy efficiency </w:t>
      </w:r>
    </w:p>
    <w:p w14:paraId="60801CBC" w14:textId="77777777" w:rsidR="009E2D0E" w:rsidRPr="006645DC" w:rsidRDefault="009E2D0E" w:rsidP="00C951D5">
      <w:pPr>
        <w:pStyle w:val="ListParagraph"/>
        <w:numPr>
          <w:ilvl w:val="0"/>
          <w:numId w:val="95"/>
        </w:numPr>
        <w:rPr>
          <w:rFonts w:cs="Helvetica"/>
          <w:lang w:val="en-GB"/>
        </w:rPr>
      </w:pPr>
      <w:r w:rsidRPr="006645DC">
        <w:rPr>
          <w:lang w:val="en-GB"/>
        </w:rPr>
        <w:t>Education: Reducing the rates of early school leavers below 10% and at least 40% of 30-34–year-</w:t>
      </w:r>
      <w:r w:rsidRPr="006645DC">
        <w:rPr>
          <w:rFonts w:cs="Helvetica"/>
          <w:lang w:val="en-GB"/>
        </w:rPr>
        <w:t xml:space="preserve"> </w:t>
      </w:r>
      <w:r w:rsidRPr="006645DC">
        <w:rPr>
          <w:lang w:val="en-GB"/>
        </w:rPr>
        <w:t xml:space="preserve">olds completing third level education </w:t>
      </w:r>
    </w:p>
    <w:p w14:paraId="2DDB3F1A" w14:textId="77777777" w:rsidR="009E2D0E" w:rsidRPr="006645DC" w:rsidRDefault="009E2D0E" w:rsidP="00C951D5">
      <w:pPr>
        <w:pStyle w:val="ListParagraph"/>
        <w:numPr>
          <w:ilvl w:val="0"/>
          <w:numId w:val="95"/>
        </w:numPr>
        <w:rPr>
          <w:rFonts w:cs="Helvetica"/>
          <w:lang w:val="en-GB"/>
        </w:rPr>
      </w:pPr>
      <w:r w:rsidRPr="006645DC">
        <w:rPr>
          <w:lang w:val="en-GB"/>
        </w:rPr>
        <w:t xml:space="preserve">Fighting poverty and social exclusion: at least 20 million fewer people in or at risk of poverty and social exclusion </w:t>
      </w:r>
    </w:p>
    <w:p w14:paraId="4F108403" w14:textId="77777777" w:rsidR="009E2D0E" w:rsidRPr="006645DC" w:rsidRDefault="009E2D0E" w:rsidP="009E2D0E">
      <w:pPr>
        <w:rPr>
          <w:lang w:val="en-GB"/>
        </w:rPr>
        <w:sectPr w:rsidR="009E2D0E" w:rsidRPr="006645DC" w:rsidSect="009E2D0E">
          <w:pgSz w:w="12240" w:h="15840"/>
          <w:pgMar w:top="1440" w:right="1440" w:bottom="1440" w:left="1440" w:header="720" w:footer="720" w:gutter="0"/>
          <w:cols w:space="720"/>
          <w:docGrid w:linePitch="360"/>
        </w:sectPr>
      </w:pPr>
    </w:p>
    <w:p w14:paraId="47A55070" w14:textId="77777777" w:rsidR="009E2D0E" w:rsidRPr="006645DC" w:rsidRDefault="009E2D0E" w:rsidP="009E2D0E">
      <w:pPr>
        <w:rPr>
          <w:lang w:val="en-GB"/>
        </w:rPr>
      </w:pPr>
    </w:p>
    <w:p w14:paraId="2C0BC15D" w14:textId="77777777" w:rsidR="006C306F" w:rsidRPr="006645DC" w:rsidRDefault="00751AA0" w:rsidP="00C951D5">
      <w:pPr>
        <w:pStyle w:val="Heading5"/>
        <w:numPr>
          <w:ilvl w:val="0"/>
          <w:numId w:val="108"/>
        </w:numPr>
        <w:rPr>
          <w:lang w:val="en-GB"/>
        </w:rPr>
      </w:pPr>
      <w:r w:rsidRPr="006645DC">
        <w:rPr>
          <w:lang w:val="en-GB"/>
        </w:rPr>
        <w:t xml:space="preserve">Data related to Europe 2020 objectives of </w:t>
      </w:r>
      <w:r w:rsidR="006C306F" w:rsidRPr="006645DC">
        <w:rPr>
          <w:lang w:val="en-GB"/>
        </w:rPr>
        <w:t>Smart Growth in the CBC area</w:t>
      </w:r>
    </w:p>
    <w:p w14:paraId="5A05DD1B" w14:textId="77777777" w:rsidR="009E2D0E" w:rsidRPr="006645DC" w:rsidRDefault="009E2D0E" w:rsidP="009E2D0E">
      <w:pPr>
        <w:rPr>
          <w:lang w:val="en-GB"/>
        </w:rPr>
      </w:pPr>
      <w:r w:rsidRPr="006645DC">
        <w:rPr>
          <w:noProof/>
          <w:lang w:val="bg-BG" w:eastAsia="bg-BG"/>
        </w:rPr>
        <w:drawing>
          <wp:anchor distT="0" distB="0" distL="114300" distR="114300" simplePos="0" relativeHeight="251718656" behindDoc="1" locked="0" layoutInCell="1" allowOverlap="1" wp14:anchorId="57B6AA7A" wp14:editId="15B6E1FD">
            <wp:simplePos x="0" y="0"/>
            <wp:positionH relativeFrom="column">
              <wp:posOffset>0</wp:posOffset>
            </wp:positionH>
            <wp:positionV relativeFrom="paragraph">
              <wp:posOffset>105410</wp:posOffset>
            </wp:positionV>
            <wp:extent cx="5275580" cy="2714625"/>
            <wp:effectExtent l="19050" t="0" r="1270" b="0"/>
            <wp:wrapSquare wrapText="bothSides"/>
            <wp:docPr id="34" name="Bild 1" descr="C:\Dokumente und Einstellungen\pucher\Desktop\TL_CBC1\CBC_TL_Romania_Bulgaria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kumente und Einstellungen\pucher\Desktop\TL_CBC1\CBC_TL_Romania_Bulgaria1a.png"/>
                    <pic:cNvPicPr>
                      <a:picLocks noChangeAspect="1" noChangeArrowheads="1"/>
                    </pic:cNvPicPr>
                  </pic:nvPicPr>
                  <pic:blipFill>
                    <a:blip r:embed="rId160" cstate="print"/>
                    <a:srcRect/>
                    <a:stretch>
                      <a:fillRect/>
                    </a:stretch>
                  </pic:blipFill>
                  <pic:spPr bwMode="auto">
                    <a:xfrm>
                      <a:off x="0" y="0"/>
                      <a:ext cx="5275580" cy="2714625"/>
                    </a:xfrm>
                    <a:prstGeom prst="rect">
                      <a:avLst/>
                    </a:prstGeom>
                    <a:noFill/>
                    <a:ln w="9525">
                      <a:noFill/>
                      <a:miter lim="800000"/>
                      <a:headEnd/>
                      <a:tailEnd/>
                    </a:ln>
                  </pic:spPr>
                </pic:pic>
              </a:graphicData>
            </a:graphic>
          </wp:anchor>
        </w:drawing>
      </w:r>
    </w:p>
    <w:p w14:paraId="2E004A39" w14:textId="77777777" w:rsidR="009E2D0E" w:rsidRPr="006645DC" w:rsidRDefault="009E2D0E" w:rsidP="009E2D0E">
      <w:pPr>
        <w:rPr>
          <w:lang w:val="en-GB"/>
        </w:rPr>
      </w:pPr>
    </w:p>
    <w:p w14:paraId="5C2C3862" w14:textId="77777777" w:rsidR="009E2D0E" w:rsidRPr="006645DC" w:rsidRDefault="009E2D0E" w:rsidP="009E2D0E">
      <w:pPr>
        <w:rPr>
          <w:lang w:val="en-GB"/>
        </w:rPr>
      </w:pPr>
    </w:p>
    <w:p w14:paraId="277BF2FA" w14:textId="77777777" w:rsidR="009E2D0E" w:rsidRPr="006645DC" w:rsidRDefault="009E2D0E" w:rsidP="009E2D0E">
      <w:pPr>
        <w:rPr>
          <w:lang w:val="en-GB"/>
        </w:rPr>
      </w:pPr>
    </w:p>
    <w:p w14:paraId="59251F76" w14:textId="77777777" w:rsidR="009E2D0E" w:rsidRPr="006645DC" w:rsidRDefault="009E2D0E" w:rsidP="009E2D0E">
      <w:pPr>
        <w:rPr>
          <w:lang w:val="en-GB"/>
        </w:rPr>
      </w:pPr>
    </w:p>
    <w:p w14:paraId="0034C604" w14:textId="77777777" w:rsidR="009E2D0E" w:rsidRPr="006645DC" w:rsidRDefault="009E2D0E" w:rsidP="009E2D0E">
      <w:pPr>
        <w:rPr>
          <w:lang w:val="en-GB"/>
        </w:rPr>
      </w:pPr>
    </w:p>
    <w:p w14:paraId="039D3A42" w14:textId="77777777" w:rsidR="009E2D0E" w:rsidRPr="006645DC" w:rsidRDefault="009E2D0E" w:rsidP="009E2D0E">
      <w:pPr>
        <w:rPr>
          <w:lang w:val="en-GB"/>
        </w:rPr>
      </w:pPr>
    </w:p>
    <w:p w14:paraId="41D0AF4C" w14:textId="77777777" w:rsidR="009E2D0E" w:rsidRPr="006645DC" w:rsidRDefault="009E2D0E" w:rsidP="009E2D0E">
      <w:pPr>
        <w:rPr>
          <w:lang w:val="en-GB"/>
        </w:rPr>
      </w:pPr>
    </w:p>
    <w:p w14:paraId="7DE1DD18" w14:textId="77777777" w:rsidR="009E2D0E" w:rsidRPr="006645DC" w:rsidRDefault="009E2D0E" w:rsidP="009E2D0E">
      <w:pPr>
        <w:rPr>
          <w:lang w:val="en-GB"/>
        </w:rPr>
      </w:pPr>
    </w:p>
    <w:p w14:paraId="5CEBDDA6" w14:textId="77777777" w:rsidR="009E2D0E" w:rsidRPr="006645DC" w:rsidRDefault="009E2D0E" w:rsidP="009E2D0E">
      <w:pPr>
        <w:rPr>
          <w:lang w:val="en-GB"/>
        </w:rPr>
      </w:pPr>
    </w:p>
    <w:p w14:paraId="5FA313ED" w14:textId="77777777" w:rsidR="009E2D0E" w:rsidRPr="006645DC" w:rsidRDefault="009E2D0E" w:rsidP="009E2D0E">
      <w:pPr>
        <w:rPr>
          <w:lang w:val="en-GB"/>
        </w:rPr>
      </w:pPr>
    </w:p>
    <w:p w14:paraId="0E405726" w14:textId="77777777" w:rsidR="009E2D0E" w:rsidRPr="006645DC" w:rsidRDefault="009E2D0E" w:rsidP="009E2D0E">
      <w:pPr>
        <w:rPr>
          <w:lang w:val="en-GB"/>
        </w:rPr>
      </w:pPr>
    </w:p>
    <w:p w14:paraId="555BFD6F" w14:textId="77777777" w:rsidR="009E2D0E" w:rsidRPr="006645DC" w:rsidRDefault="009E2D0E" w:rsidP="009E2D0E">
      <w:pPr>
        <w:pStyle w:val="Caption"/>
        <w:rPr>
          <w:lang w:val="en-GB"/>
        </w:rPr>
      </w:pPr>
      <w:bookmarkStart w:id="2378" w:name="_Toc391150095"/>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46</w:t>
      </w:r>
      <w:r w:rsidR="005979EB" w:rsidRPr="006645DC">
        <w:rPr>
          <w:lang w:val="en-GB"/>
        </w:rPr>
        <w:fldChar w:fldCharType="end"/>
      </w:r>
      <w:r w:rsidRPr="006645DC">
        <w:rPr>
          <w:lang w:val="en-GB"/>
        </w:rPr>
        <w:t xml:space="preserve"> - Data related to Europe 2020 objectives of smart growth in the RO-BG CBC area</w:t>
      </w:r>
      <w:bookmarkEnd w:id="2378"/>
    </w:p>
    <w:p w14:paraId="451660BE" w14:textId="77777777" w:rsidR="009E2D0E" w:rsidRPr="006645DC" w:rsidRDefault="009E2D0E" w:rsidP="009E2D0E">
      <w:pPr>
        <w:pStyle w:val="Heading4"/>
        <w:rPr>
          <w:lang w:val="en-GB"/>
        </w:rPr>
      </w:pPr>
      <w:r w:rsidRPr="006645DC">
        <w:rPr>
          <w:lang w:val="en-GB"/>
        </w:rPr>
        <w:t>Source: ESPON Project TERREVI November 2012</w:t>
      </w:r>
    </w:p>
    <w:p w14:paraId="068A3590" w14:textId="77777777" w:rsidR="009E2D0E" w:rsidRPr="006645DC" w:rsidRDefault="009E2D0E" w:rsidP="009E2D0E">
      <w:pPr>
        <w:rPr>
          <w:lang w:val="en-GB"/>
        </w:rPr>
      </w:pPr>
    </w:p>
    <w:p w14:paraId="7F35954C" w14:textId="77777777" w:rsidR="009E2D0E" w:rsidRPr="006645DC" w:rsidRDefault="009E2D0E" w:rsidP="009E2D0E">
      <w:pPr>
        <w:rPr>
          <w:lang w:val="en-GB"/>
        </w:rPr>
      </w:pPr>
      <w:r w:rsidRPr="006645DC">
        <w:rPr>
          <w:lang w:val="en-GB"/>
        </w:rPr>
        <w:t xml:space="preserve">According to all indicators reported above, the Romania – Bulgaria CBC area performs at a much lower level than the EU27+4 space and all CBC ones. </w:t>
      </w:r>
    </w:p>
    <w:p w14:paraId="45AD8975" w14:textId="77777777" w:rsidR="009E2D0E" w:rsidRPr="006645DC" w:rsidRDefault="009E2D0E" w:rsidP="009E2D0E">
      <w:pPr>
        <w:rPr>
          <w:lang w:val="en-GB"/>
        </w:rPr>
      </w:pPr>
      <w:r w:rsidRPr="006645DC">
        <w:rPr>
          <w:lang w:val="en-GB"/>
        </w:rPr>
        <w:t xml:space="preserve">Considering the objective of R&amp;D expenditure as percentage of the GDP - one of the five headline targets in the Europe 2020 Strategy - the CBC area is still lagging behind the EU27+4 space, all CBCs, but also behind national Bulgarian and Romanian levels. Moreover, the CBC area is characterised by a high level of internal disparity. Concerning the ratio of employment in knowledge-intensive service to the total employment in 2010, the CBC area has lower values than EU27+4 space, all CBCs and Bulgaria; slightly higher than Romania. The distribution inside the CBC results in a medium level of internal disparity. </w:t>
      </w:r>
    </w:p>
    <w:p w14:paraId="2D7F294B" w14:textId="77777777" w:rsidR="009E2D0E" w:rsidRPr="006645DC" w:rsidRDefault="009E2D0E" w:rsidP="009E2D0E">
      <w:pPr>
        <w:rPr>
          <w:lang w:val="en-GB"/>
        </w:rPr>
      </w:pPr>
      <w:r w:rsidRPr="006645DC">
        <w:rPr>
          <w:lang w:val="en-GB"/>
        </w:rPr>
        <w:t>In terms of percentage of individuals regularly using Internet in 2011, the CBC area has lower values than EU27+4 space, all CBCs and Bulgaria; slightly higher than Romania, with a low level of internal disparity.</w:t>
      </w:r>
    </w:p>
    <w:p w14:paraId="025FE948" w14:textId="77777777" w:rsidR="00706814" w:rsidRPr="006645DC" w:rsidRDefault="00706814" w:rsidP="009E2D0E">
      <w:pPr>
        <w:rPr>
          <w:lang w:val="en-GB"/>
        </w:rPr>
      </w:pPr>
    </w:p>
    <w:p w14:paraId="34852A20" w14:textId="77777777" w:rsidR="000A6DE0" w:rsidRPr="006645DC" w:rsidRDefault="000A6DE0" w:rsidP="009E2D0E">
      <w:pPr>
        <w:rPr>
          <w:lang w:val="en-GB"/>
        </w:rPr>
      </w:pPr>
    </w:p>
    <w:p w14:paraId="73ADE597" w14:textId="77777777" w:rsidR="000A6DE0" w:rsidRPr="006645DC" w:rsidRDefault="000A6DE0" w:rsidP="009E2D0E">
      <w:pPr>
        <w:rPr>
          <w:lang w:val="en-GB"/>
        </w:rPr>
      </w:pPr>
    </w:p>
    <w:p w14:paraId="714DCC23" w14:textId="77777777" w:rsidR="000A6DE0" w:rsidRPr="006645DC" w:rsidRDefault="000A6DE0" w:rsidP="009E2D0E">
      <w:pPr>
        <w:rPr>
          <w:lang w:val="en-GB"/>
        </w:rPr>
      </w:pPr>
    </w:p>
    <w:p w14:paraId="509D4556" w14:textId="77777777" w:rsidR="000A6DE0" w:rsidRPr="006645DC" w:rsidRDefault="000A6DE0" w:rsidP="009E2D0E">
      <w:pPr>
        <w:rPr>
          <w:lang w:val="en-GB"/>
        </w:rPr>
      </w:pPr>
    </w:p>
    <w:p w14:paraId="3C79E05D" w14:textId="77777777" w:rsidR="009E2D0E" w:rsidRPr="006645DC" w:rsidRDefault="00751AA0" w:rsidP="00017F4B">
      <w:pPr>
        <w:pStyle w:val="Heading5"/>
        <w:rPr>
          <w:lang w:val="en-GB"/>
        </w:rPr>
      </w:pPr>
      <w:bookmarkStart w:id="2379" w:name="_Toc254543879"/>
      <w:r w:rsidRPr="006645DC">
        <w:rPr>
          <w:lang w:val="en-GB"/>
        </w:rPr>
        <w:lastRenderedPageBreak/>
        <w:t xml:space="preserve">Data related to Europe 2020 objectives of </w:t>
      </w:r>
      <w:r w:rsidR="009E2D0E" w:rsidRPr="006645DC">
        <w:rPr>
          <w:lang w:val="en-GB"/>
        </w:rPr>
        <w:t>Sustainable Growth in the CBC area</w:t>
      </w:r>
      <w:bookmarkEnd w:id="2379"/>
    </w:p>
    <w:p w14:paraId="2AA12DBF" w14:textId="77777777" w:rsidR="009E2D0E" w:rsidRPr="006645DC" w:rsidRDefault="009E2D0E" w:rsidP="009E2D0E">
      <w:pPr>
        <w:rPr>
          <w:lang w:val="en-GB"/>
        </w:rPr>
      </w:pPr>
      <w:r w:rsidRPr="006645DC">
        <w:rPr>
          <w:b/>
          <w:bCs/>
          <w:lang w:val="en-GB"/>
        </w:rPr>
        <w:t>Sustainable growth</w:t>
      </w:r>
      <w:r w:rsidRPr="006645DC">
        <w:rPr>
          <w:lang w:val="en-GB"/>
        </w:rPr>
        <w:t xml:space="preserve"> means building a more competitive low-carbon economy that makes efficient, sustainable use of resources.</w:t>
      </w:r>
      <w:r w:rsidR="006C306F" w:rsidRPr="006645DC">
        <w:rPr>
          <w:lang w:val="en-GB"/>
        </w:rPr>
        <w:t xml:space="preserve"> </w:t>
      </w:r>
      <w:r w:rsidRPr="006645DC">
        <w:rPr>
          <w:lang w:val="en-GB"/>
        </w:rPr>
        <w:t>In the framework of the Europe 2020 Strategy it means focus on competitiveness, resource efficiency, climate change and biodiversity.</w:t>
      </w:r>
      <w:r w:rsidRPr="006645DC">
        <w:rPr>
          <w:noProof/>
          <w:lang w:val="bg-BG" w:eastAsia="bg-BG"/>
        </w:rPr>
        <w:drawing>
          <wp:anchor distT="0" distB="0" distL="114300" distR="114300" simplePos="0" relativeHeight="251719680" behindDoc="1" locked="0" layoutInCell="1" allowOverlap="1" wp14:anchorId="24086E52" wp14:editId="727CF73C">
            <wp:simplePos x="0" y="0"/>
            <wp:positionH relativeFrom="column">
              <wp:posOffset>241935</wp:posOffset>
            </wp:positionH>
            <wp:positionV relativeFrom="paragraph">
              <wp:posOffset>619125</wp:posOffset>
            </wp:positionV>
            <wp:extent cx="5273675" cy="3051175"/>
            <wp:effectExtent l="19050" t="0" r="3175" b="0"/>
            <wp:wrapTight wrapText="bothSides">
              <wp:wrapPolygon edited="0">
                <wp:start x="-78" y="0"/>
                <wp:lineTo x="-78" y="20634"/>
                <wp:lineTo x="21613" y="20634"/>
                <wp:lineTo x="21613" y="0"/>
                <wp:lineTo x="-78" y="0"/>
              </wp:wrapPolygon>
            </wp:wrapTight>
            <wp:docPr id="44" name="Bild 2" descr="C:\Dokumente und Einstellungen\pucher\Desktop\TL_CBC1\CBC_TL_Romania_Bulgaria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kumente und Einstellungen\pucher\Desktop\TL_CBC1\CBC_TL_Romania_Bulgaria1b.png"/>
                    <pic:cNvPicPr>
                      <a:picLocks noChangeAspect="1" noChangeArrowheads="1"/>
                    </pic:cNvPicPr>
                  </pic:nvPicPr>
                  <pic:blipFill>
                    <a:blip r:embed="rId161" cstate="print"/>
                    <a:srcRect/>
                    <a:stretch>
                      <a:fillRect/>
                    </a:stretch>
                  </pic:blipFill>
                  <pic:spPr bwMode="auto">
                    <a:xfrm>
                      <a:off x="0" y="0"/>
                      <a:ext cx="5273675" cy="3051175"/>
                    </a:xfrm>
                    <a:prstGeom prst="rect">
                      <a:avLst/>
                    </a:prstGeom>
                    <a:noFill/>
                    <a:ln w="9525">
                      <a:noFill/>
                      <a:miter lim="800000"/>
                      <a:headEnd/>
                      <a:tailEnd/>
                    </a:ln>
                  </pic:spPr>
                </pic:pic>
              </a:graphicData>
            </a:graphic>
          </wp:anchor>
        </w:drawing>
      </w:r>
    </w:p>
    <w:p w14:paraId="0464C9B0" w14:textId="77777777" w:rsidR="009E2D0E" w:rsidRPr="006645DC" w:rsidRDefault="009E2D0E" w:rsidP="009E2D0E">
      <w:pPr>
        <w:spacing w:before="240"/>
        <w:rPr>
          <w:lang w:val="en-GB"/>
        </w:rPr>
      </w:pPr>
    </w:p>
    <w:p w14:paraId="299A1B7D" w14:textId="77777777" w:rsidR="009E2D0E" w:rsidRPr="006645DC" w:rsidRDefault="009E2D0E" w:rsidP="009E2D0E">
      <w:pPr>
        <w:spacing w:before="240"/>
        <w:rPr>
          <w:lang w:val="en-GB"/>
        </w:rPr>
      </w:pPr>
    </w:p>
    <w:p w14:paraId="181D46E1" w14:textId="77777777" w:rsidR="009E2D0E" w:rsidRPr="006645DC" w:rsidRDefault="009E2D0E" w:rsidP="009E2D0E">
      <w:pPr>
        <w:spacing w:before="240"/>
        <w:rPr>
          <w:lang w:val="en-GB"/>
        </w:rPr>
      </w:pPr>
    </w:p>
    <w:p w14:paraId="3634EF9E" w14:textId="77777777" w:rsidR="009E2D0E" w:rsidRPr="006645DC" w:rsidRDefault="009E2D0E" w:rsidP="009E2D0E">
      <w:pPr>
        <w:spacing w:before="240"/>
        <w:rPr>
          <w:lang w:val="en-GB"/>
        </w:rPr>
      </w:pPr>
    </w:p>
    <w:p w14:paraId="27D95DFC" w14:textId="77777777" w:rsidR="009E2D0E" w:rsidRPr="006645DC" w:rsidRDefault="009E2D0E" w:rsidP="009E2D0E">
      <w:pPr>
        <w:spacing w:before="240"/>
        <w:rPr>
          <w:lang w:val="en-GB"/>
        </w:rPr>
      </w:pPr>
    </w:p>
    <w:p w14:paraId="58F7615D" w14:textId="77777777" w:rsidR="009E2D0E" w:rsidRPr="006645DC" w:rsidRDefault="009E2D0E" w:rsidP="009E2D0E">
      <w:pPr>
        <w:spacing w:before="240"/>
        <w:rPr>
          <w:lang w:val="en-GB"/>
        </w:rPr>
      </w:pPr>
    </w:p>
    <w:p w14:paraId="255F1E4E" w14:textId="77777777" w:rsidR="009E2D0E" w:rsidRPr="006645DC" w:rsidRDefault="009E2D0E" w:rsidP="009E2D0E">
      <w:pPr>
        <w:spacing w:before="240"/>
        <w:rPr>
          <w:lang w:val="en-GB"/>
        </w:rPr>
      </w:pPr>
    </w:p>
    <w:p w14:paraId="4D1A50EE" w14:textId="77777777" w:rsidR="009E2D0E" w:rsidRPr="006645DC" w:rsidRDefault="009E2D0E" w:rsidP="009E2D0E">
      <w:pPr>
        <w:spacing w:before="240"/>
        <w:rPr>
          <w:lang w:val="en-GB"/>
        </w:rPr>
      </w:pPr>
    </w:p>
    <w:p w14:paraId="059F95F4" w14:textId="77777777" w:rsidR="009E2D0E" w:rsidRPr="006645DC" w:rsidRDefault="009E2D0E" w:rsidP="009E2D0E">
      <w:pPr>
        <w:spacing w:before="240"/>
        <w:rPr>
          <w:lang w:val="en-GB"/>
        </w:rPr>
      </w:pPr>
    </w:p>
    <w:p w14:paraId="56485CCC" w14:textId="77777777" w:rsidR="009E2D0E" w:rsidRPr="006645DC" w:rsidRDefault="009E2D0E" w:rsidP="009E2D0E">
      <w:pPr>
        <w:pStyle w:val="Heading4"/>
        <w:rPr>
          <w:lang w:val="en-GB"/>
        </w:rPr>
      </w:pPr>
    </w:p>
    <w:p w14:paraId="311CEFED" w14:textId="77777777" w:rsidR="009E2D0E" w:rsidRPr="006645DC" w:rsidRDefault="009E2D0E" w:rsidP="009E2D0E">
      <w:pPr>
        <w:pStyle w:val="Caption"/>
        <w:rPr>
          <w:lang w:val="en-GB"/>
        </w:rPr>
      </w:pPr>
      <w:bookmarkStart w:id="2380" w:name="_Toc391150096"/>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47</w:t>
      </w:r>
      <w:r w:rsidR="005979EB" w:rsidRPr="006645DC">
        <w:rPr>
          <w:lang w:val="en-GB"/>
        </w:rPr>
        <w:fldChar w:fldCharType="end"/>
      </w:r>
      <w:r w:rsidRPr="006645DC">
        <w:rPr>
          <w:lang w:val="en-GB"/>
        </w:rPr>
        <w:t xml:space="preserve"> - Data related to Europe 2020 objectives of sustainable growth in the RO-BG CBC area</w:t>
      </w:r>
      <w:bookmarkEnd w:id="2380"/>
    </w:p>
    <w:p w14:paraId="3E2D2D91" w14:textId="77777777" w:rsidR="009E2D0E" w:rsidRPr="006645DC" w:rsidRDefault="009E2D0E" w:rsidP="009E2D0E">
      <w:pPr>
        <w:pStyle w:val="Heading4"/>
        <w:rPr>
          <w:lang w:val="en-GB"/>
        </w:rPr>
      </w:pPr>
      <w:r w:rsidRPr="006645DC">
        <w:rPr>
          <w:lang w:val="en-GB"/>
        </w:rPr>
        <w:t>Source: ESPON Project TERREVI November 2012</w:t>
      </w:r>
    </w:p>
    <w:p w14:paraId="6639DEAD" w14:textId="77777777" w:rsidR="009E2D0E" w:rsidRPr="006645DC" w:rsidRDefault="009E2D0E" w:rsidP="009E2D0E">
      <w:pPr>
        <w:spacing w:before="240"/>
        <w:rPr>
          <w:lang w:val="en-GB"/>
        </w:rPr>
      </w:pPr>
      <w:r w:rsidRPr="006645DC">
        <w:rPr>
          <w:lang w:val="en-GB"/>
        </w:rPr>
        <w:t xml:space="preserve">The use of wind energy potential could be one of the cornerstones in building a competitive low-carbon economy in the EU. The programme area as a whole shows a median value that is significantly higher than the EU 27+4 and all the CBC programme areas in Europe. The CBC area shows a higher value than the national levels of Romania and Bulgaria whereas there is a slightly higher potential in using this sustainable resource in Romania compared to the Bulgarian national values. Regarding the ozone concentration the same picture exists in terms of the CBC compared to the EU 27+4 and all the CBC programme areas. The median value of the CBC programme area is significantly higher than the national numbers. </w:t>
      </w:r>
    </w:p>
    <w:p w14:paraId="55208C3B" w14:textId="77777777" w:rsidR="009E2D0E" w:rsidRPr="006645DC" w:rsidRDefault="009E2D0E" w:rsidP="009E2D0E">
      <w:pPr>
        <w:rPr>
          <w:lang w:val="en-GB"/>
        </w:rPr>
      </w:pPr>
      <w:r w:rsidRPr="006645DC">
        <w:rPr>
          <w:lang w:val="en-GB"/>
        </w:rPr>
        <w:t xml:space="preserve">The Romania - Bulgaria programme is substantially vulnerable to potential climate change compared to the EU 27+4 and all the CBC regions together. Also compared to the Romanian national level the cooperation area is highly vulnerable. </w:t>
      </w:r>
    </w:p>
    <w:p w14:paraId="5CB09729" w14:textId="77777777" w:rsidR="009E2D0E" w:rsidRPr="006645DC" w:rsidRDefault="00751AA0" w:rsidP="00017F4B">
      <w:pPr>
        <w:pStyle w:val="Heading5"/>
        <w:rPr>
          <w:lang w:val="en-GB"/>
        </w:rPr>
      </w:pPr>
      <w:bookmarkStart w:id="2381" w:name="_Toc254543880"/>
      <w:r w:rsidRPr="006645DC">
        <w:rPr>
          <w:lang w:val="en-GB"/>
        </w:rPr>
        <w:t xml:space="preserve">Data related to Europe 2020 objectives of </w:t>
      </w:r>
      <w:r w:rsidR="009E2D0E" w:rsidRPr="006645DC">
        <w:rPr>
          <w:lang w:val="en-GB"/>
        </w:rPr>
        <w:t>Inclusive Growth in the CBC area</w:t>
      </w:r>
      <w:bookmarkEnd w:id="2381"/>
    </w:p>
    <w:p w14:paraId="7DA3F707" w14:textId="77777777" w:rsidR="009E2D0E" w:rsidRPr="006645DC" w:rsidRDefault="009E2D0E" w:rsidP="009E2D0E">
      <w:pPr>
        <w:rPr>
          <w:lang w:val="en-GB"/>
        </w:rPr>
      </w:pPr>
      <w:r w:rsidRPr="006645DC">
        <w:rPr>
          <w:b/>
          <w:bCs/>
          <w:lang w:val="en-GB"/>
        </w:rPr>
        <w:t xml:space="preserve"> Inclusive growth</w:t>
      </w:r>
      <w:r w:rsidRPr="006645DC">
        <w:rPr>
          <w:lang w:val="en-GB"/>
        </w:rPr>
        <w:t xml:space="preserve"> means raising Europe’s employment rate – more and better jobs, especially for women, young people and older workers, helping people of all ages to raise the employment rate. The key factors are employment and avoiding risk of poverty and social exclusion.</w:t>
      </w:r>
    </w:p>
    <w:p w14:paraId="1648C068" w14:textId="77777777" w:rsidR="009E2D0E" w:rsidRPr="006645DC" w:rsidRDefault="009E2D0E" w:rsidP="009E2D0E">
      <w:pPr>
        <w:spacing w:before="240" w:after="0"/>
        <w:rPr>
          <w:noProof/>
          <w:lang w:val="en-GB" w:eastAsia="en-GB"/>
        </w:rPr>
      </w:pPr>
      <w:r w:rsidRPr="006645DC">
        <w:rPr>
          <w:noProof/>
          <w:lang w:val="bg-BG" w:eastAsia="bg-BG"/>
        </w:rPr>
        <w:lastRenderedPageBreak/>
        <w:drawing>
          <wp:anchor distT="0" distB="0" distL="114300" distR="114300" simplePos="0" relativeHeight="251720704" behindDoc="1" locked="0" layoutInCell="1" allowOverlap="1" wp14:anchorId="3F25A285" wp14:editId="21D8AD8C">
            <wp:simplePos x="0" y="0"/>
            <wp:positionH relativeFrom="column">
              <wp:posOffset>0</wp:posOffset>
            </wp:positionH>
            <wp:positionV relativeFrom="paragraph">
              <wp:posOffset>195580</wp:posOffset>
            </wp:positionV>
            <wp:extent cx="5273675" cy="2658110"/>
            <wp:effectExtent l="0" t="0" r="9525" b="0"/>
            <wp:wrapTight wrapText="bothSides">
              <wp:wrapPolygon edited="0">
                <wp:start x="0" y="0"/>
                <wp:lineTo x="0" y="21053"/>
                <wp:lineTo x="21535" y="21053"/>
                <wp:lineTo x="21535" y="0"/>
                <wp:lineTo x="0" y="0"/>
              </wp:wrapPolygon>
            </wp:wrapTight>
            <wp:docPr id="84" name="Bild 3" descr="C:\Dokumente und Einstellungen\pucher\Desktop\TL_CBC1\CBC_TL_Romania_Bulgaria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kumente und Einstellungen\pucher\Desktop\TL_CBC1\CBC_TL_Romania_Bulgaria1c.png"/>
                    <pic:cNvPicPr>
                      <a:picLocks noChangeAspect="1" noChangeArrowheads="1"/>
                    </pic:cNvPicPr>
                  </pic:nvPicPr>
                  <pic:blipFill>
                    <a:blip r:embed="rId162" cstate="print"/>
                    <a:srcRect/>
                    <a:stretch>
                      <a:fillRect/>
                    </a:stretch>
                  </pic:blipFill>
                  <pic:spPr bwMode="auto">
                    <a:xfrm>
                      <a:off x="0" y="0"/>
                      <a:ext cx="5273675" cy="2658110"/>
                    </a:xfrm>
                    <a:prstGeom prst="rect">
                      <a:avLst/>
                    </a:prstGeom>
                    <a:noFill/>
                    <a:ln w="9525">
                      <a:noFill/>
                      <a:miter lim="800000"/>
                      <a:headEnd/>
                      <a:tailEnd/>
                    </a:ln>
                  </pic:spPr>
                </pic:pic>
              </a:graphicData>
            </a:graphic>
          </wp:anchor>
        </w:drawing>
      </w:r>
    </w:p>
    <w:p w14:paraId="000A08D0" w14:textId="77777777" w:rsidR="009E2D0E" w:rsidRPr="006645DC" w:rsidRDefault="009E2D0E" w:rsidP="009E2D0E">
      <w:pPr>
        <w:spacing w:before="240" w:after="0"/>
        <w:rPr>
          <w:noProof/>
          <w:lang w:val="en-GB" w:eastAsia="en-GB"/>
        </w:rPr>
      </w:pPr>
    </w:p>
    <w:p w14:paraId="1C00BB6D" w14:textId="77777777" w:rsidR="009E2D0E" w:rsidRPr="006645DC" w:rsidRDefault="009E2D0E" w:rsidP="009E2D0E">
      <w:pPr>
        <w:spacing w:before="240" w:after="0"/>
        <w:rPr>
          <w:noProof/>
          <w:lang w:val="en-GB" w:eastAsia="en-GB"/>
        </w:rPr>
      </w:pPr>
    </w:p>
    <w:p w14:paraId="6323105A" w14:textId="77777777" w:rsidR="009E2D0E" w:rsidRPr="006645DC" w:rsidRDefault="009E2D0E" w:rsidP="009E2D0E">
      <w:pPr>
        <w:spacing w:before="240" w:after="0"/>
        <w:rPr>
          <w:noProof/>
          <w:lang w:val="en-GB" w:eastAsia="en-GB"/>
        </w:rPr>
      </w:pPr>
    </w:p>
    <w:p w14:paraId="5337264F" w14:textId="77777777" w:rsidR="009E2D0E" w:rsidRPr="006645DC" w:rsidRDefault="009E2D0E" w:rsidP="009E2D0E">
      <w:pPr>
        <w:spacing w:before="240" w:after="0"/>
        <w:rPr>
          <w:noProof/>
          <w:lang w:val="en-GB" w:eastAsia="en-GB"/>
        </w:rPr>
      </w:pPr>
    </w:p>
    <w:p w14:paraId="05C587D5" w14:textId="77777777" w:rsidR="009E2D0E" w:rsidRPr="006645DC" w:rsidRDefault="009E2D0E" w:rsidP="009E2D0E">
      <w:pPr>
        <w:spacing w:before="240" w:after="0"/>
        <w:rPr>
          <w:noProof/>
          <w:lang w:val="en-GB" w:eastAsia="en-GB"/>
        </w:rPr>
      </w:pPr>
    </w:p>
    <w:p w14:paraId="05F8B5C6" w14:textId="77777777" w:rsidR="009E2D0E" w:rsidRPr="006645DC" w:rsidRDefault="009E2D0E" w:rsidP="009E2D0E">
      <w:pPr>
        <w:spacing w:before="240" w:after="0"/>
        <w:rPr>
          <w:noProof/>
          <w:lang w:val="en-GB" w:eastAsia="en-GB"/>
        </w:rPr>
      </w:pPr>
    </w:p>
    <w:p w14:paraId="316213AB" w14:textId="77777777" w:rsidR="009E2D0E" w:rsidRPr="006645DC" w:rsidRDefault="009E2D0E" w:rsidP="009E2D0E">
      <w:pPr>
        <w:spacing w:before="240" w:after="0"/>
        <w:rPr>
          <w:noProof/>
          <w:lang w:val="en-GB" w:eastAsia="en-GB"/>
        </w:rPr>
      </w:pPr>
    </w:p>
    <w:p w14:paraId="1A995D71" w14:textId="77777777" w:rsidR="000A6DE0" w:rsidRPr="006645DC" w:rsidRDefault="000A6DE0" w:rsidP="000A6DE0">
      <w:pPr>
        <w:pStyle w:val="Caption"/>
        <w:jc w:val="both"/>
        <w:rPr>
          <w:rFonts w:eastAsia="Calibri" w:cs="Times New Roman"/>
          <w:i w:val="0"/>
          <w:iCs w:val="0"/>
          <w:noProof/>
          <w:snapToGrid/>
          <w:color w:val="auto"/>
          <w:sz w:val="22"/>
          <w:szCs w:val="22"/>
          <w:lang w:val="en-GB" w:eastAsia="en-GB"/>
        </w:rPr>
      </w:pPr>
    </w:p>
    <w:p w14:paraId="08A2751F" w14:textId="77777777" w:rsidR="000A6DE0" w:rsidRPr="006645DC" w:rsidRDefault="000A6DE0" w:rsidP="000A6DE0">
      <w:pPr>
        <w:pStyle w:val="Caption"/>
        <w:jc w:val="both"/>
        <w:rPr>
          <w:rFonts w:eastAsia="Calibri" w:cs="Times New Roman"/>
          <w:i w:val="0"/>
          <w:iCs w:val="0"/>
          <w:noProof/>
          <w:snapToGrid/>
          <w:color w:val="auto"/>
          <w:sz w:val="22"/>
          <w:szCs w:val="22"/>
          <w:lang w:val="en-GB" w:eastAsia="en-GB"/>
        </w:rPr>
      </w:pPr>
    </w:p>
    <w:p w14:paraId="5B73DB29" w14:textId="77777777" w:rsidR="000A6DE0" w:rsidRPr="006645DC" w:rsidRDefault="000A6DE0" w:rsidP="000A6DE0">
      <w:pPr>
        <w:pStyle w:val="Caption"/>
        <w:jc w:val="both"/>
        <w:rPr>
          <w:rFonts w:eastAsia="Calibri" w:cs="Times New Roman"/>
          <w:i w:val="0"/>
          <w:iCs w:val="0"/>
          <w:noProof/>
          <w:snapToGrid/>
          <w:color w:val="auto"/>
          <w:sz w:val="22"/>
          <w:szCs w:val="22"/>
          <w:lang w:val="en-GB" w:eastAsia="en-GB"/>
        </w:rPr>
      </w:pPr>
    </w:p>
    <w:p w14:paraId="06AB96E1" w14:textId="77777777" w:rsidR="009E2D0E" w:rsidRPr="006645DC" w:rsidRDefault="009E2D0E" w:rsidP="000A6DE0">
      <w:pPr>
        <w:pStyle w:val="Caption"/>
        <w:rPr>
          <w:lang w:val="en-GB"/>
        </w:rPr>
      </w:pPr>
      <w:bookmarkStart w:id="2382" w:name="_Toc391150097"/>
      <w:r w:rsidRPr="006645DC">
        <w:rPr>
          <w:lang w:val="en-GB"/>
        </w:rPr>
        <w:t xml:space="preserve">Fig. </w:t>
      </w:r>
      <w:r w:rsidR="005979EB" w:rsidRPr="006645DC">
        <w:rPr>
          <w:lang w:val="en-GB"/>
        </w:rPr>
        <w:fldChar w:fldCharType="begin"/>
      </w:r>
      <w:r w:rsidRPr="006645DC">
        <w:rPr>
          <w:lang w:val="en-GB"/>
        </w:rPr>
        <w:instrText xml:space="preserve"> SEQ Fig. \* ARABIC </w:instrText>
      </w:r>
      <w:r w:rsidR="005979EB" w:rsidRPr="006645DC">
        <w:rPr>
          <w:lang w:val="en-GB"/>
        </w:rPr>
        <w:fldChar w:fldCharType="separate"/>
      </w:r>
      <w:r w:rsidR="00523DE6">
        <w:rPr>
          <w:noProof/>
          <w:lang w:val="en-GB"/>
        </w:rPr>
        <w:t>48</w:t>
      </w:r>
      <w:r w:rsidR="005979EB" w:rsidRPr="006645DC">
        <w:rPr>
          <w:lang w:val="en-GB"/>
        </w:rPr>
        <w:fldChar w:fldCharType="end"/>
      </w:r>
      <w:r w:rsidRPr="006645DC">
        <w:rPr>
          <w:lang w:val="en-GB"/>
        </w:rPr>
        <w:t xml:space="preserve"> - Data related to Europe 2020 objectives of Inclusive growth in the RO-BG CBC area</w:t>
      </w:r>
      <w:bookmarkEnd w:id="2382"/>
    </w:p>
    <w:p w14:paraId="7FC7E730" w14:textId="77777777" w:rsidR="009E2D0E" w:rsidRPr="006645DC" w:rsidRDefault="009E2D0E" w:rsidP="009E2D0E">
      <w:pPr>
        <w:pStyle w:val="Heading4"/>
        <w:rPr>
          <w:lang w:val="en-GB"/>
        </w:rPr>
      </w:pPr>
      <w:r w:rsidRPr="006645DC">
        <w:rPr>
          <w:lang w:val="en-GB"/>
        </w:rPr>
        <w:t>Source: ESPON Project TERREVI November 2012</w:t>
      </w:r>
    </w:p>
    <w:p w14:paraId="32FD1825" w14:textId="77777777" w:rsidR="009E2D0E" w:rsidRPr="006645DC" w:rsidRDefault="009E2D0E" w:rsidP="009E2D0E">
      <w:pPr>
        <w:spacing w:before="240" w:after="0"/>
        <w:rPr>
          <w:lang w:val="en-GB" w:eastAsia="en-GB"/>
        </w:rPr>
      </w:pPr>
      <w:r w:rsidRPr="006645DC">
        <w:rPr>
          <w:lang w:val="en-GB" w:eastAsia="en-GB"/>
        </w:rPr>
        <w:t xml:space="preserve">The CBC area of Romania - Bulgaria in general shows significantly higher values in the case of long-term unemployed persons and persons at risk of poverty compared to the EU27+4 and the other CBC regions in Europe. Looking at the employment rates in the programme area compared to the EU27+4 and the CBC areas as a whole, the majority of NUTS3 regions in Romania - Bulgaria have a lower employment rate. </w:t>
      </w:r>
    </w:p>
    <w:p w14:paraId="32941916" w14:textId="77777777" w:rsidR="009E2D0E" w:rsidRPr="006645DC" w:rsidRDefault="009E2D0E" w:rsidP="00017F4B">
      <w:pPr>
        <w:pStyle w:val="Heading5"/>
        <w:rPr>
          <w:lang w:val="en-GB"/>
        </w:rPr>
      </w:pPr>
      <w:bookmarkStart w:id="2383" w:name="_Toc254543881"/>
      <w:r w:rsidRPr="006645DC">
        <w:rPr>
          <w:lang w:val="en-GB"/>
        </w:rPr>
        <w:t>The Common Provisions Regulation</w:t>
      </w:r>
      <w:bookmarkEnd w:id="2383"/>
    </w:p>
    <w:p w14:paraId="76932C11" w14:textId="77777777" w:rsidR="009E2D0E" w:rsidRPr="006645DC" w:rsidRDefault="009E2D0E" w:rsidP="009E2D0E">
      <w:pPr>
        <w:rPr>
          <w:lang w:val="en-GB"/>
        </w:rPr>
      </w:pPr>
      <w:r w:rsidRPr="006645DC">
        <w:rPr>
          <w:lang w:val="en-GB"/>
        </w:rPr>
        <w:t>According to the Annex 1 of the CPR</w:t>
      </w:r>
      <w:r w:rsidRPr="006645DC">
        <w:rPr>
          <w:rStyle w:val="FootnoteReference"/>
          <w:lang w:val="en-GB"/>
        </w:rPr>
        <w:footnoteReference w:id="63"/>
      </w:r>
      <w:r w:rsidRPr="006645DC">
        <w:rPr>
          <w:lang w:val="en-GB"/>
        </w:rPr>
        <w:t xml:space="preserve">, « Common Strategic Framework », Article 7.2: Cross-border, transnational and interregional cooperation under the ERDF: </w:t>
      </w:r>
    </w:p>
    <w:p w14:paraId="070E8888" w14:textId="77777777" w:rsidR="009E2D0E" w:rsidRPr="006645DC" w:rsidRDefault="009E2D0E" w:rsidP="009E2D0E">
      <w:pPr>
        <w:rPr>
          <w:i/>
          <w:lang w:val="en-GB"/>
        </w:rPr>
      </w:pPr>
      <w:r w:rsidRPr="006645DC">
        <w:rPr>
          <w:i/>
          <w:lang w:val="en-GB"/>
        </w:rPr>
        <w:t xml:space="preserve">“1. Member States and regions shall seek to make use of cooperation to achieve critical mass, inter alia, in the field of ICT and research and innovation, and also to promote the development of joint smart specialisation approaches and partnerships among educational institutions. Interregional cooperation shall, where appropriate, include fostering cooperation between innovative research-intensive clusters and exchanges between research institutions taking into consideration the experience of "Regions of </w:t>
      </w:r>
      <w:r w:rsidRPr="006645DC">
        <w:rPr>
          <w:i/>
          <w:lang w:val="en-GB"/>
        </w:rPr>
        <w:lastRenderedPageBreak/>
        <w:t xml:space="preserve">Knowledge" and "Research Potential in Convergence and Outermost Regions" under the Seventh Framework Programme for Research. </w:t>
      </w:r>
    </w:p>
    <w:p w14:paraId="539882BA" w14:textId="77777777" w:rsidR="009E2D0E" w:rsidRPr="006645DC" w:rsidRDefault="009E2D0E" w:rsidP="009E2D0E">
      <w:pPr>
        <w:rPr>
          <w:i/>
          <w:lang w:val="en-GB"/>
        </w:rPr>
      </w:pPr>
      <w:r w:rsidRPr="006645DC">
        <w:rPr>
          <w:i/>
          <w:lang w:val="en-GB"/>
        </w:rPr>
        <w:t xml:space="preserve">2. Member States and regions shall, in the areas concerned, seek to draw on cross-border and transnational cooperation to: </w:t>
      </w:r>
    </w:p>
    <w:p w14:paraId="1CDBF1B0" w14:textId="77777777" w:rsidR="009E2D0E" w:rsidRPr="006645DC" w:rsidRDefault="009E2D0E" w:rsidP="009E2D0E">
      <w:pPr>
        <w:ind w:left="720"/>
        <w:rPr>
          <w:i/>
          <w:lang w:val="en-GB"/>
        </w:rPr>
      </w:pPr>
      <w:r w:rsidRPr="006645DC">
        <w:rPr>
          <w:i/>
          <w:lang w:val="en-GB"/>
        </w:rPr>
        <w:t xml:space="preserve">(a) ensure that areas that share major geographical features (islands, lakes, rivers, sea basins or mountain ranges) support the joint management and promotion of their natural resources; </w:t>
      </w:r>
    </w:p>
    <w:p w14:paraId="3CD3B7CB" w14:textId="77777777" w:rsidR="009E2D0E" w:rsidRPr="006645DC" w:rsidRDefault="009E2D0E" w:rsidP="009E2D0E">
      <w:pPr>
        <w:ind w:left="720"/>
        <w:rPr>
          <w:i/>
          <w:lang w:val="en-GB"/>
        </w:rPr>
      </w:pPr>
      <w:r w:rsidRPr="006645DC">
        <w:rPr>
          <w:i/>
          <w:lang w:val="en-GB"/>
        </w:rPr>
        <w:t xml:space="preserve">(b) exploit the economies of scale that can be achieved, in particular with regard to investment related to the shared use of common public services; </w:t>
      </w:r>
    </w:p>
    <w:p w14:paraId="213EABD5" w14:textId="77777777" w:rsidR="009E2D0E" w:rsidRPr="006645DC" w:rsidRDefault="009E2D0E" w:rsidP="009E2D0E">
      <w:pPr>
        <w:ind w:left="720"/>
        <w:rPr>
          <w:i/>
          <w:lang w:val="en-GB"/>
        </w:rPr>
      </w:pPr>
      <w:r w:rsidRPr="006645DC">
        <w:rPr>
          <w:i/>
          <w:lang w:val="en-GB"/>
        </w:rPr>
        <w:t xml:space="preserve">(c) promote coherent planning and development of cross-border network infrastructure, in particular missing cross-border links, and environmentally friendly and interoperable transport modes in larger geographical areas; </w:t>
      </w:r>
    </w:p>
    <w:p w14:paraId="7C52CFFC" w14:textId="77777777" w:rsidR="009E2D0E" w:rsidRPr="006645DC" w:rsidRDefault="009E2D0E" w:rsidP="009E2D0E">
      <w:pPr>
        <w:ind w:left="720"/>
        <w:rPr>
          <w:i/>
          <w:lang w:val="en-GB"/>
        </w:rPr>
      </w:pPr>
      <w:r w:rsidRPr="006645DC">
        <w:rPr>
          <w:i/>
          <w:lang w:val="en-GB"/>
        </w:rPr>
        <w:t xml:space="preserve">(d) achieve critical mass, particularly in the field of research and innovation and ICT, education and in relation to measures improving the competitiveness of SMEs; </w:t>
      </w:r>
    </w:p>
    <w:p w14:paraId="1001ECF0" w14:textId="77777777" w:rsidR="009E2D0E" w:rsidRPr="006645DC" w:rsidRDefault="009E2D0E" w:rsidP="009E2D0E">
      <w:pPr>
        <w:ind w:left="720"/>
        <w:rPr>
          <w:i/>
          <w:lang w:val="en-GB"/>
        </w:rPr>
      </w:pPr>
      <w:r w:rsidRPr="006645DC">
        <w:rPr>
          <w:i/>
          <w:lang w:val="en-GB"/>
        </w:rPr>
        <w:t xml:space="preserve">(e) strengthen cross-border labour market services to foster the mobility of workers across borders; </w:t>
      </w:r>
    </w:p>
    <w:p w14:paraId="34EB665D" w14:textId="77777777" w:rsidR="009E2D0E" w:rsidRPr="006645DC" w:rsidRDefault="009E2D0E" w:rsidP="009E2D0E">
      <w:pPr>
        <w:ind w:left="720"/>
        <w:rPr>
          <w:lang w:val="en-GB"/>
        </w:rPr>
      </w:pPr>
      <w:r w:rsidRPr="006645DC">
        <w:rPr>
          <w:i/>
          <w:lang w:val="en-GB"/>
        </w:rPr>
        <w:t>(f) improve cross-border governance.</w:t>
      </w:r>
      <w:r w:rsidRPr="006645DC">
        <w:rPr>
          <w:lang w:val="en-GB"/>
        </w:rPr>
        <w:t>”</w:t>
      </w:r>
    </w:p>
    <w:p w14:paraId="45C2D9F2" w14:textId="77777777" w:rsidR="009E2D0E" w:rsidRPr="006645DC" w:rsidRDefault="009E2D0E" w:rsidP="009E2D0E">
      <w:pPr>
        <w:rPr>
          <w:lang w:val="en-GB"/>
        </w:rPr>
      </w:pPr>
      <w:r w:rsidRPr="006645DC">
        <w:rPr>
          <w:lang w:val="en-GB"/>
        </w:rPr>
        <w:t xml:space="preserve">The objective here is clearly to identify and tackle common challenges and opportunities for joint action. Moreover, taking into account the resources available and the division of work with national, regional and other territorial cooperation programmes, it is necessary to focus and select fewer specific intervention themes. Indeed, the regulatory framework for the 2014-2020 EU programming period defines eleven thematic objectives (TOs) corresponding to the priorities of the Europe 2020 Strategy. To ensure critical mass </w:t>
      </w:r>
      <w:r w:rsidRPr="006645DC">
        <w:rPr>
          <w:rFonts w:cs="Helvetica"/>
          <w:lang w:val="en-GB"/>
        </w:rPr>
        <w:t>necessary</w:t>
      </w:r>
      <w:r w:rsidRPr="006645DC">
        <w:rPr>
          <w:lang w:val="en-GB"/>
        </w:rPr>
        <w:t xml:space="preserve"> to deliver growth and jobs, ETC programmes must concentrate at least 80 % of the ERDF </w:t>
      </w:r>
      <w:r w:rsidRPr="006645DC">
        <w:rPr>
          <w:rFonts w:cs="Helvetica"/>
          <w:lang w:val="en-GB"/>
        </w:rPr>
        <w:t>allocation</w:t>
      </w:r>
      <w:r w:rsidRPr="006645DC">
        <w:rPr>
          <w:lang w:val="en-GB"/>
        </w:rPr>
        <w:t xml:space="preserve"> on up to four TOs,</w:t>
      </w:r>
    </w:p>
    <w:p w14:paraId="5F3002C9" w14:textId="77777777" w:rsidR="009E2D0E" w:rsidRPr="006645DC" w:rsidRDefault="009E2D0E" w:rsidP="00017F4B">
      <w:pPr>
        <w:pStyle w:val="Heading5"/>
        <w:rPr>
          <w:lang w:val="en-GB"/>
        </w:rPr>
      </w:pPr>
      <w:bookmarkStart w:id="2384" w:name="_Toc254543882"/>
      <w:r w:rsidRPr="006645DC">
        <w:rPr>
          <w:lang w:val="en-GB"/>
        </w:rPr>
        <w:t>The European territorial cooperation goal</w:t>
      </w:r>
      <w:bookmarkEnd w:id="2384"/>
    </w:p>
    <w:p w14:paraId="4FE7CC1C" w14:textId="77777777" w:rsidR="009E2D0E" w:rsidRPr="006645DC" w:rsidRDefault="009E2D0E" w:rsidP="009E2D0E">
      <w:pPr>
        <w:rPr>
          <w:rFonts w:ascii="Helvetica" w:hAnsi="Helvetica" w:cs="Helvetica"/>
          <w:sz w:val="24"/>
          <w:szCs w:val="24"/>
          <w:lang w:val="en-GB"/>
        </w:rPr>
      </w:pPr>
      <w:r w:rsidRPr="006645DC">
        <w:rPr>
          <w:lang w:val="en-GB"/>
        </w:rPr>
        <w:t xml:space="preserve">According to the Regulation (eu) No 1299/2013 of the European parliament and of the Council </w:t>
      </w:r>
      <w:r w:rsidRPr="006645DC">
        <w:rPr>
          <w:rFonts w:cs="Helvetica"/>
          <w:lang w:val="en-GB"/>
        </w:rPr>
        <w:t>of</w:t>
      </w:r>
      <w:r w:rsidR="00633DB4" w:rsidRPr="006645DC">
        <w:rPr>
          <w:rFonts w:cs="Helvetica"/>
          <w:lang w:val="en-GB"/>
        </w:rPr>
        <w:t xml:space="preserve"> the</w:t>
      </w:r>
      <w:r w:rsidRPr="006645DC">
        <w:rPr>
          <w:lang w:val="en-GB"/>
        </w:rPr>
        <w:t xml:space="preserve"> 17 December 2013 on specific provisions for the support from the European Regional Development Fund to the European territorial cooperation goal, “ </w:t>
      </w:r>
      <w:r w:rsidRPr="006645DC">
        <w:rPr>
          <w:i/>
          <w:lang w:val="en-GB"/>
        </w:rPr>
        <w:t>Cross-border cooperation should aim to tackle common challenges identified jointly in the border regions, such as: poor accessibility, especially in relation to information and communication technologies (ICT) connectivity and transport infrastructure, declining local industries, an inappropriate business environment, lack of networks among local and regional administrations, low levels of research and innovation and take-up of ICT, environmental pollution, risk prevention, negative attitudes towards neighbouring country citizens and aim to exploit the untapped growth potential in border areas (development of cross-border research and innovation facilities and clusters, cross-border labour market integration, cooperation among education providers, including universities or between health centres), while enhancing the cooperation process for the purpose of the overall harmonious development of the Union</w:t>
      </w:r>
      <w:r w:rsidRPr="006645DC">
        <w:rPr>
          <w:lang w:val="en-GB"/>
        </w:rPr>
        <w:t>.</w:t>
      </w:r>
      <w:r w:rsidRPr="006645DC">
        <w:rPr>
          <w:rFonts w:ascii="Helvetica" w:hAnsi="Helvetica" w:cs="Helvetica"/>
          <w:sz w:val="24"/>
          <w:szCs w:val="24"/>
          <w:lang w:val="en-GB"/>
        </w:rPr>
        <w:t>”</w:t>
      </w:r>
    </w:p>
    <w:p w14:paraId="0A8E2804" w14:textId="77777777" w:rsidR="009E2D0E" w:rsidRPr="006645DC" w:rsidRDefault="009E2D0E" w:rsidP="009E2D0E">
      <w:pPr>
        <w:rPr>
          <w:rFonts w:asciiTheme="minorHAnsi" w:hAnsiTheme="minorHAnsi" w:cs="Helvetica"/>
          <w:i/>
          <w:lang w:val="en-GB"/>
        </w:rPr>
      </w:pPr>
      <w:r w:rsidRPr="006645DC">
        <w:rPr>
          <w:rFonts w:asciiTheme="minorHAnsi" w:hAnsiTheme="minorHAnsi" w:cs="Helvetica"/>
          <w:lang w:val="en-GB"/>
        </w:rPr>
        <w:t>More precisely, in article 7, it is specified that</w:t>
      </w:r>
      <w:r w:rsidRPr="006645DC">
        <w:rPr>
          <w:rFonts w:asciiTheme="minorHAnsi" w:hAnsiTheme="minorHAnsi" w:cs="Helvetica"/>
          <w:i/>
          <w:lang w:val="en-GB"/>
        </w:rPr>
        <w:t xml:space="preserve">: “ </w:t>
      </w:r>
      <w:r w:rsidRPr="006645DC">
        <w:rPr>
          <w:rFonts w:asciiTheme="minorHAnsi" w:hAnsiTheme="minorHAnsi"/>
          <w:i/>
          <w:lang w:val="en-GB"/>
        </w:rPr>
        <w:t xml:space="preserve">The ERDF shall, within its scope as set out in Article 3 of Regulation (EU) No 1301 /2013, contribute to the thematic objectives set out in the first paragraph of Article 9 of Regulation (EU) No 1303 /2013 through joint action under crossborder, transnational and </w:t>
      </w:r>
      <w:r w:rsidRPr="006645DC">
        <w:rPr>
          <w:rFonts w:asciiTheme="minorHAnsi" w:hAnsiTheme="minorHAnsi"/>
          <w:i/>
          <w:lang w:val="en-GB"/>
        </w:rPr>
        <w:lastRenderedPageBreak/>
        <w:t xml:space="preserve">interregional cooperation programmes. In addition to the investment priorities set out in Article 5 of Regulation (EU) No 1301 /2013, the ERDF may also support the following investment priorities within the thematic objectives indicated for each European territorial cooperation component: </w:t>
      </w:r>
    </w:p>
    <w:p w14:paraId="0AA1CCC4" w14:textId="77777777" w:rsidR="009E2D0E" w:rsidRPr="006645DC" w:rsidRDefault="009E2D0E" w:rsidP="009E2D0E">
      <w:pPr>
        <w:rPr>
          <w:rFonts w:asciiTheme="minorHAnsi" w:hAnsiTheme="minorHAnsi"/>
          <w:i/>
          <w:lang w:val="en-GB"/>
        </w:rPr>
      </w:pPr>
      <w:r w:rsidRPr="006645DC">
        <w:rPr>
          <w:rFonts w:asciiTheme="minorHAnsi" w:hAnsiTheme="minorHAnsi"/>
          <w:i/>
          <w:lang w:val="en-GB"/>
        </w:rPr>
        <w:t xml:space="preserve">(a) under cross-border cooperation: </w:t>
      </w:r>
    </w:p>
    <w:p w14:paraId="7C392E3A" w14:textId="77777777" w:rsidR="009E2D0E" w:rsidRPr="006645DC" w:rsidRDefault="009E2D0E" w:rsidP="009E2D0E">
      <w:pPr>
        <w:ind w:left="720"/>
        <w:rPr>
          <w:rFonts w:asciiTheme="minorHAnsi" w:hAnsiTheme="minorHAnsi"/>
          <w:i/>
          <w:lang w:val="en-GB"/>
        </w:rPr>
      </w:pPr>
      <w:r w:rsidRPr="006645DC">
        <w:rPr>
          <w:rFonts w:asciiTheme="minorHAnsi" w:hAnsiTheme="minorHAnsi"/>
          <w:i/>
          <w:lang w:val="en-GB"/>
        </w:rPr>
        <w:t xml:space="preserve">(i) promoting sustainable and quality employment and supporting labour mobility by integrating cross-border labour markets, including cross-border mobility, joint local employment initiatives, information and advisory services and joint training; </w:t>
      </w:r>
    </w:p>
    <w:p w14:paraId="38AF5BA9" w14:textId="77777777" w:rsidR="009E2D0E" w:rsidRPr="006645DC" w:rsidRDefault="009E2D0E" w:rsidP="009E2D0E">
      <w:pPr>
        <w:ind w:left="720"/>
        <w:rPr>
          <w:rFonts w:asciiTheme="minorHAnsi" w:hAnsiTheme="minorHAnsi"/>
          <w:i/>
          <w:lang w:val="en-GB"/>
        </w:rPr>
      </w:pPr>
      <w:r w:rsidRPr="006645DC">
        <w:rPr>
          <w:rFonts w:asciiTheme="minorHAnsi" w:hAnsiTheme="minorHAnsi"/>
          <w:i/>
          <w:lang w:val="en-GB"/>
        </w:rPr>
        <w:t xml:space="preserve">(ii) promoting social inclusion, combating poverty and any discrimination by promoting gender equality, equal opportunities, and the integration of communities across borders; </w:t>
      </w:r>
    </w:p>
    <w:p w14:paraId="3A5C2E26" w14:textId="77777777" w:rsidR="009E2D0E" w:rsidRPr="006645DC" w:rsidRDefault="009E2D0E" w:rsidP="009E2D0E">
      <w:pPr>
        <w:ind w:left="720"/>
        <w:rPr>
          <w:rFonts w:asciiTheme="minorHAnsi" w:hAnsiTheme="minorHAnsi"/>
          <w:i/>
          <w:lang w:val="en-GB"/>
        </w:rPr>
      </w:pPr>
      <w:r w:rsidRPr="006645DC">
        <w:rPr>
          <w:rFonts w:asciiTheme="minorHAnsi" w:hAnsiTheme="minorHAnsi"/>
          <w:i/>
          <w:lang w:val="en-GB"/>
        </w:rPr>
        <w:t>(iii) investing in education, training and vocational training for skills and lifelong learning by developing and implementing joint education, vocational training and training schemes</w:t>
      </w:r>
    </w:p>
    <w:p w14:paraId="7D6333C7" w14:textId="77777777" w:rsidR="009E2D0E" w:rsidRPr="006645DC" w:rsidRDefault="009E2D0E" w:rsidP="009E2D0E">
      <w:pPr>
        <w:ind w:left="720"/>
        <w:rPr>
          <w:rFonts w:asciiTheme="minorHAnsi" w:hAnsiTheme="minorHAnsi"/>
          <w:i/>
          <w:lang w:val="en-GB"/>
        </w:rPr>
      </w:pPr>
      <w:r w:rsidRPr="006645DC">
        <w:rPr>
          <w:rFonts w:asciiTheme="minorHAnsi" w:hAnsiTheme="minorHAnsi"/>
          <w:i/>
          <w:lang w:val="en-GB"/>
        </w:rPr>
        <w:t>(iv) enhancing institutional capacity of public authorities and stakeholders and efficient public administration by promoting legal and administrative cooperation and cooperation between citizens and institutions;”</w:t>
      </w:r>
    </w:p>
    <w:p w14:paraId="61C66089"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 xml:space="preserve">We can notice here that a focus is made in the ETC regulation on the Inclusive Growth part of the EU 2020 strategy that is directly linked with the following Thematic Objectives: </w:t>
      </w:r>
    </w:p>
    <w:p w14:paraId="127262BB" w14:textId="77777777" w:rsidR="009E2D0E" w:rsidRPr="006645DC" w:rsidRDefault="009E2D0E" w:rsidP="009E2D0E">
      <w:pPr>
        <w:pStyle w:val="ListParagraph"/>
        <w:rPr>
          <w:b/>
          <w:lang w:val="en-GB"/>
        </w:rPr>
      </w:pPr>
      <w:r w:rsidRPr="006645DC">
        <w:rPr>
          <w:b/>
          <w:lang w:val="en-GB"/>
        </w:rPr>
        <w:t>TO (8): “ promoting employment and supporting labour mobility”</w:t>
      </w:r>
    </w:p>
    <w:p w14:paraId="4942562E" w14:textId="77777777" w:rsidR="009E2D0E" w:rsidRPr="006645DC" w:rsidRDefault="009E2D0E" w:rsidP="009E2D0E">
      <w:pPr>
        <w:pStyle w:val="ListParagraph"/>
        <w:rPr>
          <w:b/>
          <w:lang w:val="en-GB"/>
        </w:rPr>
      </w:pPr>
      <w:r w:rsidRPr="006645DC">
        <w:rPr>
          <w:b/>
          <w:lang w:val="en-GB"/>
        </w:rPr>
        <w:t>TO (9):  “promoting social inclusion and combating poverty”</w:t>
      </w:r>
    </w:p>
    <w:p w14:paraId="10F11009" w14:textId="77777777" w:rsidR="009E2D0E" w:rsidRPr="006645DC" w:rsidRDefault="009E2D0E" w:rsidP="009E2D0E">
      <w:pPr>
        <w:pStyle w:val="ListParagraph"/>
        <w:rPr>
          <w:b/>
          <w:lang w:val="en-GB"/>
        </w:rPr>
      </w:pPr>
      <w:r w:rsidRPr="006645DC">
        <w:rPr>
          <w:b/>
          <w:lang w:val="en-GB"/>
        </w:rPr>
        <w:t>TO (10): “investing in education, skills and lifelong learning by developing education and training infrastructure”</w:t>
      </w:r>
    </w:p>
    <w:p w14:paraId="0B00DD46" w14:textId="77777777" w:rsidR="009E2D0E" w:rsidRPr="006645DC" w:rsidRDefault="009E2D0E" w:rsidP="00017F4B">
      <w:pPr>
        <w:pStyle w:val="Heading5"/>
        <w:rPr>
          <w:lang w:val="en-GB"/>
        </w:rPr>
      </w:pPr>
      <w:bookmarkStart w:id="2385" w:name="_Toc254543883"/>
      <w:r w:rsidRPr="006645DC">
        <w:rPr>
          <w:rFonts w:eastAsiaTheme="minorHAnsi"/>
          <w:lang w:val="en-GB"/>
        </w:rPr>
        <w:t>Key country specific challenges for the preparation of the Partnership Agreement and Programmes</w:t>
      </w:r>
      <w:bookmarkEnd w:id="2385"/>
    </w:p>
    <w:p w14:paraId="3B357C27"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 xml:space="preserve">On October 2012, the Commission Services published the following documents: </w:t>
      </w:r>
    </w:p>
    <w:p w14:paraId="0DE8C714" w14:textId="77777777" w:rsidR="009E2D0E" w:rsidRPr="006645DC" w:rsidRDefault="009E2D0E" w:rsidP="00C951D5">
      <w:pPr>
        <w:numPr>
          <w:ilvl w:val="0"/>
          <w:numId w:val="96"/>
        </w:numPr>
        <w:rPr>
          <w:rFonts w:asciiTheme="minorHAnsi" w:hAnsiTheme="minorHAnsi" w:cs="Helvetica"/>
          <w:lang w:val="en-GB"/>
        </w:rPr>
      </w:pPr>
      <w:r w:rsidRPr="006645DC">
        <w:rPr>
          <w:rFonts w:asciiTheme="minorHAnsi" w:hAnsiTheme="minorHAnsi" w:cs="Helvetica"/>
          <w:b/>
          <w:bCs/>
          <w:lang w:val="en-GB"/>
        </w:rPr>
        <w:t xml:space="preserve">Position of the Commission Services on the development of Partnership Agreement and programmes in </w:t>
      </w:r>
      <w:r w:rsidR="003B1CB9" w:rsidRPr="006645DC">
        <w:rPr>
          <w:rFonts w:asciiTheme="minorHAnsi" w:hAnsiTheme="minorHAnsi" w:cs="Helvetica"/>
          <w:b/>
          <w:bCs/>
          <w:lang w:val="en-GB"/>
        </w:rPr>
        <w:t>Romania for</w:t>
      </w:r>
      <w:r w:rsidRPr="006645DC">
        <w:rPr>
          <w:rFonts w:asciiTheme="minorHAnsi" w:hAnsiTheme="minorHAnsi" w:cs="Helvetica"/>
          <w:b/>
          <w:bCs/>
          <w:lang w:val="en-GB"/>
        </w:rPr>
        <w:t xml:space="preserve"> the period 2014-2020 </w:t>
      </w:r>
    </w:p>
    <w:p w14:paraId="3629F4C0" w14:textId="77777777" w:rsidR="009E2D0E" w:rsidRPr="006645DC" w:rsidRDefault="009E2D0E" w:rsidP="00C951D5">
      <w:pPr>
        <w:numPr>
          <w:ilvl w:val="0"/>
          <w:numId w:val="96"/>
        </w:numPr>
        <w:rPr>
          <w:rFonts w:asciiTheme="minorHAnsi" w:hAnsiTheme="minorHAnsi" w:cs="Helvetica"/>
          <w:lang w:val="en-GB"/>
        </w:rPr>
      </w:pPr>
      <w:r w:rsidRPr="006645DC">
        <w:rPr>
          <w:rFonts w:asciiTheme="minorHAnsi" w:hAnsiTheme="minorHAnsi" w:cs="Helvetica"/>
          <w:b/>
          <w:bCs/>
          <w:lang w:val="en-GB"/>
        </w:rPr>
        <w:t xml:space="preserve">Position of the Commission Services on the development of Partnership Agreement and programmes in Bulgaria for the period 2014-2020 </w:t>
      </w:r>
    </w:p>
    <w:p w14:paraId="029F4338" w14:textId="77777777" w:rsidR="000A6DE0" w:rsidRPr="006645DC" w:rsidRDefault="009E2D0E" w:rsidP="009E2D0E">
      <w:pPr>
        <w:rPr>
          <w:rFonts w:asciiTheme="minorHAnsi" w:hAnsiTheme="minorHAnsi" w:cs="Helvetica"/>
          <w:lang w:val="en-GB"/>
        </w:rPr>
      </w:pPr>
      <w:r w:rsidRPr="006645DC">
        <w:rPr>
          <w:rFonts w:asciiTheme="minorHAnsi" w:hAnsiTheme="minorHAnsi" w:cs="Helvetica"/>
          <w:lang w:val="en-GB"/>
        </w:rPr>
        <w:t xml:space="preserve">These position papers present the preliminary views on the main funding priorities in Romania and Bulgaria in order to set out </w:t>
      </w:r>
      <w:r w:rsidRPr="006645DC">
        <w:rPr>
          <w:rFonts w:asciiTheme="minorHAnsi" w:hAnsiTheme="minorHAnsi" w:cs="Helvetica"/>
          <w:bCs/>
          <w:lang w:val="en-GB"/>
        </w:rPr>
        <w:t>the framework for</w:t>
      </w:r>
      <w:r w:rsidRPr="006645DC">
        <w:rPr>
          <w:rFonts w:asciiTheme="minorHAnsi" w:hAnsiTheme="minorHAnsi" w:cs="Helvetica"/>
          <w:lang w:val="en-GB"/>
        </w:rPr>
        <w:t xml:space="preserve"> dialogue between the Commission and each country on </w:t>
      </w:r>
      <w:r w:rsidRPr="006645DC">
        <w:rPr>
          <w:rFonts w:asciiTheme="minorHAnsi" w:hAnsiTheme="minorHAnsi" w:cs="Helvetica"/>
          <w:bCs/>
          <w:lang w:val="en-GB"/>
        </w:rPr>
        <w:t>the preparation of the Partnership Agreement</w:t>
      </w:r>
      <w:r w:rsidRPr="006645DC">
        <w:rPr>
          <w:rFonts w:asciiTheme="minorHAnsi" w:hAnsiTheme="minorHAnsi" w:cs="Helvetica"/>
          <w:lang w:val="en-GB"/>
        </w:rPr>
        <w:t xml:space="preserve"> </w:t>
      </w:r>
      <w:r w:rsidRPr="006645DC">
        <w:rPr>
          <w:rFonts w:asciiTheme="minorHAnsi" w:hAnsiTheme="minorHAnsi" w:cs="Helvetica"/>
          <w:bCs/>
          <w:lang w:val="en-GB"/>
        </w:rPr>
        <w:t>and Programmes</w:t>
      </w:r>
      <w:r w:rsidRPr="006645DC">
        <w:rPr>
          <w:rFonts w:asciiTheme="minorHAnsi" w:hAnsiTheme="minorHAnsi" w:cs="Helvetica"/>
          <w:lang w:val="en-GB"/>
        </w:rPr>
        <w:t xml:space="preserve">. After an analysis of the main challenges faced by both countries, the following priorities of </w:t>
      </w:r>
      <w:r w:rsidR="003B1CB9" w:rsidRPr="006645DC">
        <w:rPr>
          <w:rFonts w:asciiTheme="minorHAnsi" w:hAnsiTheme="minorHAnsi" w:cs="Helvetica"/>
          <w:lang w:val="en-GB"/>
        </w:rPr>
        <w:t>funding</w:t>
      </w:r>
      <w:r w:rsidRPr="006645DC">
        <w:rPr>
          <w:rFonts w:asciiTheme="minorHAnsi" w:hAnsiTheme="minorHAnsi" w:cs="Helvetica"/>
          <w:lang w:val="en-GB"/>
        </w:rPr>
        <w:t xml:space="preserve"> were proposed: </w:t>
      </w:r>
    </w:p>
    <w:p w14:paraId="32E26A2D" w14:textId="77777777" w:rsidR="000A6DE0" w:rsidRPr="006645DC" w:rsidRDefault="000A6DE0" w:rsidP="009E2D0E">
      <w:pPr>
        <w:rPr>
          <w:rFonts w:asciiTheme="minorHAnsi" w:hAnsiTheme="minorHAnsi" w:cs="Helvetica"/>
          <w:lang w:val="en-GB"/>
        </w:rPr>
        <w:sectPr w:rsidR="000A6DE0" w:rsidRPr="006645DC" w:rsidSect="00187E88">
          <w:pgSz w:w="12240" w:h="15840"/>
          <w:pgMar w:top="1440" w:right="1440" w:bottom="1440" w:left="1440" w:header="720" w:footer="720" w:gutter="0"/>
          <w:cols w:space="720"/>
          <w:docGrid w:linePitch="360"/>
        </w:sectPr>
      </w:pPr>
    </w:p>
    <w:p w14:paraId="331007FC" w14:textId="77777777" w:rsidR="009E2D0E" w:rsidRPr="006645DC" w:rsidRDefault="009E2D0E" w:rsidP="009E2D0E">
      <w:pPr>
        <w:rPr>
          <w:rFonts w:asciiTheme="minorHAnsi" w:hAnsiTheme="minorHAnsi" w:cs="Helvetica"/>
          <w:lang w:val="en-GB"/>
        </w:rPr>
      </w:pPr>
    </w:p>
    <w:tbl>
      <w:tblPr>
        <w:tblStyle w:val="TableGrid"/>
        <w:tblpPr w:leftFromText="180" w:rightFromText="180" w:vertAnchor="text" w:tblpXSpec="center" w:tblpY="1"/>
        <w:tblOverlap w:val="never"/>
        <w:tblW w:w="0" w:type="auto"/>
        <w:tblLook w:val="04A0" w:firstRow="1" w:lastRow="0" w:firstColumn="1" w:lastColumn="0" w:noHBand="0" w:noVBand="1"/>
      </w:tblPr>
      <w:tblGrid>
        <w:gridCol w:w="4788"/>
        <w:gridCol w:w="4788"/>
      </w:tblGrid>
      <w:tr w:rsidR="009E2D0E" w:rsidRPr="006645DC" w14:paraId="5C8419B3" w14:textId="77777777" w:rsidTr="009E2D0E">
        <w:tc>
          <w:tcPr>
            <w:tcW w:w="4788" w:type="dxa"/>
            <w:shd w:val="clear" w:color="auto" w:fill="4F6228" w:themeFill="accent3" w:themeFillShade="80"/>
          </w:tcPr>
          <w:p w14:paraId="090F0B8B" w14:textId="77777777" w:rsidR="009E2D0E" w:rsidRPr="006645DC" w:rsidRDefault="009E2D0E" w:rsidP="009E2D0E">
            <w:pPr>
              <w:rPr>
                <w:rFonts w:asciiTheme="minorHAnsi" w:hAnsiTheme="minorHAnsi" w:cs="Helvetica"/>
                <w:b/>
                <w:color w:val="FFFFFF" w:themeColor="background1"/>
                <w:lang w:val="en-GB"/>
              </w:rPr>
            </w:pPr>
            <w:r w:rsidRPr="006645DC">
              <w:rPr>
                <w:rFonts w:asciiTheme="minorHAnsi" w:hAnsiTheme="minorHAnsi" w:cs="Helvetica"/>
                <w:b/>
                <w:color w:val="FFFFFF" w:themeColor="background1"/>
                <w:lang w:val="en-GB"/>
              </w:rPr>
              <w:t>Romania</w:t>
            </w:r>
          </w:p>
        </w:tc>
        <w:tc>
          <w:tcPr>
            <w:tcW w:w="4788" w:type="dxa"/>
            <w:shd w:val="clear" w:color="auto" w:fill="4F6228" w:themeFill="accent3" w:themeFillShade="80"/>
          </w:tcPr>
          <w:p w14:paraId="213A816E" w14:textId="77777777" w:rsidR="009E2D0E" w:rsidRPr="006645DC" w:rsidRDefault="009E2D0E" w:rsidP="009E2D0E">
            <w:pPr>
              <w:rPr>
                <w:rFonts w:asciiTheme="minorHAnsi" w:hAnsiTheme="minorHAnsi" w:cs="Helvetica"/>
                <w:b/>
                <w:color w:val="FFFFFF" w:themeColor="background1"/>
                <w:lang w:val="en-GB"/>
              </w:rPr>
            </w:pPr>
            <w:r w:rsidRPr="006645DC">
              <w:rPr>
                <w:rFonts w:asciiTheme="minorHAnsi" w:hAnsiTheme="minorHAnsi" w:cs="Helvetica"/>
                <w:b/>
                <w:color w:val="FFFFFF" w:themeColor="background1"/>
                <w:lang w:val="en-GB"/>
              </w:rPr>
              <w:t>Bulgaria</w:t>
            </w:r>
          </w:p>
        </w:tc>
      </w:tr>
      <w:tr w:rsidR="009E2D0E" w:rsidRPr="006645DC" w14:paraId="2CF03776" w14:textId="77777777" w:rsidTr="009E2D0E">
        <w:tc>
          <w:tcPr>
            <w:tcW w:w="9576" w:type="dxa"/>
            <w:gridSpan w:val="2"/>
          </w:tcPr>
          <w:p w14:paraId="52DABF78" w14:textId="77777777" w:rsidR="009E2D0E" w:rsidRPr="006645DC" w:rsidRDefault="009E2D0E" w:rsidP="009E2D0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center"/>
              <w:rPr>
                <w:rFonts w:asciiTheme="minorHAnsi" w:eastAsiaTheme="minorHAnsi" w:hAnsiTheme="minorHAnsi" w:cs="Times"/>
                <w:szCs w:val="24"/>
                <w:lang w:val="en-GB"/>
              </w:rPr>
            </w:pPr>
            <w:r w:rsidRPr="006645DC">
              <w:rPr>
                <w:rFonts w:asciiTheme="minorHAnsi" w:hAnsiTheme="minorHAnsi" w:cs="Helvetica"/>
                <w:b/>
                <w:bCs/>
                <w:lang w:val="en-GB"/>
              </w:rPr>
              <w:t>PRIORITIES FOR EUROPEAN TERRITORIAL COOPERATION</w:t>
            </w:r>
            <w:r w:rsidRPr="006645DC">
              <w:rPr>
                <w:rFonts w:asciiTheme="minorHAnsi" w:eastAsiaTheme="minorHAnsi" w:hAnsiTheme="minorHAnsi" w:cs="Times"/>
                <w:szCs w:val="24"/>
                <w:lang w:val="en-GB"/>
              </w:rPr>
              <w:t xml:space="preserve"> </w:t>
            </w:r>
            <w:r w:rsidRPr="006645DC">
              <w:rPr>
                <w:rFonts w:asciiTheme="minorHAnsi" w:eastAsiaTheme="minorHAnsi" w:hAnsiTheme="minorHAnsi" w:cs="Times"/>
                <w:b/>
                <w:szCs w:val="24"/>
                <w:lang w:val="en-GB"/>
              </w:rPr>
              <w:t>AT A NATIONAL LEVEL</w:t>
            </w:r>
          </w:p>
        </w:tc>
      </w:tr>
      <w:tr w:rsidR="009E2D0E" w:rsidRPr="006645DC" w14:paraId="4E5C1A85" w14:textId="77777777" w:rsidTr="009E2D0E">
        <w:tc>
          <w:tcPr>
            <w:tcW w:w="4788" w:type="dxa"/>
          </w:tcPr>
          <w:p w14:paraId="168C6DAE"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 xml:space="preserve">Improving human capital through higher employment and better social     inclusion and education policies </w:t>
            </w:r>
          </w:p>
        </w:tc>
        <w:tc>
          <w:tcPr>
            <w:tcW w:w="4788" w:type="dxa"/>
          </w:tcPr>
          <w:p w14:paraId="24586E73" w14:textId="77777777" w:rsidR="009E2D0E" w:rsidRPr="006645DC" w:rsidRDefault="009E2D0E" w:rsidP="009E2D0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left"/>
              <w:rPr>
                <w:rFonts w:asciiTheme="minorHAnsi" w:eastAsiaTheme="minorHAnsi" w:hAnsiTheme="minorHAnsi" w:cs="Helvetica"/>
                <w:szCs w:val="24"/>
                <w:lang w:val="en-GB"/>
              </w:rPr>
            </w:pPr>
            <w:r w:rsidRPr="006645DC">
              <w:rPr>
                <w:rFonts w:asciiTheme="minorHAnsi" w:eastAsiaTheme="minorHAnsi" w:hAnsiTheme="minorHAnsi" w:cs="Times"/>
                <w:szCs w:val="24"/>
                <w:lang w:val="en-GB"/>
              </w:rPr>
              <w:t>Increasing labour market participation through improved employment, social inclusion and education policies</w:t>
            </w:r>
            <w:r w:rsidRPr="006645DC">
              <w:rPr>
                <w:rFonts w:asciiTheme="minorHAnsi" w:eastAsiaTheme="minorHAnsi" w:hAnsiTheme="minorHAnsi" w:cs="Calibri"/>
                <w:sz w:val="20"/>
                <w:lang w:val="en-GB"/>
              </w:rPr>
              <w:t xml:space="preserve"> </w:t>
            </w:r>
          </w:p>
          <w:p w14:paraId="6F91FB21" w14:textId="77777777" w:rsidR="009E2D0E" w:rsidRPr="006645DC" w:rsidRDefault="009E2D0E" w:rsidP="009E2D0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left"/>
              <w:rPr>
                <w:rFonts w:asciiTheme="minorHAnsi" w:hAnsiTheme="minorHAnsi" w:cs="Helvetica"/>
                <w:lang w:val="en-GB"/>
              </w:rPr>
            </w:pPr>
          </w:p>
        </w:tc>
      </w:tr>
      <w:tr w:rsidR="009E2D0E" w:rsidRPr="006645DC" w14:paraId="36501B4B" w14:textId="77777777" w:rsidTr="009E2D0E">
        <w:tc>
          <w:tcPr>
            <w:tcW w:w="4788" w:type="dxa"/>
          </w:tcPr>
          <w:p w14:paraId="3E725222"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Developing modern infrastructure for growth and jobs</w:t>
            </w:r>
          </w:p>
        </w:tc>
        <w:tc>
          <w:tcPr>
            <w:tcW w:w="4788" w:type="dxa"/>
          </w:tcPr>
          <w:p w14:paraId="42C5B8D2"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Modern infrastructure for growth and jobs</w:t>
            </w:r>
          </w:p>
        </w:tc>
      </w:tr>
      <w:tr w:rsidR="009E2D0E" w:rsidRPr="006645DC" w14:paraId="3ED4CE19" w14:textId="77777777" w:rsidTr="009E2D0E">
        <w:tc>
          <w:tcPr>
            <w:tcW w:w="4788" w:type="dxa"/>
          </w:tcPr>
          <w:p w14:paraId="3A33DF44"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Promoting economic competitiveness and local development</w:t>
            </w:r>
          </w:p>
        </w:tc>
        <w:tc>
          <w:tcPr>
            <w:tcW w:w="4788" w:type="dxa"/>
          </w:tcPr>
          <w:p w14:paraId="7309176E"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Innovation-friendly business environment</w:t>
            </w:r>
          </w:p>
        </w:tc>
      </w:tr>
      <w:tr w:rsidR="009E2D0E" w:rsidRPr="006645DC" w14:paraId="75872AAA" w14:textId="77777777" w:rsidTr="009E2D0E">
        <w:tc>
          <w:tcPr>
            <w:tcW w:w="4788" w:type="dxa"/>
          </w:tcPr>
          <w:p w14:paraId="04F367BB"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Optimising the use and protection of natural resources and assets</w:t>
            </w:r>
          </w:p>
        </w:tc>
        <w:tc>
          <w:tcPr>
            <w:tcW w:w="4788" w:type="dxa"/>
          </w:tcPr>
          <w:p w14:paraId="08DF31D3"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Environment-friendly and resource-efficient economy</w:t>
            </w:r>
          </w:p>
        </w:tc>
      </w:tr>
      <w:tr w:rsidR="009E2D0E" w:rsidRPr="006645DC" w14:paraId="623DDE78" w14:textId="77777777" w:rsidTr="009E2D0E">
        <w:tc>
          <w:tcPr>
            <w:tcW w:w="4788" w:type="dxa"/>
          </w:tcPr>
          <w:p w14:paraId="5D7CB2BE"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Modernisation and reinforcement of the national administration and of the judiciary</w:t>
            </w:r>
          </w:p>
        </w:tc>
        <w:tc>
          <w:tcPr>
            <w:tcW w:w="4788" w:type="dxa"/>
          </w:tcPr>
          <w:p w14:paraId="13E20DF3"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Strengthening capacity of public administration, governance and judiciary</w:t>
            </w:r>
          </w:p>
        </w:tc>
      </w:tr>
      <w:tr w:rsidR="009E2D0E" w:rsidRPr="006645DC" w14:paraId="7D424225" w14:textId="77777777" w:rsidTr="009E2D0E">
        <w:tc>
          <w:tcPr>
            <w:tcW w:w="9576" w:type="dxa"/>
            <w:gridSpan w:val="2"/>
            <w:shd w:val="clear" w:color="auto" w:fill="4F6228" w:themeFill="accent3" w:themeFillShade="80"/>
            <w:vAlign w:val="center"/>
          </w:tcPr>
          <w:p w14:paraId="7A8C8E76" w14:textId="77777777" w:rsidR="009E2D0E" w:rsidRPr="006645DC" w:rsidRDefault="009E2D0E" w:rsidP="009E2D0E">
            <w:pPr>
              <w:jc w:val="center"/>
              <w:rPr>
                <w:rFonts w:asciiTheme="minorHAnsi" w:hAnsiTheme="minorHAnsi" w:cs="Helvetica"/>
                <w:color w:val="FFFFFF" w:themeColor="background1"/>
                <w:lang w:val="en-GB"/>
              </w:rPr>
            </w:pPr>
            <w:r w:rsidRPr="006645DC">
              <w:rPr>
                <w:rFonts w:asciiTheme="minorHAnsi" w:hAnsiTheme="minorHAnsi" w:cs="Helvetica"/>
                <w:b/>
                <w:bCs/>
                <w:color w:val="FFFFFF" w:themeColor="background1"/>
                <w:lang w:val="en-GB"/>
              </w:rPr>
              <w:t>PRIORITIES FOR EUROPEAN TERRITORIAL COOPERATION</w:t>
            </w:r>
          </w:p>
        </w:tc>
      </w:tr>
      <w:tr w:rsidR="009E2D0E" w:rsidRPr="006645DC" w14:paraId="53A74CFD" w14:textId="77777777" w:rsidTr="009E2D0E">
        <w:tc>
          <w:tcPr>
            <w:tcW w:w="4788" w:type="dxa"/>
          </w:tcPr>
          <w:p w14:paraId="71F07A40" w14:textId="77777777" w:rsidR="009E2D0E" w:rsidRPr="006645DC" w:rsidRDefault="009E2D0E" w:rsidP="009E2D0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left"/>
              <w:rPr>
                <w:rFonts w:asciiTheme="minorHAnsi" w:eastAsiaTheme="minorHAnsi" w:hAnsiTheme="minorHAnsi" w:cs="Helvetica"/>
                <w:szCs w:val="24"/>
                <w:lang w:val="en-GB"/>
              </w:rPr>
            </w:pPr>
            <w:r w:rsidRPr="006645DC">
              <w:rPr>
                <w:rFonts w:asciiTheme="minorHAnsi" w:eastAsiaTheme="minorHAnsi" w:hAnsiTheme="minorHAnsi"/>
                <w:szCs w:val="24"/>
                <w:lang w:val="en-GB"/>
              </w:rPr>
              <w:t xml:space="preserve">Research, development and innovation fostering integration in international networks; </w:t>
            </w:r>
          </w:p>
        </w:tc>
        <w:tc>
          <w:tcPr>
            <w:tcW w:w="4788" w:type="dxa"/>
          </w:tcPr>
          <w:p w14:paraId="318EF059"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 xml:space="preserve">Technology transfer.  </w:t>
            </w:r>
          </w:p>
        </w:tc>
      </w:tr>
      <w:tr w:rsidR="009E2D0E" w:rsidRPr="006645DC" w14:paraId="4388488D" w14:textId="77777777" w:rsidTr="009E2D0E">
        <w:tc>
          <w:tcPr>
            <w:tcW w:w="4788" w:type="dxa"/>
          </w:tcPr>
          <w:p w14:paraId="54416AC3" w14:textId="77777777" w:rsidR="009E2D0E" w:rsidRPr="006645DC" w:rsidRDefault="009E2D0E" w:rsidP="009E2D0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left"/>
              <w:rPr>
                <w:rFonts w:asciiTheme="minorHAnsi" w:eastAsiaTheme="minorHAnsi" w:hAnsiTheme="minorHAnsi" w:cs="Helvetica"/>
                <w:szCs w:val="24"/>
                <w:lang w:val="en-GB"/>
              </w:rPr>
            </w:pPr>
            <w:r w:rsidRPr="006645DC">
              <w:rPr>
                <w:rFonts w:asciiTheme="minorHAnsi" w:eastAsiaTheme="minorHAnsi" w:hAnsiTheme="minorHAnsi"/>
                <w:szCs w:val="24"/>
                <w:lang w:val="en-GB"/>
              </w:rPr>
              <w:t>Exchange of experience and networking with regard to the promotion of a low carbon economy in particular for energy efficiency, research and innovation and competitiveness.</w:t>
            </w:r>
          </w:p>
        </w:tc>
        <w:tc>
          <w:tcPr>
            <w:tcW w:w="4788" w:type="dxa"/>
          </w:tcPr>
          <w:p w14:paraId="6CA9A769"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Energy efficiency and low-carbon economy</w:t>
            </w:r>
          </w:p>
        </w:tc>
      </w:tr>
      <w:tr w:rsidR="009E2D0E" w:rsidRPr="006645DC" w14:paraId="476B0500" w14:textId="77777777" w:rsidTr="009E2D0E">
        <w:tc>
          <w:tcPr>
            <w:tcW w:w="4788" w:type="dxa"/>
          </w:tcPr>
          <w:p w14:paraId="5E542828" w14:textId="77777777" w:rsidR="009E2D0E" w:rsidRPr="006645DC" w:rsidRDefault="009E2D0E" w:rsidP="009E2D0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left"/>
              <w:rPr>
                <w:rFonts w:asciiTheme="minorHAnsi" w:eastAsiaTheme="minorHAnsi" w:hAnsiTheme="minorHAnsi" w:cs="Helvetica"/>
                <w:szCs w:val="24"/>
                <w:lang w:val="en-GB"/>
              </w:rPr>
            </w:pPr>
            <w:r w:rsidRPr="006645DC">
              <w:rPr>
                <w:rFonts w:asciiTheme="minorHAnsi" w:eastAsiaTheme="minorHAnsi" w:hAnsiTheme="minorHAnsi"/>
                <w:szCs w:val="24"/>
                <w:lang w:val="en-GB"/>
              </w:rPr>
              <w:t>Cooperation with neighbouring countries for risk prevention and risk management taking into account adaptation to climate change and ecosystems management</w:t>
            </w:r>
          </w:p>
        </w:tc>
        <w:tc>
          <w:tcPr>
            <w:tcW w:w="4788" w:type="dxa"/>
          </w:tcPr>
          <w:p w14:paraId="5D9565B0"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 xml:space="preserve">Water quality and flood prevention.  </w:t>
            </w:r>
          </w:p>
        </w:tc>
      </w:tr>
      <w:tr w:rsidR="009E2D0E" w:rsidRPr="006645DC" w14:paraId="1B09F088" w14:textId="77777777" w:rsidTr="009E2D0E">
        <w:tc>
          <w:tcPr>
            <w:tcW w:w="4788" w:type="dxa"/>
          </w:tcPr>
          <w:p w14:paraId="6FABB8B3" w14:textId="77777777" w:rsidR="009E2D0E" w:rsidRPr="006645DC" w:rsidRDefault="009E2D0E" w:rsidP="009E2D0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left"/>
              <w:rPr>
                <w:rFonts w:asciiTheme="minorHAnsi" w:eastAsiaTheme="minorHAnsi" w:hAnsiTheme="minorHAnsi" w:cs="Helvetica"/>
                <w:szCs w:val="24"/>
                <w:lang w:val="en-GB"/>
              </w:rPr>
            </w:pPr>
            <w:r w:rsidRPr="006645DC">
              <w:rPr>
                <w:rFonts w:asciiTheme="minorHAnsi" w:eastAsiaTheme="minorHAnsi" w:hAnsiTheme="minorHAnsi"/>
                <w:szCs w:val="24"/>
                <w:lang w:val="en-GB"/>
              </w:rPr>
              <w:t>Improving transport connections as part of the TEN-T policy and in line with priorities under the Connecting Europe Facility</w:t>
            </w:r>
          </w:p>
        </w:tc>
        <w:tc>
          <w:tcPr>
            <w:tcW w:w="4788" w:type="dxa"/>
          </w:tcPr>
          <w:p w14:paraId="29D993DB"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 xml:space="preserve">TEN-T connections: improving navigation on the Danube, cross-border connections, etc.  </w:t>
            </w:r>
          </w:p>
        </w:tc>
      </w:tr>
      <w:tr w:rsidR="009E2D0E" w:rsidRPr="006645DC" w14:paraId="5B13ABF1" w14:textId="77777777" w:rsidTr="009E2D0E">
        <w:tc>
          <w:tcPr>
            <w:tcW w:w="4788" w:type="dxa"/>
          </w:tcPr>
          <w:p w14:paraId="675D5F2E" w14:textId="77777777" w:rsidR="009E2D0E" w:rsidRPr="006645DC" w:rsidRDefault="009E2D0E" w:rsidP="009E2D0E">
            <w:pPr>
              <w:rPr>
                <w:rFonts w:asciiTheme="minorHAnsi" w:hAnsiTheme="minorHAnsi" w:cs="Helvetica"/>
                <w:lang w:val="en-GB"/>
              </w:rPr>
            </w:pPr>
            <w:r w:rsidRPr="006645DC">
              <w:rPr>
                <w:rFonts w:asciiTheme="minorHAnsi" w:eastAsiaTheme="minorHAnsi" w:hAnsiTheme="minorHAnsi"/>
                <w:szCs w:val="24"/>
                <w:lang w:val="en-GB"/>
              </w:rPr>
              <w:t>Initiatives in favour of marginalized communities, in particular the Roma</w:t>
            </w:r>
          </w:p>
        </w:tc>
        <w:tc>
          <w:tcPr>
            <w:tcW w:w="4788" w:type="dxa"/>
          </w:tcPr>
          <w:p w14:paraId="04195662"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Exchange of experience promoting social inclusion, notably for the Roma community.</w:t>
            </w:r>
          </w:p>
        </w:tc>
      </w:tr>
    </w:tbl>
    <w:p w14:paraId="1CB81B30" w14:textId="77777777" w:rsidR="009E2D0E" w:rsidRPr="006645DC" w:rsidRDefault="009E2D0E" w:rsidP="009E2D0E">
      <w:pPr>
        <w:rPr>
          <w:rFonts w:asciiTheme="minorHAnsi" w:hAnsiTheme="minorHAnsi" w:cs="Helvetica"/>
          <w:lang w:val="en-GB"/>
        </w:rPr>
      </w:pPr>
      <w:r w:rsidRPr="006645DC">
        <w:rPr>
          <w:rFonts w:asciiTheme="minorHAnsi" w:hAnsiTheme="minorHAnsi" w:cs="Helvetica"/>
          <w:lang w:val="en-GB"/>
        </w:rPr>
        <w:t xml:space="preserve">We can notice that the Commission has underlined for both countries that the EU Strategy for the Danube Region (EUSDR) objectives must be incorporated when defining priority areas for cooperation and that Cooperation on Danube-related investments within the period 2007-13 has been insufficient. In the case of Bulgaria, the priorities for European territorial cooperation, mentioned in the table previously, are directly linked with the EUSDR. Moreover, the ETC regulation, alinea 19, specifies that: “ </w:t>
      </w:r>
      <w:r w:rsidRPr="006645DC">
        <w:rPr>
          <w:rFonts w:asciiTheme="minorHAnsi" w:hAnsiTheme="minorHAnsi" w:cs="Helvetica"/>
          <w:i/>
          <w:lang w:val="en-GB"/>
        </w:rPr>
        <w:t xml:space="preserve">Where Member States and regions participate in macro- regional and sea-basin strategies, the </w:t>
      </w:r>
      <w:r w:rsidRPr="006645DC">
        <w:rPr>
          <w:rFonts w:asciiTheme="minorHAnsi" w:hAnsiTheme="minorHAnsi" w:cs="Helvetica"/>
          <w:i/>
          <w:lang w:val="en-GB"/>
        </w:rPr>
        <w:lastRenderedPageBreak/>
        <w:t>cooperation programmes concerned should set out how interventions could contribute to such strategies.”</w:t>
      </w:r>
    </w:p>
    <w:p w14:paraId="5DF7C3B9" w14:textId="77777777" w:rsidR="009E2D0E" w:rsidRPr="006645DC" w:rsidRDefault="009E2D0E" w:rsidP="0084725E">
      <w:pPr>
        <w:pStyle w:val="Heading2"/>
        <w:rPr>
          <w:lang w:val="en-GB"/>
        </w:rPr>
      </w:pPr>
      <w:bookmarkStart w:id="2386" w:name="_Toc254543884"/>
      <w:bookmarkStart w:id="2387" w:name="_Toc391150233"/>
      <w:r w:rsidRPr="006645DC">
        <w:rPr>
          <w:lang w:val="en-GB"/>
        </w:rPr>
        <w:t>Selection of Thematic Objectives</w:t>
      </w:r>
      <w:bookmarkEnd w:id="2386"/>
      <w:bookmarkEnd w:id="2387"/>
      <w:r w:rsidRPr="006645DC">
        <w:rPr>
          <w:lang w:val="en-GB"/>
        </w:rPr>
        <w:t xml:space="preserve"> </w:t>
      </w:r>
    </w:p>
    <w:p w14:paraId="051C6E65" w14:textId="77777777" w:rsidR="009E2D0E" w:rsidRPr="006645DC" w:rsidRDefault="009E2D0E" w:rsidP="009E2D0E">
      <w:pPr>
        <w:rPr>
          <w:lang w:val="en-GB"/>
        </w:rPr>
      </w:pPr>
      <w:r w:rsidRPr="006645DC">
        <w:rPr>
          <w:rFonts w:asciiTheme="minorHAnsi" w:hAnsiTheme="minorHAnsi" w:cs="Helvetica"/>
          <w:lang w:val="en-GB"/>
        </w:rPr>
        <w:t xml:space="preserve">Following the analysis of the EU and the national framework related to the next programming period and of </w:t>
      </w:r>
      <w:r w:rsidRPr="006645DC">
        <w:rPr>
          <w:lang w:val="en-GB"/>
        </w:rPr>
        <w:t xml:space="preserve">the region’s characteristics and the identified needs and challenges that may be solved via cross-border cooperation, the RO-BG Programme strategy builds on </w:t>
      </w:r>
      <w:r w:rsidR="00F534AF" w:rsidRPr="006645DC">
        <w:rPr>
          <w:lang w:val="en-GB"/>
        </w:rPr>
        <w:t>five</w:t>
      </w:r>
      <w:r w:rsidRPr="006645DC">
        <w:rPr>
          <w:lang w:val="en-GB"/>
        </w:rPr>
        <w:t xml:space="preserve"> TOs that are in line with issues identified as being most suitable to be tackled by cross border cooperation: </w:t>
      </w:r>
    </w:p>
    <w:p w14:paraId="2EC3D888" w14:textId="40817439" w:rsidR="009E2D0E" w:rsidRPr="008860A9" w:rsidRDefault="009E2D0E" w:rsidP="00C951D5">
      <w:pPr>
        <w:pStyle w:val="ListParagraph"/>
        <w:numPr>
          <w:ilvl w:val="0"/>
          <w:numId w:val="98"/>
        </w:numPr>
        <w:rPr>
          <w:rFonts w:eastAsiaTheme="minorEastAsia" w:cs="Helvetica"/>
          <w:b/>
          <w:bCs/>
          <w:lang w:val="en-GB"/>
        </w:rPr>
      </w:pPr>
      <w:r w:rsidRPr="006645DC">
        <w:rPr>
          <w:rFonts w:eastAsiaTheme="minorEastAsia" w:cs="Helvetica"/>
          <w:b/>
          <w:bCs/>
          <w:lang w:val="en-GB"/>
        </w:rPr>
        <w:t xml:space="preserve">Thematic objective 5:  </w:t>
      </w:r>
      <w:r w:rsidR="008860A9" w:rsidRPr="008860A9">
        <w:rPr>
          <w:b/>
          <w:color w:val="000000"/>
          <w:szCs w:val="24"/>
          <w:lang w:eastAsia="fr-FR"/>
        </w:rPr>
        <w:t>Promoting climate change adaptation, risk prevention and management</w:t>
      </w:r>
    </w:p>
    <w:p w14:paraId="2A56A9F5" w14:textId="0DD8A61F" w:rsidR="009E2D0E" w:rsidRPr="008860A9" w:rsidRDefault="009E2D0E" w:rsidP="00C951D5">
      <w:pPr>
        <w:pStyle w:val="ListParagraph"/>
        <w:numPr>
          <w:ilvl w:val="0"/>
          <w:numId w:val="98"/>
        </w:numPr>
        <w:rPr>
          <w:rFonts w:cs="Helvetica"/>
          <w:b/>
          <w:lang w:val="en-GB"/>
        </w:rPr>
      </w:pPr>
      <w:r w:rsidRPr="006645DC">
        <w:rPr>
          <w:rFonts w:eastAsiaTheme="minorEastAsia" w:cs="Helvetica"/>
          <w:b/>
          <w:bCs/>
          <w:lang w:val="en-GB"/>
        </w:rPr>
        <w:t xml:space="preserve">Thematic objective 6:  </w:t>
      </w:r>
      <w:r w:rsidR="008860A9" w:rsidRPr="008860A9">
        <w:rPr>
          <w:b/>
          <w:color w:val="000000"/>
          <w:szCs w:val="24"/>
          <w:lang w:eastAsia="fr-FR"/>
        </w:rPr>
        <w:t>Preserving and protecting the environment and promoting resource efficiency</w:t>
      </w:r>
    </w:p>
    <w:p w14:paraId="59C2D998" w14:textId="77777777" w:rsidR="009E2D0E" w:rsidRPr="006645DC" w:rsidRDefault="009E2D0E" w:rsidP="00C951D5">
      <w:pPr>
        <w:pStyle w:val="ListParagraph"/>
        <w:numPr>
          <w:ilvl w:val="0"/>
          <w:numId w:val="98"/>
        </w:numPr>
        <w:rPr>
          <w:rFonts w:cs="Helvetica"/>
          <w:lang w:val="en-GB"/>
        </w:rPr>
      </w:pPr>
      <w:r w:rsidRPr="006645DC">
        <w:rPr>
          <w:rFonts w:eastAsiaTheme="minorEastAsia" w:cs="Helvetica"/>
          <w:b/>
          <w:bCs/>
          <w:lang w:val="en-GB"/>
        </w:rPr>
        <w:t>Thematic objective 7: Promoting sustainable transport and removing bottlenecks in key network infrastructures</w:t>
      </w:r>
    </w:p>
    <w:p w14:paraId="1768FB9E" w14:textId="77777777" w:rsidR="008860A9" w:rsidRPr="008860A9" w:rsidRDefault="009E2D0E" w:rsidP="009E2D0E">
      <w:pPr>
        <w:pStyle w:val="ListParagraph"/>
        <w:numPr>
          <w:ilvl w:val="0"/>
          <w:numId w:val="98"/>
        </w:numPr>
        <w:rPr>
          <w:b/>
          <w:lang w:val="en-GB"/>
        </w:rPr>
      </w:pPr>
      <w:r w:rsidRPr="008860A9">
        <w:rPr>
          <w:rFonts w:eastAsiaTheme="minorEastAsia" w:cs="Helvetica"/>
          <w:b/>
          <w:bCs/>
          <w:lang w:val="en-GB"/>
        </w:rPr>
        <w:t xml:space="preserve">Thematic objective 8: </w:t>
      </w:r>
      <w:r w:rsidR="008860A9" w:rsidRPr="008860A9">
        <w:rPr>
          <w:b/>
          <w:color w:val="000000"/>
          <w:szCs w:val="24"/>
          <w:lang w:eastAsia="fr-FR"/>
        </w:rPr>
        <w:t>Promoting sustainable and quality employment and supporting labour mobility</w:t>
      </w:r>
      <w:r w:rsidR="008860A9" w:rsidRPr="008860A9">
        <w:rPr>
          <w:rFonts w:eastAsiaTheme="minorEastAsia" w:cs="Helvetica"/>
          <w:b/>
          <w:bCs/>
          <w:lang w:val="en-GB"/>
        </w:rPr>
        <w:t xml:space="preserve"> </w:t>
      </w:r>
    </w:p>
    <w:p w14:paraId="0D376BA4" w14:textId="31899545" w:rsidR="008860A9" w:rsidRPr="008860A9" w:rsidRDefault="003A34A5" w:rsidP="009E2D0E">
      <w:pPr>
        <w:pStyle w:val="ListParagraph"/>
        <w:numPr>
          <w:ilvl w:val="0"/>
          <w:numId w:val="98"/>
        </w:numPr>
        <w:rPr>
          <w:lang w:val="en-GB"/>
        </w:rPr>
      </w:pPr>
      <w:r w:rsidRPr="008860A9">
        <w:rPr>
          <w:rFonts w:eastAsiaTheme="minorEastAsia" w:cs="Helvetica"/>
          <w:b/>
          <w:bCs/>
          <w:lang w:val="en-GB"/>
        </w:rPr>
        <w:t xml:space="preserve">Thematic </w:t>
      </w:r>
      <w:r w:rsidR="009E2D0E" w:rsidRPr="008860A9">
        <w:rPr>
          <w:rFonts w:eastAsiaTheme="minorEastAsia" w:cs="Helvetica"/>
          <w:b/>
          <w:bCs/>
          <w:lang w:val="en-GB"/>
        </w:rPr>
        <w:t xml:space="preserve">objective 11: </w:t>
      </w:r>
      <w:r w:rsidR="008860A9" w:rsidRPr="008860A9">
        <w:rPr>
          <w:b/>
          <w:color w:val="000000"/>
          <w:szCs w:val="24"/>
          <w:lang w:eastAsia="fr-FR"/>
        </w:rPr>
        <w:t>Enhancing institutional capacity of public authorities and stakeholders and efficient public administration through actions to strengthen the institutional capacity and the efficiency of public administrations and public services related to the implementation of the ERDF, and in support of actions under the ESF to strengthen the institutional capacity and the efficiency of public administration</w:t>
      </w:r>
    </w:p>
    <w:p w14:paraId="1D91F0AF" w14:textId="77777777" w:rsidR="008860A9" w:rsidRPr="008860A9" w:rsidRDefault="008860A9" w:rsidP="008860A9">
      <w:pPr>
        <w:ind w:left="720"/>
        <w:rPr>
          <w:lang w:val="en-GB"/>
        </w:rPr>
      </w:pPr>
    </w:p>
    <w:p w14:paraId="4CB2AC60" w14:textId="22291832" w:rsidR="009E2D0E" w:rsidRPr="008860A9" w:rsidRDefault="009E2D0E" w:rsidP="008860A9">
      <w:pPr>
        <w:rPr>
          <w:lang w:val="en-GB"/>
        </w:rPr>
      </w:pPr>
      <w:r w:rsidRPr="008860A9">
        <w:rPr>
          <w:lang w:val="en-GB"/>
        </w:rPr>
        <w:t xml:space="preserve">The selected TOs have been translated into </w:t>
      </w:r>
      <w:r w:rsidR="00F534AF" w:rsidRPr="008860A9">
        <w:rPr>
          <w:lang w:val="en-GB"/>
        </w:rPr>
        <w:t xml:space="preserve">five </w:t>
      </w:r>
      <w:r w:rsidRPr="008860A9">
        <w:rPr>
          <w:lang w:val="en-GB"/>
        </w:rPr>
        <w:t xml:space="preserve">priority axes, which reflect the needs and challenges as identified in the analysis of the situation of the programme area.  For each priority axis of the programme, one or more investment priorities (IPs) have been selected. </w:t>
      </w:r>
    </w:p>
    <w:p w14:paraId="7D8BC200" w14:textId="77777777" w:rsidR="001C4EFD" w:rsidRPr="006645DC" w:rsidRDefault="001C4EFD" w:rsidP="009E2D0E">
      <w:pPr>
        <w:rPr>
          <w:lang w:val="en-GB"/>
        </w:rPr>
        <w:sectPr w:rsidR="001C4EFD" w:rsidRPr="006645DC" w:rsidSect="00187E88">
          <w:pgSz w:w="12240" w:h="15840"/>
          <w:pgMar w:top="1440" w:right="1440" w:bottom="1440" w:left="1440" w:header="720" w:footer="720" w:gutter="0"/>
          <w:cols w:space="720"/>
          <w:docGrid w:linePitch="360"/>
        </w:sectPr>
      </w:pPr>
    </w:p>
    <w:p w14:paraId="759E861D" w14:textId="77777777" w:rsidR="001C4EFD" w:rsidRPr="006645DC" w:rsidRDefault="009D0071" w:rsidP="00C264C4">
      <w:pPr>
        <w:spacing w:before="0" w:after="0"/>
        <w:rPr>
          <w:lang w:val="en-GB"/>
        </w:rPr>
        <w:sectPr w:rsidR="001C4EFD" w:rsidRPr="006645DC" w:rsidSect="001C4EFD">
          <w:pgSz w:w="15840" w:h="12240" w:orient="landscape"/>
          <w:pgMar w:top="1440" w:right="1440" w:bottom="1440" w:left="1440" w:header="720" w:footer="720" w:gutter="0"/>
          <w:cols w:space="720"/>
          <w:docGrid w:linePitch="360"/>
        </w:sectPr>
      </w:pPr>
      <w:r w:rsidRPr="006645DC">
        <w:rPr>
          <w:noProof/>
          <w:lang w:val="bg-BG" w:eastAsia="bg-BG"/>
        </w:rPr>
        <w:lastRenderedPageBreak/>
        <w:drawing>
          <wp:anchor distT="0" distB="0" distL="114300" distR="114300" simplePos="0" relativeHeight="251722752" behindDoc="0" locked="0" layoutInCell="1" allowOverlap="1" wp14:anchorId="1086968C" wp14:editId="442C35E5">
            <wp:simplePos x="914400" y="1724025"/>
            <wp:positionH relativeFrom="margin">
              <wp:align>center</wp:align>
            </wp:positionH>
            <wp:positionV relativeFrom="margin">
              <wp:align>center</wp:align>
            </wp:positionV>
            <wp:extent cx="8846820" cy="5248275"/>
            <wp:effectExtent l="57150" t="0" r="49530" b="9525"/>
            <wp:wrapSquare wrapText="bothSides"/>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3" r:lo="rId164" r:qs="rId165" r:cs="rId166"/>
              </a:graphicData>
            </a:graphic>
            <wp14:sizeRelV relativeFrom="margin">
              <wp14:pctHeight>0</wp14:pctHeight>
            </wp14:sizeRelV>
          </wp:anchor>
        </w:drawing>
      </w:r>
    </w:p>
    <w:p w14:paraId="5D8BFA26" w14:textId="77777777" w:rsidR="009E2D0E" w:rsidRPr="006645DC" w:rsidRDefault="009E2D0E" w:rsidP="009E2D0E">
      <w:pPr>
        <w:rPr>
          <w:lang w:val="en-GB"/>
        </w:rPr>
      </w:pPr>
      <w:r w:rsidRPr="006645DC">
        <w:rPr>
          <w:lang w:val="en-GB"/>
        </w:rPr>
        <w:lastRenderedPageBreak/>
        <w:t>The RO-BG programme aims to contribute to the Europe 2020 strategy of “s</w:t>
      </w:r>
      <w:r w:rsidR="00781A74" w:rsidRPr="006645DC">
        <w:rPr>
          <w:lang w:val="en-GB"/>
        </w:rPr>
        <w:t>mart” (especially priority 1 &amp; 4</w:t>
      </w:r>
      <w:r w:rsidRPr="006645DC">
        <w:rPr>
          <w:lang w:val="en-GB"/>
        </w:rPr>
        <w:t>), “sustainable” (priority 2, 3</w:t>
      </w:r>
      <w:r w:rsidR="00781A74" w:rsidRPr="006645DC">
        <w:rPr>
          <w:lang w:val="en-GB"/>
        </w:rPr>
        <w:t>, 4 &amp; 5</w:t>
      </w:r>
      <w:r w:rsidRPr="006645DC">
        <w:rPr>
          <w:lang w:val="en-GB"/>
        </w:rPr>
        <w:t>) and “inclusive” (priority 1</w:t>
      </w:r>
      <w:r w:rsidR="00781A74" w:rsidRPr="006645DC">
        <w:rPr>
          <w:lang w:val="en-GB"/>
        </w:rPr>
        <w:t xml:space="preserve"> &amp; 3</w:t>
      </w:r>
      <w:r w:rsidRPr="006645DC">
        <w:rPr>
          <w:lang w:val="en-GB"/>
        </w:rPr>
        <w:t xml:space="preserve">) growth.  </w:t>
      </w:r>
    </w:p>
    <w:p w14:paraId="5E086822" w14:textId="77777777" w:rsidR="009E2D0E" w:rsidRPr="006645DC" w:rsidRDefault="009E2D0E" w:rsidP="009E2D0E">
      <w:pPr>
        <w:rPr>
          <w:lang w:val="en-GB"/>
        </w:rPr>
      </w:pPr>
      <w:r w:rsidRPr="006645DC">
        <w:rPr>
          <w:lang w:val="en-GB"/>
        </w:rPr>
        <w:t xml:space="preserve">In addition, the programme strives to support and contribute to the delivery of the EU Strategy for the Danube Region by contributing to its four pillars and its Priorities Areas:  </w:t>
      </w:r>
    </w:p>
    <w:p w14:paraId="038FC283" w14:textId="7320AD95" w:rsidR="009E2D0E" w:rsidRPr="006645DC" w:rsidRDefault="009E2D0E" w:rsidP="00C951D5">
      <w:pPr>
        <w:pStyle w:val="ListParagraph"/>
        <w:numPr>
          <w:ilvl w:val="0"/>
          <w:numId w:val="99"/>
        </w:numPr>
        <w:rPr>
          <w:b/>
          <w:u w:val="single"/>
          <w:lang w:val="en-GB"/>
        </w:rPr>
      </w:pPr>
      <w:r w:rsidRPr="006645DC">
        <w:rPr>
          <w:b/>
          <w:u w:val="single"/>
          <w:lang w:val="en-GB"/>
        </w:rPr>
        <w:t xml:space="preserve">Connecting the region </w:t>
      </w:r>
      <w:r w:rsidR="001B3299">
        <w:rPr>
          <w:lang w:val="en-GB"/>
        </w:rPr>
        <w:t>through Priority Axis 1</w:t>
      </w:r>
      <w:r w:rsidRPr="006645DC">
        <w:rPr>
          <w:lang w:val="en-GB"/>
        </w:rPr>
        <w:t xml:space="preserve"> </w:t>
      </w:r>
      <w:r w:rsidR="001B3299">
        <w:rPr>
          <w:lang w:val="en-GB"/>
        </w:rPr>
        <w:t>&amp; 2</w:t>
      </w:r>
    </w:p>
    <w:p w14:paraId="3D25CD1E" w14:textId="77777777" w:rsidR="009E2D0E" w:rsidRPr="006645DC" w:rsidRDefault="009E2D0E" w:rsidP="00C951D5">
      <w:pPr>
        <w:pStyle w:val="ListParagraph"/>
        <w:numPr>
          <w:ilvl w:val="2"/>
          <w:numId w:val="99"/>
        </w:numPr>
        <w:rPr>
          <w:b/>
          <w:lang w:val="en-GB"/>
        </w:rPr>
      </w:pPr>
      <w:r w:rsidRPr="006645DC">
        <w:rPr>
          <w:b/>
          <w:lang w:val="en-GB"/>
        </w:rPr>
        <w:t xml:space="preserve">Priority Area (1) To improve mobility and multimodality (covering road, rail and air links as well as inland waterways); </w:t>
      </w:r>
    </w:p>
    <w:p w14:paraId="6E3AD435" w14:textId="77777777" w:rsidR="009E2D0E" w:rsidRPr="006645DC" w:rsidRDefault="009E2D0E" w:rsidP="00C951D5">
      <w:pPr>
        <w:pStyle w:val="ListParagraph"/>
        <w:numPr>
          <w:ilvl w:val="2"/>
          <w:numId w:val="99"/>
        </w:numPr>
        <w:rPr>
          <w:b/>
          <w:lang w:val="en-GB"/>
        </w:rPr>
      </w:pPr>
      <w:r w:rsidRPr="006645DC">
        <w:rPr>
          <w:b/>
          <w:lang w:val="en-GB"/>
        </w:rPr>
        <w:t xml:space="preserve">Priority Area (3) To promote culture and tourism, people to people contacts. </w:t>
      </w:r>
    </w:p>
    <w:p w14:paraId="61EBED10" w14:textId="0ABEAD29" w:rsidR="009E2D0E" w:rsidRPr="006645DC" w:rsidRDefault="009E2D0E" w:rsidP="00C951D5">
      <w:pPr>
        <w:pStyle w:val="ListParagraph"/>
        <w:numPr>
          <w:ilvl w:val="0"/>
          <w:numId w:val="99"/>
        </w:numPr>
        <w:rPr>
          <w:b/>
          <w:u w:val="single"/>
          <w:lang w:val="en-GB"/>
        </w:rPr>
      </w:pPr>
      <w:r w:rsidRPr="006645DC">
        <w:rPr>
          <w:b/>
          <w:u w:val="single"/>
          <w:lang w:val="en-GB"/>
        </w:rPr>
        <w:t xml:space="preserve">Protecting the environment </w:t>
      </w:r>
      <w:r w:rsidR="001B3299">
        <w:rPr>
          <w:lang w:val="en-GB"/>
        </w:rPr>
        <w:t>through Priority Axis 2 &amp; 3</w:t>
      </w:r>
    </w:p>
    <w:p w14:paraId="32F269BC" w14:textId="3236C85D" w:rsidR="009E2D0E" w:rsidRPr="006645DC" w:rsidRDefault="001B3299" w:rsidP="00C951D5">
      <w:pPr>
        <w:pStyle w:val="ListParagraph"/>
        <w:numPr>
          <w:ilvl w:val="2"/>
          <w:numId w:val="99"/>
        </w:numPr>
        <w:rPr>
          <w:b/>
          <w:lang w:val="en-GB"/>
        </w:rPr>
      </w:pPr>
      <w:r>
        <w:rPr>
          <w:b/>
          <w:lang w:val="en-GB"/>
        </w:rPr>
        <w:t>Priority Area (4</w:t>
      </w:r>
      <w:r w:rsidR="009E2D0E" w:rsidRPr="006645DC">
        <w:rPr>
          <w:b/>
          <w:lang w:val="en-GB"/>
        </w:rPr>
        <w:t xml:space="preserve">) To restore and maintain the quality of waters; </w:t>
      </w:r>
    </w:p>
    <w:p w14:paraId="18CF32DB" w14:textId="638D5EE5" w:rsidR="009E2D0E" w:rsidRPr="006645DC" w:rsidRDefault="001B3299" w:rsidP="00C951D5">
      <w:pPr>
        <w:pStyle w:val="ListParagraph"/>
        <w:numPr>
          <w:ilvl w:val="2"/>
          <w:numId w:val="99"/>
        </w:numPr>
        <w:rPr>
          <w:b/>
          <w:lang w:val="en-GB"/>
        </w:rPr>
      </w:pPr>
      <w:r>
        <w:rPr>
          <w:b/>
          <w:lang w:val="en-GB"/>
        </w:rPr>
        <w:t>Priority Area (5</w:t>
      </w:r>
      <w:r w:rsidR="009E2D0E" w:rsidRPr="006645DC">
        <w:rPr>
          <w:b/>
          <w:lang w:val="en-GB"/>
        </w:rPr>
        <w:t xml:space="preserve">) To manage environmental risks </w:t>
      </w:r>
    </w:p>
    <w:p w14:paraId="5FDEC211" w14:textId="1BCA3073" w:rsidR="009E2D0E" w:rsidRPr="006645DC" w:rsidRDefault="001B3299" w:rsidP="00C951D5">
      <w:pPr>
        <w:pStyle w:val="ListParagraph"/>
        <w:numPr>
          <w:ilvl w:val="2"/>
          <w:numId w:val="99"/>
        </w:numPr>
        <w:rPr>
          <w:b/>
          <w:lang w:val="en-GB"/>
        </w:rPr>
      </w:pPr>
      <w:r>
        <w:rPr>
          <w:b/>
          <w:lang w:val="en-GB"/>
        </w:rPr>
        <w:t>Priority Area (6</w:t>
      </w:r>
      <w:r w:rsidR="009E2D0E" w:rsidRPr="006645DC">
        <w:rPr>
          <w:b/>
          <w:lang w:val="en-GB"/>
        </w:rPr>
        <w:t xml:space="preserve">) To preserve biodiversity, landscapes and the quality of air and soil.  </w:t>
      </w:r>
    </w:p>
    <w:p w14:paraId="7FC7DD17" w14:textId="77777777" w:rsidR="009E2D0E" w:rsidRPr="006645DC" w:rsidRDefault="009E2D0E" w:rsidP="00C951D5">
      <w:pPr>
        <w:pStyle w:val="ListParagraph"/>
        <w:numPr>
          <w:ilvl w:val="0"/>
          <w:numId w:val="99"/>
        </w:numPr>
        <w:rPr>
          <w:b/>
          <w:u w:val="single"/>
          <w:lang w:val="en-GB"/>
        </w:rPr>
      </w:pPr>
      <w:r w:rsidRPr="006645DC">
        <w:rPr>
          <w:b/>
          <w:u w:val="single"/>
          <w:lang w:val="en-GB"/>
        </w:rPr>
        <w:t xml:space="preserve">Building prosperity </w:t>
      </w:r>
      <w:r w:rsidRPr="006645DC">
        <w:rPr>
          <w:lang w:val="en-GB"/>
        </w:rPr>
        <w:t>through Priority Axis 1</w:t>
      </w:r>
      <w:r w:rsidRPr="006645DC">
        <w:rPr>
          <w:b/>
          <w:u w:val="single"/>
          <w:lang w:val="en-GB"/>
        </w:rPr>
        <w:t xml:space="preserve"> </w:t>
      </w:r>
    </w:p>
    <w:p w14:paraId="3179B02B" w14:textId="455C6798" w:rsidR="009E2D0E" w:rsidRPr="006645DC" w:rsidRDefault="001B3299" w:rsidP="00C951D5">
      <w:pPr>
        <w:pStyle w:val="ListParagraph"/>
        <w:numPr>
          <w:ilvl w:val="2"/>
          <w:numId w:val="99"/>
        </w:numPr>
        <w:rPr>
          <w:b/>
          <w:lang w:val="en-GB"/>
        </w:rPr>
      </w:pPr>
      <w:r>
        <w:rPr>
          <w:b/>
          <w:lang w:val="en-GB"/>
        </w:rPr>
        <w:t>Priority Area (8</w:t>
      </w:r>
      <w:r w:rsidR="009E2D0E" w:rsidRPr="006645DC">
        <w:rPr>
          <w:b/>
          <w:lang w:val="en-GB"/>
        </w:rPr>
        <w:t xml:space="preserve">) To support the competitiveness of enterprises; </w:t>
      </w:r>
    </w:p>
    <w:p w14:paraId="2468425B" w14:textId="734A04F8" w:rsidR="009E2D0E" w:rsidRPr="006645DC" w:rsidRDefault="001B3299" w:rsidP="00C951D5">
      <w:pPr>
        <w:pStyle w:val="ListParagraph"/>
        <w:numPr>
          <w:ilvl w:val="2"/>
          <w:numId w:val="99"/>
        </w:numPr>
        <w:rPr>
          <w:b/>
          <w:lang w:val="en-GB"/>
        </w:rPr>
      </w:pPr>
      <w:r>
        <w:rPr>
          <w:b/>
          <w:lang w:val="en-GB"/>
        </w:rPr>
        <w:t>Priority Area (9</w:t>
      </w:r>
      <w:r w:rsidR="009E2D0E" w:rsidRPr="006645DC">
        <w:rPr>
          <w:b/>
          <w:lang w:val="en-GB"/>
        </w:rPr>
        <w:t xml:space="preserve">) To invest in people and skills (education and training, labour market and marginalised communities). </w:t>
      </w:r>
    </w:p>
    <w:p w14:paraId="4EC663A4" w14:textId="77777777" w:rsidR="009E2D0E" w:rsidRPr="006645DC" w:rsidRDefault="009E2D0E" w:rsidP="00C951D5">
      <w:pPr>
        <w:pStyle w:val="ListParagraph"/>
        <w:numPr>
          <w:ilvl w:val="0"/>
          <w:numId w:val="99"/>
        </w:numPr>
        <w:rPr>
          <w:b/>
          <w:u w:val="single"/>
          <w:lang w:val="en-GB"/>
        </w:rPr>
      </w:pPr>
      <w:r w:rsidRPr="006645DC">
        <w:rPr>
          <w:b/>
          <w:u w:val="single"/>
          <w:lang w:val="en-GB"/>
        </w:rPr>
        <w:t xml:space="preserve">Strengthening the region </w:t>
      </w:r>
      <w:r w:rsidR="00DD6B01" w:rsidRPr="006645DC">
        <w:rPr>
          <w:lang w:val="en-GB"/>
        </w:rPr>
        <w:t>through Priority Axis 5</w:t>
      </w:r>
      <w:r w:rsidRPr="006645DC">
        <w:rPr>
          <w:lang w:val="en-GB"/>
        </w:rPr>
        <w:t xml:space="preserve"> </w:t>
      </w:r>
      <w:r w:rsidRPr="006645DC">
        <w:rPr>
          <w:b/>
          <w:u w:val="single"/>
          <w:lang w:val="en-GB"/>
        </w:rPr>
        <w:t xml:space="preserve"> </w:t>
      </w:r>
    </w:p>
    <w:p w14:paraId="3137A626" w14:textId="77777777" w:rsidR="001B3299" w:rsidRPr="001B3299" w:rsidRDefault="009E2D0E" w:rsidP="001B3299">
      <w:pPr>
        <w:pStyle w:val="ListParagraph"/>
        <w:numPr>
          <w:ilvl w:val="2"/>
          <w:numId w:val="99"/>
        </w:numPr>
        <w:rPr>
          <w:b/>
          <w:lang w:val="en-GB"/>
        </w:rPr>
      </w:pPr>
      <w:r w:rsidRPr="006645DC">
        <w:rPr>
          <w:b/>
          <w:lang w:val="en-GB"/>
        </w:rPr>
        <w:t xml:space="preserve">Priority Area </w:t>
      </w:r>
      <w:r w:rsidRPr="006645DC">
        <w:rPr>
          <w:rFonts w:eastAsiaTheme="minorHAnsi"/>
          <w:b/>
          <w:lang w:val="en-GB"/>
        </w:rPr>
        <w:t>(1</w:t>
      </w:r>
      <w:r w:rsidR="001B3299">
        <w:rPr>
          <w:rFonts w:eastAsiaTheme="minorHAnsi"/>
          <w:b/>
          <w:lang w:val="en-GB"/>
        </w:rPr>
        <w:t>0</w:t>
      </w:r>
      <w:r w:rsidRPr="006645DC">
        <w:rPr>
          <w:rFonts w:eastAsiaTheme="minorHAnsi"/>
          <w:b/>
          <w:lang w:val="en-GB"/>
        </w:rPr>
        <w:t>) Institution Building and Cooperation</w:t>
      </w:r>
    </w:p>
    <w:p w14:paraId="1F69A23F" w14:textId="3EEDBAA0" w:rsidR="001B3299" w:rsidRPr="001B3299" w:rsidRDefault="001B3299" w:rsidP="001B3299">
      <w:pPr>
        <w:pStyle w:val="ListParagraph"/>
        <w:numPr>
          <w:ilvl w:val="2"/>
          <w:numId w:val="99"/>
        </w:numPr>
        <w:rPr>
          <w:b/>
          <w:lang w:val="en-GB"/>
        </w:rPr>
      </w:pPr>
      <w:r w:rsidRPr="001B3299">
        <w:rPr>
          <w:b/>
          <w:lang w:val="en-GB"/>
        </w:rPr>
        <w:t xml:space="preserve">Priority Area </w:t>
      </w:r>
      <w:r w:rsidRPr="001B3299">
        <w:rPr>
          <w:rFonts w:eastAsiaTheme="minorHAnsi"/>
          <w:b/>
          <w:lang w:val="en-GB"/>
        </w:rPr>
        <w:t xml:space="preserve">(11) </w:t>
      </w:r>
      <w:r w:rsidRPr="001B3299">
        <w:rPr>
          <w:b/>
        </w:rPr>
        <w:t>To work together to tackle security and organised crime</w:t>
      </w:r>
      <w:r w:rsidRPr="00751ABE">
        <w:t xml:space="preserve"> </w:t>
      </w:r>
    </w:p>
    <w:p w14:paraId="64E6B9FB" w14:textId="77777777" w:rsidR="009E2D0E" w:rsidRPr="006645DC" w:rsidRDefault="009E2D0E" w:rsidP="009E2D0E">
      <w:pPr>
        <w:rPr>
          <w:lang w:val="en-GB"/>
        </w:rPr>
      </w:pPr>
      <w:r w:rsidRPr="006645DC">
        <w:rPr>
          <w:lang w:val="en-GB"/>
        </w:rPr>
        <w:t>The chosen thematic objectives are well in line with the recommendations presented by the European Commission Position papers on the foreseen priorities for funding for each Member State at a National and a European Territorial Cooperation level.</w:t>
      </w:r>
    </w:p>
    <w:p w14:paraId="0279B4A5" w14:textId="77777777" w:rsidR="009E2D0E" w:rsidRPr="006645DC" w:rsidRDefault="009E2D0E" w:rsidP="009E2D0E">
      <w:pPr>
        <w:rPr>
          <w:lang w:val="en-GB"/>
        </w:rPr>
      </w:pPr>
      <w:r w:rsidRPr="006645DC">
        <w:rPr>
          <w:lang w:val="en-GB"/>
        </w:rPr>
        <w:t xml:space="preserve">Moreover strong connections have been made between the RO-BG Cross Border programme 2014-2020 priorities and the EUSDR ones. Indeed, Bulgaria and Romania are EU member-states which have a common border – Danube river, which should be considered as a common project for economic and social cohesion of the region, increasing of the competitiveness and setting up of growth and jobs, therefore the RO-BG Cross Border programme 2014-2020 should contribute to the implementation of the EUSDR and work out concrete actions for its realization. Nevertheless, the activities of the Programme will support mainly </w:t>
      </w:r>
      <w:r w:rsidRPr="006645DC">
        <w:rPr>
          <w:i/>
          <w:iCs/>
          <w:lang w:val="en-GB"/>
        </w:rPr>
        <w:t xml:space="preserve">“soft”, “pilot” </w:t>
      </w:r>
      <w:r w:rsidRPr="006645DC">
        <w:rPr>
          <w:lang w:val="en-GB"/>
        </w:rPr>
        <w:t xml:space="preserve">or </w:t>
      </w:r>
      <w:r w:rsidRPr="006645DC">
        <w:rPr>
          <w:i/>
          <w:iCs/>
          <w:lang w:val="en-GB"/>
        </w:rPr>
        <w:t xml:space="preserve">“missing link” </w:t>
      </w:r>
      <w:r w:rsidRPr="006645DC">
        <w:rPr>
          <w:lang w:val="en-GB"/>
        </w:rPr>
        <w:t>initiatives/activities as the limited Programme resources do not allow for implementation of major investments such as the ones described in the EUSDR. These strong connections between the RO-BG Cross Border programme 2014-2020 priorities and the EUSDR ones are justified by the commitment of both countries to collaborate for the implementation of the EUSDR and the EU recommendations for the implementation of macro-regional strategies</w:t>
      </w:r>
      <w:r w:rsidRPr="006645DC">
        <w:rPr>
          <w:rStyle w:val="FootnoteReference"/>
          <w:lang w:val="en-GB"/>
        </w:rPr>
        <w:footnoteReference w:id="64"/>
      </w:r>
      <w:r w:rsidRPr="006645DC">
        <w:rPr>
          <w:lang w:val="en-GB"/>
        </w:rPr>
        <w:t xml:space="preserve">: </w:t>
      </w:r>
    </w:p>
    <w:p w14:paraId="1213C4FB" w14:textId="3F432D6A" w:rsidR="009E2D0E" w:rsidRPr="006645DC" w:rsidRDefault="00982AD8" w:rsidP="009E2D0E">
      <w:pPr>
        <w:rPr>
          <w:lang w:val="en-GB"/>
        </w:rPr>
      </w:pPr>
      <w:r w:rsidRPr="006645DC">
        <w:rPr>
          <w:noProof/>
          <w:lang w:val="bg-BG" w:eastAsia="bg-BG"/>
        </w:rPr>
        <w:lastRenderedPageBreak/>
        <mc:AlternateContent>
          <mc:Choice Requires="wps">
            <w:drawing>
              <wp:anchor distT="0" distB="0" distL="114300" distR="114300" simplePos="0" relativeHeight="251721728" behindDoc="0" locked="0" layoutInCell="1" allowOverlap="1" wp14:anchorId="3A5F4534" wp14:editId="3D5349CE">
                <wp:simplePos x="0" y="0"/>
                <wp:positionH relativeFrom="column">
                  <wp:posOffset>342900</wp:posOffset>
                </wp:positionH>
                <wp:positionV relativeFrom="paragraph">
                  <wp:posOffset>1439545</wp:posOffset>
                </wp:positionV>
                <wp:extent cx="575945" cy="935990"/>
                <wp:effectExtent l="76200" t="62865" r="81280" b="77470"/>
                <wp:wrapNone/>
                <wp:docPr id="3"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5945" cy="935990"/>
                        </a:xfrm>
                        <a:prstGeom prst="straightConnector1">
                          <a:avLst/>
                        </a:prstGeom>
                        <a:noFill/>
                        <a:ln w="25400">
                          <a:solidFill>
                            <a:schemeClr val="accent6">
                              <a:lumMod val="100000"/>
                              <a:lumOff val="0"/>
                            </a:schemeClr>
                          </a:solidFill>
                          <a:round/>
                          <a:headEnd type="arrow" w="med" len="med"/>
                          <a:tailEnd type="arrow" w="med" len="med"/>
                        </a:ln>
                        <a:effectLst>
                          <a:outerShdw dist="20000" dir="5400000" rotWithShape="0">
                            <a:srgbClr val="808080">
                              <a:alpha val="37999"/>
                            </a:srgbClr>
                          </a:outerShdw>
                        </a:effectLst>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6" o:spid="_x0000_s1026" type="#_x0000_t32" style="position:absolute;margin-left:27pt;margin-top:113.35pt;width:45.35pt;height:73.7pt;flip:x;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" strokecolor="#f79646 [3209]" strokeweight="2pt">
                <v:stroke startarrow="open" endarrow="open"/>
                <v:shadow on="t" opacity="24903f" origin=",.5" offset="0,.55556mm"/>
              </v:shape>
            </w:pict>
          </mc:Fallback>
        </mc:AlternateContent>
      </w:r>
      <w:r w:rsidR="009E2D0E" w:rsidRPr="006645DC">
        <w:rPr>
          <w:noProof/>
          <w:lang w:val="bg-BG" w:eastAsia="bg-BG"/>
        </w:rPr>
        <w:drawing>
          <wp:inline distT="0" distB="0" distL="0" distR="0" wp14:anchorId="73EEA970" wp14:editId="25E72DD1">
            <wp:extent cx="5486400" cy="2344420"/>
            <wp:effectExtent l="0" t="38100" r="0" b="93980"/>
            <wp:docPr id="90"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8" r:lo="rId169" r:qs="rId170" r:cs="rId171"/>
              </a:graphicData>
            </a:graphic>
          </wp:inline>
        </w:drawing>
      </w:r>
    </w:p>
    <w:p w14:paraId="1B789D04" w14:textId="698CF0C7" w:rsidR="009E2D0E" w:rsidRPr="006645DC" w:rsidRDefault="00F14D1E" w:rsidP="009E2D0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360"/>
        <w:rPr>
          <w:rFonts w:asciiTheme="minorHAnsi" w:hAnsiTheme="minorHAnsi" w:cs="Tahoma"/>
          <w:bCs/>
          <w:i/>
          <w:iCs/>
          <w:lang w:val="en-GB"/>
        </w:rPr>
      </w:pPr>
      <w:r w:rsidRPr="006645DC">
        <w:rPr>
          <w:rFonts w:asciiTheme="minorHAnsi" w:hAnsiTheme="minorHAnsi" w:cs="Tahoma"/>
          <w:bCs/>
          <w:i/>
          <w:iCs/>
          <w:lang w:val="en-GB"/>
        </w:rPr>
        <w:t>“The</w:t>
      </w:r>
      <w:r w:rsidR="009E2D0E" w:rsidRPr="006645DC">
        <w:rPr>
          <w:rFonts w:asciiTheme="minorHAnsi" w:hAnsiTheme="minorHAnsi" w:cs="Tahoma"/>
          <w:bCs/>
          <w:i/>
          <w:iCs/>
          <w:lang w:val="en-GB"/>
        </w:rPr>
        <w:t xml:space="preserve"> concept of Alignment of Funding is a new way of thinking within the European Union macro-regional strategies. It calls for further cooperation and effective coordination between all programmes and funding instruments regardless their European Union wide or national, regional or local nature. The models for this cooperation are being jointly developed with the programmes and other financing instruments.”</w:t>
      </w:r>
    </w:p>
    <w:p w14:paraId="7D2C6609" w14:textId="77777777" w:rsidR="001D6587" w:rsidRPr="006645DC" w:rsidRDefault="001D6587" w:rsidP="001D6587">
      <w:pPr>
        <w:rPr>
          <w:lang w:val="en-GB"/>
        </w:rPr>
      </w:pPr>
      <w:r w:rsidRPr="006645DC">
        <w:rPr>
          <w:lang w:val="en-GB"/>
        </w:rPr>
        <w:t xml:space="preserve">The implementation of the Programme will also take into account the following overarching principles that all projects will have to respect: </w:t>
      </w:r>
    </w:p>
    <w:p w14:paraId="2B536154" w14:textId="77777777" w:rsidR="001D6587" w:rsidRPr="006645DC" w:rsidRDefault="001D6587" w:rsidP="001D6587">
      <w:pPr>
        <w:pStyle w:val="ListParagraph"/>
        <w:rPr>
          <w:lang w:val="en-GB"/>
        </w:rPr>
      </w:pPr>
      <w:r w:rsidRPr="006645DC">
        <w:rPr>
          <w:lang w:val="en-GB"/>
        </w:rPr>
        <w:t xml:space="preserve">Coordination and complementarity with other national, regional and EU programmes and initiatives; </w:t>
      </w:r>
    </w:p>
    <w:p w14:paraId="38C9A94F" w14:textId="77777777" w:rsidR="001D6587" w:rsidRPr="006645DC" w:rsidRDefault="001D6587" w:rsidP="001D6587">
      <w:pPr>
        <w:pStyle w:val="ListParagraph"/>
        <w:rPr>
          <w:lang w:val="en-GB"/>
        </w:rPr>
      </w:pPr>
      <w:r w:rsidRPr="006645DC">
        <w:rPr>
          <w:lang w:val="en-GB"/>
        </w:rPr>
        <w:t xml:space="preserve">Partnership and multi-level governance; </w:t>
      </w:r>
    </w:p>
    <w:p w14:paraId="2B7114B7" w14:textId="77777777" w:rsidR="001D6587" w:rsidRPr="006645DC" w:rsidRDefault="001D6587" w:rsidP="001D6587">
      <w:pPr>
        <w:pStyle w:val="ListParagraph"/>
        <w:rPr>
          <w:lang w:val="en-GB"/>
        </w:rPr>
      </w:pPr>
      <w:r w:rsidRPr="006645DC">
        <w:rPr>
          <w:lang w:val="en-GB"/>
        </w:rPr>
        <w:t xml:space="preserve">Sustainable development; </w:t>
      </w:r>
    </w:p>
    <w:p w14:paraId="2C34823B" w14:textId="77777777" w:rsidR="001D6587" w:rsidRPr="006645DC" w:rsidRDefault="001D6587" w:rsidP="001D6587">
      <w:pPr>
        <w:pStyle w:val="ListParagraph"/>
        <w:rPr>
          <w:lang w:val="en-GB"/>
        </w:rPr>
      </w:pPr>
      <w:r w:rsidRPr="006645DC">
        <w:rPr>
          <w:lang w:val="en-GB"/>
        </w:rPr>
        <w:t xml:space="preserve">Equal opportunities and non-discrimination; </w:t>
      </w:r>
    </w:p>
    <w:p w14:paraId="7574CB6D" w14:textId="77777777" w:rsidR="001D6587" w:rsidRPr="006645DC" w:rsidRDefault="001D6587" w:rsidP="001D6587">
      <w:pPr>
        <w:pStyle w:val="ListParagraph"/>
        <w:rPr>
          <w:lang w:val="en-GB"/>
        </w:rPr>
      </w:pPr>
      <w:r w:rsidRPr="006645DC">
        <w:rPr>
          <w:lang w:val="en-GB"/>
        </w:rPr>
        <w:t>Equality between men and women.</w:t>
      </w:r>
    </w:p>
    <w:p w14:paraId="34A82961" w14:textId="77777777" w:rsidR="000A6DE0" w:rsidRPr="006645DC" w:rsidRDefault="000A6DE0" w:rsidP="009669C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inorHAnsi" w:hAnsiTheme="minorHAnsi" w:cs="Tahoma"/>
          <w:bCs/>
          <w:iCs/>
          <w:lang w:val="en-GB"/>
        </w:rPr>
        <w:sectPr w:rsidR="000A6DE0" w:rsidRPr="006645DC" w:rsidSect="003E54B1">
          <w:pgSz w:w="12240" w:h="15840"/>
          <w:pgMar w:top="1440" w:right="1440" w:bottom="1440" w:left="1440" w:header="0" w:footer="0" w:gutter="0"/>
          <w:cols w:space="720"/>
          <w:docGrid w:linePitch="360"/>
        </w:sectPr>
      </w:pPr>
    </w:p>
    <w:p w14:paraId="4AC80878" w14:textId="77777777" w:rsidR="008C2529" w:rsidRPr="006645DC" w:rsidRDefault="008C2529" w:rsidP="008C2529">
      <w:pPr>
        <w:rPr>
          <w:lang w:val="en-GB"/>
        </w:rPr>
      </w:pPr>
    </w:p>
    <w:p w14:paraId="76F9B710" w14:textId="77777777" w:rsidR="00E86214" w:rsidRPr="006645DC" w:rsidRDefault="00E86214" w:rsidP="00931E1B">
      <w:pPr>
        <w:rPr>
          <w:lang w:val="en-GB"/>
        </w:rPr>
      </w:pPr>
    </w:p>
    <w:p w14:paraId="04351366" w14:textId="77777777" w:rsidR="00AC53A9" w:rsidRPr="006645DC" w:rsidRDefault="00AC53A9" w:rsidP="00342012">
      <w:pPr>
        <w:pStyle w:val="Heading5"/>
        <w:numPr>
          <w:ilvl w:val="0"/>
          <w:numId w:val="0"/>
        </w:numPr>
        <w:ind w:left="1208"/>
        <w:rPr>
          <w:lang w:val="en-GB"/>
        </w:rPr>
      </w:pPr>
      <w:r w:rsidRPr="006645DC">
        <w:rPr>
          <w:lang w:val="en-GB"/>
        </w:rPr>
        <w:t>Tables</w:t>
      </w:r>
    </w:p>
    <w:p w14:paraId="2111F36E" w14:textId="77777777" w:rsidR="0084725E" w:rsidRDefault="005979EB">
      <w:pPr>
        <w:pStyle w:val="TableofFigures"/>
        <w:tabs>
          <w:tab w:val="right" w:leader="dot" w:pos="9350"/>
        </w:tabs>
        <w:rPr>
          <w:rFonts w:asciiTheme="minorHAnsi" w:eastAsiaTheme="minorEastAsia" w:hAnsiTheme="minorHAnsi" w:cstheme="minorBidi"/>
          <w:noProof/>
        </w:rPr>
      </w:pPr>
      <w:r w:rsidRPr="006645DC">
        <w:rPr>
          <w:lang w:val="en-GB"/>
        </w:rPr>
        <w:fldChar w:fldCharType="begin"/>
      </w:r>
      <w:r w:rsidR="00AC53A9" w:rsidRPr="006645DC">
        <w:rPr>
          <w:lang w:val="en-GB"/>
        </w:rPr>
        <w:instrText xml:space="preserve"> TOC \h \z \c "Table" </w:instrText>
      </w:r>
      <w:r w:rsidRPr="006645DC">
        <w:rPr>
          <w:lang w:val="en-GB"/>
        </w:rPr>
        <w:fldChar w:fldCharType="separate"/>
      </w:r>
      <w:hyperlink w:anchor="_Toc391150098" w:history="1">
        <w:r w:rsidR="0084725E" w:rsidRPr="00726D4D">
          <w:rPr>
            <w:rStyle w:val="Hyperlink"/>
            <w:noProof/>
            <w:lang w:val="en-GB"/>
          </w:rPr>
          <w:t>Table 1 - Bulgarian Export and Import Volume by Year</w:t>
        </w:r>
        <w:r w:rsidR="0084725E">
          <w:rPr>
            <w:noProof/>
            <w:webHidden/>
          </w:rPr>
          <w:tab/>
        </w:r>
        <w:r w:rsidR="0084725E">
          <w:rPr>
            <w:noProof/>
            <w:webHidden/>
          </w:rPr>
          <w:fldChar w:fldCharType="begin"/>
        </w:r>
        <w:r w:rsidR="0084725E">
          <w:rPr>
            <w:noProof/>
            <w:webHidden/>
          </w:rPr>
          <w:instrText xml:space="preserve"> PAGEREF _Toc391150098 \h </w:instrText>
        </w:r>
        <w:r w:rsidR="0084725E">
          <w:rPr>
            <w:noProof/>
            <w:webHidden/>
          </w:rPr>
        </w:r>
        <w:r w:rsidR="0084725E">
          <w:rPr>
            <w:noProof/>
            <w:webHidden/>
          </w:rPr>
          <w:fldChar w:fldCharType="separate"/>
        </w:r>
        <w:r w:rsidR="00523DE6">
          <w:rPr>
            <w:noProof/>
            <w:webHidden/>
          </w:rPr>
          <w:t>26</w:t>
        </w:r>
        <w:r w:rsidR="0084725E">
          <w:rPr>
            <w:noProof/>
            <w:webHidden/>
          </w:rPr>
          <w:fldChar w:fldCharType="end"/>
        </w:r>
      </w:hyperlink>
    </w:p>
    <w:p w14:paraId="48B498FA"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99" w:history="1">
        <w:r w:rsidR="0084725E" w:rsidRPr="00726D4D">
          <w:rPr>
            <w:rStyle w:val="Hyperlink"/>
            <w:noProof/>
            <w:lang w:val="en-GB"/>
          </w:rPr>
          <w:t>Table 2 - The Romanian area’s trade figures</w:t>
        </w:r>
        <w:r w:rsidR="0084725E">
          <w:rPr>
            <w:noProof/>
            <w:webHidden/>
          </w:rPr>
          <w:tab/>
        </w:r>
        <w:r w:rsidR="0084725E">
          <w:rPr>
            <w:noProof/>
            <w:webHidden/>
          </w:rPr>
          <w:fldChar w:fldCharType="begin"/>
        </w:r>
        <w:r w:rsidR="0084725E">
          <w:rPr>
            <w:noProof/>
            <w:webHidden/>
          </w:rPr>
          <w:instrText xml:space="preserve"> PAGEREF _Toc391150099 \h </w:instrText>
        </w:r>
        <w:r w:rsidR="0084725E">
          <w:rPr>
            <w:noProof/>
            <w:webHidden/>
          </w:rPr>
        </w:r>
        <w:r w:rsidR="0084725E">
          <w:rPr>
            <w:noProof/>
            <w:webHidden/>
          </w:rPr>
          <w:fldChar w:fldCharType="separate"/>
        </w:r>
        <w:r>
          <w:rPr>
            <w:noProof/>
            <w:webHidden/>
          </w:rPr>
          <w:t>26</w:t>
        </w:r>
        <w:r w:rsidR="0084725E">
          <w:rPr>
            <w:noProof/>
            <w:webHidden/>
          </w:rPr>
          <w:fldChar w:fldCharType="end"/>
        </w:r>
      </w:hyperlink>
    </w:p>
    <w:p w14:paraId="535D9CBD"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00" w:history="1">
        <w:r w:rsidR="0084725E" w:rsidRPr="00726D4D">
          <w:rPr>
            <w:rStyle w:val="Hyperlink"/>
            <w:noProof/>
            <w:lang w:val="en-GB"/>
          </w:rPr>
          <w:t>Table 3 - Dynamics of companies' activity between 2009-2011</w:t>
        </w:r>
        <w:r w:rsidR="0084725E">
          <w:rPr>
            <w:noProof/>
            <w:webHidden/>
          </w:rPr>
          <w:tab/>
        </w:r>
        <w:r w:rsidR="0084725E">
          <w:rPr>
            <w:noProof/>
            <w:webHidden/>
          </w:rPr>
          <w:fldChar w:fldCharType="begin"/>
        </w:r>
        <w:r w:rsidR="0084725E">
          <w:rPr>
            <w:noProof/>
            <w:webHidden/>
          </w:rPr>
          <w:instrText xml:space="preserve"> PAGEREF _Toc391150100 \h </w:instrText>
        </w:r>
        <w:r w:rsidR="0084725E">
          <w:rPr>
            <w:noProof/>
            <w:webHidden/>
          </w:rPr>
        </w:r>
        <w:r w:rsidR="0084725E">
          <w:rPr>
            <w:noProof/>
            <w:webHidden/>
          </w:rPr>
          <w:fldChar w:fldCharType="separate"/>
        </w:r>
        <w:r>
          <w:rPr>
            <w:noProof/>
            <w:webHidden/>
          </w:rPr>
          <w:t>47</w:t>
        </w:r>
        <w:r w:rsidR="0084725E">
          <w:rPr>
            <w:noProof/>
            <w:webHidden/>
          </w:rPr>
          <w:fldChar w:fldCharType="end"/>
        </w:r>
      </w:hyperlink>
    </w:p>
    <w:p w14:paraId="4952EA68"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01" w:history="1">
        <w:r w:rsidR="0084725E" w:rsidRPr="00726D4D">
          <w:rPr>
            <w:rStyle w:val="Hyperlink"/>
            <w:noProof/>
            <w:lang w:val="en-GB"/>
          </w:rPr>
          <w:t>Table 4 - The different transport axes that are in the Romanian-Bulgarian cross-border area.</w:t>
        </w:r>
        <w:r w:rsidR="0084725E">
          <w:rPr>
            <w:noProof/>
            <w:webHidden/>
          </w:rPr>
          <w:tab/>
        </w:r>
        <w:r w:rsidR="0084725E">
          <w:rPr>
            <w:noProof/>
            <w:webHidden/>
          </w:rPr>
          <w:fldChar w:fldCharType="begin"/>
        </w:r>
        <w:r w:rsidR="0084725E">
          <w:rPr>
            <w:noProof/>
            <w:webHidden/>
          </w:rPr>
          <w:instrText xml:space="preserve"> PAGEREF _Toc391150101 \h </w:instrText>
        </w:r>
        <w:r w:rsidR="0084725E">
          <w:rPr>
            <w:noProof/>
            <w:webHidden/>
          </w:rPr>
        </w:r>
        <w:r w:rsidR="0084725E">
          <w:rPr>
            <w:noProof/>
            <w:webHidden/>
          </w:rPr>
          <w:fldChar w:fldCharType="separate"/>
        </w:r>
        <w:r>
          <w:rPr>
            <w:noProof/>
            <w:webHidden/>
          </w:rPr>
          <w:t>56</w:t>
        </w:r>
        <w:r w:rsidR="0084725E">
          <w:rPr>
            <w:noProof/>
            <w:webHidden/>
          </w:rPr>
          <w:fldChar w:fldCharType="end"/>
        </w:r>
      </w:hyperlink>
    </w:p>
    <w:p w14:paraId="0CF77944"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02" w:history="1">
        <w:r w:rsidR="0084725E" w:rsidRPr="00726D4D">
          <w:rPr>
            <w:rStyle w:val="Hyperlink"/>
            <w:noProof/>
            <w:lang w:val="en-GB"/>
          </w:rPr>
          <w:t>Table 5 - Modal split of passenger transport, (% in total inland passenger-km)</w:t>
        </w:r>
        <w:r w:rsidR="0084725E">
          <w:rPr>
            <w:noProof/>
            <w:webHidden/>
          </w:rPr>
          <w:tab/>
        </w:r>
        <w:r w:rsidR="0084725E">
          <w:rPr>
            <w:noProof/>
            <w:webHidden/>
          </w:rPr>
          <w:fldChar w:fldCharType="begin"/>
        </w:r>
        <w:r w:rsidR="0084725E">
          <w:rPr>
            <w:noProof/>
            <w:webHidden/>
          </w:rPr>
          <w:instrText xml:space="preserve"> PAGEREF _Toc391150102 \h </w:instrText>
        </w:r>
        <w:r w:rsidR="0084725E">
          <w:rPr>
            <w:noProof/>
            <w:webHidden/>
          </w:rPr>
        </w:r>
        <w:r w:rsidR="0084725E">
          <w:rPr>
            <w:noProof/>
            <w:webHidden/>
          </w:rPr>
          <w:fldChar w:fldCharType="separate"/>
        </w:r>
        <w:r>
          <w:rPr>
            <w:noProof/>
            <w:webHidden/>
          </w:rPr>
          <w:t>59</w:t>
        </w:r>
        <w:r w:rsidR="0084725E">
          <w:rPr>
            <w:noProof/>
            <w:webHidden/>
          </w:rPr>
          <w:fldChar w:fldCharType="end"/>
        </w:r>
      </w:hyperlink>
    </w:p>
    <w:p w14:paraId="0CF3E53F"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03" w:history="1">
        <w:r w:rsidR="0084725E" w:rsidRPr="00726D4D">
          <w:rPr>
            <w:rStyle w:val="Hyperlink"/>
            <w:noProof/>
            <w:lang w:val="en-GB"/>
          </w:rPr>
          <w:t>Table 6 - Modal split of freight transport, (% in total inland freight tonne-km)</w:t>
        </w:r>
        <w:r w:rsidR="0084725E">
          <w:rPr>
            <w:noProof/>
            <w:webHidden/>
          </w:rPr>
          <w:tab/>
        </w:r>
        <w:r w:rsidR="0084725E">
          <w:rPr>
            <w:noProof/>
            <w:webHidden/>
          </w:rPr>
          <w:fldChar w:fldCharType="begin"/>
        </w:r>
        <w:r w:rsidR="0084725E">
          <w:rPr>
            <w:noProof/>
            <w:webHidden/>
          </w:rPr>
          <w:instrText xml:space="preserve"> PAGEREF _Toc391150103 \h </w:instrText>
        </w:r>
        <w:r w:rsidR="0084725E">
          <w:rPr>
            <w:noProof/>
            <w:webHidden/>
          </w:rPr>
        </w:r>
        <w:r w:rsidR="0084725E">
          <w:rPr>
            <w:noProof/>
            <w:webHidden/>
          </w:rPr>
          <w:fldChar w:fldCharType="separate"/>
        </w:r>
        <w:r>
          <w:rPr>
            <w:noProof/>
            <w:webHidden/>
          </w:rPr>
          <w:t>59</w:t>
        </w:r>
        <w:r w:rsidR="0084725E">
          <w:rPr>
            <w:noProof/>
            <w:webHidden/>
          </w:rPr>
          <w:fldChar w:fldCharType="end"/>
        </w:r>
      </w:hyperlink>
    </w:p>
    <w:p w14:paraId="03AE5691"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04" w:history="1">
        <w:r w:rsidR="0084725E" w:rsidRPr="00726D4D">
          <w:rPr>
            <w:rStyle w:val="Hyperlink"/>
            <w:noProof/>
            <w:lang w:val="en-GB"/>
          </w:rPr>
          <w:t>Table 7 - Length of public roads (km)</w:t>
        </w:r>
        <w:r w:rsidR="0084725E">
          <w:rPr>
            <w:noProof/>
            <w:webHidden/>
          </w:rPr>
          <w:tab/>
        </w:r>
        <w:r w:rsidR="0084725E">
          <w:rPr>
            <w:noProof/>
            <w:webHidden/>
          </w:rPr>
          <w:fldChar w:fldCharType="begin"/>
        </w:r>
        <w:r w:rsidR="0084725E">
          <w:rPr>
            <w:noProof/>
            <w:webHidden/>
          </w:rPr>
          <w:instrText xml:space="preserve"> PAGEREF _Toc391150104 \h </w:instrText>
        </w:r>
        <w:r w:rsidR="0084725E">
          <w:rPr>
            <w:noProof/>
            <w:webHidden/>
          </w:rPr>
        </w:r>
        <w:r w:rsidR="0084725E">
          <w:rPr>
            <w:noProof/>
            <w:webHidden/>
          </w:rPr>
          <w:fldChar w:fldCharType="separate"/>
        </w:r>
        <w:r>
          <w:rPr>
            <w:noProof/>
            <w:webHidden/>
          </w:rPr>
          <w:t>60</w:t>
        </w:r>
        <w:r w:rsidR="0084725E">
          <w:rPr>
            <w:noProof/>
            <w:webHidden/>
          </w:rPr>
          <w:fldChar w:fldCharType="end"/>
        </w:r>
      </w:hyperlink>
    </w:p>
    <w:p w14:paraId="523BA063"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05" w:history="1">
        <w:r w:rsidR="0084725E" w:rsidRPr="00726D4D">
          <w:rPr>
            <w:rStyle w:val="Hyperlink"/>
            <w:noProof/>
            <w:lang w:val="en-GB"/>
          </w:rPr>
          <w:t>Table 8 - Density of public road network at the end of the year for 100 km</w:t>
        </w:r>
        <w:r w:rsidR="0084725E" w:rsidRPr="00726D4D">
          <w:rPr>
            <w:rStyle w:val="Hyperlink"/>
            <w:noProof/>
            <w:vertAlign w:val="superscript"/>
            <w:lang w:val="en-GB"/>
          </w:rPr>
          <w:t>2</w:t>
        </w:r>
        <w:r w:rsidR="0084725E" w:rsidRPr="00726D4D">
          <w:rPr>
            <w:rStyle w:val="Hyperlink"/>
            <w:noProof/>
            <w:lang w:val="en-GB"/>
          </w:rPr>
          <w:t xml:space="preserve"> (simple length of transport lines) (km per 100 km</w:t>
        </w:r>
        <w:r w:rsidR="0084725E" w:rsidRPr="00726D4D">
          <w:rPr>
            <w:rStyle w:val="Hyperlink"/>
            <w:noProof/>
            <w:vertAlign w:val="superscript"/>
            <w:lang w:val="en-GB"/>
          </w:rPr>
          <w:t>2</w:t>
        </w:r>
        <w:r w:rsidR="0084725E" w:rsidRPr="00726D4D">
          <w:rPr>
            <w:rStyle w:val="Hyperlink"/>
            <w:noProof/>
            <w:lang w:val="en-GB"/>
          </w:rPr>
          <w:t>)</w:t>
        </w:r>
        <w:r w:rsidR="0084725E">
          <w:rPr>
            <w:noProof/>
            <w:webHidden/>
          </w:rPr>
          <w:tab/>
        </w:r>
        <w:r w:rsidR="0084725E">
          <w:rPr>
            <w:noProof/>
            <w:webHidden/>
          </w:rPr>
          <w:fldChar w:fldCharType="begin"/>
        </w:r>
        <w:r w:rsidR="0084725E">
          <w:rPr>
            <w:noProof/>
            <w:webHidden/>
          </w:rPr>
          <w:instrText xml:space="preserve"> PAGEREF _Toc391150105 \h </w:instrText>
        </w:r>
        <w:r w:rsidR="0084725E">
          <w:rPr>
            <w:noProof/>
            <w:webHidden/>
          </w:rPr>
        </w:r>
        <w:r w:rsidR="0084725E">
          <w:rPr>
            <w:noProof/>
            <w:webHidden/>
          </w:rPr>
          <w:fldChar w:fldCharType="separate"/>
        </w:r>
        <w:r>
          <w:rPr>
            <w:noProof/>
            <w:webHidden/>
          </w:rPr>
          <w:t>61</w:t>
        </w:r>
        <w:r w:rsidR="0084725E">
          <w:rPr>
            <w:noProof/>
            <w:webHidden/>
          </w:rPr>
          <w:fldChar w:fldCharType="end"/>
        </w:r>
      </w:hyperlink>
    </w:p>
    <w:p w14:paraId="5484DA25"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06" w:history="1">
        <w:r w:rsidR="0084725E" w:rsidRPr="00726D4D">
          <w:rPr>
            <w:rStyle w:val="Hyperlink"/>
            <w:noProof/>
            <w:lang w:val="en-GB"/>
          </w:rPr>
          <w:t>Table 9 - Rate of paved roads in the cross-border area in 2009</w:t>
        </w:r>
        <w:r w:rsidR="0084725E">
          <w:rPr>
            <w:noProof/>
            <w:webHidden/>
          </w:rPr>
          <w:tab/>
        </w:r>
        <w:r w:rsidR="0084725E">
          <w:rPr>
            <w:noProof/>
            <w:webHidden/>
          </w:rPr>
          <w:fldChar w:fldCharType="begin"/>
        </w:r>
        <w:r w:rsidR="0084725E">
          <w:rPr>
            <w:noProof/>
            <w:webHidden/>
          </w:rPr>
          <w:instrText xml:space="preserve"> PAGEREF _Toc391150106 \h </w:instrText>
        </w:r>
        <w:r w:rsidR="0084725E">
          <w:rPr>
            <w:noProof/>
            <w:webHidden/>
          </w:rPr>
        </w:r>
        <w:r w:rsidR="0084725E">
          <w:rPr>
            <w:noProof/>
            <w:webHidden/>
          </w:rPr>
          <w:fldChar w:fldCharType="separate"/>
        </w:r>
        <w:r>
          <w:rPr>
            <w:noProof/>
            <w:webHidden/>
          </w:rPr>
          <w:t>62</w:t>
        </w:r>
        <w:r w:rsidR="0084725E">
          <w:rPr>
            <w:noProof/>
            <w:webHidden/>
          </w:rPr>
          <w:fldChar w:fldCharType="end"/>
        </w:r>
      </w:hyperlink>
    </w:p>
    <w:p w14:paraId="07B191AA"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07" w:history="1">
        <w:r w:rsidR="0084725E" w:rsidRPr="00726D4D">
          <w:rPr>
            <w:rStyle w:val="Hyperlink"/>
            <w:noProof/>
            <w:lang w:val="en-GB"/>
          </w:rPr>
          <w:t>Table 10 - Length of railway network in the Bulgarian cross-border region by district</w:t>
        </w:r>
        <w:r w:rsidR="0084725E">
          <w:rPr>
            <w:noProof/>
            <w:webHidden/>
          </w:rPr>
          <w:tab/>
        </w:r>
        <w:r w:rsidR="0084725E">
          <w:rPr>
            <w:noProof/>
            <w:webHidden/>
          </w:rPr>
          <w:fldChar w:fldCharType="begin"/>
        </w:r>
        <w:r w:rsidR="0084725E">
          <w:rPr>
            <w:noProof/>
            <w:webHidden/>
          </w:rPr>
          <w:instrText xml:space="preserve"> PAGEREF _Toc391150107 \h </w:instrText>
        </w:r>
        <w:r w:rsidR="0084725E">
          <w:rPr>
            <w:noProof/>
            <w:webHidden/>
          </w:rPr>
        </w:r>
        <w:r w:rsidR="0084725E">
          <w:rPr>
            <w:noProof/>
            <w:webHidden/>
          </w:rPr>
          <w:fldChar w:fldCharType="separate"/>
        </w:r>
        <w:r>
          <w:rPr>
            <w:noProof/>
            <w:webHidden/>
          </w:rPr>
          <w:t>66</w:t>
        </w:r>
        <w:r w:rsidR="0084725E">
          <w:rPr>
            <w:noProof/>
            <w:webHidden/>
          </w:rPr>
          <w:fldChar w:fldCharType="end"/>
        </w:r>
      </w:hyperlink>
    </w:p>
    <w:p w14:paraId="422DE087"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08" w:history="1">
        <w:r w:rsidR="0084725E" w:rsidRPr="00726D4D">
          <w:rPr>
            <w:rStyle w:val="Hyperlink"/>
            <w:noProof/>
            <w:lang w:val="en-GB"/>
          </w:rPr>
          <w:t>Table 11 - Border crossing points between Romania and Bulgaria</w:t>
        </w:r>
        <w:r w:rsidR="0084725E">
          <w:rPr>
            <w:noProof/>
            <w:webHidden/>
          </w:rPr>
          <w:tab/>
        </w:r>
        <w:r w:rsidR="0084725E">
          <w:rPr>
            <w:noProof/>
            <w:webHidden/>
          </w:rPr>
          <w:fldChar w:fldCharType="begin"/>
        </w:r>
        <w:r w:rsidR="0084725E">
          <w:rPr>
            <w:noProof/>
            <w:webHidden/>
          </w:rPr>
          <w:instrText xml:space="preserve"> PAGEREF _Toc391150108 \h </w:instrText>
        </w:r>
        <w:r w:rsidR="0084725E">
          <w:rPr>
            <w:noProof/>
            <w:webHidden/>
          </w:rPr>
        </w:r>
        <w:r w:rsidR="0084725E">
          <w:rPr>
            <w:noProof/>
            <w:webHidden/>
          </w:rPr>
          <w:fldChar w:fldCharType="separate"/>
        </w:r>
        <w:r>
          <w:rPr>
            <w:noProof/>
            <w:webHidden/>
          </w:rPr>
          <w:t>68</w:t>
        </w:r>
        <w:r w:rsidR="0084725E">
          <w:rPr>
            <w:noProof/>
            <w:webHidden/>
          </w:rPr>
          <w:fldChar w:fldCharType="end"/>
        </w:r>
      </w:hyperlink>
    </w:p>
    <w:p w14:paraId="750B769A"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09" w:history="1">
        <w:r w:rsidR="0084725E" w:rsidRPr="00726D4D">
          <w:rPr>
            <w:rStyle w:val="Hyperlink"/>
            <w:noProof/>
            <w:lang w:val="en-GB"/>
          </w:rPr>
          <w:t>Table 12 - Relative share of individuals aged 16-74, regularly using Internet (at least once per week)</w:t>
        </w:r>
        <w:r w:rsidR="0084725E">
          <w:rPr>
            <w:noProof/>
            <w:webHidden/>
          </w:rPr>
          <w:tab/>
        </w:r>
        <w:r w:rsidR="0084725E">
          <w:rPr>
            <w:noProof/>
            <w:webHidden/>
          </w:rPr>
          <w:fldChar w:fldCharType="begin"/>
        </w:r>
        <w:r w:rsidR="0084725E">
          <w:rPr>
            <w:noProof/>
            <w:webHidden/>
          </w:rPr>
          <w:instrText xml:space="preserve"> PAGEREF _Toc391150109 \h </w:instrText>
        </w:r>
        <w:r w:rsidR="0084725E">
          <w:rPr>
            <w:noProof/>
            <w:webHidden/>
          </w:rPr>
        </w:r>
        <w:r w:rsidR="0084725E">
          <w:rPr>
            <w:noProof/>
            <w:webHidden/>
          </w:rPr>
          <w:fldChar w:fldCharType="separate"/>
        </w:r>
        <w:r>
          <w:rPr>
            <w:noProof/>
            <w:webHidden/>
          </w:rPr>
          <w:t>72</w:t>
        </w:r>
        <w:r w:rsidR="0084725E">
          <w:rPr>
            <w:noProof/>
            <w:webHidden/>
          </w:rPr>
          <w:fldChar w:fldCharType="end"/>
        </w:r>
      </w:hyperlink>
    </w:p>
    <w:p w14:paraId="53D1F0CC"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10" w:history="1">
        <w:r w:rsidR="0084725E" w:rsidRPr="00726D4D">
          <w:rPr>
            <w:rStyle w:val="Hyperlink"/>
            <w:noProof/>
            <w:lang w:val="en-GB"/>
          </w:rPr>
          <w:t>Table 13 - Use of ITCs and use of online services, (% of individuals aged 16 to 74)</w:t>
        </w:r>
        <w:r w:rsidR="0084725E">
          <w:rPr>
            <w:noProof/>
            <w:webHidden/>
          </w:rPr>
          <w:tab/>
        </w:r>
        <w:r w:rsidR="0084725E">
          <w:rPr>
            <w:noProof/>
            <w:webHidden/>
          </w:rPr>
          <w:fldChar w:fldCharType="begin"/>
        </w:r>
        <w:r w:rsidR="0084725E">
          <w:rPr>
            <w:noProof/>
            <w:webHidden/>
          </w:rPr>
          <w:instrText xml:space="preserve"> PAGEREF _Toc391150110 \h </w:instrText>
        </w:r>
        <w:r w:rsidR="0084725E">
          <w:rPr>
            <w:noProof/>
            <w:webHidden/>
          </w:rPr>
        </w:r>
        <w:r w:rsidR="0084725E">
          <w:rPr>
            <w:noProof/>
            <w:webHidden/>
          </w:rPr>
          <w:fldChar w:fldCharType="separate"/>
        </w:r>
        <w:r>
          <w:rPr>
            <w:noProof/>
            <w:webHidden/>
          </w:rPr>
          <w:t>73</w:t>
        </w:r>
        <w:r w:rsidR="0084725E">
          <w:rPr>
            <w:noProof/>
            <w:webHidden/>
          </w:rPr>
          <w:fldChar w:fldCharType="end"/>
        </w:r>
      </w:hyperlink>
    </w:p>
    <w:p w14:paraId="380FAFE1"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11" w:history="1">
        <w:r w:rsidR="0084725E" w:rsidRPr="00726D4D">
          <w:rPr>
            <w:rStyle w:val="Hyperlink"/>
            <w:noProof/>
            <w:lang w:val="en-GB"/>
          </w:rPr>
          <w:t xml:space="preserve">Table 14 - </w:t>
        </w:r>
        <w:r w:rsidR="0084725E" w:rsidRPr="00726D4D">
          <w:rPr>
            <w:rStyle w:val="Hyperlink"/>
            <w:rFonts w:eastAsia="MS Gothic"/>
            <w:bCs/>
            <w:noProof/>
            <w:lang w:val="en-GB"/>
          </w:rPr>
          <w:t>Cross-border region population, by sex and environments by thousands of people - between 2007-2011</w:t>
        </w:r>
        <w:r w:rsidR="0084725E">
          <w:rPr>
            <w:noProof/>
            <w:webHidden/>
          </w:rPr>
          <w:tab/>
        </w:r>
        <w:r w:rsidR="0084725E">
          <w:rPr>
            <w:noProof/>
            <w:webHidden/>
          </w:rPr>
          <w:fldChar w:fldCharType="begin"/>
        </w:r>
        <w:r w:rsidR="0084725E">
          <w:rPr>
            <w:noProof/>
            <w:webHidden/>
          </w:rPr>
          <w:instrText xml:space="preserve"> PAGEREF _Toc391150111 \h </w:instrText>
        </w:r>
        <w:r w:rsidR="0084725E">
          <w:rPr>
            <w:noProof/>
            <w:webHidden/>
          </w:rPr>
        </w:r>
        <w:r w:rsidR="0084725E">
          <w:rPr>
            <w:noProof/>
            <w:webHidden/>
          </w:rPr>
          <w:fldChar w:fldCharType="separate"/>
        </w:r>
        <w:r>
          <w:rPr>
            <w:noProof/>
            <w:webHidden/>
          </w:rPr>
          <w:t>80</w:t>
        </w:r>
        <w:r w:rsidR="0084725E">
          <w:rPr>
            <w:noProof/>
            <w:webHidden/>
          </w:rPr>
          <w:fldChar w:fldCharType="end"/>
        </w:r>
      </w:hyperlink>
    </w:p>
    <w:p w14:paraId="4CDB288C"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12" w:history="1">
        <w:r w:rsidR="0084725E" w:rsidRPr="00726D4D">
          <w:rPr>
            <w:rStyle w:val="Hyperlink"/>
            <w:noProof/>
            <w:lang w:val="en-GB"/>
          </w:rPr>
          <w:t xml:space="preserve">Table 15 - </w:t>
        </w:r>
        <w:r w:rsidR="0084725E" w:rsidRPr="00726D4D">
          <w:rPr>
            <w:rStyle w:val="Hyperlink"/>
            <w:rFonts w:eastAsia="MS Gothic"/>
            <w:bCs/>
            <w:noProof/>
            <w:lang w:val="en-GB"/>
          </w:rPr>
          <w:t>Cross-border region population by districts in 2011</w:t>
        </w:r>
        <w:r w:rsidR="0084725E">
          <w:rPr>
            <w:noProof/>
            <w:webHidden/>
          </w:rPr>
          <w:tab/>
        </w:r>
        <w:r w:rsidR="0084725E">
          <w:rPr>
            <w:noProof/>
            <w:webHidden/>
          </w:rPr>
          <w:fldChar w:fldCharType="begin"/>
        </w:r>
        <w:r w:rsidR="0084725E">
          <w:rPr>
            <w:noProof/>
            <w:webHidden/>
          </w:rPr>
          <w:instrText xml:space="preserve"> PAGEREF _Toc391150112 \h </w:instrText>
        </w:r>
        <w:r w:rsidR="0084725E">
          <w:rPr>
            <w:noProof/>
            <w:webHidden/>
          </w:rPr>
        </w:r>
        <w:r w:rsidR="0084725E">
          <w:rPr>
            <w:noProof/>
            <w:webHidden/>
          </w:rPr>
          <w:fldChar w:fldCharType="separate"/>
        </w:r>
        <w:r>
          <w:rPr>
            <w:noProof/>
            <w:webHidden/>
          </w:rPr>
          <w:t>80</w:t>
        </w:r>
        <w:r w:rsidR="0084725E">
          <w:rPr>
            <w:noProof/>
            <w:webHidden/>
          </w:rPr>
          <w:fldChar w:fldCharType="end"/>
        </w:r>
      </w:hyperlink>
    </w:p>
    <w:p w14:paraId="0EAF6C96"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13" w:history="1">
        <w:r w:rsidR="0084725E" w:rsidRPr="00726D4D">
          <w:rPr>
            <w:rStyle w:val="Hyperlink"/>
            <w:noProof/>
            <w:lang w:val="en-GB"/>
          </w:rPr>
          <w:t>Table 16 - Average household size in the cross-border area, by districts, in 2001 and 2011</w:t>
        </w:r>
        <w:r w:rsidR="0084725E">
          <w:rPr>
            <w:noProof/>
            <w:webHidden/>
          </w:rPr>
          <w:tab/>
        </w:r>
        <w:r w:rsidR="0084725E">
          <w:rPr>
            <w:noProof/>
            <w:webHidden/>
          </w:rPr>
          <w:fldChar w:fldCharType="begin"/>
        </w:r>
        <w:r w:rsidR="0084725E">
          <w:rPr>
            <w:noProof/>
            <w:webHidden/>
          </w:rPr>
          <w:instrText xml:space="preserve"> PAGEREF _Toc391150113 \h </w:instrText>
        </w:r>
        <w:r w:rsidR="0084725E">
          <w:rPr>
            <w:noProof/>
            <w:webHidden/>
          </w:rPr>
        </w:r>
        <w:r w:rsidR="0084725E">
          <w:rPr>
            <w:noProof/>
            <w:webHidden/>
          </w:rPr>
          <w:fldChar w:fldCharType="separate"/>
        </w:r>
        <w:r>
          <w:rPr>
            <w:noProof/>
            <w:webHidden/>
          </w:rPr>
          <w:t>84</w:t>
        </w:r>
        <w:r w:rsidR="0084725E">
          <w:rPr>
            <w:noProof/>
            <w:webHidden/>
          </w:rPr>
          <w:fldChar w:fldCharType="end"/>
        </w:r>
      </w:hyperlink>
    </w:p>
    <w:p w14:paraId="7AE57547"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14" w:history="1">
        <w:r w:rsidR="0084725E" w:rsidRPr="00726D4D">
          <w:rPr>
            <w:rStyle w:val="Hyperlink"/>
            <w:noProof/>
            <w:lang w:val="en-GB"/>
          </w:rPr>
          <w:t xml:space="preserve">Table 17 - </w:t>
        </w:r>
        <w:r w:rsidR="0084725E" w:rsidRPr="00726D4D">
          <w:rPr>
            <w:rStyle w:val="Hyperlink"/>
            <w:rFonts w:eastAsia="MS Gothic"/>
            <w:noProof/>
            <w:lang w:val="en-GB"/>
          </w:rPr>
          <w:t>Birth rate in the cross-border region, by districts in 2011 (‰)</w:t>
        </w:r>
        <w:r w:rsidR="0084725E">
          <w:rPr>
            <w:noProof/>
            <w:webHidden/>
          </w:rPr>
          <w:tab/>
        </w:r>
        <w:r w:rsidR="0084725E">
          <w:rPr>
            <w:noProof/>
            <w:webHidden/>
          </w:rPr>
          <w:fldChar w:fldCharType="begin"/>
        </w:r>
        <w:r w:rsidR="0084725E">
          <w:rPr>
            <w:noProof/>
            <w:webHidden/>
          </w:rPr>
          <w:instrText xml:space="preserve"> PAGEREF _Toc391150114 \h </w:instrText>
        </w:r>
        <w:r w:rsidR="0084725E">
          <w:rPr>
            <w:noProof/>
            <w:webHidden/>
          </w:rPr>
        </w:r>
        <w:r w:rsidR="0084725E">
          <w:rPr>
            <w:noProof/>
            <w:webHidden/>
          </w:rPr>
          <w:fldChar w:fldCharType="separate"/>
        </w:r>
        <w:r>
          <w:rPr>
            <w:noProof/>
            <w:webHidden/>
          </w:rPr>
          <w:t>88</w:t>
        </w:r>
        <w:r w:rsidR="0084725E">
          <w:rPr>
            <w:noProof/>
            <w:webHidden/>
          </w:rPr>
          <w:fldChar w:fldCharType="end"/>
        </w:r>
      </w:hyperlink>
    </w:p>
    <w:p w14:paraId="4FD12D3D"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15" w:history="1">
        <w:r w:rsidR="0084725E" w:rsidRPr="00726D4D">
          <w:rPr>
            <w:rStyle w:val="Hyperlink"/>
            <w:noProof/>
            <w:lang w:val="en-GB"/>
          </w:rPr>
          <w:t xml:space="preserve">Table 18 - </w:t>
        </w:r>
        <w:r w:rsidR="0084725E" w:rsidRPr="00726D4D">
          <w:rPr>
            <w:rStyle w:val="Hyperlink"/>
            <w:rFonts w:eastAsia="MS Gothic"/>
            <w:noProof/>
            <w:lang w:val="en-GB"/>
          </w:rPr>
          <w:t>The Romanian cross-border counties fertility rate evolution from 1990 to 2011</w:t>
        </w:r>
        <w:r w:rsidR="0084725E">
          <w:rPr>
            <w:noProof/>
            <w:webHidden/>
          </w:rPr>
          <w:tab/>
        </w:r>
        <w:r w:rsidR="0084725E">
          <w:rPr>
            <w:noProof/>
            <w:webHidden/>
          </w:rPr>
          <w:fldChar w:fldCharType="begin"/>
        </w:r>
        <w:r w:rsidR="0084725E">
          <w:rPr>
            <w:noProof/>
            <w:webHidden/>
          </w:rPr>
          <w:instrText xml:space="preserve"> PAGEREF _Toc391150115 \h </w:instrText>
        </w:r>
        <w:r w:rsidR="0084725E">
          <w:rPr>
            <w:noProof/>
            <w:webHidden/>
          </w:rPr>
        </w:r>
        <w:r w:rsidR="0084725E">
          <w:rPr>
            <w:noProof/>
            <w:webHidden/>
          </w:rPr>
          <w:fldChar w:fldCharType="separate"/>
        </w:r>
        <w:r>
          <w:rPr>
            <w:noProof/>
            <w:webHidden/>
          </w:rPr>
          <w:t>91</w:t>
        </w:r>
        <w:r w:rsidR="0084725E">
          <w:rPr>
            <w:noProof/>
            <w:webHidden/>
          </w:rPr>
          <w:fldChar w:fldCharType="end"/>
        </w:r>
      </w:hyperlink>
    </w:p>
    <w:p w14:paraId="26C14E29"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16" w:history="1">
        <w:r w:rsidR="0084725E" w:rsidRPr="00726D4D">
          <w:rPr>
            <w:rStyle w:val="Hyperlink"/>
            <w:noProof/>
            <w:lang w:val="en-GB"/>
          </w:rPr>
          <w:t xml:space="preserve">Table 19 - </w:t>
        </w:r>
        <w:r w:rsidR="0084725E" w:rsidRPr="00726D4D">
          <w:rPr>
            <w:rStyle w:val="Hyperlink"/>
            <w:rFonts w:eastAsia="MS Gothic"/>
            <w:noProof/>
            <w:lang w:val="en-GB"/>
          </w:rPr>
          <w:t>The Bulgarian cross-border districts birth rate evolution 2008-2011;</w:t>
        </w:r>
        <w:r w:rsidR="0084725E">
          <w:rPr>
            <w:noProof/>
            <w:webHidden/>
          </w:rPr>
          <w:tab/>
        </w:r>
        <w:r w:rsidR="0084725E">
          <w:rPr>
            <w:noProof/>
            <w:webHidden/>
          </w:rPr>
          <w:fldChar w:fldCharType="begin"/>
        </w:r>
        <w:r w:rsidR="0084725E">
          <w:rPr>
            <w:noProof/>
            <w:webHidden/>
          </w:rPr>
          <w:instrText xml:space="preserve"> PAGEREF _Toc391150116 \h </w:instrText>
        </w:r>
        <w:r w:rsidR="0084725E">
          <w:rPr>
            <w:noProof/>
            <w:webHidden/>
          </w:rPr>
        </w:r>
        <w:r w:rsidR="0084725E">
          <w:rPr>
            <w:noProof/>
            <w:webHidden/>
          </w:rPr>
          <w:fldChar w:fldCharType="separate"/>
        </w:r>
        <w:r>
          <w:rPr>
            <w:noProof/>
            <w:webHidden/>
          </w:rPr>
          <w:t>91</w:t>
        </w:r>
        <w:r w:rsidR="0084725E">
          <w:rPr>
            <w:noProof/>
            <w:webHidden/>
          </w:rPr>
          <w:fldChar w:fldCharType="end"/>
        </w:r>
      </w:hyperlink>
    </w:p>
    <w:p w14:paraId="60E03BEE"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17" w:history="1">
        <w:r w:rsidR="0084725E" w:rsidRPr="00726D4D">
          <w:rPr>
            <w:rStyle w:val="Hyperlink"/>
            <w:noProof/>
            <w:lang w:val="en-GB"/>
          </w:rPr>
          <w:t xml:space="preserve">Table 20 - </w:t>
        </w:r>
        <w:r w:rsidR="0084725E" w:rsidRPr="00726D4D">
          <w:rPr>
            <w:rStyle w:val="Hyperlink"/>
            <w:rFonts w:eastAsia="MS Gothic"/>
            <w:noProof/>
            <w:lang w:val="en-GB"/>
          </w:rPr>
          <w:t>The immigration to the cross-border area in Romania</w:t>
        </w:r>
        <w:r w:rsidR="0084725E">
          <w:rPr>
            <w:noProof/>
            <w:webHidden/>
          </w:rPr>
          <w:tab/>
        </w:r>
        <w:r w:rsidR="0084725E">
          <w:rPr>
            <w:noProof/>
            <w:webHidden/>
          </w:rPr>
          <w:fldChar w:fldCharType="begin"/>
        </w:r>
        <w:r w:rsidR="0084725E">
          <w:rPr>
            <w:noProof/>
            <w:webHidden/>
          </w:rPr>
          <w:instrText xml:space="preserve"> PAGEREF _Toc391150117 \h </w:instrText>
        </w:r>
        <w:r w:rsidR="0084725E">
          <w:rPr>
            <w:noProof/>
            <w:webHidden/>
          </w:rPr>
        </w:r>
        <w:r w:rsidR="0084725E">
          <w:rPr>
            <w:noProof/>
            <w:webHidden/>
          </w:rPr>
          <w:fldChar w:fldCharType="separate"/>
        </w:r>
        <w:r>
          <w:rPr>
            <w:noProof/>
            <w:webHidden/>
          </w:rPr>
          <w:t>94</w:t>
        </w:r>
        <w:r w:rsidR="0084725E">
          <w:rPr>
            <w:noProof/>
            <w:webHidden/>
          </w:rPr>
          <w:fldChar w:fldCharType="end"/>
        </w:r>
      </w:hyperlink>
    </w:p>
    <w:p w14:paraId="15680CC7"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18" w:history="1">
        <w:r w:rsidR="0084725E" w:rsidRPr="00726D4D">
          <w:rPr>
            <w:rStyle w:val="Hyperlink"/>
            <w:noProof/>
            <w:lang w:val="en-GB"/>
          </w:rPr>
          <w:t xml:space="preserve">Table 21 - </w:t>
        </w:r>
        <w:r w:rsidR="0084725E" w:rsidRPr="00726D4D">
          <w:rPr>
            <w:rStyle w:val="Hyperlink"/>
            <w:rFonts w:eastAsia="MS Gothic"/>
            <w:noProof/>
            <w:lang w:val="en-GB"/>
          </w:rPr>
          <w:t>Foreign migration in the cross-border region of Bulgaria</w:t>
        </w:r>
        <w:r w:rsidR="0084725E">
          <w:rPr>
            <w:noProof/>
            <w:webHidden/>
          </w:rPr>
          <w:tab/>
        </w:r>
        <w:r w:rsidR="0084725E">
          <w:rPr>
            <w:noProof/>
            <w:webHidden/>
          </w:rPr>
          <w:fldChar w:fldCharType="begin"/>
        </w:r>
        <w:r w:rsidR="0084725E">
          <w:rPr>
            <w:noProof/>
            <w:webHidden/>
          </w:rPr>
          <w:instrText xml:space="preserve"> PAGEREF _Toc391150118 \h </w:instrText>
        </w:r>
        <w:r w:rsidR="0084725E">
          <w:rPr>
            <w:noProof/>
            <w:webHidden/>
          </w:rPr>
        </w:r>
        <w:r w:rsidR="0084725E">
          <w:rPr>
            <w:noProof/>
            <w:webHidden/>
          </w:rPr>
          <w:fldChar w:fldCharType="separate"/>
        </w:r>
        <w:r>
          <w:rPr>
            <w:noProof/>
            <w:webHidden/>
          </w:rPr>
          <w:t>95</w:t>
        </w:r>
        <w:r w:rsidR="0084725E">
          <w:rPr>
            <w:noProof/>
            <w:webHidden/>
          </w:rPr>
          <w:fldChar w:fldCharType="end"/>
        </w:r>
      </w:hyperlink>
    </w:p>
    <w:p w14:paraId="53BEF6AC"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19" w:history="1">
        <w:r w:rsidR="0084725E" w:rsidRPr="00726D4D">
          <w:rPr>
            <w:rStyle w:val="Hyperlink"/>
            <w:noProof/>
            <w:lang w:val="en-GB"/>
          </w:rPr>
          <w:t xml:space="preserve">Table 22 - </w:t>
        </w:r>
        <w:r w:rsidR="0084725E" w:rsidRPr="00726D4D">
          <w:rPr>
            <w:rStyle w:val="Hyperlink"/>
            <w:rFonts w:eastAsia="MS Gothic"/>
            <w:noProof/>
            <w:lang w:val="en-GB"/>
          </w:rPr>
          <w:t>Ethnic structure of the population in the cross-border area, by districts, at the population and housing censuses in Bulgaria (2011)</w:t>
        </w:r>
        <w:r w:rsidR="0084725E">
          <w:rPr>
            <w:noProof/>
            <w:webHidden/>
          </w:rPr>
          <w:tab/>
        </w:r>
        <w:r w:rsidR="0084725E">
          <w:rPr>
            <w:noProof/>
            <w:webHidden/>
          </w:rPr>
          <w:fldChar w:fldCharType="begin"/>
        </w:r>
        <w:r w:rsidR="0084725E">
          <w:rPr>
            <w:noProof/>
            <w:webHidden/>
          </w:rPr>
          <w:instrText xml:space="preserve"> PAGEREF _Toc391150119 \h </w:instrText>
        </w:r>
        <w:r w:rsidR="0084725E">
          <w:rPr>
            <w:noProof/>
            <w:webHidden/>
          </w:rPr>
        </w:r>
        <w:r w:rsidR="0084725E">
          <w:rPr>
            <w:noProof/>
            <w:webHidden/>
          </w:rPr>
          <w:fldChar w:fldCharType="separate"/>
        </w:r>
        <w:r>
          <w:rPr>
            <w:noProof/>
            <w:webHidden/>
          </w:rPr>
          <w:t>95</w:t>
        </w:r>
        <w:r w:rsidR="0084725E">
          <w:rPr>
            <w:noProof/>
            <w:webHidden/>
          </w:rPr>
          <w:fldChar w:fldCharType="end"/>
        </w:r>
      </w:hyperlink>
    </w:p>
    <w:p w14:paraId="600A1028"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20" w:history="1">
        <w:r w:rsidR="0084725E" w:rsidRPr="00726D4D">
          <w:rPr>
            <w:rStyle w:val="Hyperlink"/>
            <w:noProof/>
            <w:lang w:val="en-GB"/>
          </w:rPr>
          <w:t xml:space="preserve">Table 23 - </w:t>
        </w:r>
        <w:r w:rsidR="0084725E" w:rsidRPr="00726D4D">
          <w:rPr>
            <w:rStyle w:val="Hyperlink"/>
            <w:rFonts w:eastAsia="MS Gothic"/>
            <w:noProof/>
            <w:lang w:val="en-GB"/>
          </w:rPr>
          <w:t>Ethnic structure of the population in the cross-border area, by counties, at the population and housing censuses in Romania (2011)</w:t>
        </w:r>
        <w:r w:rsidR="0084725E">
          <w:rPr>
            <w:noProof/>
            <w:webHidden/>
          </w:rPr>
          <w:tab/>
        </w:r>
        <w:r w:rsidR="0084725E">
          <w:rPr>
            <w:noProof/>
            <w:webHidden/>
          </w:rPr>
          <w:fldChar w:fldCharType="begin"/>
        </w:r>
        <w:r w:rsidR="0084725E">
          <w:rPr>
            <w:noProof/>
            <w:webHidden/>
          </w:rPr>
          <w:instrText xml:space="preserve"> PAGEREF _Toc391150120 \h </w:instrText>
        </w:r>
        <w:r w:rsidR="0084725E">
          <w:rPr>
            <w:noProof/>
            <w:webHidden/>
          </w:rPr>
        </w:r>
        <w:r w:rsidR="0084725E">
          <w:rPr>
            <w:noProof/>
            <w:webHidden/>
          </w:rPr>
          <w:fldChar w:fldCharType="separate"/>
        </w:r>
        <w:r>
          <w:rPr>
            <w:noProof/>
            <w:webHidden/>
          </w:rPr>
          <w:t>96</w:t>
        </w:r>
        <w:r w:rsidR="0084725E">
          <w:rPr>
            <w:noProof/>
            <w:webHidden/>
          </w:rPr>
          <w:fldChar w:fldCharType="end"/>
        </w:r>
      </w:hyperlink>
    </w:p>
    <w:p w14:paraId="7D1AA90B"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21" w:history="1">
        <w:r w:rsidR="0084725E" w:rsidRPr="00726D4D">
          <w:rPr>
            <w:rStyle w:val="Hyperlink"/>
            <w:noProof/>
            <w:lang w:val="en-GB"/>
          </w:rPr>
          <w:t>Table 24 - Working-agepopulation in the Ro-Bg cross-border region (districts and counties), in 2012</w:t>
        </w:r>
        <w:r w:rsidR="0084725E">
          <w:rPr>
            <w:noProof/>
            <w:webHidden/>
          </w:rPr>
          <w:tab/>
        </w:r>
        <w:r w:rsidR="0084725E">
          <w:rPr>
            <w:noProof/>
            <w:webHidden/>
          </w:rPr>
          <w:fldChar w:fldCharType="begin"/>
        </w:r>
        <w:r w:rsidR="0084725E">
          <w:rPr>
            <w:noProof/>
            <w:webHidden/>
          </w:rPr>
          <w:instrText xml:space="preserve"> PAGEREF _Toc391150121 \h </w:instrText>
        </w:r>
        <w:r w:rsidR="0084725E">
          <w:rPr>
            <w:noProof/>
            <w:webHidden/>
          </w:rPr>
        </w:r>
        <w:r w:rsidR="0084725E">
          <w:rPr>
            <w:noProof/>
            <w:webHidden/>
          </w:rPr>
          <w:fldChar w:fldCharType="separate"/>
        </w:r>
        <w:r>
          <w:rPr>
            <w:noProof/>
            <w:webHidden/>
          </w:rPr>
          <w:t>102</w:t>
        </w:r>
        <w:r w:rsidR="0084725E">
          <w:rPr>
            <w:noProof/>
            <w:webHidden/>
          </w:rPr>
          <w:fldChar w:fldCharType="end"/>
        </w:r>
      </w:hyperlink>
    </w:p>
    <w:p w14:paraId="02D3F506"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22" w:history="1">
        <w:r w:rsidR="0084725E" w:rsidRPr="00726D4D">
          <w:rPr>
            <w:rStyle w:val="Hyperlink"/>
            <w:noProof/>
            <w:lang w:val="en-GB"/>
          </w:rPr>
          <w:t>Table 25 - Working age population (thousands people) in the ROBG cross-border area evolution from 2008-2012</w:t>
        </w:r>
        <w:r w:rsidR="0084725E">
          <w:rPr>
            <w:noProof/>
            <w:webHidden/>
          </w:rPr>
          <w:tab/>
        </w:r>
        <w:r w:rsidR="0084725E">
          <w:rPr>
            <w:noProof/>
            <w:webHidden/>
          </w:rPr>
          <w:fldChar w:fldCharType="begin"/>
        </w:r>
        <w:r w:rsidR="0084725E">
          <w:rPr>
            <w:noProof/>
            <w:webHidden/>
          </w:rPr>
          <w:instrText xml:space="preserve"> PAGEREF _Toc391150122 \h </w:instrText>
        </w:r>
        <w:r w:rsidR="0084725E">
          <w:rPr>
            <w:noProof/>
            <w:webHidden/>
          </w:rPr>
        </w:r>
        <w:r w:rsidR="0084725E">
          <w:rPr>
            <w:noProof/>
            <w:webHidden/>
          </w:rPr>
          <w:fldChar w:fldCharType="separate"/>
        </w:r>
        <w:r>
          <w:rPr>
            <w:noProof/>
            <w:webHidden/>
          </w:rPr>
          <w:t>103</w:t>
        </w:r>
        <w:r w:rsidR="0084725E">
          <w:rPr>
            <w:noProof/>
            <w:webHidden/>
          </w:rPr>
          <w:fldChar w:fldCharType="end"/>
        </w:r>
      </w:hyperlink>
    </w:p>
    <w:p w14:paraId="186B9B8F"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23" w:history="1">
        <w:r w:rsidR="0084725E" w:rsidRPr="00726D4D">
          <w:rPr>
            <w:rStyle w:val="Hyperlink"/>
            <w:noProof/>
            <w:lang w:val="en-GB"/>
          </w:rPr>
          <w:t>Table 26 - Distribution of active population in the Romania-Bulgaria cross-border region, by counties/districts in 2012</w:t>
        </w:r>
        <w:r w:rsidR="0084725E">
          <w:rPr>
            <w:noProof/>
            <w:webHidden/>
          </w:rPr>
          <w:tab/>
        </w:r>
        <w:r w:rsidR="0084725E">
          <w:rPr>
            <w:noProof/>
            <w:webHidden/>
          </w:rPr>
          <w:fldChar w:fldCharType="begin"/>
        </w:r>
        <w:r w:rsidR="0084725E">
          <w:rPr>
            <w:noProof/>
            <w:webHidden/>
          </w:rPr>
          <w:instrText xml:space="preserve"> PAGEREF _Toc391150123 \h </w:instrText>
        </w:r>
        <w:r w:rsidR="0084725E">
          <w:rPr>
            <w:noProof/>
            <w:webHidden/>
          </w:rPr>
        </w:r>
        <w:r w:rsidR="0084725E">
          <w:rPr>
            <w:noProof/>
            <w:webHidden/>
          </w:rPr>
          <w:fldChar w:fldCharType="separate"/>
        </w:r>
        <w:r>
          <w:rPr>
            <w:noProof/>
            <w:webHidden/>
          </w:rPr>
          <w:t>104</w:t>
        </w:r>
        <w:r w:rsidR="0084725E">
          <w:rPr>
            <w:noProof/>
            <w:webHidden/>
          </w:rPr>
          <w:fldChar w:fldCharType="end"/>
        </w:r>
      </w:hyperlink>
    </w:p>
    <w:p w14:paraId="733B6F27"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24" w:history="1">
        <w:r w:rsidR="0084725E" w:rsidRPr="00726D4D">
          <w:rPr>
            <w:rStyle w:val="Hyperlink"/>
            <w:noProof/>
            <w:lang w:val="en-GB"/>
          </w:rPr>
          <w:t>Table 27 - The women and the men activity rate 2012</w:t>
        </w:r>
        <w:r w:rsidR="0084725E">
          <w:rPr>
            <w:noProof/>
            <w:webHidden/>
          </w:rPr>
          <w:tab/>
        </w:r>
        <w:r w:rsidR="0084725E">
          <w:rPr>
            <w:noProof/>
            <w:webHidden/>
          </w:rPr>
          <w:fldChar w:fldCharType="begin"/>
        </w:r>
        <w:r w:rsidR="0084725E">
          <w:rPr>
            <w:noProof/>
            <w:webHidden/>
          </w:rPr>
          <w:instrText xml:space="preserve"> PAGEREF _Toc391150124 \h </w:instrText>
        </w:r>
        <w:r w:rsidR="0084725E">
          <w:rPr>
            <w:noProof/>
            <w:webHidden/>
          </w:rPr>
        </w:r>
        <w:r w:rsidR="0084725E">
          <w:rPr>
            <w:noProof/>
            <w:webHidden/>
          </w:rPr>
          <w:fldChar w:fldCharType="separate"/>
        </w:r>
        <w:r>
          <w:rPr>
            <w:noProof/>
            <w:webHidden/>
          </w:rPr>
          <w:t>107</w:t>
        </w:r>
        <w:r w:rsidR="0084725E">
          <w:rPr>
            <w:noProof/>
            <w:webHidden/>
          </w:rPr>
          <w:fldChar w:fldCharType="end"/>
        </w:r>
      </w:hyperlink>
    </w:p>
    <w:p w14:paraId="4A241079"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25" w:history="1">
        <w:r w:rsidR="0084725E" w:rsidRPr="00726D4D">
          <w:rPr>
            <w:rStyle w:val="Hyperlink"/>
            <w:noProof/>
            <w:lang w:val="en-GB"/>
          </w:rPr>
          <w:t>Table 28 - Structure of unemployment by level of education,in the Romanian cross-border area, 2012</w:t>
        </w:r>
        <w:r w:rsidR="0084725E">
          <w:rPr>
            <w:noProof/>
            <w:webHidden/>
          </w:rPr>
          <w:tab/>
        </w:r>
        <w:r w:rsidR="0084725E">
          <w:rPr>
            <w:noProof/>
            <w:webHidden/>
          </w:rPr>
          <w:fldChar w:fldCharType="begin"/>
        </w:r>
        <w:r w:rsidR="0084725E">
          <w:rPr>
            <w:noProof/>
            <w:webHidden/>
          </w:rPr>
          <w:instrText xml:space="preserve"> PAGEREF _Toc391150125 \h </w:instrText>
        </w:r>
        <w:r w:rsidR="0084725E">
          <w:rPr>
            <w:noProof/>
            <w:webHidden/>
          </w:rPr>
        </w:r>
        <w:r w:rsidR="0084725E">
          <w:rPr>
            <w:noProof/>
            <w:webHidden/>
          </w:rPr>
          <w:fldChar w:fldCharType="separate"/>
        </w:r>
        <w:r>
          <w:rPr>
            <w:noProof/>
            <w:webHidden/>
          </w:rPr>
          <w:t>111</w:t>
        </w:r>
        <w:r w:rsidR="0084725E">
          <w:rPr>
            <w:noProof/>
            <w:webHidden/>
          </w:rPr>
          <w:fldChar w:fldCharType="end"/>
        </w:r>
      </w:hyperlink>
    </w:p>
    <w:p w14:paraId="6498BB9C"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26" w:history="1">
        <w:r w:rsidR="0084725E" w:rsidRPr="00726D4D">
          <w:rPr>
            <w:rStyle w:val="Hyperlink"/>
            <w:noProof/>
            <w:lang w:val="en-GB"/>
          </w:rPr>
          <w:t>Table 29 - Structure of youth unemployment by level of education until September 2013</w:t>
        </w:r>
        <w:r w:rsidR="0084725E">
          <w:rPr>
            <w:noProof/>
            <w:webHidden/>
          </w:rPr>
          <w:tab/>
        </w:r>
        <w:r w:rsidR="0084725E">
          <w:rPr>
            <w:noProof/>
            <w:webHidden/>
          </w:rPr>
          <w:fldChar w:fldCharType="begin"/>
        </w:r>
        <w:r w:rsidR="0084725E">
          <w:rPr>
            <w:noProof/>
            <w:webHidden/>
          </w:rPr>
          <w:instrText xml:space="preserve"> PAGEREF _Toc391150126 \h </w:instrText>
        </w:r>
        <w:r w:rsidR="0084725E">
          <w:rPr>
            <w:noProof/>
            <w:webHidden/>
          </w:rPr>
        </w:r>
        <w:r w:rsidR="0084725E">
          <w:rPr>
            <w:noProof/>
            <w:webHidden/>
          </w:rPr>
          <w:fldChar w:fldCharType="separate"/>
        </w:r>
        <w:r>
          <w:rPr>
            <w:noProof/>
            <w:webHidden/>
          </w:rPr>
          <w:t>112</w:t>
        </w:r>
        <w:r w:rsidR="0084725E">
          <w:rPr>
            <w:noProof/>
            <w:webHidden/>
          </w:rPr>
          <w:fldChar w:fldCharType="end"/>
        </w:r>
      </w:hyperlink>
    </w:p>
    <w:p w14:paraId="52623EB7"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27" w:history="1">
        <w:r w:rsidR="0084725E" w:rsidRPr="00726D4D">
          <w:rPr>
            <w:rStyle w:val="Hyperlink"/>
            <w:noProof/>
            <w:lang w:val="en-GB"/>
          </w:rPr>
          <w:t>Table 30 - Average net monthly salary in 2012 (% of the national average, % of the Bucharest average)</w:t>
        </w:r>
        <w:r w:rsidR="0084725E">
          <w:rPr>
            <w:noProof/>
            <w:webHidden/>
          </w:rPr>
          <w:tab/>
        </w:r>
        <w:r w:rsidR="0084725E">
          <w:rPr>
            <w:noProof/>
            <w:webHidden/>
          </w:rPr>
          <w:fldChar w:fldCharType="begin"/>
        </w:r>
        <w:r w:rsidR="0084725E">
          <w:rPr>
            <w:noProof/>
            <w:webHidden/>
          </w:rPr>
          <w:instrText xml:space="preserve"> PAGEREF _Toc391150127 \h </w:instrText>
        </w:r>
        <w:r w:rsidR="0084725E">
          <w:rPr>
            <w:noProof/>
            <w:webHidden/>
          </w:rPr>
        </w:r>
        <w:r w:rsidR="0084725E">
          <w:rPr>
            <w:noProof/>
            <w:webHidden/>
          </w:rPr>
          <w:fldChar w:fldCharType="separate"/>
        </w:r>
        <w:r>
          <w:rPr>
            <w:noProof/>
            <w:webHidden/>
          </w:rPr>
          <w:t>113</w:t>
        </w:r>
        <w:r w:rsidR="0084725E">
          <w:rPr>
            <w:noProof/>
            <w:webHidden/>
          </w:rPr>
          <w:fldChar w:fldCharType="end"/>
        </w:r>
      </w:hyperlink>
    </w:p>
    <w:p w14:paraId="1E0CD3AA"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28" w:history="1">
        <w:r w:rsidR="0084725E" w:rsidRPr="00726D4D">
          <w:rPr>
            <w:rStyle w:val="Hyperlink"/>
            <w:noProof/>
            <w:lang w:val="en-GB"/>
          </w:rPr>
          <w:t>Table 31 - Average monthly salary in 2012 (% of the national average, % of the Sofia capital average)</w:t>
        </w:r>
        <w:r w:rsidR="0084725E">
          <w:rPr>
            <w:noProof/>
            <w:webHidden/>
          </w:rPr>
          <w:tab/>
        </w:r>
        <w:r w:rsidR="0084725E">
          <w:rPr>
            <w:noProof/>
            <w:webHidden/>
          </w:rPr>
          <w:fldChar w:fldCharType="begin"/>
        </w:r>
        <w:r w:rsidR="0084725E">
          <w:rPr>
            <w:noProof/>
            <w:webHidden/>
          </w:rPr>
          <w:instrText xml:space="preserve"> PAGEREF _Toc391150128 \h </w:instrText>
        </w:r>
        <w:r w:rsidR="0084725E">
          <w:rPr>
            <w:noProof/>
            <w:webHidden/>
          </w:rPr>
        </w:r>
        <w:r w:rsidR="0084725E">
          <w:rPr>
            <w:noProof/>
            <w:webHidden/>
          </w:rPr>
          <w:fldChar w:fldCharType="separate"/>
        </w:r>
        <w:r>
          <w:rPr>
            <w:noProof/>
            <w:webHidden/>
          </w:rPr>
          <w:t>115</w:t>
        </w:r>
        <w:r w:rsidR="0084725E">
          <w:rPr>
            <w:noProof/>
            <w:webHidden/>
          </w:rPr>
          <w:fldChar w:fldCharType="end"/>
        </w:r>
      </w:hyperlink>
    </w:p>
    <w:p w14:paraId="6D20EAC9"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29" w:history="1">
        <w:r w:rsidR="0084725E" w:rsidRPr="00726D4D">
          <w:rPr>
            <w:rStyle w:val="Hyperlink"/>
            <w:noProof/>
            <w:lang w:val="en-GB"/>
          </w:rPr>
          <w:t>Table 32 - Proportion of illiterate populationin the Romania-Bulgaria cross-border region, 2011</w:t>
        </w:r>
        <w:r w:rsidR="0084725E">
          <w:rPr>
            <w:noProof/>
            <w:webHidden/>
          </w:rPr>
          <w:tab/>
        </w:r>
        <w:r w:rsidR="0084725E">
          <w:rPr>
            <w:noProof/>
            <w:webHidden/>
          </w:rPr>
          <w:fldChar w:fldCharType="begin"/>
        </w:r>
        <w:r w:rsidR="0084725E">
          <w:rPr>
            <w:noProof/>
            <w:webHidden/>
          </w:rPr>
          <w:instrText xml:space="preserve"> PAGEREF _Toc391150129 \h </w:instrText>
        </w:r>
        <w:r w:rsidR="0084725E">
          <w:rPr>
            <w:noProof/>
            <w:webHidden/>
          </w:rPr>
        </w:r>
        <w:r w:rsidR="0084725E">
          <w:rPr>
            <w:noProof/>
            <w:webHidden/>
          </w:rPr>
          <w:fldChar w:fldCharType="separate"/>
        </w:r>
        <w:r>
          <w:rPr>
            <w:noProof/>
            <w:webHidden/>
          </w:rPr>
          <w:t>119</w:t>
        </w:r>
        <w:r w:rsidR="0084725E">
          <w:rPr>
            <w:noProof/>
            <w:webHidden/>
          </w:rPr>
          <w:fldChar w:fldCharType="end"/>
        </w:r>
      </w:hyperlink>
    </w:p>
    <w:p w14:paraId="22DC0C8B"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30" w:history="1">
        <w:r w:rsidR="0084725E" w:rsidRPr="00726D4D">
          <w:rPr>
            <w:rStyle w:val="Hyperlink"/>
            <w:noProof/>
            <w:lang w:val="en-GB"/>
          </w:rPr>
          <w:t>Table 33 - Number of beds in health establishments in the Bulgarian cross-border area 2008-2012</w:t>
        </w:r>
        <w:r w:rsidR="0084725E">
          <w:rPr>
            <w:noProof/>
            <w:webHidden/>
          </w:rPr>
          <w:tab/>
        </w:r>
        <w:r w:rsidR="0084725E">
          <w:rPr>
            <w:noProof/>
            <w:webHidden/>
          </w:rPr>
          <w:fldChar w:fldCharType="begin"/>
        </w:r>
        <w:r w:rsidR="0084725E">
          <w:rPr>
            <w:noProof/>
            <w:webHidden/>
          </w:rPr>
          <w:instrText xml:space="preserve"> PAGEREF _Toc391150130 \h </w:instrText>
        </w:r>
        <w:r w:rsidR="0084725E">
          <w:rPr>
            <w:noProof/>
            <w:webHidden/>
          </w:rPr>
        </w:r>
        <w:r w:rsidR="0084725E">
          <w:rPr>
            <w:noProof/>
            <w:webHidden/>
          </w:rPr>
          <w:fldChar w:fldCharType="separate"/>
        </w:r>
        <w:r>
          <w:rPr>
            <w:noProof/>
            <w:webHidden/>
          </w:rPr>
          <w:t>121</w:t>
        </w:r>
        <w:r w:rsidR="0084725E">
          <w:rPr>
            <w:noProof/>
            <w:webHidden/>
          </w:rPr>
          <w:fldChar w:fldCharType="end"/>
        </w:r>
      </w:hyperlink>
    </w:p>
    <w:p w14:paraId="6ED9FD25"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31" w:history="1">
        <w:r w:rsidR="0084725E" w:rsidRPr="00726D4D">
          <w:rPr>
            <w:rStyle w:val="Hyperlink"/>
            <w:noProof/>
            <w:lang w:val="en-GB"/>
          </w:rPr>
          <w:t>Table 34 - Number of people per physician and per dentist in 2012 for the Bulgarian cross-border region</w:t>
        </w:r>
        <w:r w:rsidR="0084725E">
          <w:rPr>
            <w:noProof/>
            <w:webHidden/>
          </w:rPr>
          <w:tab/>
        </w:r>
        <w:r w:rsidR="0084725E">
          <w:rPr>
            <w:noProof/>
            <w:webHidden/>
          </w:rPr>
          <w:fldChar w:fldCharType="begin"/>
        </w:r>
        <w:r w:rsidR="0084725E">
          <w:rPr>
            <w:noProof/>
            <w:webHidden/>
          </w:rPr>
          <w:instrText xml:space="preserve"> PAGEREF _Toc391150131 \h </w:instrText>
        </w:r>
        <w:r w:rsidR="0084725E">
          <w:rPr>
            <w:noProof/>
            <w:webHidden/>
          </w:rPr>
        </w:r>
        <w:r w:rsidR="0084725E">
          <w:rPr>
            <w:noProof/>
            <w:webHidden/>
          </w:rPr>
          <w:fldChar w:fldCharType="separate"/>
        </w:r>
        <w:r>
          <w:rPr>
            <w:noProof/>
            <w:webHidden/>
          </w:rPr>
          <w:t>124</w:t>
        </w:r>
        <w:r w:rsidR="0084725E">
          <w:rPr>
            <w:noProof/>
            <w:webHidden/>
          </w:rPr>
          <w:fldChar w:fldCharType="end"/>
        </w:r>
      </w:hyperlink>
    </w:p>
    <w:p w14:paraId="3BD16DAD"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32" w:history="1">
        <w:r w:rsidR="0084725E" w:rsidRPr="00726D4D">
          <w:rPr>
            <w:rStyle w:val="Hyperlink"/>
            <w:noProof/>
            <w:lang w:val="en-GB"/>
          </w:rPr>
          <w:t>Table 35 - Population having houses connected to public facilities/networks for sewage,wastewater treatment  and drinking water</w:t>
        </w:r>
        <w:r w:rsidR="0084725E">
          <w:rPr>
            <w:noProof/>
            <w:webHidden/>
          </w:rPr>
          <w:tab/>
        </w:r>
        <w:r w:rsidR="0084725E">
          <w:rPr>
            <w:noProof/>
            <w:webHidden/>
          </w:rPr>
          <w:fldChar w:fldCharType="begin"/>
        </w:r>
        <w:r w:rsidR="0084725E">
          <w:rPr>
            <w:noProof/>
            <w:webHidden/>
          </w:rPr>
          <w:instrText xml:space="preserve"> PAGEREF _Toc391150132 \h </w:instrText>
        </w:r>
        <w:r w:rsidR="0084725E">
          <w:rPr>
            <w:noProof/>
            <w:webHidden/>
          </w:rPr>
        </w:r>
        <w:r w:rsidR="0084725E">
          <w:rPr>
            <w:noProof/>
            <w:webHidden/>
          </w:rPr>
          <w:fldChar w:fldCharType="separate"/>
        </w:r>
        <w:r>
          <w:rPr>
            <w:noProof/>
            <w:webHidden/>
          </w:rPr>
          <w:t>128</w:t>
        </w:r>
        <w:r w:rsidR="0084725E">
          <w:rPr>
            <w:noProof/>
            <w:webHidden/>
          </w:rPr>
          <w:fldChar w:fldCharType="end"/>
        </w:r>
      </w:hyperlink>
    </w:p>
    <w:p w14:paraId="6C695BA3"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33" w:history="1">
        <w:r w:rsidR="0084725E" w:rsidRPr="00726D4D">
          <w:rPr>
            <w:rStyle w:val="Hyperlink"/>
            <w:noProof/>
            <w:lang w:val="en-GB"/>
          </w:rPr>
          <w:t>Table 36 - GHG emissions by sector (1 000 tonnes of CO</w:t>
        </w:r>
        <w:r w:rsidR="0084725E" w:rsidRPr="00726D4D">
          <w:rPr>
            <w:rStyle w:val="Hyperlink"/>
            <w:noProof/>
            <w:vertAlign w:val="subscript"/>
            <w:lang w:val="en-GB"/>
          </w:rPr>
          <w:t>2</w:t>
        </w:r>
        <w:r w:rsidR="0084725E" w:rsidRPr="00726D4D">
          <w:rPr>
            <w:rStyle w:val="Hyperlink"/>
            <w:noProof/>
            <w:lang w:val="en-GB"/>
          </w:rPr>
          <w:t xml:space="preserve"> equivalent)</w:t>
        </w:r>
        <w:r w:rsidR="0084725E">
          <w:rPr>
            <w:noProof/>
            <w:webHidden/>
          </w:rPr>
          <w:tab/>
        </w:r>
        <w:r w:rsidR="0084725E">
          <w:rPr>
            <w:noProof/>
            <w:webHidden/>
          </w:rPr>
          <w:fldChar w:fldCharType="begin"/>
        </w:r>
        <w:r w:rsidR="0084725E">
          <w:rPr>
            <w:noProof/>
            <w:webHidden/>
          </w:rPr>
          <w:instrText xml:space="preserve"> PAGEREF _Toc391150133 \h </w:instrText>
        </w:r>
        <w:r w:rsidR="0084725E">
          <w:rPr>
            <w:noProof/>
            <w:webHidden/>
          </w:rPr>
        </w:r>
        <w:r w:rsidR="0084725E">
          <w:rPr>
            <w:noProof/>
            <w:webHidden/>
          </w:rPr>
          <w:fldChar w:fldCharType="separate"/>
        </w:r>
        <w:r>
          <w:rPr>
            <w:noProof/>
            <w:webHidden/>
          </w:rPr>
          <w:t>145</w:t>
        </w:r>
        <w:r w:rsidR="0084725E">
          <w:rPr>
            <w:noProof/>
            <w:webHidden/>
          </w:rPr>
          <w:fldChar w:fldCharType="end"/>
        </w:r>
      </w:hyperlink>
    </w:p>
    <w:p w14:paraId="20ED7B98"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34" w:history="1">
        <w:r w:rsidR="0084725E" w:rsidRPr="00726D4D">
          <w:rPr>
            <w:rStyle w:val="Hyperlink"/>
            <w:noProof/>
            <w:lang w:val="en-GB"/>
          </w:rPr>
          <w:t>Table 37 - Gross inland consumption of primary energy (tonnes of oil equivalent)</w:t>
        </w:r>
        <w:r w:rsidR="0084725E">
          <w:rPr>
            <w:noProof/>
            <w:webHidden/>
          </w:rPr>
          <w:tab/>
        </w:r>
        <w:r w:rsidR="0084725E">
          <w:rPr>
            <w:noProof/>
            <w:webHidden/>
          </w:rPr>
          <w:fldChar w:fldCharType="begin"/>
        </w:r>
        <w:r w:rsidR="0084725E">
          <w:rPr>
            <w:noProof/>
            <w:webHidden/>
          </w:rPr>
          <w:instrText xml:space="preserve"> PAGEREF _Toc391150134 \h </w:instrText>
        </w:r>
        <w:r w:rsidR="0084725E">
          <w:rPr>
            <w:noProof/>
            <w:webHidden/>
          </w:rPr>
        </w:r>
        <w:r w:rsidR="0084725E">
          <w:rPr>
            <w:noProof/>
            <w:webHidden/>
          </w:rPr>
          <w:fldChar w:fldCharType="separate"/>
        </w:r>
        <w:r>
          <w:rPr>
            <w:noProof/>
            <w:webHidden/>
          </w:rPr>
          <w:t>153</w:t>
        </w:r>
        <w:r w:rsidR="0084725E">
          <w:rPr>
            <w:noProof/>
            <w:webHidden/>
          </w:rPr>
          <w:fldChar w:fldCharType="end"/>
        </w:r>
      </w:hyperlink>
    </w:p>
    <w:p w14:paraId="51AB47F7"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35" w:history="1">
        <w:r w:rsidR="0084725E" w:rsidRPr="00726D4D">
          <w:rPr>
            <w:rStyle w:val="Hyperlink"/>
            <w:noProof/>
            <w:lang w:val="en-GB"/>
          </w:rPr>
          <w:t>Table 38 - Final energy consumption by sector (1000 tonnes of oil equivalent)</w:t>
        </w:r>
        <w:r w:rsidR="0084725E">
          <w:rPr>
            <w:noProof/>
            <w:webHidden/>
          </w:rPr>
          <w:tab/>
        </w:r>
        <w:r w:rsidR="0084725E">
          <w:rPr>
            <w:noProof/>
            <w:webHidden/>
          </w:rPr>
          <w:fldChar w:fldCharType="begin"/>
        </w:r>
        <w:r w:rsidR="0084725E">
          <w:rPr>
            <w:noProof/>
            <w:webHidden/>
          </w:rPr>
          <w:instrText xml:space="preserve"> PAGEREF _Toc391150135 \h </w:instrText>
        </w:r>
        <w:r w:rsidR="0084725E">
          <w:rPr>
            <w:noProof/>
            <w:webHidden/>
          </w:rPr>
        </w:r>
        <w:r w:rsidR="0084725E">
          <w:rPr>
            <w:noProof/>
            <w:webHidden/>
          </w:rPr>
          <w:fldChar w:fldCharType="separate"/>
        </w:r>
        <w:r>
          <w:rPr>
            <w:noProof/>
            <w:webHidden/>
          </w:rPr>
          <w:t>154</w:t>
        </w:r>
        <w:r w:rsidR="0084725E">
          <w:rPr>
            <w:noProof/>
            <w:webHidden/>
          </w:rPr>
          <w:fldChar w:fldCharType="end"/>
        </w:r>
      </w:hyperlink>
    </w:p>
    <w:p w14:paraId="32F4AF17"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36" w:history="1">
        <w:r w:rsidR="0084725E" w:rsidRPr="00726D4D">
          <w:rPr>
            <w:rStyle w:val="Hyperlink"/>
            <w:noProof/>
            <w:lang w:val="en-GB"/>
          </w:rPr>
          <w:t>Table 39 - Energy production (1000 tonnes of oil equivalent)</w:t>
        </w:r>
        <w:r w:rsidR="0084725E">
          <w:rPr>
            <w:noProof/>
            <w:webHidden/>
          </w:rPr>
          <w:tab/>
        </w:r>
        <w:r w:rsidR="0084725E">
          <w:rPr>
            <w:noProof/>
            <w:webHidden/>
          </w:rPr>
          <w:fldChar w:fldCharType="begin"/>
        </w:r>
        <w:r w:rsidR="0084725E">
          <w:rPr>
            <w:noProof/>
            <w:webHidden/>
          </w:rPr>
          <w:instrText xml:space="preserve"> PAGEREF _Toc391150136 \h </w:instrText>
        </w:r>
        <w:r w:rsidR="0084725E">
          <w:rPr>
            <w:noProof/>
            <w:webHidden/>
          </w:rPr>
        </w:r>
        <w:r w:rsidR="0084725E">
          <w:rPr>
            <w:noProof/>
            <w:webHidden/>
          </w:rPr>
          <w:fldChar w:fldCharType="separate"/>
        </w:r>
        <w:r>
          <w:rPr>
            <w:noProof/>
            <w:webHidden/>
          </w:rPr>
          <w:t>154</w:t>
        </w:r>
        <w:r w:rsidR="0084725E">
          <w:rPr>
            <w:noProof/>
            <w:webHidden/>
          </w:rPr>
          <w:fldChar w:fldCharType="end"/>
        </w:r>
      </w:hyperlink>
    </w:p>
    <w:p w14:paraId="6FEDCF75"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37" w:history="1">
        <w:r w:rsidR="0084725E" w:rsidRPr="00726D4D">
          <w:rPr>
            <w:rStyle w:val="Hyperlink"/>
            <w:noProof/>
            <w:lang w:val="en-GB"/>
          </w:rPr>
          <w:t>Table 40 - Electricity production (million KWh)</w:t>
        </w:r>
        <w:r w:rsidR="0084725E">
          <w:rPr>
            <w:noProof/>
            <w:webHidden/>
          </w:rPr>
          <w:tab/>
        </w:r>
        <w:r w:rsidR="0084725E">
          <w:rPr>
            <w:noProof/>
            <w:webHidden/>
          </w:rPr>
          <w:fldChar w:fldCharType="begin"/>
        </w:r>
        <w:r w:rsidR="0084725E">
          <w:rPr>
            <w:noProof/>
            <w:webHidden/>
          </w:rPr>
          <w:instrText xml:space="preserve"> PAGEREF _Toc391150137 \h </w:instrText>
        </w:r>
        <w:r w:rsidR="0084725E">
          <w:rPr>
            <w:noProof/>
            <w:webHidden/>
          </w:rPr>
        </w:r>
        <w:r w:rsidR="0084725E">
          <w:rPr>
            <w:noProof/>
            <w:webHidden/>
          </w:rPr>
          <w:fldChar w:fldCharType="separate"/>
        </w:r>
        <w:r>
          <w:rPr>
            <w:noProof/>
            <w:webHidden/>
          </w:rPr>
          <w:t>155</w:t>
        </w:r>
        <w:r w:rsidR="0084725E">
          <w:rPr>
            <w:noProof/>
            <w:webHidden/>
          </w:rPr>
          <w:fldChar w:fldCharType="end"/>
        </w:r>
      </w:hyperlink>
    </w:p>
    <w:p w14:paraId="113CADFF"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38" w:history="1">
        <w:r w:rsidR="0084725E" w:rsidRPr="00726D4D">
          <w:rPr>
            <w:rStyle w:val="Hyperlink"/>
            <w:noProof/>
            <w:lang w:val="en-GB"/>
          </w:rPr>
          <w:t>Table 41 - Energy intensity (kilogram of oil equivalent /1000 Euro)</w:t>
        </w:r>
        <w:r w:rsidR="0084725E">
          <w:rPr>
            <w:noProof/>
            <w:webHidden/>
          </w:rPr>
          <w:tab/>
        </w:r>
        <w:r w:rsidR="0084725E">
          <w:rPr>
            <w:noProof/>
            <w:webHidden/>
          </w:rPr>
          <w:fldChar w:fldCharType="begin"/>
        </w:r>
        <w:r w:rsidR="0084725E">
          <w:rPr>
            <w:noProof/>
            <w:webHidden/>
          </w:rPr>
          <w:instrText xml:space="preserve"> PAGEREF _Toc391150138 \h </w:instrText>
        </w:r>
        <w:r w:rsidR="0084725E">
          <w:rPr>
            <w:noProof/>
            <w:webHidden/>
          </w:rPr>
        </w:r>
        <w:r w:rsidR="0084725E">
          <w:rPr>
            <w:noProof/>
            <w:webHidden/>
          </w:rPr>
          <w:fldChar w:fldCharType="separate"/>
        </w:r>
        <w:r>
          <w:rPr>
            <w:noProof/>
            <w:webHidden/>
          </w:rPr>
          <w:t>155</w:t>
        </w:r>
        <w:r w:rsidR="0084725E">
          <w:rPr>
            <w:noProof/>
            <w:webHidden/>
          </w:rPr>
          <w:fldChar w:fldCharType="end"/>
        </w:r>
      </w:hyperlink>
    </w:p>
    <w:p w14:paraId="5FEBD817"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39" w:history="1">
        <w:r w:rsidR="0084725E" w:rsidRPr="00726D4D">
          <w:rPr>
            <w:rStyle w:val="Hyperlink"/>
            <w:noProof/>
            <w:lang w:val="en-GB"/>
          </w:rPr>
          <w:t>Table 42 - Energy dependence (%)</w:t>
        </w:r>
        <w:r w:rsidR="0084725E">
          <w:rPr>
            <w:noProof/>
            <w:webHidden/>
          </w:rPr>
          <w:tab/>
        </w:r>
        <w:r w:rsidR="0084725E">
          <w:rPr>
            <w:noProof/>
            <w:webHidden/>
          </w:rPr>
          <w:fldChar w:fldCharType="begin"/>
        </w:r>
        <w:r w:rsidR="0084725E">
          <w:rPr>
            <w:noProof/>
            <w:webHidden/>
          </w:rPr>
          <w:instrText xml:space="preserve"> PAGEREF _Toc391150139 \h </w:instrText>
        </w:r>
        <w:r w:rsidR="0084725E">
          <w:rPr>
            <w:noProof/>
            <w:webHidden/>
          </w:rPr>
        </w:r>
        <w:r w:rsidR="0084725E">
          <w:rPr>
            <w:noProof/>
            <w:webHidden/>
          </w:rPr>
          <w:fldChar w:fldCharType="separate"/>
        </w:r>
        <w:r>
          <w:rPr>
            <w:noProof/>
            <w:webHidden/>
          </w:rPr>
          <w:t>156</w:t>
        </w:r>
        <w:r w:rsidR="0084725E">
          <w:rPr>
            <w:noProof/>
            <w:webHidden/>
          </w:rPr>
          <w:fldChar w:fldCharType="end"/>
        </w:r>
      </w:hyperlink>
    </w:p>
    <w:p w14:paraId="75CDDCFE"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40" w:history="1">
        <w:r w:rsidR="0084725E" w:rsidRPr="00726D4D">
          <w:rPr>
            <w:rStyle w:val="Hyperlink"/>
            <w:noProof/>
            <w:lang w:val="en-GB"/>
          </w:rPr>
          <w:t>Table 43 - Share of renewable energy in gross final energy consumption (%)</w:t>
        </w:r>
        <w:r w:rsidR="0084725E">
          <w:rPr>
            <w:noProof/>
            <w:webHidden/>
          </w:rPr>
          <w:tab/>
        </w:r>
        <w:r w:rsidR="0084725E">
          <w:rPr>
            <w:noProof/>
            <w:webHidden/>
          </w:rPr>
          <w:fldChar w:fldCharType="begin"/>
        </w:r>
        <w:r w:rsidR="0084725E">
          <w:rPr>
            <w:noProof/>
            <w:webHidden/>
          </w:rPr>
          <w:instrText xml:space="preserve"> PAGEREF _Toc391150140 \h </w:instrText>
        </w:r>
        <w:r w:rsidR="0084725E">
          <w:rPr>
            <w:noProof/>
            <w:webHidden/>
          </w:rPr>
        </w:r>
        <w:r w:rsidR="0084725E">
          <w:rPr>
            <w:noProof/>
            <w:webHidden/>
          </w:rPr>
          <w:fldChar w:fldCharType="separate"/>
        </w:r>
        <w:r>
          <w:rPr>
            <w:noProof/>
            <w:webHidden/>
          </w:rPr>
          <w:t>156</w:t>
        </w:r>
        <w:r w:rsidR="0084725E">
          <w:rPr>
            <w:noProof/>
            <w:webHidden/>
          </w:rPr>
          <w:fldChar w:fldCharType="end"/>
        </w:r>
      </w:hyperlink>
    </w:p>
    <w:p w14:paraId="75A3F907"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41" w:history="1">
        <w:r w:rsidR="0084725E" w:rsidRPr="00726D4D">
          <w:rPr>
            <w:rStyle w:val="Hyperlink"/>
            <w:noProof/>
            <w:lang w:val="en-GB"/>
          </w:rPr>
          <w:t>Table 44 – Primary production of renewable energy (1000 tonnes of oil equivalent)</w:t>
        </w:r>
        <w:r w:rsidR="0084725E">
          <w:rPr>
            <w:noProof/>
            <w:webHidden/>
          </w:rPr>
          <w:tab/>
        </w:r>
        <w:r w:rsidR="0084725E">
          <w:rPr>
            <w:noProof/>
            <w:webHidden/>
          </w:rPr>
          <w:fldChar w:fldCharType="begin"/>
        </w:r>
        <w:r w:rsidR="0084725E">
          <w:rPr>
            <w:noProof/>
            <w:webHidden/>
          </w:rPr>
          <w:instrText xml:space="preserve"> PAGEREF _Toc391150141 \h </w:instrText>
        </w:r>
        <w:r w:rsidR="0084725E">
          <w:rPr>
            <w:noProof/>
            <w:webHidden/>
          </w:rPr>
        </w:r>
        <w:r w:rsidR="0084725E">
          <w:rPr>
            <w:noProof/>
            <w:webHidden/>
          </w:rPr>
          <w:fldChar w:fldCharType="separate"/>
        </w:r>
        <w:r>
          <w:rPr>
            <w:noProof/>
            <w:webHidden/>
          </w:rPr>
          <w:t>157</w:t>
        </w:r>
        <w:r w:rsidR="0084725E">
          <w:rPr>
            <w:noProof/>
            <w:webHidden/>
          </w:rPr>
          <w:fldChar w:fldCharType="end"/>
        </w:r>
      </w:hyperlink>
    </w:p>
    <w:p w14:paraId="2E956C04"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42" w:history="1">
        <w:r w:rsidR="0084725E" w:rsidRPr="00726D4D">
          <w:rPr>
            <w:rStyle w:val="Hyperlink"/>
            <w:noProof/>
            <w:lang w:val="en-GB"/>
          </w:rPr>
          <w:t>Table 45 - Share of renewable energy in fuel consumption of transport (%)</w:t>
        </w:r>
        <w:r w:rsidR="0084725E">
          <w:rPr>
            <w:noProof/>
            <w:webHidden/>
          </w:rPr>
          <w:tab/>
        </w:r>
        <w:r w:rsidR="0084725E">
          <w:rPr>
            <w:noProof/>
            <w:webHidden/>
          </w:rPr>
          <w:fldChar w:fldCharType="begin"/>
        </w:r>
        <w:r w:rsidR="0084725E">
          <w:rPr>
            <w:noProof/>
            <w:webHidden/>
          </w:rPr>
          <w:instrText xml:space="preserve"> PAGEREF _Toc391150142 \h </w:instrText>
        </w:r>
        <w:r w:rsidR="0084725E">
          <w:rPr>
            <w:noProof/>
            <w:webHidden/>
          </w:rPr>
        </w:r>
        <w:r w:rsidR="0084725E">
          <w:rPr>
            <w:noProof/>
            <w:webHidden/>
          </w:rPr>
          <w:fldChar w:fldCharType="separate"/>
        </w:r>
        <w:r>
          <w:rPr>
            <w:noProof/>
            <w:webHidden/>
          </w:rPr>
          <w:t>157</w:t>
        </w:r>
        <w:r w:rsidR="0084725E">
          <w:rPr>
            <w:noProof/>
            <w:webHidden/>
          </w:rPr>
          <w:fldChar w:fldCharType="end"/>
        </w:r>
      </w:hyperlink>
    </w:p>
    <w:p w14:paraId="355DB3A4"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43" w:history="1">
        <w:r w:rsidR="0084725E" w:rsidRPr="00726D4D">
          <w:rPr>
            <w:rStyle w:val="Hyperlink"/>
            <w:noProof/>
            <w:lang w:val="en-GB"/>
          </w:rPr>
          <w:t>Table 46 -  Inability to keep the home adequately warm (% of the total population)</w:t>
        </w:r>
        <w:r w:rsidR="0084725E">
          <w:rPr>
            <w:noProof/>
            <w:webHidden/>
          </w:rPr>
          <w:tab/>
        </w:r>
        <w:r w:rsidR="0084725E">
          <w:rPr>
            <w:noProof/>
            <w:webHidden/>
          </w:rPr>
          <w:fldChar w:fldCharType="begin"/>
        </w:r>
        <w:r w:rsidR="0084725E">
          <w:rPr>
            <w:noProof/>
            <w:webHidden/>
          </w:rPr>
          <w:instrText xml:space="preserve"> PAGEREF _Toc391150143 \h </w:instrText>
        </w:r>
        <w:r w:rsidR="0084725E">
          <w:rPr>
            <w:noProof/>
            <w:webHidden/>
          </w:rPr>
        </w:r>
        <w:r w:rsidR="0084725E">
          <w:rPr>
            <w:noProof/>
            <w:webHidden/>
          </w:rPr>
          <w:fldChar w:fldCharType="separate"/>
        </w:r>
        <w:r>
          <w:rPr>
            <w:noProof/>
            <w:webHidden/>
          </w:rPr>
          <w:t>159</w:t>
        </w:r>
        <w:r w:rsidR="0084725E">
          <w:rPr>
            <w:noProof/>
            <w:webHidden/>
          </w:rPr>
          <w:fldChar w:fldCharType="end"/>
        </w:r>
      </w:hyperlink>
    </w:p>
    <w:p w14:paraId="66C15A6A"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44" w:history="1">
        <w:r w:rsidR="0084725E" w:rsidRPr="00726D4D">
          <w:rPr>
            <w:rStyle w:val="Hyperlink"/>
            <w:noProof/>
            <w:lang w:val="en-GB"/>
          </w:rPr>
          <w:t>Table 47 – Energy consumption per dwelling at normal climate (tonnes of oil equivalent/dwelling)</w:t>
        </w:r>
        <w:r w:rsidR="0084725E">
          <w:rPr>
            <w:noProof/>
            <w:webHidden/>
          </w:rPr>
          <w:tab/>
        </w:r>
        <w:r w:rsidR="0084725E">
          <w:rPr>
            <w:noProof/>
            <w:webHidden/>
          </w:rPr>
          <w:fldChar w:fldCharType="begin"/>
        </w:r>
        <w:r w:rsidR="0084725E">
          <w:rPr>
            <w:noProof/>
            <w:webHidden/>
          </w:rPr>
          <w:instrText xml:space="preserve"> PAGEREF _Toc391150144 \h </w:instrText>
        </w:r>
        <w:r w:rsidR="0084725E">
          <w:rPr>
            <w:noProof/>
            <w:webHidden/>
          </w:rPr>
        </w:r>
        <w:r w:rsidR="0084725E">
          <w:rPr>
            <w:noProof/>
            <w:webHidden/>
          </w:rPr>
          <w:fldChar w:fldCharType="separate"/>
        </w:r>
        <w:r>
          <w:rPr>
            <w:noProof/>
            <w:webHidden/>
          </w:rPr>
          <w:t>159</w:t>
        </w:r>
        <w:r w:rsidR="0084725E">
          <w:rPr>
            <w:noProof/>
            <w:webHidden/>
          </w:rPr>
          <w:fldChar w:fldCharType="end"/>
        </w:r>
      </w:hyperlink>
    </w:p>
    <w:p w14:paraId="22B68B6C"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45" w:history="1">
        <w:r w:rsidR="0084725E" w:rsidRPr="00726D4D">
          <w:rPr>
            <w:rStyle w:val="Hyperlink"/>
            <w:noProof/>
            <w:lang w:val="en-GB"/>
          </w:rPr>
          <w:t>Table 48 - Annual forest feelings, Romania (1000m3)</w:t>
        </w:r>
        <w:r w:rsidR="0084725E">
          <w:rPr>
            <w:noProof/>
            <w:webHidden/>
          </w:rPr>
          <w:tab/>
        </w:r>
        <w:r w:rsidR="0084725E">
          <w:rPr>
            <w:noProof/>
            <w:webHidden/>
          </w:rPr>
          <w:fldChar w:fldCharType="begin"/>
        </w:r>
        <w:r w:rsidR="0084725E">
          <w:rPr>
            <w:noProof/>
            <w:webHidden/>
          </w:rPr>
          <w:instrText xml:space="preserve"> PAGEREF _Toc391150145 \h </w:instrText>
        </w:r>
        <w:r w:rsidR="0084725E">
          <w:rPr>
            <w:noProof/>
            <w:webHidden/>
          </w:rPr>
        </w:r>
        <w:r w:rsidR="0084725E">
          <w:rPr>
            <w:noProof/>
            <w:webHidden/>
          </w:rPr>
          <w:fldChar w:fldCharType="separate"/>
        </w:r>
        <w:r>
          <w:rPr>
            <w:noProof/>
            <w:webHidden/>
          </w:rPr>
          <w:t>168</w:t>
        </w:r>
        <w:r w:rsidR="0084725E">
          <w:rPr>
            <w:noProof/>
            <w:webHidden/>
          </w:rPr>
          <w:fldChar w:fldCharType="end"/>
        </w:r>
      </w:hyperlink>
    </w:p>
    <w:p w14:paraId="500F6BD3"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46" w:history="1">
        <w:r w:rsidR="0084725E" w:rsidRPr="00726D4D">
          <w:rPr>
            <w:rStyle w:val="Hyperlink"/>
            <w:noProof/>
            <w:lang w:val="en-GB"/>
          </w:rPr>
          <w:t>Table 49 - Main protected areas in the cross-border region</w:t>
        </w:r>
        <w:r w:rsidR="0084725E">
          <w:rPr>
            <w:noProof/>
            <w:webHidden/>
          </w:rPr>
          <w:tab/>
        </w:r>
        <w:r w:rsidR="0084725E">
          <w:rPr>
            <w:noProof/>
            <w:webHidden/>
          </w:rPr>
          <w:fldChar w:fldCharType="begin"/>
        </w:r>
        <w:r w:rsidR="0084725E">
          <w:rPr>
            <w:noProof/>
            <w:webHidden/>
          </w:rPr>
          <w:instrText xml:space="preserve"> PAGEREF _Toc391150146 \h </w:instrText>
        </w:r>
        <w:r w:rsidR="0084725E">
          <w:rPr>
            <w:noProof/>
            <w:webHidden/>
          </w:rPr>
        </w:r>
        <w:r w:rsidR="0084725E">
          <w:rPr>
            <w:noProof/>
            <w:webHidden/>
          </w:rPr>
          <w:fldChar w:fldCharType="separate"/>
        </w:r>
        <w:r>
          <w:rPr>
            <w:noProof/>
            <w:webHidden/>
          </w:rPr>
          <w:t>170</w:t>
        </w:r>
        <w:r w:rsidR="0084725E">
          <w:rPr>
            <w:noProof/>
            <w:webHidden/>
          </w:rPr>
          <w:fldChar w:fldCharType="end"/>
        </w:r>
      </w:hyperlink>
    </w:p>
    <w:p w14:paraId="7AA86354"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47" w:history="1">
        <w:r w:rsidR="0084725E" w:rsidRPr="00726D4D">
          <w:rPr>
            <w:rStyle w:val="Hyperlink"/>
            <w:noProof/>
            <w:lang w:val="en-GB"/>
          </w:rPr>
          <w:t>Table 50 - Population connected to water supplying, sewage, wastewater treatment services (2011), %</w:t>
        </w:r>
        <w:r w:rsidR="0084725E">
          <w:rPr>
            <w:noProof/>
            <w:webHidden/>
          </w:rPr>
          <w:tab/>
        </w:r>
        <w:r w:rsidR="0084725E">
          <w:rPr>
            <w:noProof/>
            <w:webHidden/>
          </w:rPr>
          <w:fldChar w:fldCharType="begin"/>
        </w:r>
        <w:r w:rsidR="0084725E">
          <w:rPr>
            <w:noProof/>
            <w:webHidden/>
          </w:rPr>
          <w:instrText xml:space="preserve"> PAGEREF _Toc391150147 \h </w:instrText>
        </w:r>
        <w:r w:rsidR="0084725E">
          <w:rPr>
            <w:noProof/>
            <w:webHidden/>
          </w:rPr>
        </w:r>
        <w:r w:rsidR="0084725E">
          <w:rPr>
            <w:noProof/>
            <w:webHidden/>
          </w:rPr>
          <w:fldChar w:fldCharType="separate"/>
        </w:r>
        <w:r>
          <w:rPr>
            <w:noProof/>
            <w:webHidden/>
          </w:rPr>
          <w:t>174</w:t>
        </w:r>
        <w:r w:rsidR="0084725E">
          <w:rPr>
            <w:noProof/>
            <w:webHidden/>
          </w:rPr>
          <w:fldChar w:fldCharType="end"/>
        </w:r>
      </w:hyperlink>
    </w:p>
    <w:p w14:paraId="28F77A03"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48" w:history="1">
        <w:r w:rsidR="0084725E" w:rsidRPr="00726D4D">
          <w:rPr>
            <w:rStyle w:val="Hyperlink"/>
            <w:noProof/>
            <w:lang w:val="en-GB"/>
          </w:rPr>
          <w:t>Table 51 - Population access to wastewater treatment plants (2009)</w:t>
        </w:r>
        <w:r w:rsidR="0084725E">
          <w:rPr>
            <w:noProof/>
            <w:webHidden/>
          </w:rPr>
          <w:tab/>
        </w:r>
        <w:r w:rsidR="0084725E">
          <w:rPr>
            <w:noProof/>
            <w:webHidden/>
          </w:rPr>
          <w:fldChar w:fldCharType="begin"/>
        </w:r>
        <w:r w:rsidR="0084725E">
          <w:rPr>
            <w:noProof/>
            <w:webHidden/>
          </w:rPr>
          <w:instrText xml:space="preserve"> PAGEREF _Toc391150148 \h </w:instrText>
        </w:r>
        <w:r w:rsidR="0084725E">
          <w:rPr>
            <w:noProof/>
            <w:webHidden/>
          </w:rPr>
        </w:r>
        <w:r w:rsidR="0084725E">
          <w:rPr>
            <w:noProof/>
            <w:webHidden/>
          </w:rPr>
          <w:fldChar w:fldCharType="separate"/>
        </w:r>
        <w:r>
          <w:rPr>
            <w:noProof/>
            <w:webHidden/>
          </w:rPr>
          <w:t>175</w:t>
        </w:r>
        <w:r w:rsidR="0084725E">
          <w:rPr>
            <w:noProof/>
            <w:webHidden/>
          </w:rPr>
          <w:fldChar w:fldCharType="end"/>
        </w:r>
      </w:hyperlink>
    </w:p>
    <w:p w14:paraId="39109F87"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49" w:history="1">
        <w:r w:rsidR="0084725E" w:rsidRPr="00726D4D">
          <w:rPr>
            <w:rStyle w:val="Hyperlink"/>
            <w:noProof/>
            <w:lang w:val="en-GB"/>
          </w:rPr>
          <w:t>Table 52 - Systems for organised collection of municipal waste (2011), Bulgarian cross-border region</w:t>
        </w:r>
        <w:r w:rsidR="0084725E">
          <w:rPr>
            <w:noProof/>
            <w:webHidden/>
          </w:rPr>
          <w:tab/>
        </w:r>
        <w:r w:rsidR="0084725E">
          <w:rPr>
            <w:noProof/>
            <w:webHidden/>
          </w:rPr>
          <w:fldChar w:fldCharType="begin"/>
        </w:r>
        <w:r w:rsidR="0084725E">
          <w:rPr>
            <w:noProof/>
            <w:webHidden/>
          </w:rPr>
          <w:instrText xml:space="preserve"> PAGEREF _Toc391150149 \h </w:instrText>
        </w:r>
        <w:r w:rsidR="0084725E">
          <w:rPr>
            <w:noProof/>
            <w:webHidden/>
          </w:rPr>
        </w:r>
        <w:r w:rsidR="0084725E">
          <w:rPr>
            <w:noProof/>
            <w:webHidden/>
          </w:rPr>
          <w:fldChar w:fldCharType="separate"/>
        </w:r>
        <w:r>
          <w:rPr>
            <w:noProof/>
            <w:webHidden/>
          </w:rPr>
          <w:t>176</w:t>
        </w:r>
        <w:r w:rsidR="0084725E">
          <w:rPr>
            <w:noProof/>
            <w:webHidden/>
          </w:rPr>
          <w:fldChar w:fldCharType="end"/>
        </w:r>
      </w:hyperlink>
    </w:p>
    <w:p w14:paraId="4DC4E119"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50" w:history="1">
        <w:r w:rsidR="0084725E" w:rsidRPr="00726D4D">
          <w:rPr>
            <w:rStyle w:val="Hyperlink"/>
            <w:noProof/>
            <w:lang w:val="en-GB"/>
          </w:rPr>
          <w:t>Table 53 - Systems for organised collection of municipal waste, Romanian cross-border region</w:t>
        </w:r>
        <w:r w:rsidR="0084725E">
          <w:rPr>
            <w:noProof/>
            <w:webHidden/>
          </w:rPr>
          <w:tab/>
        </w:r>
        <w:r w:rsidR="0084725E">
          <w:rPr>
            <w:noProof/>
            <w:webHidden/>
          </w:rPr>
          <w:fldChar w:fldCharType="begin"/>
        </w:r>
        <w:r w:rsidR="0084725E">
          <w:rPr>
            <w:noProof/>
            <w:webHidden/>
          </w:rPr>
          <w:instrText xml:space="preserve"> PAGEREF _Toc391150150 \h </w:instrText>
        </w:r>
        <w:r w:rsidR="0084725E">
          <w:rPr>
            <w:noProof/>
            <w:webHidden/>
          </w:rPr>
        </w:r>
        <w:r w:rsidR="0084725E">
          <w:rPr>
            <w:noProof/>
            <w:webHidden/>
          </w:rPr>
          <w:fldChar w:fldCharType="separate"/>
        </w:r>
        <w:r>
          <w:rPr>
            <w:noProof/>
            <w:webHidden/>
          </w:rPr>
          <w:t>177</w:t>
        </w:r>
        <w:r w:rsidR="0084725E">
          <w:rPr>
            <w:noProof/>
            <w:webHidden/>
          </w:rPr>
          <w:fldChar w:fldCharType="end"/>
        </w:r>
      </w:hyperlink>
    </w:p>
    <w:p w14:paraId="14FC5ADF"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51" w:history="1">
        <w:r w:rsidR="0084725E" w:rsidRPr="00726D4D">
          <w:rPr>
            <w:rStyle w:val="Hyperlink"/>
            <w:noProof/>
            <w:lang w:val="en-GB"/>
          </w:rPr>
          <w:t>Table 54 - The territorial division of Bulgaria on the basis of the NUTS classification</w:t>
        </w:r>
        <w:r w:rsidR="0084725E">
          <w:rPr>
            <w:noProof/>
            <w:webHidden/>
          </w:rPr>
          <w:tab/>
        </w:r>
        <w:r w:rsidR="0084725E">
          <w:rPr>
            <w:noProof/>
            <w:webHidden/>
          </w:rPr>
          <w:fldChar w:fldCharType="begin"/>
        </w:r>
        <w:r w:rsidR="0084725E">
          <w:rPr>
            <w:noProof/>
            <w:webHidden/>
          </w:rPr>
          <w:instrText xml:space="preserve"> PAGEREF _Toc391150151 \h </w:instrText>
        </w:r>
        <w:r w:rsidR="0084725E">
          <w:rPr>
            <w:noProof/>
            <w:webHidden/>
          </w:rPr>
        </w:r>
        <w:r w:rsidR="0084725E">
          <w:rPr>
            <w:noProof/>
            <w:webHidden/>
          </w:rPr>
          <w:fldChar w:fldCharType="separate"/>
        </w:r>
        <w:r>
          <w:rPr>
            <w:noProof/>
            <w:webHidden/>
          </w:rPr>
          <w:t>187</w:t>
        </w:r>
        <w:r w:rsidR="0084725E">
          <w:rPr>
            <w:noProof/>
            <w:webHidden/>
          </w:rPr>
          <w:fldChar w:fldCharType="end"/>
        </w:r>
      </w:hyperlink>
    </w:p>
    <w:p w14:paraId="3036C7DF"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52" w:history="1">
        <w:r w:rsidR="0084725E" w:rsidRPr="00726D4D">
          <w:rPr>
            <w:rStyle w:val="Hyperlink"/>
            <w:noProof/>
            <w:lang w:val="en-GB"/>
          </w:rPr>
          <w:t>Table 55 - Territorial structure of local administration in Romania</w:t>
        </w:r>
        <w:r w:rsidR="0084725E">
          <w:rPr>
            <w:noProof/>
            <w:webHidden/>
          </w:rPr>
          <w:tab/>
        </w:r>
        <w:r w:rsidR="0084725E">
          <w:rPr>
            <w:noProof/>
            <w:webHidden/>
          </w:rPr>
          <w:fldChar w:fldCharType="begin"/>
        </w:r>
        <w:r w:rsidR="0084725E">
          <w:rPr>
            <w:noProof/>
            <w:webHidden/>
          </w:rPr>
          <w:instrText xml:space="preserve"> PAGEREF _Toc391150152 \h </w:instrText>
        </w:r>
        <w:r w:rsidR="0084725E">
          <w:rPr>
            <w:noProof/>
            <w:webHidden/>
          </w:rPr>
        </w:r>
        <w:r w:rsidR="0084725E">
          <w:rPr>
            <w:noProof/>
            <w:webHidden/>
          </w:rPr>
          <w:fldChar w:fldCharType="separate"/>
        </w:r>
        <w:r>
          <w:rPr>
            <w:noProof/>
            <w:webHidden/>
          </w:rPr>
          <w:t>188</w:t>
        </w:r>
        <w:r w:rsidR="0084725E">
          <w:rPr>
            <w:noProof/>
            <w:webHidden/>
          </w:rPr>
          <w:fldChar w:fldCharType="end"/>
        </w:r>
      </w:hyperlink>
    </w:p>
    <w:p w14:paraId="409E8BF4"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53" w:history="1">
        <w:r w:rsidR="0084725E" w:rsidRPr="00726D4D">
          <w:rPr>
            <w:rStyle w:val="Hyperlink"/>
            <w:noProof/>
            <w:lang w:val="en-GB"/>
          </w:rPr>
          <w:t>Table 56 - The division of responsibilities in Romania</w:t>
        </w:r>
        <w:r w:rsidR="0084725E">
          <w:rPr>
            <w:noProof/>
            <w:webHidden/>
          </w:rPr>
          <w:tab/>
        </w:r>
        <w:r w:rsidR="0084725E">
          <w:rPr>
            <w:noProof/>
            <w:webHidden/>
          </w:rPr>
          <w:fldChar w:fldCharType="begin"/>
        </w:r>
        <w:r w:rsidR="0084725E">
          <w:rPr>
            <w:noProof/>
            <w:webHidden/>
          </w:rPr>
          <w:instrText xml:space="preserve"> PAGEREF _Toc391150153 \h </w:instrText>
        </w:r>
        <w:r w:rsidR="0084725E">
          <w:rPr>
            <w:noProof/>
            <w:webHidden/>
          </w:rPr>
        </w:r>
        <w:r w:rsidR="0084725E">
          <w:rPr>
            <w:noProof/>
            <w:webHidden/>
          </w:rPr>
          <w:fldChar w:fldCharType="separate"/>
        </w:r>
        <w:r>
          <w:rPr>
            <w:noProof/>
            <w:webHidden/>
          </w:rPr>
          <w:t>189</w:t>
        </w:r>
        <w:r w:rsidR="0084725E">
          <w:rPr>
            <w:noProof/>
            <w:webHidden/>
          </w:rPr>
          <w:fldChar w:fldCharType="end"/>
        </w:r>
      </w:hyperlink>
    </w:p>
    <w:p w14:paraId="1D6BF698"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54" w:history="1">
        <w:r w:rsidR="0084725E" w:rsidRPr="00726D4D">
          <w:rPr>
            <w:rStyle w:val="Hyperlink"/>
            <w:noProof/>
            <w:lang w:val="en-GB"/>
          </w:rPr>
          <w:t>Table 57 - The administrative units that forms the RO cross-border area</w:t>
        </w:r>
        <w:r w:rsidR="0084725E">
          <w:rPr>
            <w:noProof/>
            <w:webHidden/>
          </w:rPr>
          <w:tab/>
        </w:r>
        <w:r w:rsidR="0084725E">
          <w:rPr>
            <w:noProof/>
            <w:webHidden/>
          </w:rPr>
          <w:fldChar w:fldCharType="begin"/>
        </w:r>
        <w:r w:rsidR="0084725E">
          <w:rPr>
            <w:noProof/>
            <w:webHidden/>
          </w:rPr>
          <w:instrText xml:space="preserve"> PAGEREF _Toc391150154 \h </w:instrText>
        </w:r>
        <w:r w:rsidR="0084725E">
          <w:rPr>
            <w:noProof/>
            <w:webHidden/>
          </w:rPr>
        </w:r>
        <w:r w:rsidR="0084725E">
          <w:rPr>
            <w:noProof/>
            <w:webHidden/>
          </w:rPr>
          <w:fldChar w:fldCharType="separate"/>
        </w:r>
        <w:r>
          <w:rPr>
            <w:noProof/>
            <w:webHidden/>
          </w:rPr>
          <w:t>192</w:t>
        </w:r>
        <w:r w:rsidR="0084725E">
          <w:rPr>
            <w:noProof/>
            <w:webHidden/>
          </w:rPr>
          <w:fldChar w:fldCharType="end"/>
        </w:r>
      </w:hyperlink>
    </w:p>
    <w:p w14:paraId="51DFEEB9"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155" w:history="1">
        <w:r w:rsidR="0084725E" w:rsidRPr="00726D4D">
          <w:rPr>
            <w:rStyle w:val="Hyperlink"/>
            <w:noProof/>
            <w:lang w:val="en-GB"/>
          </w:rPr>
          <w:t>Table 58 - The administrative units that forms the BG cross-border area</w:t>
        </w:r>
        <w:r w:rsidR="0084725E">
          <w:rPr>
            <w:noProof/>
            <w:webHidden/>
          </w:rPr>
          <w:tab/>
        </w:r>
        <w:r w:rsidR="0084725E">
          <w:rPr>
            <w:noProof/>
            <w:webHidden/>
          </w:rPr>
          <w:fldChar w:fldCharType="begin"/>
        </w:r>
        <w:r w:rsidR="0084725E">
          <w:rPr>
            <w:noProof/>
            <w:webHidden/>
          </w:rPr>
          <w:instrText xml:space="preserve"> PAGEREF _Toc391150155 \h </w:instrText>
        </w:r>
        <w:r w:rsidR="0084725E">
          <w:rPr>
            <w:noProof/>
            <w:webHidden/>
          </w:rPr>
        </w:r>
        <w:r w:rsidR="0084725E">
          <w:rPr>
            <w:noProof/>
            <w:webHidden/>
          </w:rPr>
          <w:fldChar w:fldCharType="separate"/>
        </w:r>
        <w:r>
          <w:rPr>
            <w:noProof/>
            <w:webHidden/>
          </w:rPr>
          <w:t>192</w:t>
        </w:r>
        <w:r w:rsidR="0084725E">
          <w:rPr>
            <w:noProof/>
            <w:webHidden/>
          </w:rPr>
          <w:fldChar w:fldCharType="end"/>
        </w:r>
      </w:hyperlink>
    </w:p>
    <w:p w14:paraId="0C75FFB5" w14:textId="77777777" w:rsidR="00AC53A9" w:rsidRPr="006645DC" w:rsidRDefault="005979EB" w:rsidP="00B801E7">
      <w:pPr>
        <w:rPr>
          <w:lang w:val="en-GB"/>
        </w:rPr>
        <w:sectPr w:rsidR="00AC53A9" w:rsidRPr="006645DC" w:rsidSect="00187E88">
          <w:pgSz w:w="12240" w:h="15840"/>
          <w:pgMar w:top="1440" w:right="1440" w:bottom="1440" w:left="1440" w:header="720" w:footer="720" w:gutter="0"/>
          <w:cols w:space="720"/>
          <w:docGrid w:linePitch="360"/>
        </w:sectPr>
      </w:pPr>
      <w:r w:rsidRPr="006645DC">
        <w:rPr>
          <w:lang w:val="en-GB"/>
        </w:rPr>
        <w:fldChar w:fldCharType="end"/>
      </w:r>
    </w:p>
    <w:p w14:paraId="25DF843E" w14:textId="77777777" w:rsidR="00843768" w:rsidRPr="006645DC" w:rsidRDefault="00AC53A9" w:rsidP="00342012">
      <w:pPr>
        <w:pStyle w:val="Heading5"/>
        <w:numPr>
          <w:ilvl w:val="0"/>
          <w:numId w:val="0"/>
        </w:numPr>
        <w:ind w:left="1208"/>
        <w:rPr>
          <w:lang w:val="en-GB"/>
        </w:rPr>
      </w:pPr>
      <w:r w:rsidRPr="006645DC">
        <w:rPr>
          <w:lang w:val="en-GB"/>
        </w:rPr>
        <w:lastRenderedPageBreak/>
        <w:t xml:space="preserve">Figures </w:t>
      </w:r>
    </w:p>
    <w:p w14:paraId="67E95B57" w14:textId="77777777" w:rsidR="0084725E" w:rsidRDefault="005979EB">
      <w:pPr>
        <w:pStyle w:val="TableofFigures"/>
        <w:tabs>
          <w:tab w:val="right" w:leader="dot" w:pos="9350"/>
        </w:tabs>
        <w:rPr>
          <w:rFonts w:asciiTheme="minorHAnsi" w:eastAsiaTheme="minorEastAsia" w:hAnsiTheme="minorHAnsi" w:cstheme="minorBidi"/>
          <w:noProof/>
        </w:rPr>
      </w:pPr>
      <w:r w:rsidRPr="006645DC">
        <w:rPr>
          <w:lang w:val="en-GB"/>
        </w:rPr>
        <w:fldChar w:fldCharType="begin"/>
      </w:r>
      <w:r w:rsidR="00AC53A9" w:rsidRPr="006645DC">
        <w:rPr>
          <w:lang w:val="en-GB"/>
        </w:rPr>
        <w:instrText xml:space="preserve"> TOC \h \z \c "Fig." </w:instrText>
      </w:r>
      <w:r w:rsidRPr="006645DC">
        <w:rPr>
          <w:lang w:val="en-GB"/>
        </w:rPr>
        <w:fldChar w:fldCharType="separate"/>
      </w:r>
      <w:hyperlink w:anchor="_Toc391150050" w:history="1">
        <w:r w:rsidR="0084725E" w:rsidRPr="00A6722E">
          <w:rPr>
            <w:rStyle w:val="Hyperlink"/>
            <w:noProof/>
            <w:lang w:val="en-GB"/>
          </w:rPr>
          <w:t>Fig. 1 - Evolution of the GDP of cross-border counties/districts, 2008-2010</w:t>
        </w:r>
        <w:r w:rsidR="0084725E">
          <w:rPr>
            <w:noProof/>
            <w:webHidden/>
          </w:rPr>
          <w:tab/>
        </w:r>
        <w:r w:rsidR="0084725E">
          <w:rPr>
            <w:noProof/>
            <w:webHidden/>
          </w:rPr>
          <w:fldChar w:fldCharType="begin"/>
        </w:r>
        <w:r w:rsidR="0084725E">
          <w:rPr>
            <w:noProof/>
            <w:webHidden/>
          </w:rPr>
          <w:instrText xml:space="preserve"> PAGEREF _Toc391150050 \h </w:instrText>
        </w:r>
        <w:r w:rsidR="0084725E">
          <w:rPr>
            <w:noProof/>
            <w:webHidden/>
          </w:rPr>
        </w:r>
        <w:r w:rsidR="0084725E">
          <w:rPr>
            <w:noProof/>
            <w:webHidden/>
          </w:rPr>
          <w:fldChar w:fldCharType="separate"/>
        </w:r>
        <w:r w:rsidR="00523DE6">
          <w:rPr>
            <w:noProof/>
            <w:webHidden/>
          </w:rPr>
          <w:t>18</w:t>
        </w:r>
        <w:r w:rsidR="0084725E">
          <w:rPr>
            <w:noProof/>
            <w:webHidden/>
          </w:rPr>
          <w:fldChar w:fldCharType="end"/>
        </w:r>
      </w:hyperlink>
    </w:p>
    <w:p w14:paraId="7E62197B"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51" w:history="1">
        <w:r w:rsidR="0084725E" w:rsidRPr="00A6722E">
          <w:rPr>
            <w:rStyle w:val="Hyperlink"/>
            <w:noProof/>
            <w:lang w:val="en-GB"/>
          </w:rPr>
          <w:t>Fig. 2 - The cross-border counties evolution (2008-2010) of GDP per inhabitant in PPS in EUR</w:t>
        </w:r>
        <w:r w:rsidR="0084725E">
          <w:rPr>
            <w:noProof/>
            <w:webHidden/>
          </w:rPr>
          <w:tab/>
        </w:r>
        <w:r w:rsidR="0084725E">
          <w:rPr>
            <w:noProof/>
            <w:webHidden/>
          </w:rPr>
          <w:fldChar w:fldCharType="begin"/>
        </w:r>
        <w:r w:rsidR="0084725E">
          <w:rPr>
            <w:noProof/>
            <w:webHidden/>
          </w:rPr>
          <w:instrText xml:space="preserve"> PAGEREF _Toc391150051 \h </w:instrText>
        </w:r>
        <w:r w:rsidR="0084725E">
          <w:rPr>
            <w:noProof/>
            <w:webHidden/>
          </w:rPr>
        </w:r>
        <w:r w:rsidR="0084725E">
          <w:rPr>
            <w:noProof/>
            <w:webHidden/>
          </w:rPr>
          <w:fldChar w:fldCharType="separate"/>
        </w:r>
        <w:r>
          <w:rPr>
            <w:noProof/>
            <w:webHidden/>
          </w:rPr>
          <w:t>19</w:t>
        </w:r>
        <w:r w:rsidR="0084725E">
          <w:rPr>
            <w:noProof/>
            <w:webHidden/>
          </w:rPr>
          <w:fldChar w:fldCharType="end"/>
        </w:r>
      </w:hyperlink>
    </w:p>
    <w:p w14:paraId="14786DB6"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52" w:history="1">
        <w:r w:rsidR="0084725E" w:rsidRPr="00A6722E">
          <w:rPr>
            <w:rStyle w:val="Hyperlink"/>
            <w:noProof/>
            <w:lang w:val="en-GB"/>
          </w:rPr>
          <w:t>Fig. 3 - The distribution of the turnover of companies in the Romanian counties between economic sectors – 2011</w:t>
        </w:r>
        <w:r w:rsidR="0084725E">
          <w:rPr>
            <w:noProof/>
            <w:webHidden/>
          </w:rPr>
          <w:tab/>
        </w:r>
        <w:r w:rsidR="0084725E">
          <w:rPr>
            <w:noProof/>
            <w:webHidden/>
          </w:rPr>
          <w:fldChar w:fldCharType="begin"/>
        </w:r>
        <w:r w:rsidR="0084725E">
          <w:rPr>
            <w:noProof/>
            <w:webHidden/>
          </w:rPr>
          <w:instrText xml:space="preserve"> PAGEREF _Toc391150052 \h </w:instrText>
        </w:r>
        <w:r w:rsidR="0084725E">
          <w:rPr>
            <w:noProof/>
            <w:webHidden/>
          </w:rPr>
        </w:r>
        <w:r w:rsidR="0084725E">
          <w:rPr>
            <w:noProof/>
            <w:webHidden/>
          </w:rPr>
          <w:fldChar w:fldCharType="separate"/>
        </w:r>
        <w:r>
          <w:rPr>
            <w:noProof/>
            <w:webHidden/>
          </w:rPr>
          <w:t>20</w:t>
        </w:r>
        <w:r w:rsidR="0084725E">
          <w:rPr>
            <w:noProof/>
            <w:webHidden/>
          </w:rPr>
          <w:fldChar w:fldCharType="end"/>
        </w:r>
      </w:hyperlink>
    </w:p>
    <w:p w14:paraId="6B15937D"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53" w:history="1">
        <w:r w:rsidR="0084725E" w:rsidRPr="00A6722E">
          <w:rPr>
            <w:rStyle w:val="Hyperlink"/>
            <w:noProof/>
            <w:lang w:val="en-GB"/>
          </w:rPr>
          <w:t>Fig. 4 - The distribution of the turnover of companies in the Bulgarian districts between economic sectors – 2011</w:t>
        </w:r>
        <w:r w:rsidR="0084725E">
          <w:rPr>
            <w:noProof/>
            <w:webHidden/>
          </w:rPr>
          <w:tab/>
        </w:r>
        <w:r w:rsidR="0084725E">
          <w:rPr>
            <w:noProof/>
            <w:webHidden/>
          </w:rPr>
          <w:fldChar w:fldCharType="begin"/>
        </w:r>
        <w:r w:rsidR="0084725E">
          <w:rPr>
            <w:noProof/>
            <w:webHidden/>
          </w:rPr>
          <w:instrText xml:space="preserve"> PAGEREF _Toc391150053 \h </w:instrText>
        </w:r>
        <w:r w:rsidR="0084725E">
          <w:rPr>
            <w:noProof/>
            <w:webHidden/>
          </w:rPr>
        </w:r>
        <w:r w:rsidR="0084725E">
          <w:rPr>
            <w:noProof/>
            <w:webHidden/>
          </w:rPr>
          <w:fldChar w:fldCharType="separate"/>
        </w:r>
        <w:r>
          <w:rPr>
            <w:noProof/>
            <w:webHidden/>
          </w:rPr>
          <w:t>21</w:t>
        </w:r>
        <w:r w:rsidR="0084725E">
          <w:rPr>
            <w:noProof/>
            <w:webHidden/>
          </w:rPr>
          <w:fldChar w:fldCharType="end"/>
        </w:r>
      </w:hyperlink>
    </w:p>
    <w:p w14:paraId="35C82157"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54" w:history="1">
        <w:r w:rsidR="0084725E" w:rsidRPr="00A6722E">
          <w:rPr>
            <w:rStyle w:val="Hyperlink"/>
            <w:noProof/>
            <w:lang w:val="en-GB"/>
          </w:rPr>
          <w:t>Fig. 5 - Romanian cross-border region – turnover of companies 2011</w:t>
        </w:r>
        <w:r w:rsidR="0084725E">
          <w:rPr>
            <w:noProof/>
            <w:webHidden/>
          </w:rPr>
          <w:tab/>
        </w:r>
        <w:r w:rsidR="0084725E">
          <w:rPr>
            <w:noProof/>
            <w:webHidden/>
          </w:rPr>
          <w:fldChar w:fldCharType="begin"/>
        </w:r>
        <w:r w:rsidR="0084725E">
          <w:rPr>
            <w:noProof/>
            <w:webHidden/>
          </w:rPr>
          <w:instrText xml:space="preserve"> PAGEREF _Toc391150054 \h </w:instrText>
        </w:r>
        <w:r w:rsidR="0084725E">
          <w:rPr>
            <w:noProof/>
            <w:webHidden/>
          </w:rPr>
        </w:r>
        <w:r w:rsidR="0084725E">
          <w:rPr>
            <w:noProof/>
            <w:webHidden/>
          </w:rPr>
          <w:fldChar w:fldCharType="separate"/>
        </w:r>
        <w:r>
          <w:rPr>
            <w:noProof/>
            <w:webHidden/>
          </w:rPr>
          <w:t>22</w:t>
        </w:r>
        <w:r w:rsidR="0084725E">
          <w:rPr>
            <w:noProof/>
            <w:webHidden/>
          </w:rPr>
          <w:fldChar w:fldCharType="end"/>
        </w:r>
      </w:hyperlink>
    </w:p>
    <w:p w14:paraId="59B3D4E7"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55" w:history="1">
        <w:r w:rsidR="0084725E" w:rsidRPr="00A6722E">
          <w:rPr>
            <w:rStyle w:val="Hyperlink"/>
            <w:noProof/>
            <w:lang w:val="en-GB"/>
          </w:rPr>
          <w:t>Fig. 6 - Bulgarian cross-border region – turnover of companies 2011</w:t>
        </w:r>
        <w:r w:rsidR="0084725E">
          <w:rPr>
            <w:noProof/>
            <w:webHidden/>
          </w:rPr>
          <w:tab/>
        </w:r>
        <w:r w:rsidR="0084725E">
          <w:rPr>
            <w:noProof/>
            <w:webHidden/>
          </w:rPr>
          <w:fldChar w:fldCharType="begin"/>
        </w:r>
        <w:r w:rsidR="0084725E">
          <w:rPr>
            <w:noProof/>
            <w:webHidden/>
          </w:rPr>
          <w:instrText xml:space="preserve"> PAGEREF _Toc391150055 \h </w:instrText>
        </w:r>
        <w:r w:rsidR="0084725E">
          <w:rPr>
            <w:noProof/>
            <w:webHidden/>
          </w:rPr>
        </w:r>
        <w:r w:rsidR="0084725E">
          <w:rPr>
            <w:noProof/>
            <w:webHidden/>
          </w:rPr>
          <w:fldChar w:fldCharType="separate"/>
        </w:r>
        <w:r>
          <w:rPr>
            <w:noProof/>
            <w:webHidden/>
          </w:rPr>
          <w:t>22</w:t>
        </w:r>
        <w:r w:rsidR="0084725E">
          <w:rPr>
            <w:noProof/>
            <w:webHidden/>
          </w:rPr>
          <w:fldChar w:fldCharType="end"/>
        </w:r>
      </w:hyperlink>
    </w:p>
    <w:p w14:paraId="62FB9B00"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56" w:history="1">
        <w:r w:rsidR="0084725E" w:rsidRPr="00A6722E">
          <w:rPr>
            <w:rStyle w:val="Hyperlink"/>
            <w:noProof/>
            <w:lang w:val="en-GB"/>
          </w:rPr>
          <w:t>Fig. 7 - Occupied persons in the Romanian cross-border area</w:t>
        </w:r>
        <w:r w:rsidR="0084725E">
          <w:rPr>
            <w:noProof/>
            <w:webHidden/>
          </w:rPr>
          <w:tab/>
        </w:r>
        <w:r w:rsidR="0084725E">
          <w:rPr>
            <w:noProof/>
            <w:webHidden/>
          </w:rPr>
          <w:fldChar w:fldCharType="begin"/>
        </w:r>
        <w:r w:rsidR="0084725E">
          <w:rPr>
            <w:noProof/>
            <w:webHidden/>
          </w:rPr>
          <w:instrText xml:space="preserve"> PAGEREF _Toc391150056 \h </w:instrText>
        </w:r>
        <w:r w:rsidR="0084725E">
          <w:rPr>
            <w:noProof/>
            <w:webHidden/>
          </w:rPr>
        </w:r>
        <w:r w:rsidR="0084725E">
          <w:rPr>
            <w:noProof/>
            <w:webHidden/>
          </w:rPr>
          <w:fldChar w:fldCharType="separate"/>
        </w:r>
        <w:r>
          <w:rPr>
            <w:noProof/>
            <w:webHidden/>
          </w:rPr>
          <w:t>23</w:t>
        </w:r>
        <w:r w:rsidR="0084725E">
          <w:rPr>
            <w:noProof/>
            <w:webHidden/>
          </w:rPr>
          <w:fldChar w:fldCharType="end"/>
        </w:r>
      </w:hyperlink>
    </w:p>
    <w:p w14:paraId="69763D38"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57" w:history="1">
        <w:r w:rsidR="0084725E" w:rsidRPr="00A6722E">
          <w:rPr>
            <w:rStyle w:val="Hyperlink"/>
            <w:noProof/>
            <w:lang w:val="en-GB"/>
          </w:rPr>
          <w:t>Fig. 8 - Employed persons by economic sectors in the Bulgarian cross-border area</w:t>
        </w:r>
        <w:r w:rsidR="0084725E">
          <w:rPr>
            <w:noProof/>
            <w:webHidden/>
          </w:rPr>
          <w:tab/>
        </w:r>
        <w:r w:rsidR="0084725E">
          <w:rPr>
            <w:noProof/>
            <w:webHidden/>
          </w:rPr>
          <w:fldChar w:fldCharType="begin"/>
        </w:r>
        <w:r w:rsidR="0084725E">
          <w:rPr>
            <w:noProof/>
            <w:webHidden/>
          </w:rPr>
          <w:instrText xml:space="preserve"> PAGEREF _Toc391150057 \h </w:instrText>
        </w:r>
        <w:r w:rsidR="0084725E">
          <w:rPr>
            <w:noProof/>
            <w:webHidden/>
          </w:rPr>
        </w:r>
        <w:r w:rsidR="0084725E">
          <w:rPr>
            <w:noProof/>
            <w:webHidden/>
          </w:rPr>
          <w:fldChar w:fldCharType="separate"/>
        </w:r>
        <w:r>
          <w:rPr>
            <w:noProof/>
            <w:webHidden/>
          </w:rPr>
          <w:t>23</w:t>
        </w:r>
        <w:r w:rsidR="0084725E">
          <w:rPr>
            <w:noProof/>
            <w:webHidden/>
          </w:rPr>
          <w:fldChar w:fldCharType="end"/>
        </w:r>
      </w:hyperlink>
    </w:p>
    <w:p w14:paraId="78176E99"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58" w:history="1">
        <w:r w:rsidR="0084725E" w:rsidRPr="00A6722E">
          <w:rPr>
            <w:rStyle w:val="Hyperlink"/>
            <w:noProof/>
            <w:lang w:val="en-GB"/>
          </w:rPr>
          <w:t>Fig. 9 - Stage of development – Romania-Bulgaria</w:t>
        </w:r>
        <w:r w:rsidR="0084725E">
          <w:rPr>
            <w:noProof/>
            <w:webHidden/>
          </w:rPr>
          <w:tab/>
        </w:r>
        <w:r w:rsidR="0084725E">
          <w:rPr>
            <w:noProof/>
            <w:webHidden/>
          </w:rPr>
          <w:fldChar w:fldCharType="begin"/>
        </w:r>
        <w:r w:rsidR="0084725E">
          <w:rPr>
            <w:noProof/>
            <w:webHidden/>
          </w:rPr>
          <w:instrText xml:space="preserve"> PAGEREF _Toc391150058 \h </w:instrText>
        </w:r>
        <w:r w:rsidR="0084725E">
          <w:rPr>
            <w:noProof/>
            <w:webHidden/>
          </w:rPr>
        </w:r>
        <w:r w:rsidR="0084725E">
          <w:rPr>
            <w:noProof/>
            <w:webHidden/>
          </w:rPr>
          <w:fldChar w:fldCharType="separate"/>
        </w:r>
        <w:r>
          <w:rPr>
            <w:noProof/>
            <w:webHidden/>
          </w:rPr>
          <w:t>27</w:t>
        </w:r>
        <w:r w:rsidR="0084725E">
          <w:rPr>
            <w:noProof/>
            <w:webHidden/>
          </w:rPr>
          <w:fldChar w:fldCharType="end"/>
        </w:r>
      </w:hyperlink>
    </w:p>
    <w:p w14:paraId="35FADAF2"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59" w:history="1">
        <w:r w:rsidR="0084725E" w:rsidRPr="00A6722E">
          <w:rPr>
            <w:rStyle w:val="Hyperlink"/>
            <w:noProof/>
            <w:lang w:val="en-GB"/>
          </w:rPr>
          <w:t>Fig. 10 - Global Competitiveness Index</w:t>
        </w:r>
        <w:r w:rsidR="0084725E">
          <w:rPr>
            <w:noProof/>
            <w:webHidden/>
          </w:rPr>
          <w:tab/>
        </w:r>
        <w:r w:rsidR="0084725E">
          <w:rPr>
            <w:noProof/>
            <w:webHidden/>
          </w:rPr>
          <w:fldChar w:fldCharType="begin"/>
        </w:r>
        <w:r w:rsidR="0084725E">
          <w:rPr>
            <w:noProof/>
            <w:webHidden/>
          </w:rPr>
          <w:instrText xml:space="preserve"> PAGEREF _Toc391150059 \h </w:instrText>
        </w:r>
        <w:r w:rsidR="0084725E">
          <w:rPr>
            <w:noProof/>
            <w:webHidden/>
          </w:rPr>
        </w:r>
        <w:r w:rsidR="0084725E">
          <w:rPr>
            <w:noProof/>
            <w:webHidden/>
          </w:rPr>
          <w:fldChar w:fldCharType="separate"/>
        </w:r>
        <w:r>
          <w:rPr>
            <w:noProof/>
            <w:webHidden/>
          </w:rPr>
          <w:t>28</w:t>
        </w:r>
        <w:r w:rsidR="0084725E">
          <w:rPr>
            <w:noProof/>
            <w:webHidden/>
          </w:rPr>
          <w:fldChar w:fldCharType="end"/>
        </w:r>
      </w:hyperlink>
    </w:p>
    <w:p w14:paraId="73AE3706"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60" w:history="1">
        <w:r w:rsidR="0084725E" w:rsidRPr="00A6722E">
          <w:rPr>
            <w:rStyle w:val="Hyperlink"/>
            <w:noProof/>
            <w:lang w:val="en-GB"/>
          </w:rPr>
          <w:t>Fig. 11 - Labor productivity per hour worked evolution</w:t>
        </w:r>
        <w:r w:rsidR="0084725E">
          <w:rPr>
            <w:noProof/>
            <w:webHidden/>
          </w:rPr>
          <w:tab/>
        </w:r>
        <w:r w:rsidR="0084725E">
          <w:rPr>
            <w:noProof/>
            <w:webHidden/>
          </w:rPr>
          <w:fldChar w:fldCharType="begin"/>
        </w:r>
        <w:r w:rsidR="0084725E">
          <w:rPr>
            <w:noProof/>
            <w:webHidden/>
          </w:rPr>
          <w:instrText xml:space="preserve"> PAGEREF _Toc391150060 \h </w:instrText>
        </w:r>
        <w:r w:rsidR="0084725E">
          <w:rPr>
            <w:noProof/>
            <w:webHidden/>
          </w:rPr>
        </w:r>
        <w:r w:rsidR="0084725E">
          <w:rPr>
            <w:noProof/>
            <w:webHidden/>
          </w:rPr>
          <w:fldChar w:fldCharType="separate"/>
        </w:r>
        <w:r>
          <w:rPr>
            <w:noProof/>
            <w:webHidden/>
          </w:rPr>
          <w:t>29</w:t>
        </w:r>
        <w:r w:rsidR="0084725E">
          <w:rPr>
            <w:noProof/>
            <w:webHidden/>
          </w:rPr>
          <w:fldChar w:fldCharType="end"/>
        </w:r>
      </w:hyperlink>
    </w:p>
    <w:p w14:paraId="7D81DB76"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61" w:history="1">
        <w:r w:rsidR="0084725E" w:rsidRPr="00A6722E">
          <w:rPr>
            <w:rStyle w:val="Hyperlink"/>
            <w:noProof/>
            <w:lang w:val="en-GB"/>
          </w:rPr>
          <w:t>Fig. 12 - Labor productivity per person employed</w:t>
        </w:r>
        <w:r w:rsidR="0084725E">
          <w:rPr>
            <w:noProof/>
            <w:webHidden/>
          </w:rPr>
          <w:tab/>
        </w:r>
        <w:r w:rsidR="0084725E">
          <w:rPr>
            <w:noProof/>
            <w:webHidden/>
          </w:rPr>
          <w:fldChar w:fldCharType="begin"/>
        </w:r>
        <w:r w:rsidR="0084725E">
          <w:rPr>
            <w:noProof/>
            <w:webHidden/>
          </w:rPr>
          <w:instrText xml:space="preserve"> PAGEREF _Toc391150061 \h </w:instrText>
        </w:r>
        <w:r w:rsidR="0084725E">
          <w:rPr>
            <w:noProof/>
            <w:webHidden/>
          </w:rPr>
        </w:r>
        <w:r w:rsidR="0084725E">
          <w:rPr>
            <w:noProof/>
            <w:webHidden/>
          </w:rPr>
          <w:fldChar w:fldCharType="separate"/>
        </w:r>
        <w:r>
          <w:rPr>
            <w:noProof/>
            <w:webHidden/>
          </w:rPr>
          <w:t>30</w:t>
        </w:r>
        <w:r w:rsidR="0084725E">
          <w:rPr>
            <w:noProof/>
            <w:webHidden/>
          </w:rPr>
          <w:fldChar w:fldCharType="end"/>
        </w:r>
      </w:hyperlink>
    </w:p>
    <w:p w14:paraId="79CD287D"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62" w:history="1">
        <w:r w:rsidR="0084725E" w:rsidRPr="00A6722E">
          <w:rPr>
            <w:rStyle w:val="Hyperlink"/>
            <w:noProof/>
            <w:lang w:val="en-GB"/>
          </w:rPr>
          <w:t>Fig. 13 - The average monthly gross salary’s evolution in the cross-border area, 2004-2012, EUR</w:t>
        </w:r>
        <w:r w:rsidR="0084725E">
          <w:rPr>
            <w:noProof/>
            <w:webHidden/>
          </w:rPr>
          <w:tab/>
        </w:r>
        <w:r w:rsidR="0084725E">
          <w:rPr>
            <w:noProof/>
            <w:webHidden/>
          </w:rPr>
          <w:fldChar w:fldCharType="begin"/>
        </w:r>
        <w:r w:rsidR="0084725E">
          <w:rPr>
            <w:noProof/>
            <w:webHidden/>
          </w:rPr>
          <w:instrText xml:space="preserve"> PAGEREF _Toc391150062 \h </w:instrText>
        </w:r>
        <w:r w:rsidR="0084725E">
          <w:rPr>
            <w:noProof/>
            <w:webHidden/>
          </w:rPr>
        </w:r>
        <w:r w:rsidR="0084725E">
          <w:rPr>
            <w:noProof/>
            <w:webHidden/>
          </w:rPr>
          <w:fldChar w:fldCharType="separate"/>
        </w:r>
        <w:r>
          <w:rPr>
            <w:noProof/>
            <w:webHidden/>
          </w:rPr>
          <w:t>31</w:t>
        </w:r>
        <w:r w:rsidR="0084725E">
          <w:rPr>
            <w:noProof/>
            <w:webHidden/>
          </w:rPr>
          <w:fldChar w:fldCharType="end"/>
        </w:r>
      </w:hyperlink>
    </w:p>
    <w:p w14:paraId="4E972F88"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63" w:history="1">
        <w:r w:rsidR="0084725E" w:rsidRPr="00A6722E">
          <w:rPr>
            <w:rStyle w:val="Hyperlink"/>
            <w:noProof/>
            <w:lang w:val="en-GB"/>
          </w:rPr>
          <w:t>Fig. 14 - The evolution of the number of SMEs in the  cross-border counties/districts, 2008-2010</w:t>
        </w:r>
        <w:r w:rsidR="0084725E">
          <w:rPr>
            <w:noProof/>
            <w:webHidden/>
          </w:rPr>
          <w:tab/>
        </w:r>
        <w:r w:rsidR="0084725E">
          <w:rPr>
            <w:noProof/>
            <w:webHidden/>
          </w:rPr>
          <w:fldChar w:fldCharType="begin"/>
        </w:r>
        <w:r w:rsidR="0084725E">
          <w:rPr>
            <w:noProof/>
            <w:webHidden/>
          </w:rPr>
          <w:instrText xml:space="preserve"> PAGEREF _Toc391150063 \h </w:instrText>
        </w:r>
        <w:r w:rsidR="0084725E">
          <w:rPr>
            <w:noProof/>
            <w:webHidden/>
          </w:rPr>
        </w:r>
        <w:r w:rsidR="0084725E">
          <w:rPr>
            <w:noProof/>
            <w:webHidden/>
          </w:rPr>
          <w:fldChar w:fldCharType="separate"/>
        </w:r>
        <w:r>
          <w:rPr>
            <w:noProof/>
            <w:webHidden/>
          </w:rPr>
          <w:t>33</w:t>
        </w:r>
        <w:r w:rsidR="0084725E">
          <w:rPr>
            <w:noProof/>
            <w:webHidden/>
          </w:rPr>
          <w:fldChar w:fldCharType="end"/>
        </w:r>
      </w:hyperlink>
    </w:p>
    <w:p w14:paraId="19075272"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64" w:history="1">
        <w:r w:rsidR="0084725E" w:rsidRPr="00A6722E">
          <w:rPr>
            <w:rStyle w:val="Hyperlink"/>
            <w:noProof/>
            <w:lang w:val="en-GB"/>
          </w:rPr>
          <w:t>Fig. 15 - Evolution of the number of R&amp;D personnel per country</w:t>
        </w:r>
        <w:r w:rsidR="0084725E">
          <w:rPr>
            <w:noProof/>
            <w:webHidden/>
          </w:rPr>
          <w:tab/>
        </w:r>
        <w:r w:rsidR="0084725E">
          <w:rPr>
            <w:noProof/>
            <w:webHidden/>
          </w:rPr>
          <w:fldChar w:fldCharType="begin"/>
        </w:r>
        <w:r w:rsidR="0084725E">
          <w:rPr>
            <w:noProof/>
            <w:webHidden/>
          </w:rPr>
          <w:instrText xml:space="preserve"> PAGEREF _Toc391150064 \h </w:instrText>
        </w:r>
        <w:r w:rsidR="0084725E">
          <w:rPr>
            <w:noProof/>
            <w:webHidden/>
          </w:rPr>
        </w:r>
        <w:r w:rsidR="0084725E">
          <w:rPr>
            <w:noProof/>
            <w:webHidden/>
          </w:rPr>
          <w:fldChar w:fldCharType="separate"/>
        </w:r>
        <w:r>
          <w:rPr>
            <w:noProof/>
            <w:webHidden/>
          </w:rPr>
          <w:t>35</w:t>
        </w:r>
        <w:r w:rsidR="0084725E">
          <w:rPr>
            <w:noProof/>
            <w:webHidden/>
          </w:rPr>
          <w:fldChar w:fldCharType="end"/>
        </w:r>
      </w:hyperlink>
    </w:p>
    <w:p w14:paraId="48F29151"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65" w:history="1">
        <w:r w:rsidR="0084725E" w:rsidRPr="00A6722E">
          <w:rPr>
            <w:rStyle w:val="Hyperlink"/>
            <w:noProof/>
            <w:lang w:val="en-GB"/>
          </w:rPr>
          <w:t>Fig. 16 - Research personnel numbers in the cross-border area</w:t>
        </w:r>
        <w:r w:rsidR="0084725E">
          <w:rPr>
            <w:noProof/>
            <w:webHidden/>
          </w:rPr>
          <w:tab/>
        </w:r>
        <w:r w:rsidR="0084725E">
          <w:rPr>
            <w:noProof/>
            <w:webHidden/>
          </w:rPr>
          <w:fldChar w:fldCharType="begin"/>
        </w:r>
        <w:r w:rsidR="0084725E">
          <w:rPr>
            <w:noProof/>
            <w:webHidden/>
          </w:rPr>
          <w:instrText xml:space="preserve"> PAGEREF _Toc391150065 \h </w:instrText>
        </w:r>
        <w:r w:rsidR="0084725E">
          <w:rPr>
            <w:noProof/>
            <w:webHidden/>
          </w:rPr>
        </w:r>
        <w:r w:rsidR="0084725E">
          <w:rPr>
            <w:noProof/>
            <w:webHidden/>
          </w:rPr>
          <w:fldChar w:fldCharType="separate"/>
        </w:r>
        <w:r>
          <w:rPr>
            <w:noProof/>
            <w:webHidden/>
          </w:rPr>
          <w:t>36</w:t>
        </w:r>
        <w:r w:rsidR="0084725E">
          <w:rPr>
            <w:noProof/>
            <w:webHidden/>
          </w:rPr>
          <w:fldChar w:fldCharType="end"/>
        </w:r>
      </w:hyperlink>
    </w:p>
    <w:p w14:paraId="1CBDA938"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66" w:history="1">
        <w:r w:rsidR="0084725E" w:rsidRPr="00A6722E">
          <w:rPr>
            <w:rStyle w:val="Hyperlink"/>
            <w:noProof/>
            <w:lang w:val="en-GB"/>
          </w:rPr>
          <w:t>Fig. 17 - Total R&amp;D expenses in the cross-border counties/districts</w:t>
        </w:r>
        <w:r w:rsidR="0084725E">
          <w:rPr>
            <w:noProof/>
            <w:webHidden/>
          </w:rPr>
          <w:tab/>
        </w:r>
        <w:r w:rsidR="0084725E">
          <w:rPr>
            <w:noProof/>
            <w:webHidden/>
          </w:rPr>
          <w:fldChar w:fldCharType="begin"/>
        </w:r>
        <w:r w:rsidR="0084725E">
          <w:rPr>
            <w:noProof/>
            <w:webHidden/>
          </w:rPr>
          <w:instrText xml:space="preserve"> PAGEREF _Toc391150066 \h </w:instrText>
        </w:r>
        <w:r w:rsidR="0084725E">
          <w:rPr>
            <w:noProof/>
            <w:webHidden/>
          </w:rPr>
        </w:r>
        <w:r w:rsidR="0084725E">
          <w:rPr>
            <w:noProof/>
            <w:webHidden/>
          </w:rPr>
          <w:fldChar w:fldCharType="separate"/>
        </w:r>
        <w:r>
          <w:rPr>
            <w:noProof/>
            <w:webHidden/>
          </w:rPr>
          <w:t>37</w:t>
        </w:r>
        <w:r w:rsidR="0084725E">
          <w:rPr>
            <w:noProof/>
            <w:webHidden/>
          </w:rPr>
          <w:fldChar w:fldCharType="end"/>
        </w:r>
      </w:hyperlink>
    </w:p>
    <w:p w14:paraId="33118630"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67" w:history="1">
        <w:r w:rsidR="0084725E" w:rsidRPr="00A6722E">
          <w:rPr>
            <w:rStyle w:val="Hyperlink"/>
            <w:noProof/>
            <w:lang w:val="en-GB"/>
          </w:rPr>
          <w:t>Fig. 18 - R&amp;D expenditure per capita (research personnel) in the cross-border area</w:t>
        </w:r>
        <w:r w:rsidR="0084725E">
          <w:rPr>
            <w:noProof/>
            <w:webHidden/>
          </w:rPr>
          <w:tab/>
        </w:r>
        <w:r w:rsidR="0084725E">
          <w:rPr>
            <w:noProof/>
            <w:webHidden/>
          </w:rPr>
          <w:fldChar w:fldCharType="begin"/>
        </w:r>
        <w:r w:rsidR="0084725E">
          <w:rPr>
            <w:noProof/>
            <w:webHidden/>
          </w:rPr>
          <w:instrText xml:space="preserve"> PAGEREF _Toc391150067 \h </w:instrText>
        </w:r>
        <w:r w:rsidR="0084725E">
          <w:rPr>
            <w:noProof/>
            <w:webHidden/>
          </w:rPr>
        </w:r>
        <w:r w:rsidR="0084725E">
          <w:rPr>
            <w:noProof/>
            <w:webHidden/>
          </w:rPr>
          <w:fldChar w:fldCharType="separate"/>
        </w:r>
        <w:r>
          <w:rPr>
            <w:noProof/>
            <w:webHidden/>
          </w:rPr>
          <w:t>38</w:t>
        </w:r>
        <w:r w:rsidR="0084725E">
          <w:rPr>
            <w:noProof/>
            <w:webHidden/>
          </w:rPr>
          <w:fldChar w:fldCharType="end"/>
        </w:r>
      </w:hyperlink>
    </w:p>
    <w:p w14:paraId="4255A5CC"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68" w:history="1">
        <w:r w:rsidR="0084725E" w:rsidRPr="00A6722E">
          <w:rPr>
            <w:rStyle w:val="Hyperlink"/>
            <w:noProof/>
            <w:lang w:val="en-GB"/>
          </w:rPr>
          <w:t>Fig. 199 - R&amp;D expenditure in the CBC area versus RO+BG overall R&amp;D expenditure</w:t>
        </w:r>
        <w:r w:rsidR="0084725E">
          <w:rPr>
            <w:noProof/>
            <w:webHidden/>
          </w:rPr>
          <w:tab/>
        </w:r>
        <w:r w:rsidR="0084725E">
          <w:rPr>
            <w:noProof/>
            <w:webHidden/>
          </w:rPr>
          <w:fldChar w:fldCharType="begin"/>
        </w:r>
        <w:r w:rsidR="0084725E">
          <w:rPr>
            <w:noProof/>
            <w:webHidden/>
          </w:rPr>
          <w:instrText xml:space="preserve"> PAGEREF _Toc391150068 \h </w:instrText>
        </w:r>
        <w:r w:rsidR="0084725E">
          <w:rPr>
            <w:noProof/>
            <w:webHidden/>
          </w:rPr>
        </w:r>
        <w:r w:rsidR="0084725E">
          <w:rPr>
            <w:noProof/>
            <w:webHidden/>
          </w:rPr>
          <w:fldChar w:fldCharType="separate"/>
        </w:r>
        <w:r>
          <w:rPr>
            <w:noProof/>
            <w:webHidden/>
          </w:rPr>
          <w:t>39</w:t>
        </w:r>
        <w:r w:rsidR="0084725E">
          <w:rPr>
            <w:noProof/>
            <w:webHidden/>
          </w:rPr>
          <w:fldChar w:fldCharType="end"/>
        </w:r>
      </w:hyperlink>
    </w:p>
    <w:p w14:paraId="6AC64C16"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69" w:history="1">
        <w:r w:rsidR="0084725E" w:rsidRPr="00A6722E">
          <w:rPr>
            <w:rStyle w:val="Hyperlink"/>
            <w:noProof/>
            <w:lang w:val="en-GB"/>
          </w:rPr>
          <w:t>Fig. 20 - Accommodation capacity – bed places – without Constanta and Dobrich</w:t>
        </w:r>
        <w:r w:rsidR="0084725E">
          <w:rPr>
            <w:noProof/>
            <w:webHidden/>
          </w:rPr>
          <w:tab/>
        </w:r>
        <w:r w:rsidR="0084725E">
          <w:rPr>
            <w:noProof/>
            <w:webHidden/>
          </w:rPr>
          <w:fldChar w:fldCharType="begin"/>
        </w:r>
        <w:r w:rsidR="0084725E">
          <w:rPr>
            <w:noProof/>
            <w:webHidden/>
          </w:rPr>
          <w:instrText xml:space="preserve"> PAGEREF _Toc391150069 \h </w:instrText>
        </w:r>
        <w:r w:rsidR="0084725E">
          <w:rPr>
            <w:noProof/>
            <w:webHidden/>
          </w:rPr>
        </w:r>
        <w:r w:rsidR="0084725E">
          <w:rPr>
            <w:noProof/>
            <w:webHidden/>
          </w:rPr>
          <w:fldChar w:fldCharType="separate"/>
        </w:r>
        <w:r>
          <w:rPr>
            <w:noProof/>
            <w:webHidden/>
          </w:rPr>
          <w:t>41</w:t>
        </w:r>
        <w:r w:rsidR="0084725E">
          <w:rPr>
            <w:noProof/>
            <w:webHidden/>
          </w:rPr>
          <w:fldChar w:fldCharType="end"/>
        </w:r>
      </w:hyperlink>
    </w:p>
    <w:p w14:paraId="5461E50C"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70" w:history="1">
        <w:r w:rsidR="0084725E" w:rsidRPr="00A6722E">
          <w:rPr>
            <w:rStyle w:val="Hyperlink"/>
            <w:noProof/>
            <w:lang w:val="en-GB"/>
          </w:rPr>
          <w:t>Fig. 21 - Accommodation capacity evolution in the seaside county/district of the cross-border area</w:t>
        </w:r>
        <w:r w:rsidR="0084725E">
          <w:rPr>
            <w:noProof/>
            <w:webHidden/>
          </w:rPr>
          <w:tab/>
        </w:r>
        <w:r w:rsidR="0084725E">
          <w:rPr>
            <w:noProof/>
            <w:webHidden/>
          </w:rPr>
          <w:fldChar w:fldCharType="begin"/>
        </w:r>
        <w:r w:rsidR="0084725E">
          <w:rPr>
            <w:noProof/>
            <w:webHidden/>
          </w:rPr>
          <w:instrText xml:space="preserve"> PAGEREF _Toc391150070 \h </w:instrText>
        </w:r>
        <w:r w:rsidR="0084725E">
          <w:rPr>
            <w:noProof/>
            <w:webHidden/>
          </w:rPr>
        </w:r>
        <w:r w:rsidR="0084725E">
          <w:rPr>
            <w:noProof/>
            <w:webHidden/>
          </w:rPr>
          <w:fldChar w:fldCharType="separate"/>
        </w:r>
        <w:r>
          <w:rPr>
            <w:noProof/>
            <w:webHidden/>
          </w:rPr>
          <w:t>42</w:t>
        </w:r>
        <w:r w:rsidR="0084725E">
          <w:rPr>
            <w:noProof/>
            <w:webHidden/>
          </w:rPr>
          <w:fldChar w:fldCharType="end"/>
        </w:r>
      </w:hyperlink>
    </w:p>
    <w:p w14:paraId="4A9CDD58"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71" w:history="1">
        <w:r w:rsidR="0084725E" w:rsidRPr="00A6722E">
          <w:rPr>
            <w:rStyle w:val="Hyperlink"/>
            <w:noProof/>
            <w:lang w:val="en-GB"/>
          </w:rPr>
          <w:t>Fig. 22 - The arrivals in the cross-border area</w:t>
        </w:r>
        <w:r w:rsidR="0084725E">
          <w:rPr>
            <w:noProof/>
            <w:webHidden/>
          </w:rPr>
          <w:tab/>
        </w:r>
        <w:r w:rsidR="0084725E">
          <w:rPr>
            <w:noProof/>
            <w:webHidden/>
          </w:rPr>
          <w:fldChar w:fldCharType="begin"/>
        </w:r>
        <w:r w:rsidR="0084725E">
          <w:rPr>
            <w:noProof/>
            <w:webHidden/>
          </w:rPr>
          <w:instrText xml:space="preserve"> PAGEREF _Toc391150071 \h </w:instrText>
        </w:r>
        <w:r w:rsidR="0084725E">
          <w:rPr>
            <w:noProof/>
            <w:webHidden/>
          </w:rPr>
        </w:r>
        <w:r w:rsidR="0084725E">
          <w:rPr>
            <w:noProof/>
            <w:webHidden/>
          </w:rPr>
          <w:fldChar w:fldCharType="separate"/>
        </w:r>
        <w:r>
          <w:rPr>
            <w:noProof/>
            <w:webHidden/>
          </w:rPr>
          <w:t>43</w:t>
        </w:r>
        <w:r w:rsidR="0084725E">
          <w:rPr>
            <w:noProof/>
            <w:webHidden/>
          </w:rPr>
          <w:fldChar w:fldCharType="end"/>
        </w:r>
      </w:hyperlink>
    </w:p>
    <w:p w14:paraId="7EE44697"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72" w:history="1">
        <w:r w:rsidR="0084725E" w:rsidRPr="00A6722E">
          <w:rPr>
            <w:rStyle w:val="Hyperlink"/>
            <w:noProof/>
            <w:lang w:val="en-GB"/>
          </w:rPr>
          <w:t>Fig. 23 - The annual overnights spent by tourists in the RO area, 2008-2012</w:t>
        </w:r>
        <w:r w:rsidR="0084725E">
          <w:rPr>
            <w:noProof/>
            <w:webHidden/>
          </w:rPr>
          <w:tab/>
        </w:r>
        <w:r w:rsidR="0084725E">
          <w:rPr>
            <w:noProof/>
            <w:webHidden/>
          </w:rPr>
          <w:fldChar w:fldCharType="begin"/>
        </w:r>
        <w:r w:rsidR="0084725E">
          <w:rPr>
            <w:noProof/>
            <w:webHidden/>
          </w:rPr>
          <w:instrText xml:space="preserve"> PAGEREF _Toc391150072 \h </w:instrText>
        </w:r>
        <w:r w:rsidR="0084725E">
          <w:rPr>
            <w:noProof/>
            <w:webHidden/>
          </w:rPr>
        </w:r>
        <w:r w:rsidR="0084725E">
          <w:rPr>
            <w:noProof/>
            <w:webHidden/>
          </w:rPr>
          <w:fldChar w:fldCharType="separate"/>
        </w:r>
        <w:r>
          <w:rPr>
            <w:noProof/>
            <w:webHidden/>
          </w:rPr>
          <w:t>43</w:t>
        </w:r>
        <w:r w:rsidR="0084725E">
          <w:rPr>
            <w:noProof/>
            <w:webHidden/>
          </w:rPr>
          <w:fldChar w:fldCharType="end"/>
        </w:r>
      </w:hyperlink>
    </w:p>
    <w:p w14:paraId="167515F4"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73" w:history="1">
        <w:r w:rsidR="0084725E" w:rsidRPr="00A6722E">
          <w:rPr>
            <w:rStyle w:val="Hyperlink"/>
            <w:noProof/>
            <w:lang w:val="en-GB"/>
          </w:rPr>
          <w:t>Fig. 24 - The average stay in the cross-border area</w:t>
        </w:r>
        <w:r w:rsidR="0084725E">
          <w:rPr>
            <w:noProof/>
            <w:webHidden/>
          </w:rPr>
          <w:tab/>
        </w:r>
        <w:r w:rsidR="0084725E">
          <w:rPr>
            <w:noProof/>
            <w:webHidden/>
          </w:rPr>
          <w:fldChar w:fldCharType="begin"/>
        </w:r>
        <w:r w:rsidR="0084725E">
          <w:rPr>
            <w:noProof/>
            <w:webHidden/>
          </w:rPr>
          <w:instrText xml:space="preserve"> PAGEREF _Toc391150073 \h </w:instrText>
        </w:r>
        <w:r w:rsidR="0084725E">
          <w:rPr>
            <w:noProof/>
            <w:webHidden/>
          </w:rPr>
        </w:r>
        <w:r w:rsidR="0084725E">
          <w:rPr>
            <w:noProof/>
            <w:webHidden/>
          </w:rPr>
          <w:fldChar w:fldCharType="separate"/>
        </w:r>
        <w:r>
          <w:rPr>
            <w:noProof/>
            <w:webHidden/>
          </w:rPr>
          <w:t>44</w:t>
        </w:r>
        <w:r w:rsidR="0084725E">
          <w:rPr>
            <w:noProof/>
            <w:webHidden/>
          </w:rPr>
          <w:fldChar w:fldCharType="end"/>
        </w:r>
      </w:hyperlink>
    </w:p>
    <w:p w14:paraId="24D7F84D"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74" w:history="1">
        <w:r w:rsidR="0084725E" w:rsidRPr="00A6722E">
          <w:rPr>
            <w:rStyle w:val="Hyperlink"/>
            <w:rFonts w:eastAsia="Times New Roman" w:cs="Calibri"/>
            <w:i/>
            <w:iCs/>
            <w:noProof/>
            <w:snapToGrid w:val="0"/>
            <w:lang w:val="en-GB" w:eastAsia="ro-RO"/>
          </w:rPr>
          <w:t>Fig. 26 - Sesonality by arrivals in the sea-side area of the cross-border region</w:t>
        </w:r>
        <w:r w:rsidR="0084725E">
          <w:rPr>
            <w:noProof/>
            <w:webHidden/>
          </w:rPr>
          <w:tab/>
        </w:r>
        <w:r w:rsidR="0084725E">
          <w:rPr>
            <w:noProof/>
            <w:webHidden/>
          </w:rPr>
          <w:fldChar w:fldCharType="begin"/>
        </w:r>
        <w:r w:rsidR="0084725E">
          <w:rPr>
            <w:noProof/>
            <w:webHidden/>
          </w:rPr>
          <w:instrText xml:space="preserve"> PAGEREF _Toc391150074 \h </w:instrText>
        </w:r>
        <w:r w:rsidR="0084725E">
          <w:rPr>
            <w:noProof/>
            <w:webHidden/>
          </w:rPr>
        </w:r>
        <w:r w:rsidR="0084725E">
          <w:rPr>
            <w:noProof/>
            <w:webHidden/>
          </w:rPr>
          <w:fldChar w:fldCharType="separate"/>
        </w:r>
        <w:r>
          <w:rPr>
            <w:noProof/>
            <w:webHidden/>
          </w:rPr>
          <w:t>45</w:t>
        </w:r>
        <w:r w:rsidR="0084725E">
          <w:rPr>
            <w:noProof/>
            <w:webHidden/>
          </w:rPr>
          <w:fldChar w:fldCharType="end"/>
        </w:r>
      </w:hyperlink>
    </w:p>
    <w:p w14:paraId="0C5D6077"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75" w:history="1">
        <w:r w:rsidR="0084725E" w:rsidRPr="00A6722E">
          <w:rPr>
            <w:rStyle w:val="Hyperlink"/>
            <w:noProof/>
            <w:lang w:val="en-GB"/>
          </w:rPr>
          <w:t>Fig. 25 - Seasonality by arrivals in the cross-border area, 2012</w:t>
        </w:r>
        <w:r w:rsidR="0084725E">
          <w:rPr>
            <w:noProof/>
            <w:webHidden/>
          </w:rPr>
          <w:tab/>
        </w:r>
        <w:r w:rsidR="0084725E">
          <w:rPr>
            <w:noProof/>
            <w:webHidden/>
          </w:rPr>
          <w:fldChar w:fldCharType="begin"/>
        </w:r>
        <w:r w:rsidR="0084725E">
          <w:rPr>
            <w:noProof/>
            <w:webHidden/>
          </w:rPr>
          <w:instrText xml:space="preserve"> PAGEREF _Toc391150075 \h </w:instrText>
        </w:r>
        <w:r w:rsidR="0084725E">
          <w:rPr>
            <w:noProof/>
            <w:webHidden/>
          </w:rPr>
        </w:r>
        <w:r w:rsidR="0084725E">
          <w:rPr>
            <w:noProof/>
            <w:webHidden/>
          </w:rPr>
          <w:fldChar w:fldCharType="separate"/>
        </w:r>
        <w:r>
          <w:rPr>
            <w:noProof/>
            <w:webHidden/>
          </w:rPr>
          <w:t>46</w:t>
        </w:r>
        <w:r w:rsidR="0084725E">
          <w:rPr>
            <w:noProof/>
            <w:webHidden/>
          </w:rPr>
          <w:fldChar w:fldCharType="end"/>
        </w:r>
      </w:hyperlink>
    </w:p>
    <w:p w14:paraId="754A7B6F"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76" w:history="1">
        <w:r w:rsidR="0084725E" w:rsidRPr="00A6722E">
          <w:rPr>
            <w:rStyle w:val="Hyperlink"/>
            <w:noProof/>
            <w:lang w:val="en-GB"/>
          </w:rPr>
          <w:t>Fig. 27 - Bilateral trade costs for Romania, Bulgaria and comparator countries (ad valorem equivalent)</w:t>
        </w:r>
        <w:r w:rsidR="0084725E">
          <w:rPr>
            <w:noProof/>
            <w:webHidden/>
          </w:rPr>
          <w:tab/>
        </w:r>
        <w:r w:rsidR="0084725E">
          <w:rPr>
            <w:noProof/>
            <w:webHidden/>
          </w:rPr>
          <w:fldChar w:fldCharType="begin"/>
        </w:r>
        <w:r w:rsidR="0084725E">
          <w:rPr>
            <w:noProof/>
            <w:webHidden/>
          </w:rPr>
          <w:instrText xml:space="preserve"> PAGEREF _Toc391150076 \h </w:instrText>
        </w:r>
        <w:r w:rsidR="0084725E">
          <w:rPr>
            <w:noProof/>
            <w:webHidden/>
          </w:rPr>
        </w:r>
        <w:r w:rsidR="0084725E">
          <w:rPr>
            <w:noProof/>
            <w:webHidden/>
          </w:rPr>
          <w:fldChar w:fldCharType="separate"/>
        </w:r>
        <w:r>
          <w:rPr>
            <w:noProof/>
            <w:webHidden/>
          </w:rPr>
          <w:t>71</w:t>
        </w:r>
        <w:r w:rsidR="0084725E">
          <w:rPr>
            <w:noProof/>
            <w:webHidden/>
          </w:rPr>
          <w:fldChar w:fldCharType="end"/>
        </w:r>
      </w:hyperlink>
    </w:p>
    <w:p w14:paraId="456E5918"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77" w:history="1">
        <w:r w:rsidR="0084725E" w:rsidRPr="00A6722E">
          <w:rPr>
            <w:rStyle w:val="Hyperlink"/>
            <w:noProof/>
            <w:lang w:val="en-GB"/>
          </w:rPr>
          <w:t xml:space="preserve">Fig. 28 - </w:t>
        </w:r>
        <w:r w:rsidR="0084725E" w:rsidRPr="00A6722E">
          <w:rPr>
            <w:rStyle w:val="Hyperlink"/>
            <w:rFonts w:eastAsia="MS Gothic"/>
            <w:noProof/>
            <w:lang w:val="en-GB"/>
          </w:rPr>
          <w:t>The percentage of senior population in the Ro-Bg cross-border region by districts and counties in 2011</w:t>
        </w:r>
        <w:r w:rsidR="0084725E">
          <w:rPr>
            <w:noProof/>
            <w:webHidden/>
          </w:rPr>
          <w:tab/>
        </w:r>
        <w:r w:rsidR="0084725E">
          <w:rPr>
            <w:noProof/>
            <w:webHidden/>
          </w:rPr>
          <w:fldChar w:fldCharType="begin"/>
        </w:r>
        <w:r w:rsidR="0084725E">
          <w:rPr>
            <w:noProof/>
            <w:webHidden/>
          </w:rPr>
          <w:instrText xml:space="preserve"> PAGEREF _Toc391150077 \h </w:instrText>
        </w:r>
        <w:r w:rsidR="0084725E">
          <w:rPr>
            <w:noProof/>
            <w:webHidden/>
          </w:rPr>
        </w:r>
        <w:r w:rsidR="0084725E">
          <w:rPr>
            <w:noProof/>
            <w:webHidden/>
          </w:rPr>
          <w:fldChar w:fldCharType="separate"/>
        </w:r>
        <w:r>
          <w:rPr>
            <w:noProof/>
            <w:webHidden/>
          </w:rPr>
          <w:t>85</w:t>
        </w:r>
        <w:r w:rsidR="0084725E">
          <w:rPr>
            <w:noProof/>
            <w:webHidden/>
          </w:rPr>
          <w:fldChar w:fldCharType="end"/>
        </w:r>
      </w:hyperlink>
    </w:p>
    <w:p w14:paraId="355CCCA7"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78" w:history="1">
        <w:r w:rsidR="0084725E" w:rsidRPr="00A6722E">
          <w:rPr>
            <w:rStyle w:val="Hyperlink"/>
            <w:noProof/>
            <w:lang w:val="en-GB"/>
          </w:rPr>
          <w:t xml:space="preserve">Fig. 29 - </w:t>
        </w:r>
        <w:r w:rsidR="0084725E" w:rsidRPr="00A6722E">
          <w:rPr>
            <w:rStyle w:val="Hyperlink"/>
            <w:rFonts w:eastAsia="MS Gothic"/>
            <w:noProof/>
            <w:lang w:val="en-GB"/>
          </w:rPr>
          <w:t>Birth rate for cross-border region between 2007-2010</w:t>
        </w:r>
        <w:r w:rsidR="0084725E">
          <w:rPr>
            <w:noProof/>
            <w:webHidden/>
          </w:rPr>
          <w:tab/>
        </w:r>
        <w:r w:rsidR="0084725E">
          <w:rPr>
            <w:noProof/>
            <w:webHidden/>
          </w:rPr>
          <w:fldChar w:fldCharType="begin"/>
        </w:r>
        <w:r w:rsidR="0084725E">
          <w:rPr>
            <w:noProof/>
            <w:webHidden/>
          </w:rPr>
          <w:instrText xml:space="preserve"> PAGEREF _Toc391150078 \h </w:instrText>
        </w:r>
        <w:r w:rsidR="0084725E">
          <w:rPr>
            <w:noProof/>
            <w:webHidden/>
          </w:rPr>
        </w:r>
        <w:r w:rsidR="0084725E">
          <w:rPr>
            <w:noProof/>
            <w:webHidden/>
          </w:rPr>
          <w:fldChar w:fldCharType="separate"/>
        </w:r>
        <w:r>
          <w:rPr>
            <w:noProof/>
            <w:webHidden/>
          </w:rPr>
          <w:t>87</w:t>
        </w:r>
        <w:r w:rsidR="0084725E">
          <w:rPr>
            <w:noProof/>
            <w:webHidden/>
          </w:rPr>
          <w:fldChar w:fldCharType="end"/>
        </w:r>
      </w:hyperlink>
    </w:p>
    <w:p w14:paraId="442401D4"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79" w:history="1">
        <w:r w:rsidR="0084725E" w:rsidRPr="00A6722E">
          <w:rPr>
            <w:rStyle w:val="Hyperlink"/>
            <w:noProof/>
            <w:lang w:val="en-GB"/>
          </w:rPr>
          <w:t xml:space="preserve">Fig. 30 - </w:t>
        </w:r>
        <w:r w:rsidR="0084725E" w:rsidRPr="00A6722E">
          <w:rPr>
            <w:rStyle w:val="Hyperlink"/>
            <w:rFonts w:eastAsia="MS Gothic"/>
            <w:noProof/>
            <w:lang w:val="en-GB"/>
          </w:rPr>
          <w:t>Overall death rate for the cross-border region between 2007-2010 (‰)</w:t>
        </w:r>
        <w:r w:rsidR="0084725E">
          <w:rPr>
            <w:noProof/>
            <w:webHidden/>
          </w:rPr>
          <w:tab/>
        </w:r>
        <w:r w:rsidR="0084725E">
          <w:rPr>
            <w:noProof/>
            <w:webHidden/>
          </w:rPr>
          <w:fldChar w:fldCharType="begin"/>
        </w:r>
        <w:r w:rsidR="0084725E">
          <w:rPr>
            <w:noProof/>
            <w:webHidden/>
          </w:rPr>
          <w:instrText xml:space="preserve"> PAGEREF _Toc391150079 \h </w:instrText>
        </w:r>
        <w:r w:rsidR="0084725E">
          <w:rPr>
            <w:noProof/>
            <w:webHidden/>
          </w:rPr>
        </w:r>
        <w:r w:rsidR="0084725E">
          <w:rPr>
            <w:noProof/>
            <w:webHidden/>
          </w:rPr>
          <w:fldChar w:fldCharType="separate"/>
        </w:r>
        <w:r>
          <w:rPr>
            <w:noProof/>
            <w:webHidden/>
          </w:rPr>
          <w:t>89</w:t>
        </w:r>
        <w:r w:rsidR="0084725E">
          <w:rPr>
            <w:noProof/>
            <w:webHidden/>
          </w:rPr>
          <w:fldChar w:fldCharType="end"/>
        </w:r>
      </w:hyperlink>
    </w:p>
    <w:p w14:paraId="3466EFB8"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80" w:history="1">
        <w:r w:rsidR="0084725E" w:rsidRPr="00A6722E">
          <w:rPr>
            <w:rStyle w:val="Hyperlink"/>
            <w:noProof/>
            <w:lang w:val="en-GB"/>
          </w:rPr>
          <w:t>Fig. 31 - The evolution of the rate of active population in the overall “working resource” in the cross-border counties/districts and at national level (2000-2012)</w:t>
        </w:r>
        <w:r w:rsidR="0084725E">
          <w:rPr>
            <w:noProof/>
            <w:webHidden/>
          </w:rPr>
          <w:tab/>
        </w:r>
        <w:r w:rsidR="0084725E">
          <w:rPr>
            <w:noProof/>
            <w:webHidden/>
          </w:rPr>
          <w:fldChar w:fldCharType="begin"/>
        </w:r>
        <w:r w:rsidR="0084725E">
          <w:rPr>
            <w:noProof/>
            <w:webHidden/>
          </w:rPr>
          <w:instrText xml:space="preserve"> PAGEREF _Toc391150080 \h </w:instrText>
        </w:r>
        <w:r w:rsidR="0084725E">
          <w:rPr>
            <w:noProof/>
            <w:webHidden/>
          </w:rPr>
        </w:r>
        <w:r w:rsidR="0084725E">
          <w:rPr>
            <w:noProof/>
            <w:webHidden/>
          </w:rPr>
          <w:fldChar w:fldCharType="separate"/>
        </w:r>
        <w:r>
          <w:rPr>
            <w:noProof/>
            <w:webHidden/>
          </w:rPr>
          <w:t>105</w:t>
        </w:r>
        <w:r w:rsidR="0084725E">
          <w:rPr>
            <w:noProof/>
            <w:webHidden/>
          </w:rPr>
          <w:fldChar w:fldCharType="end"/>
        </w:r>
      </w:hyperlink>
    </w:p>
    <w:p w14:paraId="6C07272E"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81" w:history="1">
        <w:r w:rsidR="0084725E" w:rsidRPr="00A6722E">
          <w:rPr>
            <w:rStyle w:val="Hyperlink"/>
            <w:noProof/>
            <w:lang w:val="en-GB"/>
          </w:rPr>
          <w:t>Fig. 32 - Distribution of employed population per sectors of activity of the national economy in the Romania-Bulgaria cross-border region, in 2010</w:t>
        </w:r>
        <w:r w:rsidR="0084725E">
          <w:rPr>
            <w:noProof/>
            <w:webHidden/>
          </w:rPr>
          <w:tab/>
        </w:r>
        <w:r w:rsidR="0084725E">
          <w:rPr>
            <w:noProof/>
            <w:webHidden/>
          </w:rPr>
          <w:fldChar w:fldCharType="begin"/>
        </w:r>
        <w:r w:rsidR="0084725E">
          <w:rPr>
            <w:noProof/>
            <w:webHidden/>
          </w:rPr>
          <w:instrText xml:space="preserve"> PAGEREF _Toc391150081 \h </w:instrText>
        </w:r>
        <w:r w:rsidR="0084725E">
          <w:rPr>
            <w:noProof/>
            <w:webHidden/>
          </w:rPr>
        </w:r>
        <w:r w:rsidR="0084725E">
          <w:rPr>
            <w:noProof/>
            <w:webHidden/>
          </w:rPr>
          <w:fldChar w:fldCharType="separate"/>
        </w:r>
        <w:r>
          <w:rPr>
            <w:noProof/>
            <w:webHidden/>
          </w:rPr>
          <w:t>108</w:t>
        </w:r>
        <w:r w:rsidR="0084725E">
          <w:rPr>
            <w:noProof/>
            <w:webHidden/>
          </w:rPr>
          <w:fldChar w:fldCharType="end"/>
        </w:r>
      </w:hyperlink>
    </w:p>
    <w:p w14:paraId="6976F889"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82" w:history="1">
        <w:r w:rsidR="0084725E" w:rsidRPr="00A6722E">
          <w:rPr>
            <w:rStyle w:val="Hyperlink"/>
            <w:noProof/>
            <w:lang w:val="en-GB"/>
          </w:rPr>
          <w:t>Fig. 33 - The average unemployment rate’s evolution in the cross-border area, 2008-2012</w:t>
        </w:r>
        <w:r w:rsidR="0084725E">
          <w:rPr>
            <w:noProof/>
            <w:webHidden/>
          </w:rPr>
          <w:tab/>
        </w:r>
        <w:r w:rsidR="0084725E">
          <w:rPr>
            <w:noProof/>
            <w:webHidden/>
          </w:rPr>
          <w:fldChar w:fldCharType="begin"/>
        </w:r>
        <w:r w:rsidR="0084725E">
          <w:rPr>
            <w:noProof/>
            <w:webHidden/>
          </w:rPr>
          <w:instrText xml:space="preserve"> PAGEREF _Toc391150082 \h </w:instrText>
        </w:r>
        <w:r w:rsidR="0084725E">
          <w:rPr>
            <w:noProof/>
            <w:webHidden/>
          </w:rPr>
        </w:r>
        <w:r w:rsidR="0084725E">
          <w:rPr>
            <w:noProof/>
            <w:webHidden/>
          </w:rPr>
          <w:fldChar w:fldCharType="separate"/>
        </w:r>
        <w:r>
          <w:rPr>
            <w:noProof/>
            <w:webHidden/>
          </w:rPr>
          <w:t>110</w:t>
        </w:r>
        <w:r w:rsidR="0084725E">
          <w:rPr>
            <w:noProof/>
            <w:webHidden/>
          </w:rPr>
          <w:fldChar w:fldCharType="end"/>
        </w:r>
      </w:hyperlink>
    </w:p>
    <w:p w14:paraId="14297E1B"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83" w:history="1">
        <w:r w:rsidR="0084725E" w:rsidRPr="00A6722E">
          <w:rPr>
            <w:rStyle w:val="Hyperlink"/>
            <w:noProof/>
            <w:lang w:val="en-GB"/>
          </w:rPr>
          <w:t>Fig. 34 - The average net monthly salary’s evolution in the cross border area of Romania, EUR, 2008-2012</w:t>
        </w:r>
        <w:r w:rsidR="0084725E">
          <w:rPr>
            <w:noProof/>
            <w:webHidden/>
          </w:rPr>
          <w:tab/>
        </w:r>
        <w:r w:rsidR="0084725E">
          <w:rPr>
            <w:noProof/>
            <w:webHidden/>
          </w:rPr>
          <w:fldChar w:fldCharType="begin"/>
        </w:r>
        <w:r w:rsidR="0084725E">
          <w:rPr>
            <w:noProof/>
            <w:webHidden/>
          </w:rPr>
          <w:instrText xml:space="preserve"> PAGEREF _Toc391150083 \h </w:instrText>
        </w:r>
        <w:r w:rsidR="0084725E">
          <w:rPr>
            <w:noProof/>
            <w:webHidden/>
          </w:rPr>
        </w:r>
        <w:r w:rsidR="0084725E">
          <w:rPr>
            <w:noProof/>
            <w:webHidden/>
          </w:rPr>
          <w:fldChar w:fldCharType="separate"/>
        </w:r>
        <w:r>
          <w:rPr>
            <w:noProof/>
            <w:webHidden/>
          </w:rPr>
          <w:t>114</w:t>
        </w:r>
        <w:r w:rsidR="0084725E">
          <w:rPr>
            <w:noProof/>
            <w:webHidden/>
          </w:rPr>
          <w:fldChar w:fldCharType="end"/>
        </w:r>
      </w:hyperlink>
    </w:p>
    <w:p w14:paraId="16D79F96"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84" w:history="1">
        <w:r w:rsidR="0084725E" w:rsidRPr="00A6722E">
          <w:rPr>
            <w:rStyle w:val="Hyperlink"/>
            <w:noProof/>
            <w:lang w:val="en-GB"/>
          </w:rPr>
          <w:t>Fig. 35 - The evolution of the population enrolled in education 2008-2012 in the Romanian cross-border counties</w:t>
        </w:r>
        <w:r w:rsidR="0084725E">
          <w:rPr>
            <w:noProof/>
            <w:webHidden/>
          </w:rPr>
          <w:tab/>
        </w:r>
        <w:r w:rsidR="0084725E">
          <w:rPr>
            <w:noProof/>
            <w:webHidden/>
          </w:rPr>
          <w:fldChar w:fldCharType="begin"/>
        </w:r>
        <w:r w:rsidR="0084725E">
          <w:rPr>
            <w:noProof/>
            <w:webHidden/>
          </w:rPr>
          <w:instrText xml:space="preserve"> PAGEREF _Toc391150084 \h </w:instrText>
        </w:r>
        <w:r w:rsidR="0084725E">
          <w:rPr>
            <w:noProof/>
            <w:webHidden/>
          </w:rPr>
        </w:r>
        <w:r w:rsidR="0084725E">
          <w:rPr>
            <w:noProof/>
            <w:webHidden/>
          </w:rPr>
          <w:fldChar w:fldCharType="separate"/>
        </w:r>
        <w:r>
          <w:rPr>
            <w:noProof/>
            <w:webHidden/>
          </w:rPr>
          <w:t>116</w:t>
        </w:r>
        <w:r w:rsidR="0084725E">
          <w:rPr>
            <w:noProof/>
            <w:webHidden/>
          </w:rPr>
          <w:fldChar w:fldCharType="end"/>
        </w:r>
      </w:hyperlink>
    </w:p>
    <w:p w14:paraId="691205CC"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85" w:history="1">
        <w:r w:rsidR="0084725E" w:rsidRPr="00A6722E">
          <w:rPr>
            <w:rStyle w:val="Hyperlink"/>
            <w:noProof/>
            <w:lang w:val="en-GB"/>
          </w:rPr>
          <w:t>Fig. 36 - The evolution of the population enrolled in education 2008-2012 in the Romanian cross-border counties, evolution by education levels</w:t>
        </w:r>
        <w:r w:rsidR="0084725E">
          <w:rPr>
            <w:noProof/>
            <w:webHidden/>
          </w:rPr>
          <w:tab/>
        </w:r>
        <w:r w:rsidR="0084725E">
          <w:rPr>
            <w:noProof/>
            <w:webHidden/>
          </w:rPr>
          <w:fldChar w:fldCharType="begin"/>
        </w:r>
        <w:r w:rsidR="0084725E">
          <w:rPr>
            <w:noProof/>
            <w:webHidden/>
          </w:rPr>
          <w:instrText xml:space="preserve"> PAGEREF _Toc391150085 \h </w:instrText>
        </w:r>
        <w:r w:rsidR="0084725E">
          <w:rPr>
            <w:noProof/>
            <w:webHidden/>
          </w:rPr>
        </w:r>
        <w:r w:rsidR="0084725E">
          <w:rPr>
            <w:noProof/>
            <w:webHidden/>
          </w:rPr>
          <w:fldChar w:fldCharType="separate"/>
        </w:r>
        <w:r>
          <w:rPr>
            <w:noProof/>
            <w:webHidden/>
          </w:rPr>
          <w:t>117</w:t>
        </w:r>
        <w:r w:rsidR="0084725E">
          <w:rPr>
            <w:noProof/>
            <w:webHidden/>
          </w:rPr>
          <w:fldChar w:fldCharType="end"/>
        </w:r>
      </w:hyperlink>
    </w:p>
    <w:p w14:paraId="737547CF"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86" w:history="1">
        <w:r w:rsidR="0084725E" w:rsidRPr="00A6722E">
          <w:rPr>
            <w:rStyle w:val="Hyperlink"/>
            <w:noProof/>
            <w:lang w:val="en-GB"/>
          </w:rPr>
          <w:t>Fig. 37 - The evolution of the number of hospital beds/1000 inhabitants in the Romanian cross-border area, 2007-2012</w:t>
        </w:r>
        <w:r w:rsidR="0084725E">
          <w:rPr>
            <w:noProof/>
            <w:webHidden/>
          </w:rPr>
          <w:tab/>
        </w:r>
        <w:r w:rsidR="0084725E">
          <w:rPr>
            <w:noProof/>
            <w:webHidden/>
          </w:rPr>
          <w:fldChar w:fldCharType="begin"/>
        </w:r>
        <w:r w:rsidR="0084725E">
          <w:rPr>
            <w:noProof/>
            <w:webHidden/>
          </w:rPr>
          <w:instrText xml:space="preserve"> PAGEREF _Toc391150086 \h </w:instrText>
        </w:r>
        <w:r w:rsidR="0084725E">
          <w:rPr>
            <w:noProof/>
            <w:webHidden/>
          </w:rPr>
        </w:r>
        <w:r w:rsidR="0084725E">
          <w:rPr>
            <w:noProof/>
            <w:webHidden/>
          </w:rPr>
          <w:fldChar w:fldCharType="separate"/>
        </w:r>
        <w:r>
          <w:rPr>
            <w:noProof/>
            <w:webHidden/>
          </w:rPr>
          <w:t>121</w:t>
        </w:r>
        <w:r w:rsidR="0084725E">
          <w:rPr>
            <w:noProof/>
            <w:webHidden/>
          </w:rPr>
          <w:fldChar w:fldCharType="end"/>
        </w:r>
      </w:hyperlink>
    </w:p>
    <w:p w14:paraId="7550D532"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87" w:history="1">
        <w:r w:rsidR="0084725E" w:rsidRPr="00A6722E">
          <w:rPr>
            <w:rStyle w:val="Hyperlink"/>
            <w:noProof/>
            <w:lang w:val="en-GB"/>
          </w:rPr>
          <w:t>Fig. 38 - The number of doctors per 1000 inhabitants in the Romanian cross-border area, 2007-2012</w:t>
        </w:r>
        <w:r w:rsidR="0084725E">
          <w:rPr>
            <w:noProof/>
            <w:webHidden/>
          </w:rPr>
          <w:tab/>
        </w:r>
        <w:r w:rsidR="0084725E">
          <w:rPr>
            <w:noProof/>
            <w:webHidden/>
          </w:rPr>
          <w:fldChar w:fldCharType="begin"/>
        </w:r>
        <w:r w:rsidR="0084725E">
          <w:rPr>
            <w:noProof/>
            <w:webHidden/>
          </w:rPr>
          <w:instrText xml:space="preserve"> PAGEREF _Toc391150087 \h </w:instrText>
        </w:r>
        <w:r w:rsidR="0084725E">
          <w:rPr>
            <w:noProof/>
            <w:webHidden/>
          </w:rPr>
        </w:r>
        <w:r w:rsidR="0084725E">
          <w:rPr>
            <w:noProof/>
            <w:webHidden/>
          </w:rPr>
          <w:fldChar w:fldCharType="separate"/>
        </w:r>
        <w:r>
          <w:rPr>
            <w:noProof/>
            <w:webHidden/>
          </w:rPr>
          <w:t>123</w:t>
        </w:r>
        <w:r w:rsidR="0084725E">
          <w:rPr>
            <w:noProof/>
            <w:webHidden/>
          </w:rPr>
          <w:fldChar w:fldCharType="end"/>
        </w:r>
      </w:hyperlink>
    </w:p>
    <w:p w14:paraId="390FC8E3"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88" w:history="1">
        <w:r w:rsidR="0084725E" w:rsidRPr="00A6722E">
          <w:rPr>
            <w:rStyle w:val="Hyperlink"/>
            <w:noProof/>
            <w:lang w:val="en-GB"/>
          </w:rPr>
          <w:t>Fig. 39 - The evolution of housing surface in the Romania’s cross-border counties, 2007-2012</w:t>
        </w:r>
        <w:r w:rsidR="0084725E">
          <w:rPr>
            <w:noProof/>
            <w:webHidden/>
          </w:rPr>
          <w:tab/>
        </w:r>
        <w:r w:rsidR="0084725E">
          <w:rPr>
            <w:noProof/>
            <w:webHidden/>
          </w:rPr>
          <w:fldChar w:fldCharType="begin"/>
        </w:r>
        <w:r w:rsidR="0084725E">
          <w:rPr>
            <w:noProof/>
            <w:webHidden/>
          </w:rPr>
          <w:instrText xml:space="preserve"> PAGEREF _Toc391150088 \h </w:instrText>
        </w:r>
        <w:r w:rsidR="0084725E">
          <w:rPr>
            <w:noProof/>
            <w:webHidden/>
          </w:rPr>
        </w:r>
        <w:r w:rsidR="0084725E">
          <w:rPr>
            <w:noProof/>
            <w:webHidden/>
          </w:rPr>
          <w:fldChar w:fldCharType="separate"/>
        </w:r>
        <w:r>
          <w:rPr>
            <w:noProof/>
            <w:webHidden/>
          </w:rPr>
          <w:t>125</w:t>
        </w:r>
        <w:r w:rsidR="0084725E">
          <w:rPr>
            <w:noProof/>
            <w:webHidden/>
          </w:rPr>
          <w:fldChar w:fldCharType="end"/>
        </w:r>
      </w:hyperlink>
    </w:p>
    <w:p w14:paraId="2D9A91B2"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89" w:history="1">
        <w:r w:rsidR="0084725E" w:rsidRPr="00A6722E">
          <w:rPr>
            <w:rStyle w:val="Hyperlink"/>
            <w:noProof/>
            <w:lang w:val="en-GB"/>
          </w:rPr>
          <w:t>Fig. 40 - The evolution of the number of square meters of available house per inhabitant in the Romanian cross-border area, evolution over 2007-2012 period</w:t>
        </w:r>
        <w:r w:rsidR="0084725E">
          <w:rPr>
            <w:noProof/>
            <w:webHidden/>
          </w:rPr>
          <w:tab/>
        </w:r>
        <w:r w:rsidR="0084725E">
          <w:rPr>
            <w:noProof/>
            <w:webHidden/>
          </w:rPr>
          <w:fldChar w:fldCharType="begin"/>
        </w:r>
        <w:r w:rsidR="0084725E">
          <w:rPr>
            <w:noProof/>
            <w:webHidden/>
          </w:rPr>
          <w:instrText xml:space="preserve"> PAGEREF _Toc391150089 \h </w:instrText>
        </w:r>
        <w:r w:rsidR="0084725E">
          <w:rPr>
            <w:noProof/>
            <w:webHidden/>
          </w:rPr>
        </w:r>
        <w:r w:rsidR="0084725E">
          <w:rPr>
            <w:noProof/>
            <w:webHidden/>
          </w:rPr>
          <w:fldChar w:fldCharType="separate"/>
        </w:r>
        <w:r>
          <w:rPr>
            <w:noProof/>
            <w:webHidden/>
          </w:rPr>
          <w:t>125</w:t>
        </w:r>
        <w:r w:rsidR="0084725E">
          <w:rPr>
            <w:noProof/>
            <w:webHidden/>
          </w:rPr>
          <w:fldChar w:fldCharType="end"/>
        </w:r>
      </w:hyperlink>
    </w:p>
    <w:p w14:paraId="1DD41C5A"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90" w:history="1">
        <w:r w:rsidR="0084725E" w:rsidRPr="00A6722E">
          <w:rPr>
            <w:rStyle w:val="Hyperlink"/>
            <w:noProof/>
            <w:lang w:val="en-GB"/>
          </w:rPr>
          <w:t>Fig. 41 - The evolution of the average house surface in the Romanian counties of the cross-border area, 2007-2012</w:t>
        </w:r>
        <w:r w:rsidR="0084725E">
          <w:rPr>
            <w:noProof/>
            <w:webHidden/>
          </w:rPr>
          <w:tab/>
        </w:r>
        <w:r w:rsidR="0084725E">
          <w:rPr>
            <w:noProof/>
            <w:webHidden/>
          </w:rPr>
          <w:fldChar w:fldCharType="begin"/>
        </w:r>
        <w:r w:rsidR="0084725E">
          <w:rPr>
            <w:noProof/>
            <w:webHidden/>
          </w:rPr>
          <w:instrText xml:space="preserve"> PAGEREF _Toc391150090 \h </w:instrText>
        </w:r>
        <w:r w:rsidR="0084725E">
          <w:rPr>
            <w:noProof/>
            <w:webHidden/>
          </w:rPr>
        </w:r>
        <w:r w:rsidR="0084725E">
          <w:rPr>
            <w:noProof/>
            <w:webHidden/>
          </w:rPr>
          <w:fldChar w:fldCharType="separate"/>
        </w:r>
        <w:r>
          <w:rPr>
            <w:noProof/>
            <w:webHidden/>
          </w:rPr>
          <w:t>126</w:t>
        </w:r>
        <w:r w:rsidR="0084725E">
          <w:rPr>
            <w:noProof/>
            <w:webHidden/>
          </w:rPr>
          <w:fldChar w:fldCharType="end"/>
        </w:r>
      </w:hyperlink>
    </w:p>
    <w:p w14:paraId="6D50757F"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91" w:history="1">
        <w:r w:rsidR="0084725E" w:rsidRPr="00A6722E">
          <w:rPr>
            <w:rStyle w:val="Hyperlink"/>
            <w:noProof/>
            <w:lang w:val="en-GB"/>
          </w:rPr>
          <w:t>Fig. 42 - The dynamics of the housing fund</w:t>
        </w:r>
        <w:r w:rsidR="0084725E">
          <w:rPr>
            <w:noProof/>
            <w:webHidden/>
          </w:rPr>
          <w:tab/>
        </w:r>
        <w:r w:rsidR="0084725E">
          <w:rPr>
            <w:noProof/>
            <w:webHidden/>
          </w:rPr>
          <w:fldChar w:fldCharType="begin"/>
        </w:r>
        <w:r w:rsidR="0084725E">
          <w:rPr>
            <w:noProof/>
            <w:webHidden/>
          </w:rPr>
          <w:instrText xml:space="preserve"> PAGEREF _Toc391150091 \h </w:instrText>
        </w:r>
        <w:r w:rsidR="0084725E">
          <w:rPr>
            <w:noProof/>
            <w:webHidden/>
          </w:rPr>
        </w:r>
        <w:r w:rsidR="0084725E">
          <w:rPr>
            <w:noProof/>
            <w:webHidden/>
          </w:rPr>
          <w:fldChar w:fldCharType="separate"/>
        </w:r>
        <w:r>
          <w:rPr>
            <w:noProof/>
            <w:webHidden/>
          </w:rPr>
          <w:t>127</w:t>
        </w:r>
        <w:r w:rsidR="0084725E">
          <w:rPr>
            <w:noProof/>
            <w:webHidden/>
          </w:rPr>
          <w:fldChar w:fldCharType="end"/>
        </w:r>
      </w:hyperlink>
    </w:p>
    <w:p w14:paraId="42B869F2"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92" w:history="1">
        <w:r w:rsidR="0084725E" w:rsidRPr="00A6722E">
          <w:rPr>
            <w:rStyle w:val="Hyperlink"/>
            <w:noProof/>
            <w:lang w:val="en-GB"/>
          </w:rPr>
          <w:t>Fig. 43 - Household opinions regarding useful services to be implemented in the cross-border area</w:t>
        </w:r>
        <w:r w:rsidR="0084725E">
          <w:rPr>
            <w:noProof/>
            <w:webHidden/>
          </w:rPr>
          <w:tab/>
        </w:r>
        <w:r w:rsidR="0084725E">
          <w:rPr>
            <w:noProof/>
            <w:webHidden/>
          </w:rPr>
          <w:fldChar w:fldCharType="begin"/>
        </w:r>
        <w:r w:rsidR="0084725E">
          <w:rPr>
            <w:noProof/>
            <w:webHidden/>
          </w:rPr>
          <w:instrText xml:space="preserve"> PAGEREF _Toc391150092 \h </w:instrText>
        </w:r>
        <w:r w:rsidR="0084725E">
          <w:rPr>
            <w:noProof/>
            <w:webHidden/>
          </w:rPr>
        </w:r>
        <w:r w:rsidR="0084725E">
          <w:rPr>
            <w:noProof/>
            <w:webHidden/>
          </w:rPr>
          <w:fldChar w:fldCharType="separate"/>
        </w:r>
        <w:r>
          <w:rPr>
            <w:noProof/>
            <w:webHidden/>
          </w:rPr>
          <w:t>130</w:t>
        </w:r>
        <w:r w:rsidR="0084725E">
          <w:rPr>
            <w:noProof/>
            <w:webHidden/>
          </w:rPr>
          <w:fldChar w:fldCharType="end"/>
        </w:r>
      </w:hyperlink>
    </w:p>
    <w:p w14:paraId="37C53677"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93" w:history="1">
        <w:r w:rsidR="0084725E" w:rsidRPr="00A6722E">
          <w:rPr>
            <w:rStyle w:val="Hyperlink"/>
            <w:noProof/>
            <w:lang w:val="en-GB"/>
          </w:rPr>
          <w:t>Fig. 44 - Distribution of households by income (2011)</w:t>
        </w:r>
        <w:r w:rsidR="0084725E">
          <w:rPr>
            <w:noProof/>
            <w:webHidden/>
          </w:rPr>
          <w:tab/>
        </w:r>
        <w:r w:rsidR="0084725E">
          <w:rPr>
            <w:noProof/>
            <w:webHidden/>
          </w:rPr>
          <w:fldChar w:fldCharType="begin"/>
        </w:r>
        <w:r w:rsidR="0084725E">
          <w:rPr>
            <w:noProof/>
            <w:webHidden/>
          </w:rPr>
          <w:instrText xml:space="preserve"> PAGEREF _Toc391150093 \h </w:instrText>
        </w:r>
        <w:r w:rsidR="0084725E">
          <w:rPr>
            <w:noProof/>
            <w:webHidden/>
          </w:rPr>
        </w:r>
        <w:r w:rsidR="0084725E">
          <w:rPr>
            <w:noProof/>
            <w:webHidden/>
          </w:rPr>
          <w:fldChar w:fldCharType="separate"/>
        </w:r>
        <w:r>
          <w:rPr>
            <w:noProof/>
            <w:webHidden/>
          </w:rPr>
          <w:t>133</w:t>
        </w:r>
        <w:r w:rsidR="0084725E">
          <w:rPr>
            <w:noProof/>
            <w:webHidden/>
          </w:rPr>
          <w:fldChar w:fldCharType="end"/>
        </w:r>
      </w:hyperlink>
    </w:p>
    <w:p w14:paraId="23C74CFF"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94" w:history="1">
        <w:r w:rsidR="0084725E" w:rsidRPr="00A6722E">
          <w:rPr>
            <w:rStyle w:val="Hyperlink"/>
            <w:noProof/>
            <w:lang w:val="en-GB"/>
          </w:rPr>
          <w:t>Fig. 45 - Involvement degree of population in local administration projects (2011)</w:t>
        </w:r>
        <w:r w:rsidR="0084725E">
          <w:rPr>
            <w:noProof/>
            <w:webHidden/>
          </w:rPr>
          <w:tab/>
        </w:r>
        <w:r w:rsidR="0084725E">
          <w:rPr>
            <w:noProof/>
            <w:webHidden/>
          </w:rPr>
          <w:fldChar w:fldCharType="begin"/>
        </w:r>
        <w:r w:rsidR="0084725E">
          <w:rPr>
            <w:noProof/>
            <w:webHidden/>
          </w:rPr>
          <w:instrText xml:space="preserve"> PAGEREF _Toc391150094 \h </w:instrText>
        </w:r>
        <w:r w:rsidR="0084725E">
          <w:rPr>
            <w:noProof/>
            <w:webHidden/>
          </w:rPr>
        </w:r>
        <w:r w:rsidR="0084725E">
          <w:rPr>
            <w:noProof/>
            <w:webHidden/>
          </w:rPr>
          <w:fldChar w:fldCharType="separate"/>
        </w:r>
        <w:r>
          <w:rPr>
            <w:noProof/>
            <w:webHidden/>
          </w:rPr>
          <w:t>195</w:t>
        </w:r>
        <w:r w:rsidR="0084725E">
          <w:rPr>
            <w:noProof/>
            <w:webHidden/>
          </w:rPr>
          <w:fldChar w:fldCharType="end"/>
        </w:r>
      </w:hyperlink>
    </w:p>
    <w:p w14:paraId="2FE19D57"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95" w:history="1">
        <w:r w:rsidR="0084725E" w:rsidRPr="00A6722E">
          <w:rPr>
            <w:rStyle w:val="Hyperlink"/>
            <w:noProof/>
            <w:lang w:val="en-GB"/>
          </w:rPr>
          <w:t>Fig. 46 - Data related to Europe 2020 objectives of smart growth in the RO-BG CBC area</w:t>
        </w:r>
        <w:r w:rsidR="0084725E">
          <w:rPr>
            <w:noProof/>
            <w:webHidden/>
          </w:rPr>
          <w:tab/>
        </w:r>
        <w:r w:rsidR="0084725E">
          <w:rPr>
            <w:noProof/>
            <w:webHidden/>
          </w:rPr>
          <w:fldChar w:fldCharType="begin"/>
        </w:r>
        <w:r w:rsidR="0084725E">
          <w:rPr>
            <w:noProof/>
            <w:webHidden/>
          </w:rPr>
          <w:instrText xml:space="preserve"> PAGEREF _Toc391150095 \h </w:instrText>
        </w:r>
        <w:r w:rsidR="0084725E">
          <w:rPr>
            <w:noProof/>
            <w:webHidden/>
          </w:rPr>
        </w:r>
        <w:r w:rsidR="0084725E">
          <w:rPr>
            <w:noProof/>
            <w:webHidden/>
          </w:rPr>
          <w:fldChar w:fldCharType="separate"/>
        </w:r>
        <w:r>
          <w:rPr>
            <w:noProof/>
            <w:webHidden/>
          </w:rPr>
          <w:t>267</w:t>
        </w:r>
        <w:r w:rsidR="0084725E">
          <w:rPr>
            <w:noProof/>
            <w:webHidden/>
          </w:rPr>
          <w:fldChar w:fldCharType="end"/>
        </w:r>
      </w:hyperlink>
    </w:p>
    <w:p w14:paraId="7D5DF01D"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96" w:history="1">
        <w:r w:rsidR="0084725E" w:rsidRPr="00A6722E">
          <w:rPr>
            <w:rStyle w:val="Hyperlink"/>
            <w:noProof/>
            <w:lang w:val="en-GB"/>
          </w:rPr>
          <w:t>Fig. 47 - Data related to Europe 2020 objectives of sustainable growth in the RO-BG CBC area</w:t>
        </w:r>
        <w:r w:rsidR="0084725E">
          <w:rPr>
            <w:noProof/>
            <w:webHidden/>
          </w:rPr>
          <w:tab/>
        </w:r>
        <w:r w:rsidR="0084725E">
          <w:rPr>
            <w:noProof/>
            <w:webHidden/>
          </w:rPr>
          <w:fldChar w:fldCharType="begin"/>
        </w:r>
        <w:r w:rsidR="0084725E">
          <w:rPr>
            <w:noProof/>
            <w:webHidden/>
          </w:rPr>
          <w:instrText xml:space="preserve"> PAGEREF _Toc391150096 \h </w:instrText>
        </w:r>
        <w:r w:rsidR="0084725E">
          <w:rPr>
            <w:noProof/>
            <w:webHidden/>
          </w:rPr>
        </w:r>
        <w:r w:rsidR="0084725E">
          <w:rPr>
            <w:noProof/>
            <w:webHidden/>
          </w:rPr>
          <w:fldChar w:fldCharType="separate"/>
        </w:r>
        <w:r>
          <w:rPr>
            <w:noProof/>
            <w:webHidden/>
          </w:rPr>
          <w:t>268</w:t>
        </w:r>
        <w:r w:rsidR="0084725E">
          <w:rPr>
            <w:noProof/>
            <w:webHidden/>
          </w:rPr>
          <w:fldChar w:fldCharType="end"/>
        </w:r>
      </w:hyperlink>
    </w:p>
    <w:p w14:paraId="17D17CC0"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97" w:history="1">
        <w:r w:rsidR="0084725E" w:rsidRPr="00A6722E">
          <w:rPr>
            <w:rStyle w:val="Hyperlink"/>
            <w:noProof/>
            <w:lang w:val="en-GB"/>
          </w:rPr>
          <w:t>Fig. 48 - Data related to Europe 2020 objectives of Inclusive growth in the RO-BG CBC area</w:t>
        </w:r>
        <w:r w:rsidR="0084725E">
          <w:rPr>
            <w:noProof/>
            <w:webHidden/>
          </w:rPr>
          <w:tab/>
        </w:r>
        <w:r w:rsidR="0084725E">
          <w:rPr>
            <w:noProof/>
            <w:webHidden/>
          </w:rPr>
          <w:fldChar w:fldCharType="begin"/>
        </w:r>
        <w:r w:rsidR="0084725E">
          <w:rPr>
            <w:noProof/>
            <w:webHidden/>
          </w:rPr>
          <w:instrText xml:space="preserve"> PAGEREF _Toc391150097 \h </w:instrText>
        </w:r>
        <w:r w:rsidR="0084725E">
          <w:rPr>
            <w:noProof/>
            <w:webHidden/>
          </w:rPr>
        </w:r>
        <w:r w:rsidR="0084725E">
          <w:rPr>
            <w:noProof/>
            <w:webHidden/>
          </w:rPr>
          <w:fldChar w:fldCharType="separate"/>
        </w:r>
        <w:r>
          <w:rPr>
            <w:noProof/>
            <w:webHidden/>
          </w:rPr>
          <w:t>269</w:t>
        </w:r>
        <w:r w:rsidR="0084725E">
          <w:rPr>
            <w:noProof/>
            <w:webHidden/>
          </w:rPr>
          <w:fldChar w:fldCharType="end"/>
        </w:r>
      </w:hyperlink>
    </w:p>
    <w:p w14:paraId="2664A36D" w14:textId="77777777" w:rsidR="00DA33B9" w:rsidRPr="006645DC" w:rsidRDefault="005979EB" w:rsidP="00AC53A9">
      <w:pPr>
        <w:rPr>
          <w:lang w:val="en-GB"/>
        </w:rPr>
        <w:sectPr w:rsidR="00DA33B9" w:rsidRPr="006645DC" w:rsidSect="00187E88">
          <w:pgSz w:w="12240" w:h="15840"/>
          <w:pgMar w:top="1440" w:right="1440" w:bottom="1440" w:left="1440" w:header="720" w:footer="720" w:gutter="0"/>
          <w:cols w:space="720"/>
          <w:docGrid w:linePitch="360"/>
        </w:sectPr>
      </w:pPr>
      <w:r w:rsidRPr="006645DC">
        <w:rPr>
          <w:lang w:val="en-GB"/>
        </w:rPr>
        <w:fldChar w:fldCharType="end"/>
      </w:r>
    </w:p>
    <w:p w14:paraId="7DDE5400" w14:textId="77777777" w:rsidR="00AC53A9" w:rsidRPr="006645DC" w:rsidRDefault="00DA33B9" w:rsidP="00342012">
      <w:pPr>
        <w:pStyle w:val="Heading5"/>
        <w:numPr>
          <w:ilvl w:val="0"/>
          <w:numId w:val="0"/>
        </w:numPr>
        <w:ind w:left="1208"/>
        <w:rPr>
          <w:lang w:val="en-GB"/>
        </w:rPr>
      </w:pPr>
      <w:r w:rsidRPr="006645DC">
        <w:rPr>
          <w:lang w:val="en-GB"/>
        </w:rPr>
        <w:lastRenderedPageBreak/>
        <w:t>Maps</w:t>
      </w:r>
    </w:p>
    <w:p w14:paraId="0C699BFA" w14:textId="77777777" w:rsidR="0084725E" w:rsidRDefault="005979EB">
      <w:pPr>
        <w:pStyle w:val="TableofFigures"/>
        <w:tabs>
          <w:tab w:val="right" w:leader="dot" w:pos="9350"/>
        </w:tabs>
        <w:rPr>
          <w:rFonts w:asciiTheme="minorHAnsi" w:eastAsiaTheme="minorEastAsia" w:hAnsiTheme="minorHAnsi" w:cstheme="minorBidi"/>
          <w:noProof/>
        </w:rPr>
      </w:pPr>
      <w:r w:rsidRPr="006645DC">
        <w:rPr>
          <w:lang w:val="en-GB"/>
        </w:rPr>
        <w:fldChar w:fldCharType="begin"/>
      </w:r>
      <w:r w:rsidR="00DA33B9" w:rsidRPr="006645DC">
        <w:rPr>
          <w:lang w:val="en-GB"/>
        </w:rPr>
        <w:instrText xml:space="preserve"> TOC \h \z \c "Map" </w:instrText>
      </w:r>
      <w:r w:rsidRPr="006645DC">
        <w:rPr>
          <w:lang w:val="en-GB"/>
        </w:rPr>
        <w:fldChar w:fldCharType="separate"/>
      </w:r>
      <w:hyperlink w:anchor="_Toc391150005" w:history="1">
        <w:r w:rsidR="0084725E" w:rsidRPr="00840B68">
          <w:rPr>
            <w:rStyle w:val="Hyperlink"/>
            <w:noProof/>
            <w:lang w:val="en-GB"/>
          </w:rPr>
          <w:t>Map 1 -  The ROBG cross-border area</w:t>
        </w:r>
        <w:r w:rsidR="0084725E">
          <w:rPr>
            <w:noProof/>
            <w:webHidden/>
          </w:rPr>
          <w:tab/>
        </w:r>
        <w:r w:rsidR="0084725E">
          <w:rPr>
            <w:noProof/>
            <w:webHidden/>
          </w:rPr>
          <w:fldChar w:fldCharType="begin"/>
        </w:r>
        <w:r w:rsidR="0084725E">
          <w:rPr>
            <w:noProof/>
            <w:webHidden/>
          </w:rPr>
          <w:instrText xml:space="preserve"> PAGEREF _Toc391150005 \h </w:instrText>
        </w:r>
        <w:r w:rsidR="0084725E">
          <w:rPr>
            <w:noProof/>
            <w:webHidden/>
          </w:rPr>
        </w:r>
        <w:r w:rsidR="0084725E">
          <w:rPr>
            <w:noProof/>
            <w:webHidden/>
          </w:rPr>
          <w:fldChar w:fldCharType="separate"/>
        </w:r>
        <w:r w:rsidR="00523DE6">
          <w:rPr>
            <w:noProof/>
            <w:webHidden/>
          </w:rPr>
          <w:t>15</w:t>
        </w:r>
        <w:r w:rsidR="0084725E">
          <w:rPr>
            <w:noProof/>
            <w:webHidden/>
          </w:rPr>
          <w:fldChar w:fldCharType="end"/>
        </w:r>
      </w:hyperlink>
    </w:p>
    <w:p w14:paraId="4A917D58"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06" w:history="1">
        <w:r w:rsidR="0084725E" w:rsidRPr="00840B68">
          <w:rPr>
            <w:rStyle w:val="Hyperlink"/>
            <w:noProof/>
            <w:lang w:val="en-GB"/>
          </w:rPr>
          <w:t>Map 2 - Gross domestic product (GDP) per inhabitant, in purchasing power standard (PPS), by NUTS 3 regions, 2010</w:t>
        </w:r>
        <w:r w:rsidR="0084725E">
          <w:rPr>
            <w:noProof/>
            <w:webHidden/>
          </w:rPr>
          <w:tab/>
        </w:r>
        <w:r w:rsidR="0084725E">
          <w:rPr>
            <w:noProof/>
            <w:webHidden/>
          </w:rPr>
          <w:fldChar w:fldCharType="begin"/>
        </w:r>
        <w:r w:rsidR="0084725E">
          <w:rPr>
            <w:noProof/>
            <w:webHidden/>
          </w:rPr>
          <w:instrText xml:space="preserve"> PAGEREF _Toc391150006 \h </w:instrText>
        </w:r>
        <w:r w:rsidR="0084725E">
          <w:rPr>
            <w:noProof/>
            <w:webHidden/>
          </w:rPr>
        </w:r>
        <w:r w:rsidR="0084725E">
          <w:rPr>
            <w:noProof/>
            <w:webHidden/>
          </w:rPr>
          <w:fldChar w:fldCharType="separate"/>
        </w:r>
        <w:r>
          <w:rPr>
            <w:noProof/>
            <w:webHidden/>
          </w:rPr>
          <w:t>17</w:t>
        </w:r>
        <w:r w:rsidR="0084725E">
          <w:rPr>
            <w:noProof/>
            <w:webHidden/>
          </w:rPr>
          <w:fldChar w:fldCharType="end"/>
        </w:r>
      </w:hyperlink>
    </w:p>
    <w:p w14:paraId="4A82634C"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07" w:history="1">
        <w:r w:rsidR="0084725E" w:rsidRPr="00840B68">
          <w:rPr>
            <w:rStyle w:val="Hyperlink"/>
            <w:noProof/>
            <w:lang w:val="en-GB"/>
          </w:rPr>
          <w:t>Map 3 - Typology of regional economies</w:t>
        </w:r>
        <w:r w:rsidR="0084725E">
          <w:rPr>
            <w:noProof/>
            <w:webHidden/>
          </w:rPr>
          <w:tab/>
        </w:r>
        <w:r w:rsidR="0084725E">
          <w:rPr>
            <w:noProof/>
            <w:webHidden/>
          </w:rPr>
          <w:fldChar w:fldCharType="begin"/>
        </w:r>
        <w:r w:rsidR="0084725E">
          <w:rPr>
            <w:noProof/>
            <w:webHidden/>
          </w:rPr>
          <w:instrText xml:space="preserve"> PAGEREF _Toc391150007 \h </w:instrText>
        </w:r>
        <w:r w:rsidR="0084725E">
          <w:rPr>
            <w:noProof/>
            <w:webHidden/>
          </w:rPr>
        </w:r>
        <w:r w:rsidR="0084725E">
          <w:rPr>
            <w:noProof/>
            <w:webHidden/>
          </w:rPr>
          <w:fldChar w:fldCharType="separate"/>
        </w:r>
        <w:r>
          <w:rPr>
            <w:noProof/>
            <w:webHidden/>
          </w:rPr>
          <w:t>24</w:t>
        </w:r>
        <w:r w:rsidR="0084725E">
          <w:rPr>
            <w:noProof/>
            <w:webHidden/>
          </w:rPr>
          <w:fldChar w:fldCharType="end"/>
        </w:r>
      </w:hyperlink>
    </w:p>
    <w:p w14:paraId="07283BA5"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08" w:history="1">
        <w:r w:rsidR="0084725E" w:rsidRPr="00840B68">
          <w:rPr>
            <w:rStyle w:val="Hyperlink"/>
            <w:noProof/>
            <w:lang w:val="en-GB"/>
          </w:rPr>
          <w:t>Map 4 - TEN-T Core Network Corridors passing through the Romania-Bulgaria cross-border region</w:t>
        </w:r>
        <w:r w:rsidR="0084725E">
          <w:rPr>
            <w:noProof/>
            <w:webHidden/>
          </w:rPr>
          <w:tab/>
        </w:r>
        <w:r w:rsidR="0084725E">
          <w:rPr>
            <w:noProof/>
            <w:webHidden/>
          </w:rPr>
          <w:fldChar w:fldCharType="begin"/>
        </w:r>
        <w:r w:rsidR="0084725E">
          <w:rPr>
            <w:noProof/>
            <w:webHidden/>
          </w:rPr>
          <w:instrText xml:space="preserve"> PAGEREF _Toc391150008 \h </w:instrText>
        </w:r>
        <w:r w:rsidR="0084725E">
          <w:rPr>
            <w:noProof/>
            <w:webHidden/>
          </w:rPr>
        </w:r>
        <w:r w:rsidR="0084725E">
          <w:rPr>
            <w:noProof/>
            <w:webHidden/>
          </w:rPr>
          <w:fldChar w:fldCharType="separate"/>
        </w:r>
        <w:r>
          <w:rPr>
            <w:noProof/>
            <w:webHidden/>
          </w:rPr>
          <w:t>52</w:t>
        </w:r>
        <w:r w:rsidR="0084725E">
          <w:rPr>
            <w:noProof/>
            <w:webHidden/>
          </w:rPr>
          <w:fldChar w:fldCharType="end"/>
        </w:r>
      </w:hyperlink>
    </w:p>
    <w:p w14:paraId="2D84E509"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09" w:history="1">
        <w:r w:rsidR="0084725E" w:rsidRPr="00840B68">
          <w:rPr>
            <w:rStyle w:val="Hyperlink"/>
            <w:noProof/>
            <w:lang w:val="en-GB"/>
          </w:rPr>
          <w:t>Map 5 - Hierarchy of the road network</w:t>
        </w:r>
        <w:r w:rsidR="0084725E">
          <w:rPr>
            <w:noProof/>
            <w:webHidden/>
          </w:rPr>
          <w:tab/>
        </w:r>
        <w:r w:rsidR="0084725E">
          <w:rPr>
            <w:noProof/>
            <w:webHidden/>
          </w:rPr>
          <w:fldChar w:fldCharType="begin"/>
        </w:r>
        <w:r w:rsidR="0084725E">
          <w:rPr>
            <w:noProof/>
            <w:webHidden/>
          </w:rPr>
          <w:instrText xml:space="preserve"> PAGEREF _Toc391150009 \h </w:instrText>
        </w:r>
        <w:r w:rsidR="0084725E">
          <w:rPr>
            <w:noProof/>
            <w:webHidden/>
          </w:rPr>
        </w:r>
        <w:r w:rsidR="0084725E">
          <w:rPr>
            <w:noProof/>
            <w:webHidden/>
          </w:rPr>
          <w:fldChar w:fldCharType="separate"/>
        </w:r>
        <w:r>
          <w:rPr>
            <w:noProof/>
            <w:webHidden/>
          </w:rPr>
          <w:t>57</w:t>
        </w:r>
        <w:r w:rsidR="0084725E">
          <w:rPr>
            <w:noProof/>
            <w:webHidden/>
          </w:rPr>
          <w:fldChar w:fldCharType="end"/>
        </w:r>
      </w:hyperlink>
    </w:p>
    <w:p w14:paraId="5E5357AB"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10" w:history="1">
        <w:r w:rsidR="0084725E" w:rsidRPr="00840B68">
          <w:rPr>
            <w:rStyle w:val="Hyperlink"/>
            <w:noProof/>
            <w:lang w:val="en-GB"/>
          </w:rPr>
          <w:t>Map 6 - Density of public roads per 100 sq km (2009)</w:t>
        </w:r>
        <w:r w:rsidR="0084725E">
          <w:rPr>
            <w:noProof/>
            <w:webHidden/>
          </w:rPr>
          <w:tab/>
        </w:r>
        <w:r w:rsidR="0084725E">
          <w:rPr>
            <w:noProof/>
            <w:webHidden/>
          </w:rPr>
          <w:fldChar w:fldCharType="begin"/>
        </w:r>
        <w:r w:rsidR="0084725E">
          <w:rPr>
            <w:noProof/>
            <w:webHidden/>
          </w:rPr>
          <w:instrText xml:space="preserve"> PAGEREF _Toc391150010 \h </w:instrText>
        </w:r>
        <w:r w:rsidR="0084725E">
          <w:rPr>
            <w:noProof/>
            <w:webHidden/>
          </w:rPr>
        </w:r>
        <w:r w:rsidR="0084725E">
          <w:rPr>
            <w:noProof/>
            <w:webHidden/>
          </w:rPr>
          <w:fldChar w:fldCharType="separate"/>
        </w:r>
        <w:r>
          <w:rPr>
            <w:noProof/>
            <w:webHidden/>
          </w:rPr>
          <w:t>61</w:t>
        </w:r>
        <w:r w:rsidR="0084725E">
          <w:rPr>
            <w:noProof/>
            <w:webHidden/>
          </w:rPr>
          <w:fldChar w:fldCharType="end"/>
        </w:r>
      </w:hyperlink>
    </w:p>
    <w:p w14:paraId="3E572D50"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11" w:history="1">
        <w:r w:rsidR="0084725E" w:rsidRPr="00840B68">
          <w:rPr>
            <w:rStyle w:val="Hyperlink"/>
            <w:noProof/>
            <w:lang w:val="en-GB"/>
          </w:rPr>
          <w:t>Map 7 - The trans-European road, port and airport transport network in Romania and Bulgaria</w:t>
        </w:r>
        <w:r w:rsidR="0084725E">
          <w:rPr>
            <w:noProof/>
            <w:webHidden/>
          </w:rPr>
          <w:tab/>
        </w:r>
        <w:r w:rsidR="0084725E">
          <w:rPr>
            <w:noProof/>
            <w:webHidden/>
          </w:rPr>
          <w:fldChar w:fldCharType="begin"/>
        </w:r>
        <w:r w:rsidR="0084725E">
          <w:rPr>
            <w:noProof/>
            <w:webHidden/>
          </w:rPr>
          <w:instrText xml:space="preserve"> PAGEREF _Toc391150011 \h </w:instrText>
        </w:r>
        <w:r w:rsidR="0084725E">
          <w:rPr>
            <w:noProof/>
            <w:webHidden/>
          </w:rPr>
        </w:r>
        <w:r w:rsidR="0084725E">
          <w:rPr>
            <w:noProof/>
            <w:webHidden/>
          </w:rPr>
          <w:fldChar w:fldCharType="separate"/>
        </w:r>
        <w:r>
          <w:rPr>
            <w:noProof/>
            <w:webHidden/>
          </w:rPr>
          <w:t>63</w:t>
        </w:r>
        <w:r w:rsidR="0084725E">
          <w:rPr>
            <w:noProof/>
            <w:webHidden/>
          </w:rPr>
          <w:fldChar w:fldCharType="end"/>
        </w:r>
      </w:hyperlink>
    </w:p>
    <w:p w14:paraId="31722902"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12" w:history="1">
        <w:r w:rsidR="0084725E" w:rsidRPr="00840B68">
          <w:rPr>
            <w:rStyle w:val="Hyperlink"/>
            <w:noProof/>
            <w:lang w:val="en-GB"/>
          </w:rPr>
          <w:t>Map 8 - International connectivity of towns with more than 50 000 inhabitants (2011)</w:t>
        </w:r>
        <w:r w:rsidR="0084725E">
          <w:rPr>
            <w:noProof/>
            <w:webHidden/>
          </w:rPr>
          <w:tab/>
        </w:r>
        <w:r w:rsidR="0084725E">
          <w:rPr>
            <w:noProof/>
            <w:webHidden/>
          </w:rPr>
          <w:fldChar w:fldCharType="begin"/>
        </w:r>
        <w:r w:rsidR="0084725E">
          <w:rPr>
            <w:noProof/>
            <w:webHidden/>
          </w:rPr>
          <w:instrText xml:space="preserve"> PAGEREF _Toc391150012 \h </w:instrText>
        </w:r>
        <w:r w:rsidR="0084725E">
          <w:rPr>
            <w:noProof/>
            <w:webHidden/>
          </w:rPr>
        </w:r>
        <w:r w:rsidR="0084725E">
          <w:rPr>
            <w:noProof/>
            <w:webHidden/>
          </w:rPr>
          <w:fldChar w:fldCharType="separate"/>
        </w:r>
        <w:r>
          <w:rPr>
            <w:noProof/>
            <w:webHidden/>
          </w:rPr>
          <w:t>64</w:t>
        </w:r>
        <w:r w:rsidR="0084725E">
          <w:rPr>
            <w:noProof/>
            <w:webHidden/>
          </w:rPr>
          <w:fldChar w:fldCharType="end"/>
        </w:r>
      </w:hyperlink>
    </w:p>
    <w:p w14:paraId="039C0E7E"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13" w:history="1">
        <w:r w:rsidR="0084725E" w:rsidRPr="00840B68">
          <w:rPr>
            <w:rStyle w:val="Hyperlink"/>
            <w:noProof/>
            <w:lang w:val="en-GB"/>
          </w:rPr>
          <w:t>Map 9 - The road and railroad network, ports and waterways by multimodal nodes</w:t>
        </w:r>
        <w:r w:rsidR="0084725E">
          <w:rPr>
            <w:noProof/>
            <w:webHidden/>
          </w:rPr>
          <w:tab/>
        </w:r>
        <w:r w:rsidR="0084725E">
          <w:rPr>
            <w:noProof/>
            <w:webHidden/>
          </w:rPr>
          <w:fldChar w:fldCharType="begin"/>
        </w:r>
        <w:r w:rsidR="0084725E">
          <w:rPr>
            <w:noProof/>
            <w:webHidden/>
          </w:rPr>
          <w:instrText xml:space="preserve"> PAGEREF _Toc391150013 \h </w:instrText>
        </w:r>
        <w:r w:rsidR="0084725E">
          <w:rPr>
            <w:noProof/>
            <w:webHidden/>
          </w:rPr>
        </w:r>
        <w:r w:rsidR="0084725E">
          <w:rPr>
            <w:noProof/>
            <w:webHidden/>
          </w:rPr>
          <w:fldChar w:fldCharType="separate"/>
        </w:r>
        <w:r>
          <w:rPr>
            <w:noProof/>
            <w:webHidden/>
          </w:rPr>
          <w:t>65</w:t>
        </w:r>
        <w:r w:rsidR="0084725E">
          <w:rPr>
            <w:noProof/>
            <w:webHidden/>
          </w:rPr>
          <w:fldChar w:fldCharType="end"/>
        </w:r>
      </w:hyperlink>
    </w:p>
    <w:p w14:paraId="14E4A64F"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14" w:history="1">
        <w:r w:rsidR="0084725E" w:rsidRPr="00840B68">
          <w:rPr>
            <w:rStyle w:val="Hyperlink"/>
            <w:noProof/>
            <w:lang w:val="en-GB"/>
          </w:rPr>
          <w:t>Map 10 - Air Traffic – Romanian and Bulgarian airport territorial integration in a European context (Tigris)</w:t>
        </w:r>
        <w:r w:rsidR="0084725E">
          <w:rPr>
            <w:noProof/>
            <w:webHidden/>
          </w:rPr>
          <w:tab/>
        </w:r>
        <w:r w:rsidR="0084725E">
          <w:rPr>
            <w:noProof/>
            <w:webHidden/>
          </w:rPr>
          <w:fldChar w:fldCharType="begin"/>
        </w:r>
        <w:r w:rsidR="0084725E">
          <w:rPr>
            <w:noProof/>
            <w:webHidden/>
          </w:rPr>
          <w:instrText xml:space="preserve"> PAGEREF _Toc391150014 \h </w:instrText>
        </w:r>
        <w:r w:rsidR="0084725E">
          <w:rPr>
            <w:noProof/>
            <w:webHidden/>
          </w:rPr>
        </w:r>
        <w:r w:rsidR="0084725E">
          <w:rPr>
            <w:noProof/>
            <w:webHidden/>
          </w:rPr>
          <w:fldChar w:fldCharType="separate"/>
        </w:r>
        <w:r>
          <w:rPr>
            <w:noProof/>
            <w:webHidden/>
          </w:rPr>
          <w:t>67</w:t>
        </w:r>
        <w:r w:rsidR="0084725E">
          <w:rPr>
            <w:noProof/>
            <w:webHidden/>
          </w:rPr>
          <w:fldChar w:fldCharType="end"/>
        </w:r>
      </w:hyperlink>
    </w:p>
    <w:p w14:paraId="22CCD076"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15" w:history="1">
        <w:r w:rsidR="0084725E" w:rsidRPr="00840B68">
          <w:rPr>
            <w:rStyle w:val="Hyperlink"/>
            <w:noProof/>
            <w:lang w:val="en-GB"/>
          </w:rPr>
          <w:t>Map 11 - Transit flows in the cross-border region</w:t>
        </w:r>
        <w:r w:rsidR="0084725E">
          <w:rPr>
            <w:noProof/>
            <w:webHidden/>
          </w:rPr>
          <w:tab/>
        </w:r>
        <w:r w:rsidR="0084725E">
          <w:rPr>
            <w:noProof/>
            <w:webHidden/>
          </w:rPr>
          <w:fldChar w:fldCharType="begin"/>
        </w:r>
        <w:r w:rsidR="0084725E">
          <w:rPr>
            <w:noProof/>
            <w:webHidden/>
          </w:rPr>
          <w:instrText xml:space="preserve"> PAGEREF _Toc391150015 \h </w:instrText>
        </w:r>
        <w:r w:rsidR="0084725E">
          <w:rPr>
            <w:noProof/>
            <w:webHidden/>
          </w:rPr>
        </w:r>
        <w:r w:rsidR="0084725E">
          <w:rPr>
            <w:noProof/>
            <w:webHidden/>
          </w:rPr>
          <w:fldChar w:fldCharType="separate"/>
        </w:r>
        <w:r>
          <w:rPr>
            <w:noProof/>
            <w:webHidden/>
          </w:rPr>
          <w:t>69</w:t>
        </w:r>
        <w:r w:rsidR="0084725E">
          <w:rPr>
            <w:noProof/>
            <w:webHidden/>
          </w:rPr>
          <w:fldChar w:fldCharType="end"/>
        </w:r>
      </w:hyperlink>
    </w:p>
    <w:p w14:paraId="2665F558"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16" w:history="1">
        <w:r w:rsidR="0084725E" w:rsidRPr="00840B68">
          <w:rPr>
            <w:rStyle w:val="Hyperlink"/>
            <w:noProof/>
            <w:lang w:val="en-GB"/>
          </w:rPr>
          <w:t>Map 12 – Twin cities</w:t>
        </w:r>
        <w:r w:rsidR="0084725E">
          <w:rPr>
            <w:noProof/>
            <w:webHidden/>
          </w:rPr>
          <w:tab/>
        </w:r>
        <w:r w:rsidR="0084725E">
          <w:rPr>
            <w:noProof/>
            <w:webHidden/>
          </w:rPr>
          <w:fldChar w:fldCharType="begin"/>
        </w:r>
        <w:r w:rsidR="0084725E">
          <w:rPr>
            <w:noProof/>
            <w:webHidden/>
          </w:rPr>
          <w:instrText xml:space="preserve"> PAGEREF _Toc391150016 \h </w:instrText>
        </w:r>
        <w:r w:rsidR="0084725E">
          <w:rPr>
            <w:noProof/>
            <w:webHidden/>
          </w:rPr>
        </w:r>
        <w:r w:rsidR="0084725E">
          <w:rPr>
            <w:noProof/>
            <w:webHidden/>
          </w:rPr>
          <w:fldChar w:fldCharType="separate"/>
        </w:r>
        <w:r>
          <w:rPr>
            <w:noProof/>
            <w:webHidden/>
          </w:rPr>
          <w:t>70</w:t>
        </w:r>
        <w:r w:rsidR="0084725E">
          <w:rPr>
            <w:noProof/>
            <w:webHidden/>
          </w:rPr>
          <w:fldChar w:fldCharType="end"/>
        </w:r>
      </w:hyperlink>
    </w:p>
    <w:p w14:paraId="3081E678"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17" w:history="1">
        <w:r w:rsidR="0084725E" w:rsidRPr="00840B68">
          <w:rPr>
            <w:rStyle w:val="Hyperlink"/>
            <w:noProof/>
            <w:lang w:val="en-GB"/>
          </w:rPr>
          <w:t>Map 13 – Standard broadband coverage cross-border area in 2011, study for the EC by Point Topic</w:t>
        </w:r>
        <w:r w:rsidR="0084725E">
          <w:rPr>
            <w:noProof/>
            <w:webHidden/>
          </w:rPr>
          <w:tab/>
        </w:r>
        <w:r w:rsidR="0084725E">
          <w:rPr>
            <w:noProof/>
            <w:webHidden/>
          </w:rPr>
          <w:fldChar w:fldCharType="begin"/>
        </w:r>
        <w:r w:rsidR="0084725E">
          <w:rPr>
            <w:noProof/>
            <w:webHidden/>
          </w:rPr>
          <w:instrText xml:space="preserve"> PAGEREF _Toc391150017 \h </w:instrText>
        </w:r>
        <w:r w:rsidR="0084725E">
          <w:rPr>
            <w:noProof/>
            <w:webHidden/>
          </w:rPr>
        </w:r>
        <w:r w:rsidR="0084725E">
          <w:rPr>
            <w:noProof/>
            <w:webHidden/>
          </w:rPr>
          <w:fldChar w:fldCharType="separate"/>
        </w:r>
        <w:r>
          <w:rPr>
            <w:noProof/>
            <w:webHidden/>
          </w:rPr>
          <w:t>73</w:t>
        </w:r>
        <w:r w:rsidR="0084725E">
          <w:rPr>
            <w:noProof/>
            <w:webHidden/>
          </w:rPr>
          <w:fldChar w:fldCharType="end"/>
        </w:r>
      </w:hyperlink>
    </w:p>
    <w:p w14:paraId="02735799"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18" w:history="1">
        <w:r w:rsidR="0084725E" w:rsidRPr="00840B68">
          <w:rPr>
            <w:rStyle w:val="Hyperlink"/>
            <w:noProof/>
            <w:lang w:val="en-GB"/>
          </w:rPr>
          <w:t>Map 14 - Population change during 2001-2010 (%)</w:t>
        </w:r>
        <w:r w:rsidR="0084725E">
          <w:rPr>
            <w:noProof/>
            <w:webHidden/>
          </w:rPr>
          <w:tab/>
        </w:r>
        <w:r w:rsidR="0084725E">
          <w:rPr>
            <w:noProof/>
            <w:webHidden/>
          </w:rPr>
          <w:fldChar w:fldCharType="begin"/>
        </w:r>
        <w:r w:rsidR="0084725E">
          <w:rPr>
            <w:noProof/>
            <w:webHidden/>
          </w:rPr>
          <w:instrText xml:space="preserve"> PAGEREF _Toc391150018 \h </w:instrText>
        </w:r>
        <w:r w:rsidR="0084725E">
          <w:rPr>
            <w:noProof/>
            <w:webHidden/>
          </w:rPr>
        </w:r>
        <w:r w:rsidR="0084725E">
          <w:rPr>
            <w:noProof/>
            <w:webHidden/>
          </w:rPr>
          <w:fldChar w:fldCharType="separate"/>
        </w:r>
        <w:r>
          <w:rPr>
            <w:noProof/>
            <w:webHidden/>
          </w:rPr>
          <w:t>81</w:t>
        </w:r>
        <w:r w:rsidR="0084725E">
          <w:rPr>
            <w:noProof/>
            <w:webHidden/>
          </w:rPr>
          <w:fldChar w:fldCharType="end"/>
        </w:r>
      </w:hyperlink>
    </w:p>
    <w:p w14:paraId="1DF43F6F"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19" w:history="1">
        <w:r w:rsidR="0084725E" w:rsidRPr="00840B68">
          <w:rPr>
            <w:rStyle w:val="Hyperlink"/>
            <w:noProof/>
            <w:lang w:val="en-GB"/>
          </w:rPr>
          <w:t>Map 15 - Rate of decrease of resident population over 2005-2012 period (%)</w:t>
        </w:r>
        <w:r w:rsidR="0084725E">
          <w:rPr>
            <w:noProof/>
            <w:webHidden/>
          </w:rPr>
          <w:tab/>
        </w:r>
        <w:r w:rsidR="0084725E">
          <w:rPr>
            <w:noProof/>
            <w:webHidden/>
          </w:rPr>
          <w:fldChar w:fldCharType="begin"/>
        </w:r>
        <w:r w:rsidR="0084725E">
          <w:rPr>
            <w:noProof/>
            <w:webHidden/>
          </w:rPr>
          <w:instrText xml:space="preserve"> PAGEREF _Toc391150019 \h </w:instrText>
        </w:r>
        <w:r w:rsidR="0084725E">
          <w:rPr>
            <w:noProof/>
            <w:webHidden/>
          </w:rPr>
        </w:r>
        <w:r w:rsidR="0084725E">
          <w:rPr>
            <w:noProof/>
            <w:webHidden/>
          </w:rPr>
          <w:fldChar w:fldCharType="separate"/>
        </w:r>
        <w:r>
          <w:rPr>
            <w:noProof/>
            <w:webHidden/>
          </w:rPr>
          <w:t>82</w:t>
        </w:r>
        <w:r w:rsidR="0084725E">
          <w:rPr>
            <w:noProof/>
            <w:webHidden/>
          </w:rPr>
          <w:fldChar w:fldCharType="end"/>
        </w:r>
      </w:hyperlink>
    </w:p>
    <w:p w14:paraId="3E32374E"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20" w:history="1">
        <w:r w:rsidR="0084725E" w:rsidRPr="00840B68">
          <w:rPr>
            <w:rStyle w:val="Hyperlink"/>
            <w:noProof/>
            <w:lang w:val="en-GB"/>
          </w:rPr>
          <w:t>Map 16 - Rate of decrease of resident population over 2005-2012 period, rural area (%)</w:t>
        </w:r>
        <w:r w:rsidR="0084725E">
          <w:rPr>
            <w:noProof/>
            <w:webHidden/>
          </w:rPr>
          <w:tab/>
        </w:r>
        <w:r w:rsidR="0084725E">
          <w:rPr>
            <w:noProof/>
            <w:webHidden/>
          </w:rPr>
          <w:fldChar w:fldCharType="begin"/>
        </w:r>
        <w:r w:rsidR="0084725E">
          <w:rPr>
            <w:noProof/>
            <w:webHidden/>
          </w:rPr>
          <w:instrText xml:space="preserve"> PAGEREF _Toc391150020 \h </w:instrText>
        </w:r>
        <w:r w:rsidR="0084725E">
          <w:rPr>
            <w:noProof/>
            <w:webHidden/>
          </w:rPr>
        </w:r>
        <w:r w:rsidR="0084725E">
          <w:rPr>
            <w:noProof/>
            <w:webHidden/>
          </w:rPr>
          <w:fldChar w:fldCharType="separate"/>
        </w:r>
        <w:r>
          <w:rPr>
            <w:noProof/>
            <w:webHidden/>
          </w:rPr>
          <w:t>82</w:t>
        </w:r>
        <w:r w:rsidR="0084725E">
          <w:rPr>
            <w:noProof/>
            <w:webHidden/>
          </w:rPr>
          <w:fldChar w:fldCharType="end"/>
        </w:r>
      </w:hyperlink>
    </w:p>
    <w:p w14:paraId="27807BBC"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21" w:history="1">
        <w:r w:rsidR="0084725E" w:rsidRPr="00840B68">
          <w:rPr>
            <w:rStyle w:val="Hyperlink"/>
            <w:noProof/>
            <w:lang w:val="en-GB"/>
          </w:rPr>
          <w:t xml:space="preserve">Map 17 - </w:t>
        </w:r>
        <w:r w:rsidR="0084725E" w:rsidRPr="00840B68">
          <w:rPr>
            <w:rStyle w:val="Hyperlink"/>
            <w:noProof/>
            <w:lang w:val="en-GB" w:eastAsia="fr-FR"/>
          </w:rPr>
          <w:t>Population density (2012) – inh/km²</w:t>
        </w:r>
        <w:r w:rsidR="0084725E">
          <w:rPr>
            <w:noProof/>
            <w:webHidden/>
          </w:rPr>
          <w:tab/>
        </w:r>
        <w:r w:rsidR="0084725E">
          <w:rPr>
            <w:noProof/>
            <w:webHidden/>
          </w:rPr>
          <w:fldChar w:fldCharType="begin"/>
        </w:r>
        <w:r w:rsidR="0084725E">
          <w:rPr>
            <w:noProof/>
            <w:webHidden/>
          </w:rPr>
          <w:instrText xml:space="preserve"> PAGEREF _Toc391150021 \h </w:instrText>
        </w:r>
        <w:r w:rsidR="0084725E">
          <w:rPr>
            <w:noProof/>
            <w:webHidden/>
          </w:rPr>
        </w:r>
        <w:r w:rsidR="0084725E">
          <w:rPr>
            <w:noProof/>
            <w:webHidden/>
          </w:rPr>
          <w:fldChar w:fldCharType="separate"/>
        </w:r>
        <w:r>
          <w:rPr>
            <w:noProof/>
            <w:webHidden/>
          </w:rPr>
          <w:t>83</w:t>
        </w:r>
        <w:r w:rsidR="0084725E">
          <w:rPr>
            <w:noProof/>
            <w:webHidden/>
          </w:rPr>
          <w:fldChar w:fldCharType="end"/>
        </w:r>
      </w:hyperlink>
    </w:p>
    <w:p w14:paraId="0717B151"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22" w:history="1">
        <w:r w:rsidR="0084725E" w:rsidRPr="00840B68">
          <w:rPr>
            <w:rStyle w:val="Hyperlink"/>
            <w:noProof/>
            <w:lang w:val="en-GB"/>
          </w:rPr>
          <w:t xml:space="preserve">Map 18 - </w:t>
        </w:r>
        <w:r w:rsidR="0084725E" w:rsidRPr="00840B68">
          <w:rPr>
            <w:rStyle w:val="Hyperlink"/>
            <w:rFonts w:eastAsia="MS Gothic"/>
            <w:noProof/>
            <w:lang w:val="en-GB"/>
          </w:rPr>
          <w:t>The share of population aged 65 years and over from total population (2010)</w:t>
        </w:r>
        <w:r w:rsidR="0084725E">
          <w:rPr>
            <w:noProof/>
            <w:webHidden/>
          </w:rPr>
          <w:tab/>
        </w:r>
        <w:r w:rsidR="0084725E">
          <w:rPr>
            <w:noProof/>
            <w:webHidden/>
          </w:rPr>
          <w:fldChar w:fldCharType="begin"/>
        </w:r>
        <w:r w:rsidR="0084725E">
          <w:rPr>
            <w:noProof/>
            <w:webHidden/>
          </w:rPr>
          <w:instrText xml:space="preserve"> PAGEREF _Toc391150022 \h </w:instrText>
        </w:r>
        <w:r w:rsidR="0084725E">
          <w:rPr>
            <w:noProof/>
            <w:webHidden/>
          </w:rPr>
        </w:r>
        <w:r w:rsidR="0084725E">
          <w:rPr>
            <w:noProof/>
            <w:webHidden/>
          </w:rPr>
          <w:fldChar w:fldCharType="separate"/>
        </w:r>
        <w:r>
          <w:rPr>
            <w:noProof/>
            <w:webHidden/>
          </w:rPr>
          <w:t>86</w:t>
        </w:r>
        <w:r w:rsidR="0084725E">
          <w:rPr>
            <w:noProof/>
            <w:webHidden/>
          </w:rPr>
          <w:fldChar w:fldCharType="end"/>
        </w:r>
      </w:hyperlink>
    </w:p>
    <w:p w14:paraId="32FA37FC"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23" w:history="1">
        <w:r w:rsidR="0084725E" w:rsidRPr="00840B68">
          <w:rPr>
            <w:rStyle w:val="Hyperlink"/>
            <w:noProof/>
            <w:lang w:val="en-GB"/>
          </w:rPr>
          <w:t xml:space="preserve">Map 19 - </w:t>
        </w:r>
        <w:r w:rsidR="0084725E" w:rsidRPr="00840B68">
          <w:rPr>
            <w:rStyle w:val="Hyperlink"/>
            <w:rFonts w:eastAsia="MS Gothic"/>
            <w:noProof/>
            <w:lang w:val="en-GB"/>
          </w:rPr>
          <w:t>Birth rate for cross-border region in 2011</w:t>
        </w:r>
        <w:r w:rsidR="0084725E">
          <w:rPr>
            <w:noProof/>
            <w:webHidden/>
          </w:rPr>
          <w:tab/>
        </w:r>
        <w:r w:rsidR="0084725E">
          <w:rPr>
            <w:noProof/>
            <w:webHidden/>
          </w:rPr>
          <w:fldChar w:fldCharType="begin"/>
        </w:r>
        <w:r w:rsidR="0084725E">
          <w:rPr>
            <w:noProof/>
            <w:webHidden/>
          </w:rPr>
          <w:instrText xml:space="preserve"> PAGEREF _Toc391150023 \h </w:instrText>
        </w:r>
        <w:r w:rsidR="0084725E">
          <w:rPr>
            <w:noProof/>
            <w:webHidden/>
          </w:rPr>
        </w:r>
        <w:r w:rsidR="0084725E">
          <w:rPr>
            <w:noProof/>
            <w:webHidden/>
          </w:rPr>
          <w:fldChar w:fldCharType="separate"/>
        </w:r>
        <w:r>
          <w:rPr>
            <w:noProof/>
            <w:webHidden/>
          </w:rPr>
          <w:t>87</w:t>
        </w:r>
        <w:r w:rsidR="0084725E">
          <w:rPr>
            <w:noProof/>
            <w:webHidden/>
          </w:rPr>
          <w:fldChar w:fldCharType="end"/>
        </w:r>
      </w:hyperlink>
    </w:p>
    <w:p w14:paraId="444283EE"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24" w:history="1">
        <w:r w:rsidR="0084725E" w:rsidRPr="00840B68">
          <w:rPr>
            <w:rStyle w:val="Hyperlink"/>
            <w:noProof/>
            <w:lang w:val="en-GB"/>
          </w:rPr>
          <w:t xml:space="preserve">Map 20 - </w:t>
        </w:r>
        <w:r w:rsidR="0084725E" w:rsidRPr="00840B68">
          <w:rPr>
            <w:rStyle w:val="Hyperlink"/>
            <w:rFonts w:eastAsia="MS Gothic"/>
            <w:noProof/>
            <w:lang w:val="en-GB"/>
          </w:rPr>
          <w:t>Birth rate ROBG area vs. EU 28 average, 2011 (%)</w:t>
        </w:r>
        <w:r w:rsidR="0084725E">
          <w:rPr>
            <w:noProof/>
            <w:webHidden/>
          </w:rPr>
          <w:tab/>
        </w:r>
        <w:r w:rsidR="0084725E">
          <w:rPr>
            <w:noProof/>
            <w:webHidden/>
          </w:rPr>
          <w:fldChar w:fldCharType="begin"/>
        </w:r>
        <w:r w:rsidR="0084725E">
          <w:rPr>
            <w:noProof/>
            <w:webHidden/>
          </w:rPr>
          <w:instrText xml:space="preserve"> PAGEREF _Toc391150024 \h </w:instrText>
        </w:r>
        <w:r w:rsidR="0084725E">
          <w:rPr>
            <w:noProof/>
            <w:webHidden/>
          </w:rPr>
        </w:r>
        <w:r w:rsidR="0084725E">
          <w:rPr>
            <w:noProof/>
            <w:webHidden/>
          </w:rPr>
          <w:fldChar w:fldCharType="separate"/>
        </w:r>
        <w:r>
          <w:rPr>
            <w:noProof/>
            <w:webHidden/>
          </w:rPr>
          <w:t>88</w:t>
        </w:r>
        <w:r w:rsidR="0084725E">
          <w:rPr>
            <w:noProof/>
            <w:webHidden/>
          </w:rPr>
          <w:fldChar w:fldCharType="end"/>
        </w:r>
      </w:hyperlink>
    </w:p>
    <w:p w14:paraId="46CC22F1"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25" w:history="1">
        <w:r w:rsidR="0084725E" w:rsidRPr="00840B68">
          <w:rPr>
            <w:rStyle w:val="Hyperlink"/>
            <w:noProof/>
            <w:lang w:val="en-GB"/>
          </w:rPr>
          <w:t>Map 21 - D</w:t>
        </w:r>
        <w:r w:rsidR="0084725E" w:rsidRPr="00840B68">
          <w:rPr>
            <w:rStyle w:val="Hyperlink"/>
            <w:rFonts w:eastAsia="MS Gothic"/>
            <w:noProof/>
            <w:lang w:val="en-GB"/>
          </w:rPr>
          <w:t>eath rate for the cross-border region in 2011</w:t>
        </w:r>
        <w:r w:rsidR="0084725E" w:rsidRPr="00840B68">
          <w:rPr>
            <w:rStyle w:val="Hyperlink"/>
            <w:rFonts w:eastAsia="MS Gothic"/>
            <w:b/>
            <w:noProof/>
            <w:lang w:val="en-GB"/>
          </w:rPr>
          <w:t>(‰)</w:t>
        </w:r>
        <w:r w:rsidR="0084725E">
          <w:rPr>
            <w:noProof/>
            <w:webHidden/>
          </w:rPr>
          <w:tab/>
        </w:r>
        <w:r w:rsidR="0084725E">
          <w:rPr>
            <w:noProof/>
            <w:webHidden/>
          </w:rPr>
          <w:fldChar w:fldCharType="begin"/>
        </w:r>
        <w:r w:rsidR="0084725E">
          <w:rPr>
            <w:noProof/>
            <w:webHidden/>
          </w:rPr>
          <w:instrText xml:space="preserve"> PAGEREF _Toc391150025 \h </w:instrText>
        </w:r>
        <w:r w:rsidR="0084725E">
          <w:rPr>
            <w:noProof/>
            <w:webHidden/>
          </w:rPr>
        </w:r>
        <w:r w:rsidR="0084725E">
          <w:rPr>
            <w:noProof/>
            <w:webHidden/>
          </w:rPr>
          <w:fldChar w:fldCharType="separate"/>
        </w:r>
        <w:r>
          <w:rPr>
            <w:noProof/>
            <w:webHidden/>
          </w:rPr>
          <w:t>89</w:t>
        </w:r>
        <w:r w:rsidR="0084725E">
          <w:rPr>
            <w:noProof/>
            <w:webHidden/>
          </w:rPr>
          <w:fldChar w:fldCharType="end"/>
        </w:r>
      </w:hyperlink>
    </w:p>
    <w:p w14:paraId="20655D75"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26" w:history="1">
        <w:r w:rsidR="0084725E" w:rsidRPr="00840B68">
          <w:rPr>
            <w:rStyle w:val="Hyperlink"/>
            <w:noProof/>
            <w:lang w:val="en-GB"/>
          </w:rPr>
          <w:t xml:space="preserve">Map 22 - </w:t>
        </w:r>
        <w:r w:rsidR="0084725E" w:rsidRPr="00840B68">
          <w:rPr>
            <w:rStyle w:val="Hyperlink"/>
            <w:rFonts w:eastAsia="MS Gothic"/>
            <w:noProof/>
            <w:lang w:val="en-GB"/>
          </w:rPr>
          <w:t>Net Migration (‰)</w:t>
        </w:r>
        <w:r w:rsidR="0084725E">
          <w:rPr>
            <w:noProof/>
            <w:webHidden/>
          </w:rPr>
          <w:tab/>
        </w:r>
        <w:r w:rsidR="0084725E">
          <w:rPr>
            <w:noProof/>
            <w:webHidden/>
          </w:rPr>
          <w:fldChar w:fldCharType="begin"/>
        </w:r>
        <w:r w:rsidR="0084725E">
          <w:rPr>
            <w:noProof/>
            <w:webHidden/>
          </w:rPr>
          <w:instrText xml:space="preserve"> PAGEREF _Toc391150026 \h </w:instrText>
        </w:r>
        <w:r w:rsidR="0084725E">
          <w:rPr>
            <w:noProof/>
            <w:webHidden/>
          </w:rPr>
        </w:r>
        <w:r w:rsidR="0084725E">
          <w:rPr>
            <w:noProof/>
            <w:webHidden/>
          </w:rPr>
          <w:fldChar w:fldCharType="separate"/>
        </w:r>
        <w:r>
          <w:rPr>
            <w:noProof/>
            <w:webHidden/>
          </w:rPr>
          <w:t>93</w:t>
        </w:r>
        <w:r w:rsidR="0084725E">
          <w:rPr>
            <w:noProof/>
            <w:webHidden/>
          </w:rPr>
          <w:fldChar w:fldCharType="end"/>
        </w:r>
      </w:hyperlink>
    </w:p>
    <w:p w14:paraId="6BBF062D"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27" w:history="1">
        <w:r w:rsidR="0084725E" w:rsidRPr="00840B68">
          <w:rPr>
            <w:rStyle w:val="Hyperlink"/>
            <w:noProof/>
            <w:lang w:val="en-GB"/>
          </w:rPr>
          <w:t>Map 23 - Unemployment rate</w:t>
        </w:r>
        <w:r w:rsidR="0084725E">
          <w:rPr>
            <w:noProof/>
            <w:webHidden/>
          </w:rPr>
          <w:tab/>
        </w:r>
        <w:r w:rsidR="0084725E">
          <w:rPr>
            <w:noProof/>
            <w:webHidden/>
          </w:rPr>
          <w:fldChar w:fldCharType="begin"/>
        </w:r>
        <w:r w:rsidR="0084725E">
          <w:rPr>
            <w:noProof/>
            <w:webHidden/>
          </w:rPr>
          <w:instrText xml:space="preserve"> PAGEREF _Toc391150027 \h </w:instrText>
        </w:r>
        <w:r w:rsidR="0084725E">
          <w:rPr>
            <w:noProof/>
            <w:webHidden/>
          </w:rPr>
        </w:r>
        <w:r w:rsidR="0084725E">
          <w:rPr>
            <w:noProof/>
            <w:webHidden/>
          </w:rPr>
          <w:fldChar w:fldCharType="separate"/>
        </w:r>
        <w:r>
          <w:rPr>
            <w:noProof/>
            <w:webHidden/>
          </w:rPr>
          <w:t>109</w:t>
        </w:r>
        <w:r w:rsidR="0084725E">
          <w:rPr>
            <w:noProof/>
            <w:webHidden/>
          </w:rPr>
          <w:fldChar w:fldCharType="end"/>
        </w:r>
      </w:hyperlink>
    </w:p>
    <w:p w14:paraId="1A5CE0CA"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28" w:history="1">
        <w:r w:rsidR="0084725E" w:rsidRPr="00840B68">
          <w:rPr>
            <w:rStyle w:val="Hyperlink"/>
            <w:noProof/>
            <w:lang w:val="en-GB"/>
          </w:rPr>
          <w:t>Map 24 - Number of hospital beds/1000 inh., 2011</w:t>
        </w:r>
        <w:r w:rsidR="0084725E">
          <w:rPr>
            <w:noProof/>
            <w:webHidden/>
          </w:rPr>
          <w:tab/>
        </w:r>
        <w:r w:rsidR="0084725E">
          <w:rPr>
            <w:noProof/>
            <w:webHidden/>
          </w:rPr>
          <w:fldChar w:fldCharType="begin"/>
        </w:r>
        <w:r w:rsidR="0084725E">
          <w:rPr>
            <w:noProof/>
            <w:webHidden/>
          </w:rPr>
          <w:instrText xml:space="preserve"> PAGEREF _Toc391150028 \h </w:instrText>
        </w:r>
        <w:r w:rsidR="0084725E">
          <w:rPr>
            <w:noProof/>
            <w:webHidden/>
          </w:rPr>
        </w:r>
        <w:r w:rsidR="0084725E">
          <w:rPr>
            <w:noProof/>
            <w:webHidden/>
          </w:rPr>
          <w:fldChar w:fldCharType="separate"/>
        </w:r>
        <w:r>
          <w:rPr>
            <w:noProof/>
            <w:webHidden/>
          </w:rPr>
          <w:t>122</w:t>
        </w:r>
        <w:r w:rsidR="0084725E">
          <w:rPr>
            <w:noProof/>
            <w:webHidden/>
          </w:rPr>
          <w:fldChar w:fldCharType="end"/>
        </w:r>
      </w:hyperlink>
    </w:p>
    <w:p w14:paraId="78286332"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29" w:history="1">
        <w:r w:rsidR="0084725E" w:rsidRPr="00840B68">
          <w:rPr>
            <w:rStyle w:val="Hyperlink"/>
            <w:noProof/>
            <w:lang w:val="en-GB"/>
          </w:rPr>
          <w:t>Map 25 - Wastewater treatment capacity, NUTS2 level</w:t>
        </w:r>
        <w:r w:rsidR="0084725E">
          <w:rPr>
            <w:noProof/>
            <w:webHidden/>
          </w:rPr>
          <w:tab/>
        </w:r>
        <w:r w:rsidR="0084725E">
          <w:rPr>
            <w:noProof/>
            <w:webHidden/>
          </w:rPr>
          <w:fldChar w:fldCharType="begin"/>
        </w:r>
        <w:r w:rsidR="0084725E">
          <w:rPr>
            <w:noProof/>
            <w:webHidden/>
          </w:rPr>
          <w:instrText xml:space="preserve"> PAGEREF _Toc391150029 \h </w:instrText>
        </w:r>
        <w:r w:rsidR="0084725E">
          <w:rPr>
            <w:noProof/>
            <w:webHidden/>
          </w:rPr>
        </w:r>
        <w:r w:rsidR="0084725E">
          <w:rPr>
            <w:noProof/>
            <w:webHidden/>
          </w:rPr>
          <w:fldChar w:fldCharType="separate"/>
        </w:r>
        <w:r>
          <w:rPr>
            <w:noProof/>
            <w:webHidden/>
          </w:rPr>
          <w:t>129</w:t>
        </w:r>
        <w:r w:rsidR="0084725E">
          <w:rPr>
            <w:noProof/>
            <w:webHidden/>
          </w:rPr>
          <w:fldChar w:fldCharType="end"/>
        </w:r>
      </w:hyperlink>
    </w:p>
    <w:p w14:paraId="40726FBF"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30" w:history="1">
        <w:r w:rsidR="0084725E" w:rsidRPr="00840B68">
          <w:rPr>
            <w:rStyle w:val="Hyperlink"/>
            <w:noProof/>
            <w:lang w:val="en-GB"/>
          </w:rPr>
          <w:t>Map 26 - Percentage of households using high-speed Internet connections</w:t>
        </w:r>
        <w:r w:rsidR="0084725E">
          <w:rPr>
            <w:noProof/>
            <w:webHidden/>
          </w:rPr>
          <w:tab/>
        </w:r>
        <w:r w:rsidR="0084725E">
          <w:rPr>
            <w:noProof/>
            <w:webHidden/>
          </w:rPr>
          <w:fldChar w:fldCharType="begin"/>
        </w:r>
        <w:r w:rsidR="0084725E">
          <w:rPr>
            <w:noProof/>
            <w:webHidden/>
          </w:rPr>
          <w:instrText xml:space="preserve"> PAGEREF _Toc391150030 \h </w:instrText>
        </w:r>
        <w:r w:rsidR="0084725E">
          <w:rPr>
            <w:noProof/>
            <w:webHidden/>
          </w:rPr>
        </w:r>
        <w:r w:rsidR="0084725E">
          <w:rPr>
            <w:noProof/>
            <w:webHidden/>
          </w:rPr>
          <w:fldChar w:fldCharType="separate"/>
        </w:r>
        <w:r>
          <w:rPr>
            <w:noProof/>
            <w:webHidden/>
          </w:rPr>
          <w:t>131</w:t>
        </w:r>
        <w:r w:rsidR="0084725E">
          <w:rPr>
            <w:noProof/>
            <w:webHidden/>
          </w:rPr>
          <w:fldChar w:fldCharType="end"/>
        </w:r>
      </w:hyperlink>
    </w:p>
    <w:p w14:paraId="0135D286"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31" w:history="1">
        <w:r w:rsidR="0084725E" w:rsidRPr="00840B68">
          <w:rPr>
            <w:rStyle w:val="Hyperlink"/>
            <w:noProof/>
            <w:lang w:val="en-GB"/>
          </w:rPr>
          <w:t>Map 27 - Percentage of population risking poverty or social exclusion %</w:t>
        </w:r>
        <w:r w:rsidR="0084725E">
          <w:rPr>
            <w:noProof/>
            <w:webHidden/>
          </w:rPr>
          <w:tab/>
        </w:r>
        <w:r w:rsidR="0084725E">
          <w:rPr>
            <w:noProof/>
            <w:webHidden/>
          </w:rPr>
          <w:fldChar w:fldCharType="begin"/>
        </w:r>
        <w:r w:rsidR="0084725E">
          <w:rPr>
            <w:noProof/>
            <w:webHidden/>
          </w:rPr>
          <w:instrText xml:space="preserve"> PAGEREF _Toc391150031 \h </w:instrText>
        </w:r>
        <w:r w:rsidR="0084725E">
          <w:rPr>
            <w:noProof/>
            <w:webHidden/>
          </w:rPr>
        </w:r>
        <w:r w:rsidR="0084725E">
          <w:rPr>
            <w:noProof/>
            <w:webHidden/>
          </w:rPr>
          <w:fldChar w:fldCharType="separate"/>
        </w:r>
        <w:r>
          <w:rPr>
            <w:noProof/>
            <w:webHidden/>
          </w:rPr>
          <w:t>132</w:t>
        </w:r>
        <w:r w:rsidR="0084725E">
          <w:rPr>
            <w:noProof/>
            <w:webHidden/>
          </w:rPr>
          <w:fldChar w:fldCharType="end"/>
        </w:r>
      </w:hyperlink>
    </w:p>
    <w:p w14:paraId="08DA13E2"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32" w:history="1">
        <w:r w:rsidR="0084725E" w:rsidRPr="00840B68">
          <w:rPr>
            <w:rStyle w:val="Hyperlink"/>
            <w:noProof/>
            <w:lang w:val="en-GB"/>
          </w:rPr>
          <w:t>Map 28 - The map shows areas affected by drought in May 2007 in the Romania-Bulgaria cross-border area</w:t>
        </w:r>
        <w:r w:rsidR="0084725E">
          <w:rPr>
            <w:noProof/>
            <w:webHidden/>
          </w:rPr>
          <w:tab/>
        </w:r>
        <w:r w:rsidR="0084725E">
          <w:rPr>
            <w:noProof/>
            <w:webHidden/>
          </w:rPr>
          <w:fldChar w:fldCharType="begin"/>
        </w:r>
        <w:r w:rsidR="0084725E">
          <w:rPr>
            <w:noProof/>
            <w:webHidden/>
          </w:rPr>
          <w:instrText xml:space="preserve"> PAGEREF _Toc391150032 \h </w:instrText>
        </w:r>
        <w:r w:rsidR="0084725E">
          <w:rPr>
            <w:noProof/>
            <w:webHidden/>
          </w:rPr>
        </w:r>
        <w:r w:rsidR="0084725E">
          <w:rPr>
            <w:noProof/>
            <w:webHidden/>
          </w:rPr>
          <w:fldChar w:fldCharType="separate"/>
        </w:r>
        <w:r>
          <w:rPr>
            <w:noProof/>
            <w:webHidden/>
          </w:rPr>
          <w:t>140</w:t>
        </w:r>
        <w:r w:rsidR="0084725E">
          <w:rPr>
            <w:noProof/>
            <w:webHidden/>
          </w:rPr>
          <w:fldChar w:fldCharType="end"/>
        </w:r>
      </w:hyperlink>
    </w:p>
    <w:p w14:paraId="3139773B"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33" w:history="1">
        <w:r w:rsidR="0084725E" w:rsidRPr="00840B68">
          <w:rPr>
            <w:rStyle w:val="Hyperlink"/>
            <w:noProof/>
            <w:lang w:val="en-GB"/>
          </w:rPr>
          <w:t>Map 29 - Increase of annual mean temperature (°C), 2013</w:t>
        </w:r>
        <w:r w:rsidR="0084725E">
          <w:rPr>
            <w:noProof/>
            <w:webHidden/>
          </w:rPr>
          <w:tab/>
        </w:r>
        <w:r w:rsidR="0084725E">
          <w:rPr>
            <w:noProof/>
            <w:webHidden/>
          </w:rPr>
          <w:fldChar w:fldCharType="begin"/>
        </w:r>
        <w:r w:rsidR="0084725E">
          <w:rPr>
            <w:noProof/>
            <w:webHidden/>
          </w:rPr>
          <w:instrText xml:space="preserve"> PAGEREF _Toc391150033 \h </w:instrText>
        </w:r>
        <w:r w:rsidR="0084725E">
          <w:rPr>
            <w:noProof/>
            <w:webHidden/>
          </w:rPr>
        </w:r>
        <w:r w:rsidR="0084725E">
          <w:rPr>
            <w:noProof/>
            <w:webHidden/>
          </w:rPr>
          <w:fldChar w:fldCharType="separate"/>
        </w:r>
        <w:r>
          <w:rPr>
            <w:noProof/>
            <w:webHidden/>
          </w:rPr>
          <w:t>141</w:t>
        </w:r>
        <w:r w:rsidR="0084725E">
          <w:rPr>
            <w:noProof/>
            <w:webHidden/>
          </w:rPr>
          <w:fldChar w:fldCharType="end"/>
        </w:r>
      </w:hyperlink>
    </w:p>
    <w:p w14:paraId="049FE545"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34" w:history="1">
        <w:r w:rsidR="0084725E" w:rsidRPr="00840B68">
          <w:rPr>
            <w:rStyle w:val="Hyperlink"/>
            <w:noProof/>
            <w:lang w:val="en-GB"/>
          </w:rPr>
          <w:t xml:space="preserve">Map 30 - </w:t>
        </w:r>
        <w:r w:rsidR="0084725E" w:rsidRPr="00840B68">
          <w:rPr>
            <w:rStyle w:val="Hyperlink"/>
            <w:rFonts w:eastAsiaTheme="majorEastAsia"/>
            <w:noProof/>
            <w:lang w:val="en-GB"/>
          </w:rPr>
          <w:t>Aggregate potential impact of climate change</w:t>
        </w:r>
        <w:r w:rsidR="0084725E">
          <w:rPr>
            <w:noProof/>
            <w:webHidden/>
          </w:rPr>
          <w:tab/>
        </w:r>
        <w:r w:rsidR="0084725E">
          <w:rPr>
            <w:noProof/>
            <w:webHidden/>
          </w:rPr>
          <w:fldChar w:fldCharType="begin"/>
        </w:r>
        <w:r w:rsidR="0084725E">
          <w:rPr>
            <w:noProof/>
            <w:webHidden/>
          </w:rPr>
          <w:instrText xml:space="preserve"> PAGEREF _Toc391150034 \h </w:instrText>
        </w:r>
        <w:r w:rsidR="0084725E">
          <w:rPr>
            <w:noProof/>
            <w:webHidden/>
          </w:rPr>
        </w:r>
        <w:r w:rsidR="0084725E">
          <w:rPr>
            <w:noProof/>
            <w:webHidden/>
          </w:rPr>
          <w:fldChar w:fldCharType="separate"/>
        </w:r>
        <w:r>
          <w:rPr>
            <w:noProof/>
            <w:webHidden/>
          </w:rPr>
          <w:t>143</w:t>
        </w:r>
        <w:r w:rsidR="0084725E">
          <w:rPr>
            <w:noProof/>
            <w:webHidden/>
          </w:rPr>
          <w:fldChar w:fldCharType="end"/>
        </w:r>
      </w:hyperlink>
    </w:p>
    <w:p w14:paraId="052B4733"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35" w:history="1">
        <w:r w:rsidR="0084725E" w:rsidRPr="00840B68">
          <w:rPr>
            <w:rStyle w:val="Hyperlink"/>
            <w:noProof/>
            <w:lang w:val="en-GB"/>
          </w:rPr>
          <w:t>Map 31 - Potential vulnerability to climate change</w:t>
        </w:r>
        <w:r w:rsidR="0084725E">
          <w:rPr>
            <w:noProof/>
            <w:webHidden/>
          </w:rPr>
          <w:tab/>
        </w:r>
        <w:r w:rsidR="0084725E">
          <w:rPr>
            <w:noProof/>
            <w:webHidden/>
          </w:rPr>
          <w:fldChar w:fldCharType="begin"/>
        </w:r>
        <w:r w:rsidR="0084725E">
          <w:rPr>
            <w:noProof/>
            <w:webHidden/>
          </w:rPr>
          <w:instrText xml:space="preserve"> PAGEREF _Toc391150035 \h </w:instrText>
        </w:r>
        <w:r w:rsidR="0084725E">
          <w:rPr>
            <w:noProof/>
            <w:webHidden/>
          </w:rPr>
        </w:r>
        <w:r w:rsidR="0084725E">
          <w:rPr>
            <w:noProof/>
            <w:webHidden/>
          </w:rPr>
          <w:fldChar w:fldCharType="separate"/>
        </w:r>
        <w:r>
          <w:rPr>
            <w:noProof/>
            <w:webHidden/>
          </w:rPr>
          <w:t>144</w:t>
        </w:r>
        <w:r w:rsidR="0084725E">
          <w:rPr>
            <w:noProof/>
            <w:webHidden/>
          </w:rPr>
          <w:fldChar w:fldCharType="end"/>
        </w:r>
      </w:hyperlink>
    </w:p>
    <w:p w14:paraId="6857110E"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36" w:history="1">
        <w:r w:rsidR="0084725E" w:rsidRPr="00840B68">
          <w:rPr>
            <w:rStyle w:val="Hyperlink"/>
            <w:noProof/>
            <w:lang w:val="en-GB"/>
          </w:rPr>
          <w:t>Map 32 - Greenhouse gas emissions at regional level (Gg CO₂ equivalent), 2008</w:t>
        </w:r>
        <w:r w:rsidR="0084725E">
          <w:rPr>
            <w:noProof/>
            <w:webHidden/>
          </w:rPr>
          <w:tab/>
        </w:r>
        <w:r w:rsidR="0084725E">
          <w:rPr>
            <w:noProof/>
            <w:webHidden/>
          </w:rPr>
          <w:fldChar w:fldCharType="begin"/>
        </w:r>
        <w:r w:rsidR="0084725E">
          <w:rPr>
            <w:noProof/>
            <w:webHidden/>
          </w:rPr>
          <w:instrText xml:space="preserve"> PAGEREF _Toc391150036 \h </w:instrText>
        </w:r>
        <w:r w:rsidR="0084725E">
          <w:rPr>
            <w:noProof/>
            <w:webHidden/>
          </w:rPr>
        </w:r>
        <w:r w:rsidR="0084725E">
          <w:rPr>
            <w:noProof/>
            <w:webHidden/>
          </w:rPr>
          <w:fldChar w:fldCharType="separate"/>
        </w:r>
        <w:r>
          <w:rPr>
            <w:noProof/>
            <w:webHidden/>
          </w:rPr>
          <w:t>146</w:t>
        </w:r>
        <w:r w:rsidR="0084725E">
          <w:rPr>
            <w:noProof/>
            <w:webHidden/>
          </w:rPr>
          <w:fldChar w:fldCharType="end"/>
        </w:r>
      </w:hyperlink>
    </w:p>
    <w:p w14:paraId="6F363E02"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37" w:history="1">
        <w:r w:rsidR="0084725E" w:rsidRPr="00840B68">
          <w:rPr>
            <w:rStyle w:val="Hyperlink"/>
            <w:noProof/>
            <w:lang w:val="en-GB"/>
          </w:rPr>
          <w:t>Map 33 - Wind power potentials</w:t>
        </w:r>
        <w:r w:rsidR="0084725E">
          <w:rPr>
            <w:noProof/>
            <w:webHidden/>
          </w:rPr>
          <w:tab/>
        </w:r>
        <w:r w:rsidR="0084725E">
          <w:rPr>
            <w:noProof/>
            <w:webHidden/>
          </w:rPr>
          <w:fldChar w:fldCharType="begin"/>
        </w:r>
        <w:r w:rsidR="0084725E">
          <w:rPr>
            <w:noProof/>
            <w:webHidden/>
          </w:rPr>
          <w:instrText xml:space="preserve"> PAGEREF _Toc391150037 \h </w:instrText>
        </w:r>
        <w:r w:rsidR="0084725E">
          <w:rPr>
            <w:noProof/>
            <w:webHidden/>
          </w:rPr>
        </w:r>
        <w:r w:rsidR="0084725E">
          <w:rPr>
            <w:noProof/>
            <w:webHidden/>
          </w:rPr>
          <w:fldChar w:fldCharType="separate"/>
        </w:r>
        <w:r>
          <w:rPr>
            <w:noProof/>
            <w:webHidden/>
          </w:rPr>
          <w:t>158</w:t>
        </w:r>
        <w:r w:rsidR="0084725E">
          <w:rPr>
            <w:noProof/>
            <w:webHidden/>
          </w:rPr>
          <w:fldChar w:fldCharType="end"/>
        </w:r>
      </w:hyperlink>
    </w:p>
    <w:p w14:paraId="0EF5B4E3"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38" w:history="1">
        <w:r w:rsidR="0084725E" w:rsidRPr="00840B68">
          <w:rPr>
            <w:rStyle w:val="Hyperlink"/>
            <w:noProof/>
            <w:lang w:val="en-GB"/>
          </w:rPr>
          <w:t>Map 34 - Structure of the agricultural real estate</w:t>
        </w:r>
        <w:r w:rsidR="0084725E">
          <w:rPr>
            <w:noProof/>
            <w:webHidden/>
          </w:rPr>
          <w:tab/>
        </w:r>
        <w:r w:rsidR="0084725E">
          <w:rPr>
            <w:noProof/>
            <w:webHidden/>
          </w:rPr>
          <w:fldChar w:fldCharType="begin"/>
        </w:r>
        <w:r w:rsidR="0084725E">
          <w:rPr>
            <w:noProof/>
            <w:webHidden/>
          </w:rPr>
          <w:instrText xml:space="preserve"> PAGEREF _Toc391150038 \h </w:instrText>
        </w:r>
        <w:r w:rsidR="0084725E">
          <w:rPr>
            <w:noProof/>
            <w:webHidden/>
          </w:rPr>
        </w:r>
        <w:r w:rsidR="0084725E">
          <w:rPr>
            <w:noProof/>
            <w:webHidden/>
          </w:rPr>
          <w:fldChar w:fldCharType="separate"/>
        </w:r>
        <w:r>
          <w:rPr>
            <w:noProof/>
            <w:webHidden/>
          </w:rPr>
          <w:t>169</w:t>
        </w:r>
        <w:r w:rsidR="0084725E">
          <w:rPr>
            <w:noProof/>
            <w:webHidden/>
          </w:rPr>
          <w:fldChar w:fldCharType="end"/>
        </w:r>
      </w:hyperlink>
    </w:p>
    <w:p w14:paraId="032919FF"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39" w:history="1">
        <w:r w:rsidR="0084725E" w:rsidRPr="00840B68">
          <w:rPr>
            <w:rStyle w:val="Hyperlink"/>
            <w:noProof/>
            <w:lang w:val="en-GB"/>
          </w:rPr>
          <w:t>Map 35 - Natura 2000 areas in the Romania-Bulgaria cross-border area</w:t>
        </w:r>
        <w:r w:rsidR="0084725E">
          <w:rPr>
            <w:noProof/>
            <w:webHidden/>
          </w:rPr>
          <w:tab/>
        </w:r>
        <w:r w:rsidR="0084725E">
          <w:rPr>
            <w:noProof/>
            <w:webHidden/>
          </w:rPr>
          <w:fldChar w:fldCharType="begin"/>
        </w:r>
        <w:r w:rsidR="0084725E">
          <w:rPr>
            <w:noProof/>
            <w:webHidden/>
          </w:rPr>
          <w:instrText xml:space="preserve"> PAGEREF _Toc391150039 \h </w:instrText>
        </w:r>
        <w:r w:rsidR="0084725E">
          <w:rPr>
            <w:noProof/>
            <w:webHidden/>
          </w:rPr>
        </w:r>
        <w:r w:rsidR="0084725E">
          <w:rPr>
            <w:noProof/>
            <w:webHidden/>
          </w:rPr>
          <w:fldChar w:fldCharType="separate"/>
        </w:r>
        <w:r>
          <w:rPr>
            <w:noProof/>
            <w:webHidden/>
          </w:rPr>
          <w:t>171</w:t>
        </w:r>
        <w:r w:rsidR="0084725E">
          <w:rPr>
            <w:noProof/>
            <w:webHidden/>
          </w:rPr>
          <w:fldChar w:fldCharType="end"/>
        </w:r>
      </w:hyperlink>
    </w:p>
    <w:p w14:paraId="5AD70195"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40" w:history="1">
        <w:r w:rsidR="0084725E" w:rsidRPr="00840B68">
          <w:rPr>
            <w:rStyle w:val="Hyperlink"/>
            <w:noProof/>
            <w:lang w:val="en-GB"/>
          </w:rPr>
          <w:t>Map 36 - Greenhouse gas emissions at regional level</w:t>
        </w:r>
        <w:r w:rsidR="0084725E">
          <w:rPr>
            <w:noProof/>
            <w:webHidden/>
          </w:rPr>
          <w:tab/>
        </w:r>
        <w:r w:rsidR="0084725E">
          <w:rPr>
            <w:noProof/>
            <w:webHidden/>
          </w:rPr>
          <w:fldChar w:fldCharType="begin"/>
        </w:r>
        <w:r w:rsidR="0084725E">
          <w:rPr>
            <w:noProof/>
            <w:webHidden/>
          </w:rPr>
          <w:instrText xml:space="preserve"> PAGEREF _Toc391150040 \h </w:instrText>
        </w:r>
        <w:r w:rsidR="0084725E">
          <w:rPr>
            <w:noProof/>
            <w:webHidden/>
          </w:rPr>
        </w:r>
        <w:r w:rsidR="0084725E">
          <w:rPr>
            <w:noProof/>
            <w:webHidden/>
          </w:rPr>
          <w:fldChar w:fldCharType="separate"/>
        </w:r>
        <w:r>
          <w:rPr>
            <w:noProof/>
            <w:webHidden/>
          </w:rPr>
          <w:t>173</w:t>
        </w:r>
        <w:r w:rsidR="0084725E">
          <w:rPr>
            <w:noProof/>
            <w:webHidden/>
          </w:rPr>
          <w:fldChar w:fldCharType="end"/>
        </w:r>
      </w:hyperlink>
    </w:p>
    <w:p w14:paraId="0564A8F2"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41" w:history="1">
        <w:r w:rsidR="0084725E" w:rsidRPr="00840B68">
          <w:rPr>
            <w:rStyle w:val="Hyperlink"/>
            <w:noProof/>
            <w:lang w:val="en-GB"/>
          </w:rPr>
          <w:t>Map 37 - Flood risk in the cross-border area</w:t>
        </w:r>
        <w:r w:rsidR="0084725E">
          <w:rPr>
            <w:noProof/>
            <w:webHidden/>
          </w:rPr>
          <w:tab/>
        </w:r>
        <w:r w:rsidR="0084725E">
          <w:rPr>
            <w:noProof/>
            <w:webHidden/>
          </w:rPr>
          <w:fldChar w:fldCharType="begin"/>
        </w:r>
        <w:r w:rsidR="0084725E">
          <w:rPr>
            <w:noProof/>
            <w:webHidden/>
          </w:rPr>
          <w:instrText xml:space="preserve"> PAGEREF _Toc391150041 \h </w:instrText>
        </w:r>
        <w:r w:rsidR="0084725E">
          <w:rPr>
            <w:noProof/>
            <w:webHidden/>
          </w:rPr>
        </w:r>
        <w:r w:rsidR="0084725E">
          <w:rPr>
            <w:noProof/>
            <w:webHidden/>
          </w:rPr>
          <w:fldChar w:fldCharType="separate"/>
        </w:r>
        <w:r>
          <w:rPr>
            <w:noProof/>
            <w:webHidden/>
          </w:rPr>
          <w:t>178</w:t>
        </w:r>
        <w:r w:rsidR="0084725E">
          <w:rPr>
            <w:noProof/>
            <w:webHidden/>
          </w:rPr>
          <w:fldChar w:fldCharType="end"/>
        </w:r>
      </w:hyperlink>
    </w:p>
    <w:p w14:paraId="01B2010B"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42" w:history="1">
        <w:r w:rsidR="0084725E" w:rsidRPr="00840B68">
          <w:rPr>
            <w:rStyle w:val="Hyperlink"/>
            <w:noProof/>
            <w:lang w:val="en-GB"/>
          </w:rPr>
          <w:t>Map 38 – Physical exposure to floods</w:t>
        </w:r>
        <w:r w:rsidR="0084725E">
          <w:rPr>
            <w:noProof/>
            <w:webHidden/>
          </w:rPr>
          <w:tab/>
        </w:r>
        <w:r w:rsidR="0084725E">
          <w:rPr>
            <w:noProof/>
            <w:webHidden/>
          </w:rPr>
          <w:fldChar w:fldCharType="begin"/>
        </w:r>
        <w:r w:rsidR="0084725E">
          <w:rPr>
            <w:noProof/>
            <w:webHidden/>
          </w:rPr>
          <w:instrText xml:space="preserve"> PAGEREF _Toc391150042 \h </w:instrText>
        </w:r>
        <w:r w:rsidR="0084725E">
          <w:rPr>
            <w:noProof/>
            <w:webHidden/>
          </w:rPr>
        </w:r>
        <w:r w:rsidR="0084725E">
          <w:rPr>
            <w:noProof/>
            <w:webHidden/>
          </w:rPr>
          <w:fldChar w:fldCharType="separate"/>
        </w:r>
        <w:r>
          <w:rPr>
            <w:noProof/>
            <w:webHidden/>
          </w:rPr>
          <w:t>179</w:t>
        </w:r>
        <w:r w:rsidR="0084725E">
          <w:rPr>
            <w:noProof/>
            <w:webHidden/>
          </w:rPr>
          <w:fldChar w:fldCharType="end"/>
        </w:r>
      </w:hyperlink>
    </w:p>
    <w:p w14:paraId="24DEAE28"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43" w:history="1">
        <w:r w:rsidR="0084725E" w:rsidRPr="00840B68">
          <w:rPr>
            <w:rStyle w:val="Hyperlink"/>
            <w:noProof/>
            <w:lang w:val="en-GB"/>
          </w:rPr>
          <w:t>Map 39 - Map of seismic hazard for ROBG cross-border area</w:t>
        </w:r>
        <w:r w:rsidR="0084725E">
          <w:rPr>
            <w:noProof/>
            <w:webHidden/>
          </w:rPr>
          <w:tab/>
        </w:r>
        <w:r w:rsidR="0084725E">
          <w:rPr>
            <w:noProof/>
            <w:webHidden/>
          </w:rPr>
          <w:fldChar w:fldCharType="begin"/>
        </w:r>
        <w:r w:rsidR="0084725E">
          <w:rPr>
            <w:noProof/>
            <w:webHidden/>
          </w:rPr>
          <w:instrText xml:space="preserve"> PAGEREF _Toc391150043 \h </w:instrText>
        </w:r>
        <w:r w:rsidR="0084725E">
          <w:rPr>
            <w:noProof/>
            <w:webHidden/>
          </w:rPr>
        </w:r>
        <w:r w:rsidR="0084725E">
          <w:rPr>
            <w:noProof/>
            <w:webHidden/>
          </w:rPr>
          <w:fldChar w:fldCharType="separate"/>
        </w:r>
        <w:r>
          <w:rPr>
            <w:noProof/>
            <w:webHidden/>
          </w:rPr>
          <w:t>180</w:t>
        </w:r>
        <w:r w:rsidR="0084725E">
          <w:rPr>
            <w:noProof/>
            <w:webHidden/>
          </w:rPr>
          <w:fldChar w:fldCharType="end"/>
        </w:r>
      </w:hyperlink>
    </w:p>
    <w:p w14:paraId="0DCBFFFD"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44" w:history="1">
        <w:r w:rsidR="0084725E" w:rsidRPr="00840B68">
          <w:rPr>
            <w:rStyle w:val="Hyperlink"/>
            <w:noProof/>
            <w:lang w:val="en-GB"/>
          </w:rPr>
          <w:t>Map 40 - NUTS 3 and NUTS 2 – an issue for planning and management</w:t>
        </w:r>
        <w:r w:rsidR="0084725E">
          <w:rPr>
            <w:noProof/>
            <w:webHidden/>
          </w:rPr>
          <w:tab/>
        </w:r>
        <w:r w:rsidR="0084725E">
          <w:rPr>
            <w:noProof/>
            <w:webHidden/>
          </w:rPr>
          <w:fldChar w:fldCharType="begin"/>
        </w:r>
        <w:r w:rsidR="0084725E">
          <w:rPr>
            <w:noProof/>
            <w:webHidden/>
          </w:rPr>
          <w:instrText xml:space="preserve"> PAGEREF _Toc391150044 \h </w:instrText>
        </w:r>
        <w:r w:rsidR="0084725E">
          <w:rPr>
            <w:noProof/>
            <w:webHidden/>
          </w:rPr>
        </w:r>
        <w:r w:rsidR="0084725E">
          <w:rPr>
            <w:noProof/>
            <w:webHidden/>
          </w:rPr>
          <w:fldChar w:fldCharType="separate"/>
        </w:r>
        <w:r>
          <w:rPr>
            <w:noProof/>
            <w:webHidden/>
          </w:rPr>
          <w:t>193</w:t>
        </w:r>
        <w:r w:rsidR="0084725E">
          <w:rPr>
            <w:noProof/>
            <w:webHidden/>
          </w:rPr>
          <w:fldChar w:fldCharType="end"/>
        </w:r>
      </w:hyperlink>
    </w:p>
    <w:p w14:paraId="66285404"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45" w:history="1">
        <w:r w:rsidR="0084725E" w:rsidRPr="00840B68">
          <w:rPr>
            <w:rStyle w:val="Hyperlink"/>
            <w:noProof/>
            <w:lang w:val="en-GB"/>
          </w:rPr>
          <w:t>Map 41 – Pair of cities along the Danube</w:t>
        </w:r>
        <w:r w:rsidR="0084725E">
          <w:rPr>
            <w:noProof/>
            <w:webHidden/>
          </w:rPr>
          <w:tab/>
        </w:r>
        <w:r w:rsidR="0084725E">
          <w:rPr>
            <w:noProof/>
            <w:webHidden/>
          </w:rPr>
          <w:fldChar w:fldCharType="begin"/>
        </w:r>
        <w:r w:rsidR="0084725E">
          <w:rPr>
            <w:noProof/>
            <w:webHidden/>
          </w:rPr>
          <w:instrText xml:space="preserve"> PAGEREF _Toc391150045 \h </w:instrText>
        </w:r>
        <w:r w:rsidR="0084725E">
          <w:rPr>
            <w:noProof/>
            <w:webHidden/>
          </w:rPr>
        </w:r>
        <w:r w:rsidR="0084725E">
          <w:rPr>
            <w:noProof/>
            <w:webHidden/>
          </w:rPr>
          <w:fldChar w:fldCharType="separate"/>
        </w:r>
        <w:r>
          <w:rPr>
            <w:noProof/>
            <w:webHidden/>
          </w:rPr>
          <w:t>256</w:t>
        </w:r>
        <w:r w:rsidR="0084725E">
          <w:rPr>
            <w:noProof/>
            <w:webHidden/>
          </w:rPr>
          <w:fldChar w:fldCharType="end"/>
        </w:r>
      </w:hyperlink>
    </w:p>
    <w:p w14:paraId="342C05C1"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46" w:history="1">
        <w:r w:rsidR="0084725E" w:rsidRPr="00840B68">
          <w:rPr>
            <w:rStyle w:val="Hyperlink"/>
            <w:noProof/>
            <w:lang w:val="en-GB"/>
          </w:rPr>
          <w:t>Map 42 – Link between Central Europe and the East</w:t>
        </w:r>
        <w:r w:rsidR="0084725E">
          <w:rPr>
            <w:noProof/>
            <w:webHidden/>
          </w:rPr>
          <w:tab/>
        </w:r>
        <w:r w:rsidR="0084725E">
          <w:rPr>
            <w:noProof/>
            <w:webHidden/>
          </w:rPr>
          <w:fldChar w:fldCharType="begin"/>
        </w:r>
        <w:r w:rsidR="0084725E">
          <w:rPr>
            <w:noProof/>
            <w:webHidden/>
          </w:rPr>
          <w:instrText xml:space="preserve"> PAGEREF _Toc391150046 \h </w:instrText>
        </w:r>
        <w:r w:rsidR="0084725E">
          <w:rPr>
            <w:noProof/>
            <w:webHidden/>
          </w:rPr>
        </w:r>
        <w:r w:rsidR="0084725E">
          <w:rPr>
            <w:noProof/>
            <w:webHidden/>
          </w:rPr>
          <w:fldChar w:fldCharType="separate"/>
        </w:r>
        <w:r>
          <w:rPr>
            <w:noProof/>
            <w:webHidden/>
          </w:rPr>
          <w:t>257</w:t>
        </w:r>
        <w:r w:rsidR="0084725E">
          <w:rPr>
            <w:noProof/>
            <w:webHidden/>
          </w:rPr>
          <w:fldChar w:fldCharType="end"/>
        </w:r>
      </w:hyperlink>
    </w:p>
    <w:p w14:paraId="17E590F6"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47" w:history="1">
        <w:r w:rsidR="0084725E" w:rsidRPr="00840B68">
          <w:rPr>
            <w:rStyle w:val="Hyperlink"/>
            <w:noProof/>
            <w:lang w:val="en-GB"/>
          </w:rPr>
          <w:t>Map 43 - Green areas: rural areas, Red areas: Danube Belt. 2000</w:t>
        </w:r>
        <w:r w:rsidR="0084725E">
          <w:rPr>
            <w:noProof/>
            <w:webHidden/>
          </w:rPr>
          <w:tab/>
        </w:r>
        <w:r w:rsidR="0084725E">
          <w:rPr>
            <w:noProof/>
            <w:webHidden/>
          </w:rPr>
          <w:fldChar w:fldCharType="begin"/>
        </w:r>
        <w:r w:rsidR="0084725E">
          <w:rPr>
            <w:noProof/>
            <w:webHidden/>
          </w:rPr>
          <w:instrText xml:space="preserve"> PAGEREF _Toc391150047 \h </w:instrText>
        </w:r>
        <w:r w:rsidR="0084725E">
          <w:rPr>
            <w:noProof/>
            <w:webHidden/>
          </w:rPr>
        </w:r>
        <w:r w:rsidR="0084725E">
          <w:rPr>
            <w:noProof/>
            <w:webHidden/>
          </w:rPr>
          <w:fldChar w:fldCharType="separate"/>
        </w:r>
        <w:r>
          <w:rPr>
            <w:noProof/>
            <w:webHidden/>
          </w:rPr>
          <w:t>258</w:t>
        </w:r>
        <w:r w:rsidR="0084725E">
          <w:rPr>
            <w:noProof/>
            <w:webHidden/>
          </w:rPr>
          <w:fldChar w:fldCharType="end"/>
        </w:r>
      </w:hyperlink>
    </w:p>
    <w:p w14:paraId="5CF6EAA8"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48" w:history="1">
        <w:r w:rsidR="0084725E" w:rsidRPr="00840B68">
          <w:rPr>
            <w:rStyle w:val="Hyperlink"/>
            <w:noProof/>
            <w:lang w:val="en-GB"/>
          </w:rPr>
          <w:t xml:space="preserve">Map 44 - </w:t>
        </w:r>
        <w:r w:rsidR="0084725E" w:rsidRPr="00840B68">
          <w:rPr>
            <w:rStyle w:val="Hyperlink"/>
            <w:bCs/>
            <w:noProof/>
            <w:lang w:val="en-GB"/>
          </w:rPr>
          <w:t>Policentrical network of localities</w:t>
        </w:r>
        <w:r w:rsidR="0084725E">
          <w:rPr>
            <w:noProof/>
            <w:webHidden/>
          </w:rPr>
          <w:tab/>
        </w:r>
        <w:r w:rsidR="0084725E">
          <w:rPr>
            <w:noProof/>
            <w:webHidden/>
          </w:rPr>
          <w:fldChar w:fldCharType="begin"/>
        </w:r>
        <w:r w:rsidR="0084725E">
          <w:rPr>
            <w:noProof/>
            <w:webHidden/>
          </w:rPr>
          <w:instrText xml:space="preserve"> PAGEREF _Toc391150048 \h </w:instrText>
        </w:r>
        <w:r w:rsidR="0084725E">
          <w:rPr>
            <w:noProof/>
            <w:webHidden/>
          </w:rPr>
        </w:r>
        <w:r w:rsidR="0084725E">
          <w:rPr>
            <w:noProof/>
            <w:webHidden/>
          </w:rPr>
          <w:fldChar w:fldCharType="separate"/>
        </w:r>
        <w:r>
          <w:rPr>
            <w:noProof/>
            <w:webHidden/>
          </w:rPr>
          <w:t>260</w:t>
        </w:r>
        <w:r w:rsidR="0084725E">
          <w:rPr>
            <w:noProof/>
            <w:webHidden/>
          </w:rPr>
          <w:fldChar w:fldCharType="end"/>
        </w:r>
      </w:hyperlink>
    </w:p>
    <w:p w14:paraId="07951F34" w14:textId="77777777" w:rsidR="0084725E" w:rsidRDefault="00523DE6">
      <w:pPr>
        <w:pStyle w:val="TableofFigures"/>
        <w:tabs>
          <w:tab w:val="right" w:leader="dot" w:pos="9350"/>
        </w:tabs>
        <w:rPr>
          <w:rFonts w:asciiTheme="minorHAnsi" w:eastAsiaTheme="minorEastAsia" w:hAnsiTheme="minorHAnsi" w:cstheme="minorBidi"/>
          <w:noProof/>
        </w:rPr>
      </w:pPr>
      <w:hyperlink w:anchor="_Toc391150049" w:history="1">
        <w:r w:rsidR="0084725E" w:rsidRPr="00840B68">
          <w:rPr>
            <w:rStyle w:val="Hyperlink"/>
            <w:noProof/>
            <w:lang w:val="en-GB"/>
          </w:rPr>
          <w:t xml:space="preserve">Map 45 - </w:t>
        </w:r>
        <w:r w:rsidR="0084725E" w:rsidRPr="00840B68">
          <w:rPr>
            <w:rStyle w:val="Hyperlink"/>
            <w:bCs/>
            <w:noProof/>
            <w:lang w:val="en-GB"/>
          </w:rPr>
          <w:t>Structure of the network of populated areas</w:t>
        </w:r>
        <w:r w:rsidR="0084725E">
          <w:rPr>
            <w:noProof/>
            <w:webHidden/>
          </w:rPr>
          <w:tab/>
        </w:r>
        <w:r w:rsidR="0084725E">
          <w:rPr>
            <w:noProof/>
            <w:webHidden/>
          </w:rPr>
          <w:fldChar w:fldCharType="begin"/>
        </w:r>
        <w:r w:rsidR="0084725E">
          <w:rPr>
            <w:noProof/>
            <w:webHidden/>
          </w:rPr>
          <w:instrText xml:space="preserve"> PAGEREF _Toc391150049 \h </w:instrText>
        </w:r>
        <w:r w:rsidR="0084725E">
          <w:rPr>
            <w:noProof/>
            <w:webHidden/>
          </w:rPr>
        </w:r>
        <w:r w:rsidR="0084725E">
          <w:rPr>
            <w:noProof/>
            <w:webHidden/>
          </w:rPr>
          <w:fldChar w:fldCharType="separate"/>
        </w:r>
        <w:r>
          <w:rPr>
            <w:noProof/>
            <w:webHidden/>
          </w:rPr>
          <w:t>260</w:t>
        </w:r>
        <w:r w:rsidR="0084725E">
          <w:rPr>
            <w:noProof/>
            <w:webHidden/>
          </w:rPr>
          <w:fldChar w:fldCharType="end"/>
        </w:r>
      </w:hyperlink>
    </w:p>
    <w:p w14:paraId="48E205B2" w14:textId="77777777" w:rsidR="00DA33B9" w:rsidRPr="006645DC" w:rsidRDefault="005979EB" w:rsidP="00DA33B9">
      <w:pPr>
        <w:rPr>
          <w:lang w:val="en-GB"/>
        </w:rPr>
      </w:pPr>
      <w:r w:rsidRPr="006645DC">
        <w:rPr>
          <w:lang w:val="en-GB"/>
        </w:rPr>
        <w:fldChar w:fldCharType="end"/>
      </w:r>
    </w:p>
    <w:p w14:paraId="2201540F" w14:textId="77777777" w:rsidR="007332EF" w:rsidRPr="006645DC" w:rsidRDefault="007332EF" w:rsidP="00DA33B9">
      <w:pPr>
        <w:rPr>
          <w:lang w:val="en-GB"/>
        </w:rPr>
      </w:pPr>
    </w:p>
    <w:p w14:paraId="78E883EF" w14:textId="77777777" w:rsidR="007332EF" w:rsidRPr="006645DC" w:rsidRDefault="007332EF" w:rsidP="009669CE">
      <w:pPr>
        <w:spacing w:before="0" w:after="0" w:line="276" w:lineRule="auto"/>
        <w:jc w:val="left"/>
        <w:rPr>
          <w:lang w:val="en-GB"/>
        </w:rPr>
      </w:pPr>
    </w:p>
    <w:sectPr w:rsidR="007332EF" w:rsidRPr="006645DC" w:rsidSect="00187E8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341F9EC" w14:textId="77777777" w:rsidR="006F4153" w:rsidRDefault="006F4153" w:rsidP="005963A4">
      <w:pPr>
        <w:spacing w:after="0"/>
      </w:pPr>
      <w:r>
        <w:separator/>
      </w:r>
    </w:p>
  </w:endnote>
  <w:endnote w:type="continuationSeparator" w:id="0">
    <w:p w14:paraId="5ABADFE1" w14:textId="77777777" w:rsidR="006F4153" w:rsidRDefault="006F4153" w:rsidP="005963A4">
      <w:pPr>
        <w:spacing w:after="0"/>
      </w:pPr>
      <w:r>
        <w:continuationSeparator/>
      </w:r>
    </w:p>
  </w:endnote>
  <w:endnote w:type="continuationNotice" w:id="1">
    <w:p w14:paraId="7C11BF5A" w14:textId="77777777" w:rsidR="006F4153" w:rsidRDefault="006F415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Helvetica">
    <w:panose1 w:val="020B0604020202030204"/>
    <w:charset w:val="00"/>
    <w:family w:val="swiss"/>
    <w:pitch w:val="variable"/>
    <w:sig w:usb0="00000007" w:usb1="00000000" w:usb2="00000000" w:usb3="00000000" w:csb0="00000093"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font228">
    <w:altName w:val="MS Mincho"/>
    <w:charset w:val="80"/>
    <w:family w:val="auto"/>
    <w:pitch w:val="variable"/>
  </w:font>
  <w:font w:name="Lohit Hindi">
    <w:altName w:val="MS Mincho"/>
    <w:charset w:val="80"/>
    <w:family w:val="auto"/>
    <w:pitch w:val="variable"/>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CC"/>
    <w:family w:val="roman"/>
    <w:pitch w:val="variable"/>
    <w:sig w:usb0="E0000287" w:usb1="40000013" w:usb2="00000000" w:usb3="00000000" w:csb0="0000019F" w:csb1="00000000"/>
  </w:font>
  <w:font w:name="Times">
    <w:panose1 w:val="02020603060405020304"/>
    <w:charset w:val="00"/>
    <w:family w:val="roman"/>
    <w:pitch w:val="variable"/>
    <w:sig w:usb0="00000007" w:usb1="00000000" w:usb2="00000000" w:usb3="00000000" w:csb0="00000093" w:csb1="00000000"/>
  </w:font>
  <w:font w:name="Trebuchet MS">
    <w:panose1 w:val="020B0603020202020204"/>
    <w:charset w:val="CC"/>
    <w:family w:val="swiss"/>
    <w:pitch w:val="variable"/>
    <w:sig w:usb0="00000287" w:usb1="00000000" w:usb2="00000000" w:usb3="00000000" w:csb0="0000009F" w:csb1="00000000"/>
  </w:font>
  <w:font w:name="Arial,Bold">
    <w:altName w:val="Arial Unicode MS"/>
    <w:panose1 w:val="00000000000000000000"/>
    <w:charset w:val="80"/>
    <w:family w:val="auto"/>
    <w:notTrueType/>
    <w:pitch w:val="default"/>
    <w:sig w:usb0="00000000" w:usb1="08070000" w:usb2="00000010" w:usb3="00000000" w:csb0="00020000" w:csb1="00000000"/>
  </w:font>
  <w:font w:name="ArialMT">
    <w:altName w:val="Arial"/>
    <w:panose1 w:val="00000000000000000000"/>
    <w:charset w:val="00"/>
    <w:family w:val="swiss"/>
    <w:notTrueType/>
    <w:pitch w:val="default"/>
    <w:sig w:usb0="00000003" w:usb1="00000000" w:usb2="00000000" w:usb3="00000000" w:csb0="00000001" w:csb1="00000000"/>
  </w:font>
  <w:font w:name="Calluna-Regular">
    <w:altName w:val="Cambria"/>
    <w:panose1 w:val="00000000000000000000"/>
    <w:charset w:val="4D"/>
    <w:family w:val="auto"/>
    <w:notTrueType/>
    <w:pitch w:val="default"/>
    <w:sig w:usb0="00000003" w:usb1="00000000" w:usb2="00000000" w:usb3="00000000" w:csb0="00000001" w:csb1="00000000"/>
  </w:font>
  <w:font w:name="Gill Sans MT">
    <w:panose1 w:val="020B0502020104020203"/>
    <w:charset w:val="00"/>
    <w:family w:val="swiss"/>
    <w:pitch w:val="variable"/>
    <w:sig w:usb0="00000007" w:usb1="00000000" w:usb2="00000000" w:usb3="00000000" w:csb0="00000003" w:csb1="00000000"/>
  </w:font>
  <w:font w:name="LucidaSansUnicode">
    <w:altName w:val="Lucida Sans Unicode"/>
    <w:panose1 w:val="00000000000000000000"/>
    <w:charset w:val="00"/>
    <w:family w:val="auto"/>
    <w:notTrueType/>
    <w:pitch w:val="default"/>
    <w:sig w:usb0="00000003" w:usb1="00000000" w:usb2="00000000" w:usb3="00000000" w:csb0="00000001" w:csb1="00000000"/>
  </w:font>
  <w:font w:name="SymbolMT">
    <w:altName w:val="MS Mincho"/>
    <w:panose1 w:val="00000000000000000000"/>
    <w:charset w:val="80"/>
    <w:family w:val="auto"/>
    <w:notTrueType/>
    <w:pitch w:val="default"/>
    <w:sig w:usb0="00000001" w:usb1="08070000" w:usb2="00000010" w:usb3="00000000" w:csb0="00020000"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013114" w14:textId="77777777" w:rsidR="00F14D1E" w:rsidRDefault="00F14D1E" w:rsidP="00E54E52">
    <w:pPr>
      <w:pStyle w:val="Footer"/>
      <w:jc w:val="center"/>
    </w:pPr>
    <w:r>
      <w:rPr>
        <w:noProof/>
        <w:lang w:val="bg-BG" w:eastAsia="bg-BG"/>
      </w:rPr>
      <w:drawing>
        <wp:anchor distT="0" distB="0" distL="114300" distR="114300" simplePos="0" relativeHeight="251651072" behindDoc="0" locked="0" layoutInCell="1" allowOverlap="1" wp14:anchorId="55ECCE28" wp14:editId="78ADC1A0">
          <wp:simplePos x="0" y="0"/>
          <wp:positionH relativeFrom="column">
            <wp:posOffset>5123180</wp:posOffset>
          </wp:positionH>
          <wp:positionV relativeFrom="paragraph">
            <wp:posOffset>125095</wp:posOffset>
          </wp:positionV>
          <wp:extent cx="1198880" cy="678815"/>
          <wp:effectExtent l="19050" t="0" r="1270" b="0"/>
          <wp:wrapSquare wrapText="right"/>
          <wp:docPr id="1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
                  <a:srcRect/>
                  <a:stretch>
                    <a:fillRect/>
                  </a:stretch>
                </pic:blipFill>
                <pic:spPr bwMode="auto">
                  <a:xfrm>
                    <a:off x="0" y="0"/>
                    <a:ext cx="1198880" cy="678815"/>
                  </a:xfrm>
                  <a:prstGeom prst="rect">
                    <a:avLst/>
                  </a:prstGeom>
                  <a:noFill/>
                  <a:ln w="9525">
                    <a:noFill/>
                    <a:miter lim="800000"/>
                    <a:headEnd/>
                    <a:tailEnd/>
                  </a:ln>
                </pic:spPr>
              </pic:pic>
            </a:graphicData>
          </a:graphic>
        </wp:anchor>
      </w:drawing>
    </w:r>
    <w:r>
      <w:rPr>
        <w:noProof/>
        <w:lang w:val="bg-BG" w:eastAsia="bg-BG"/>
      </w:rPr>
      <w:drawing>
        <wp:anchor distT="0" distB="0" distL="114300" distR="114300" simplePos="0" relativeHeight="251650048" behindDoc="1" locked="0" layoutInCell="1" allowOverlap="1" wp14:anchorId="3CEA02F3" wp14:editId="787FE670">
          <wp:simplePos x="0" y="0"/>
          <wp:positionH relativeFrom="column">
            <wp:posOffset>-447675</wp:posOffset>
          </wp:positionH>
          <wp:positionV relativeFrom="paragraph">
            <wp:posOffset>122555</wp:posOffset>
          </wp:positionV>
          <wp:extent cx="1115695" cy="731520"/>
          <wp:effectExtent l="19050" t="0" r="8255" b="0"/>
          <wp:wrapTight wrapText="bothSides">
            <wp:wrapPolygon edited="0">
              <wp:start x="-369" y="0"/>
              <wp:lineTo x="-369" y="20813"/>
              <wp:lineTo x="21760" y="20813"/>
              <wp:lineTo x="21760" y="0"/>
              <wp:lineTo x="-369" y="0"/>
            </wp:wrapPolygon>
          </wp:wrapTight>
          <wp:docPr id="16"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
                  <a:srcRect/>
                  <a:stretch>
                    <a:fillRect/>
                  </a:stretch>
                </pic:blipFill>
                <pic:spPr bwMode="auto">
                  <a:xfrm>
                    <a:off x="0" y="0"/>
                    <a:ext cx="1115695" cy="731520"/>
                  </a:xfrm>
                  <a:prstGeom prst="rect">
                    <a:avLst/>
                  </a:prstGeom>
                  <a:noFill/>
                  <a:ln w="9525">
                    <a:noFill/>
                    <a:miter lim="800000"/>
                    <a:headEnd/>
                    <a:tailEnd/>
                  </a:ln>
                </pic:spPr>
              </pic:pic>
            </a:graphicData>
          </a:graphic>
        </wp:anchor>
      </w:drawing>
    </w:r>
  </w:p>
  <w:p w14:paraId="68C4971E" w14:textId="77777777" w:rsidR="00F14D1E" w:rsidRDefault="00F14D1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DB4AB6" w14:textId="77777777" w:rsidR="00F14D1E" w:rsidRDefault="00F14D1E" w:rsidP="001B4D8E">
    <w:pPr>
      <w:pStyle w:val="Footer"/>
    </w:pPr>
    <w:r>
      <w:rPr>
        <w:noProof/>
        <w:lang w:val="bg-BG" w:eastAsia="bg-BG"/>
      </w:rPr>
      <w:drawing>
        <wp:anchor distT="0" distB="0" distL="114300" distR="114300" simplePos="0" relativeHeight="251657216" behindDoc="0" locked="0" layoutInCell="1" allowOverlap="1" wp14:anchorId="77C161DA" wp14:editId="50D3D25F">
          <wp:simplePos x="0" y="0"/>
          <wp:positionH relativeFrom="column">
            <wp:posOffset>5123180</wp:posOffset>
          </wp:positionH>
          <wp:positionV relativeFrom="paragraph">
            <wp:posOffset>219710</wp:posOffset>
          </wp:positionV>
          <wp:extent cx="1198880" cy="678815"/>
          <wp:effectExtent l="19050" t="0" r="1270" b="0"/>
          <wp:wrapSquare wrapText="right"/>
          <wp:docPr id="59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
                  <a:srcRect/>
                  <a:stretch>
                    <a:fillRect/>
                  </a:stretch>
                </pic:blipFill>
                <pic:spPr bwMode="auto">
                  <a:xfrm>
                    <a:off x="0" y="0"/>
                    <a:ext cx="1198880" cy="678815"/>
                  </a:xfrm>
                  <a:prstGeom prst="rect">
                    <a:avLst/>
                  </a:prstGeom>
                  <a:noFill/>
                  <a:ln w="9525">
                    <a:noFill/>
                    <a:miter lim="800000"/>
                    <a:headEnd/>
                    <a:tailEnd/>
                  </a:ln>
                </pic:spPr>
              </pic:pic>
            </a:graphicData>
          </a:graphic>
        </wp:anchor>
      </w:drawing>
    </w:r>
    <w:r>
      <w:rPr>
        <w:noProof/>
        <w:lang w:val="bg-BG" w:eastAsia="bg-BG"/>
      </w:rPr>
      <w:drawing>
        <wp:anchor distT="0" distB="0" distL="114300" distR="114300" simplePos="0" relativeHeight="251656192" behindDoc="1" locked="0" layoutInCell="1" allowOverlap="1" wp14:anchorId="693A5735" wp14:editId="7E307E24">
          <wp:simplePos x="0" y="0"/>
          <wp:positionH relativeFrom="column">
            <wp:posOffset>-447675</wp:posOffset>
          </wp:positionH>
          <wp:positionV relativeFrom="paragraph">
            <wp:posOffset>219710</wp:posOffset>
          </wp:positionV>
          <wp:extent cx="1115695" cy="731520"/>
          <wp:effectExtent l="19050" t="0" r="8255" b="0"/>
          <wp:wrapTight wrapText="bothSides">
            <wp:wrapPolygon edited="0">
              <wp:start x="-369" y="0"/>
              <wp:lineTo x="-369" y="20813"/>
              <wp:lineTo x="21760" y="20813"/>
              <wp:lineTo x="21760" y="0"/>
              <wp:lineTo x="-369" y="0"/>
            </wp:wrapPolygon>
          </wp:wrapTight>
          <wp:docPr id="60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
                  <a:srcRect/>
                  <a:stretch>
                    <a:fillRect/>
                  </a:stretch>
                </pic:blipFill>
                <pic:spPr bwMode="auto">
                  <a:xfrm>
                    <a:off x="0" y="0"/>
                    <a:ext cx="1115695" cy="731520"/>
                  </a:xfrm>
                  <a:prstGeom prst="rect">
                    <a:avLst/>
                  </a:prstGeom>
                  <a:noFill/>
                  <a:ln w="9525">
                    <a:noFill/>
                    <a:miter lim="800000"/>
                    <a:headEnd/>
                    <a:tailEnd/>
                  </a:ln>
                </pic:spPr>
              </pic:pic>
            </a:graphicData>
          </a:graphic>
        </wp:anchor>
      </w:drawing>
    </w:r>
  </w:p>
  <w:p w14:paraId="55CE1224" w14:textId="77777777" w:rsidR="00F14D1E" w:rsidRDefault="00F14D1E"/>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F2FBFB" w14:textId="77777777" w:rsidR="00F14D1E" w:rsidRDefault="00F14D1E" w:rsidP="00E54E52">
    <w:pPr>
      <w:pStyle w:val="Footer"/>
      <w:jc w:val="center"/>
    </w:pPr>
    <w:r>
      <w:rPr>
        <w:noProof/>
        <w:lang w:val="bg-BG" w:eastAsia="bg-BG"/>
      </w:rPr>
      <w:drawing>
        <wp:anchor distT="0" distB="0" distL="114300" distR="114300" simplePos="0" relativeHeight="251663360" behindDoc="0" locked="0" layoutInCell="1" allowOverlap="1" wp14:anchorId="055D6B08" wp14:editId="6BDFC7A1">
          <wp:simplePos x="0" y="0"/>
          <wp:positionH relativeFrom="column">
            <wp:posOffset>5123180</wp:posOffset>
          </wp:positionH>
          <wp:positionV relativeFrom="paragraph">
            <wp:posOffset>125095</wp:posOffset>
          </wp:positionV>
          <wp:extent cx="1198880" cy="678815"/>
          <wp:effectExtent l="19050" t="0" r="1270" b="0"/>
          <wp:wrapSquare wrapText="right"/>
          <wp:docPr id="62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
                  <a:srcRect/>
                  <a:stretch>
                    <a:fillRect/>
                  </a:stretch>
                </pic:blipFill>
                <pic:spPr bwMode="auto">
                  <a:xfrm>
                    <a:off x="0" y="0"/>
                    <a:ext cx="1198880" cy="678815"/>
                  </a:xfrm>
                  <a:prstGeom prst="rect">
                    <a:avLst/>
                  </a:prstGeom>
                  <a:noFill/>
                  <a:ln w="9525">
                    <a:noFill/>
                    <a:miter lim="800000"/>
                    <a:headEnd/>
                    <a:tailEnd/>
                  </a:ln>
                </pic:spPr>
              </pic:pic>
            </a:graphicData>
          </a:graphic>
        </wp:anchor>
      </w:drawing>
    </w:r>
    <w:r>
      <w:rPr>
        <w:noProof/>
        <w:lang w:val="bg-BG" w:eastAsia="bg-BG"/>
      </w:rPr>
      <w:drawing>
        <wp:anchor distT="0" distB="0" distL="114300" distR="114300" simplePos="0" relativeHeight="251662336" behindDoc="1" locked="0" layoutInCell="1" allowOverlap="1" wp14:anchorId="02FA4E66" wp14:editId="579E498A">
          <wp:simplePos x="0" y="0"/>
          <wp:positionH relativeFrom="column">
            <wp:posOffset>-447675</wp:posOffset>
          </wp:positionH>
          <wp:positionV relativeFrom="paragraph">
            <wp:posOffset>122555</wp:posOffset>
          </wp:positionV>
          <wp:extent cx="1115695" cy="731520"/>
          <wp:effectExtent l="19050" t="0" r="8255" b="0"/>
          <wp:wrapTight wrapText="bothSides">
            <wp:wrapPolygon edited="0">
              <wp:start x="-369" y="0"/>
              <wp:lineTo x="-369" y="20813"/>
              <wp:lineTo x="21760" y="20813"/>
              <wp:lineTo x="21760" y="0"/>
              <wp:lineTo x="-369" y="0"/>
            </wp:wrapPolygon>
          </wp:wrapTight>
          <wp:docPr id="621"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
                  <a:srcRect/>
                  <a:stretch>
                    <a:fillRect/>
                  </a:stretch>
                </pic:blipFill>
                <pic:spPr bwMode="auto">
                  <a:xfrm>
                    <a:off x="0" y="0"/>
                    <a:ext cx="1115695" cy="731520"/>
                  </a:xfrm>
                  <a:prstGeom prst="rect">
                    <a:avLst/>
                  </a:prstGeom>
                  <a:noFill/>
                  <a:ln w="9525">
                    <a:noFill/>
                    <a:miter lim="800000"/>
                    <a:headEnd/>
                    <a:tailEnd/>
                  </a:ln>
                </pic:spPr>
              </pic:pic>
            </a:graphicData>
          </a:graphic>
        </wp:anchor>
      </w:drawing>
    </w:r>
  </w:p>
  <w:p w14:paraId="50B9AD71" w14:textId="77777777" w:rsidR="00F14D1E" w:rsidRDefault="00F14D1E" w:rsidP="00E54E52">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sidR="00523DE6">
      <w:rPr>
        <w:b/>
        <w:bCs/>
        <w:noProof/>
      </w:rPr>
      <w:t>50</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523DE6">
      <w:rPr>
        <w:b/>
        <w:bCs/>
        <w:noProof/>
      </w:rPr>
      <w:t>283</w:t>
    </w:r>
    <w:r>
      <w:rPr>
        <w:b/>
        <w:bCs/>
        <w:sz w:val="24"/>
        <w:szCs w:val="24"/>
      </w:rPr>
      <w:fldChar w:fldCharType="end"/>
    </w:r>
  </w:p>
  <w:p w14:paraId="7E3F990B" w14:textId="77777777" w:rsidR="00F14D1E" w:rsidRDefault="00F14D1E">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FD6E20" w14:textId="77777777" w:rsidR="00F14D1E" w:rsidRDefault="00F14D1E" w:rsidP="00E54E52">
    <w:pPr>
      <w:pStyle w:val="Footer"/>
      <w:jc w:val="center"/>
    </w:pPr>
    <w:r>
      <w:rPr>
        <w:noProof/>
        <w:lang w:val="bg-BG" w:eastAsia="bg-BG"/>
      </w:rPr>
      <w:drawing>
        <wp:anchor distT="0" distB="0" distL="114300" distR="114300" simplePos="0" relativeHeight="251655168" behindDoc="0" locked="0" layoutInCell="1" allowOverlap="1" wp14:anchorId="1A83F839" wp14:editId="53D66FE2">
          <wp:simplePos x="0" y="0"/>
          <wp:positionH relativeFrom="column">
            <wp:posOffset>5123180</wp:posOffset>
          </wp:positionH>
          <wp:positionV relativeFrom="paragraph">
            <wp:posOffset>125095</wp:posOffset>
          </wp:positionV>
          <wp:extent cx="1198880" cy="678815"/>
          <wp:effectExtent l="19050" t="0" r="1270" b="0"/>
          <wp:wrapSquare wrapText="right"/>
          <wp:docPr id="62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
                  <a:srcRect/>
                  <a:stretch>
                    <a:fillRect/>
                  </a:stretch>
                </pic:blipFill>
                <pic:spPr bwMode="auto">
                  <a:xfrm>
                    <a:off x="0" y="0"/>
                    <a:ext cx="1198880" cy="678815"/>
                  </a:xfrm>
                  <a:prstGeom prst="rect">
                    <a:avLst/>
                  </a:prstGeom>
                  <a:noFill/>
                  <a:ln w="9525">
                    <a:noFill/>
                    <a:miter lim="800000"/>
                    <a:headEnd/>
                    <a:tailEnd/>
                  </a:ln>
                </pic:spPr>
              </pic:pic>
            </a:graphicData>
          </a:graphic>
        </wp:anchor>
      </w:drawing>
    </w:r>
    <w:r>
      <w:rPr>
        <w:noProof/>
        <w:lang w:val="bg-BG" w:eastAsia="bg-BG"/>
      </w:rPr>
      <w:drawing>
        <wp:anchor distT="0" distB="0" distL="114300" distR="114300" simplePos="0" relativeHeight="251654144" behindDoc="1" locked="0" layoutInCell="1" allowOverlap="1" wp14:anchorId="648F0E63" wp14:editId="5F27CB46">
          <wp:simplePos x="0" y="0"/>
          <wp:positionH relativeFrom="column">
            <wp:posOffset>-447675</wp:posOffset>
          </wp:positionH>
          <wp:positionV relativeFrom="paragraph">
            <wp:posOffset>122555</wp:posOffset>
          </wp:positionV>
          <wp:extent cx="1115695" cy="731520"/>
          <wp:effectExtent l="19050" t="0" r="8255" b="0"/>
          <wp:wrapTight wrapText="bothSides">
            <wp:wrapPolygon edited="0">
              <wp:start x="-369" y="0"/>
              <wp:lineTo x="-369" y="20813"/>
              <wp:lineTo x="21760" y="20813"/>
              <wp:lineTo x="21760" y="0"/>
              <wp:lineTo x="-369" y="0"/>
            </wp:wrapPolygon>
          </wp:wrapTight>
          <wp:docPr id="62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
                  <a:srcRect/>
                  <a:stretch>
                    <a:fillRect/>
                  </a:stretch>
                </pic:blipFill>
                <pic:spPr bwMode="auto">
                  <a:xfrm>
                    <a:off x="0" y="0"/>
                    <a:ext cx="1115695" cy="731520"/>
                  </a:xfrm>
                  <a:prstGeom prst="rect">
                    <a:avLst/>
                  </a:prstGeom>
                  <a:noFill/>
                  <a:ln w="9525">
                    <a:noFill/>
                    <a:miter lim="800000"/>
                    <a:headEnd/>
                    <a:tailEnd/>
                  </a:ln>
                </pic:spPr>
              </pic:pic>
            </a:graphicData>
          </a:graphic>
        </wp:anchor>
      </w:drawing>
    </w:r>
  </w:p>
  <w:p w14:paraId="43768549" w14:textId="77777777" w:rsidR="00F14D1E" w:rsidRDefault="00F14D1E" w:rsidP="00E54E52">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sidR="00523DE6">
      <w:rPr>
        <w:b/>
        <w:bCs/>
        <w:noProof/>
      </w:rPr>
      <w:t>100</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523DE6">
      <w:rPr>
        <w:b/>
        <w:bCs/>
        <w:noProof/>
      </w:rPr>
      <w:t>283</w:t>
    </w:r>
    <w:r>
      <w:rPr>
        <w:b/>
        <w:bCs/>
        <w:sz w:val="24"/>
        <w:szCs w:val="24"/>
      </w:rPr>
      <w:fldChar w:fldCharType="end"/>
    </w:r>
  </w:p>
  <w:p w14:paraId="34E41C2F" w14:textId="77777777" w:rsidR="00F14D1E" w:rsidRDefault="00F14D1E">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8DB925" w14:textId="77777777" w:rsidR="00F14D1E" w:rsidRDefault="00F14D1E" w:rsidP="00E54E52">
    <w:pPr>
      <w:pStyle w:val="Footer"/>
      <w:jc w:val="center"/>
    </w:pPr>
    <w:r>
      <w:rPr>
        <w:noProof/>
        <w:lang w:val="bg-BG" w:eastAsia="bg-BG"/>
      </w:rPr>
      <w:drawing>
        <wp:anchor distT="0" distB="0" distL="114300" distR="114300" simplePos="0" relativeHeight="251661312" behindDoc="0" locked="0" layoutInCell="1" allowOverlap="1" wp14:anchorId="6609E76C" wp14:editId="250017E4">
          <wp:simplePos x="0" y="0"/>
          <wp:positionH relativeFrom="column">
            <wp:posOffset>5123180</wp:posOffset>
          </wp:positionH>
          <wp:positionV relativeFrom="paragraph">
            <wp:posOffset>125095</wp:posOffset>
          </wp:positionV>
          <wp:extent cx="1198880" cy="678815"/>
          <wp:effectExtent l="19050" t="0" r="1270" b="0"/>
          <wp:wrapSquare wrapText="right"/>
          <wp:docPr id="1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
                  <a:srcRect/>
                  <a:stretch>
                    <a:fillRect/>
                  </a:stretch>
                </pic:blipFill>
                <pic:spPr bwMode="auto">
                  <a:xfrm>
                    <a:off x="0" y="0"/>
                    <a:ext cx="1198880" cy="678815"/>
                  </a:xfrm>
                  <a:prstGeom prst="rect">
                    <a:avLst/>
                  </a:prstGeom>
                  <a:noFill/>
                  <a:ln w="9525">
                    <a:noFill/>
                    <a:miter lim="800000"/>
                    <a:headEnd/>
                    <a:tailEnd/>
                  </a:ln>
                </pic:spPr>
              </pic:pic>
            </a:graphicData>
          </a:graphic>
        </wp:anchor>
      </w:drawing>
    </w:r>
    <w:r>
      <w:rPr>
        <w:noProof/>
        <w:lang w:val="bg-BG" w:eastAsia="bg-BG"/>
      </w:rPr>
      <w:drawing>
        <wp:anchor distT="0" distB="0" distL="114300" distR="114300" simplePos="0" relativeHeight="251660288" behindDoc="1" locked="0" layoutInCell="1" allowOverlap="1" wp14:anchorId="0FA150C2" wp14:editId="3AA3EE88">
          <wp:simplePos x="0" y="0"/>
          <wp:positionH relativeFrom="column">
            <wp:posOffset>-447675</wp:posOffset>
          </wp:positionH>
          <wp:positionV relativeFrom="paragraph">
            <wp:posOffset>122555</wp:posOffset>
          </wp:positionV>
          <wp:extent cx="1115695" cy="731520"/>
          <wp:effectExtent l="19050" t="0" r="8255" b="0"/>
          <wp:wrapTight wrapText="bothSides">
            <wp:wrapPolygon edited="0">
              <wp:start x="-369" y="0"/>
              <wp:lineTo x="-369" y="20813"/>
              <wp:lineTo x="21760" y="20813"/>
              <wp:lineTo x="21760" y="0"/>
              <wp:lineTo x="-369" y="0"/>
            </wp:wrapPolygon>
          </wp:wrapTight>
          <wp:docPr id="1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
                  <a:srcRect/>
                  <a:stretch>
                    <a:fillRect/>
                  </a:stretch>
                </pic:blipFill>
                <pic:spPr bwMode="auto">
                  <a:xfrm>
                    <a:off x="0" y="0"/>
                    <a:ext cx="1115695" cy="731520"/>
                  </a:xfrm>
                  <a:prstGeom prst="rect">
                    <a:avLst/>
                  </a:prstGeom>
                  <a:noFill/>
                  <a:ln w="9525">
                    <a:noFill/>
                    <a:miter lim="800000"/>
                    <a:headEnd/>
                    <a:tailEnd/>
                  </a:ln>
                </pic:spPr>
              </pic:pic>
            </a:graphicData>
          </a:graphic>
        </wp:anchor>
      </w:drawing>
    </w:r>
  </w:p>
  <w:p w14:paraId="7D04B5ED" w14:textId="77777777" w:rsidR="00F14D1E" w:rsidRDefault="00F14D1E" w:rsidP="00E54E52">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sidR="00523DE6">
      <w:rPr>
        <w:b/>
        <w:bCs/>
        <w:noProof/>
      </w:rPr>
      <w:t>157</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523DE6">
      <w:rPr>
        <w:b/>
        <w:bCs/>
        <w:noProof/>
      </w:rPr>
      <w:t>283</w:t>
    </w:r>
    <w:r>
      <w:rPr>
        <w:b/>
        <w:bCs/>
        <w:sz w:val="24"/>
        <w:szCs w:val="24"/>
      </w:rPr>
      <w:fldChar w:fldCharType="end"/>
    </w:r>
  </w:p>
  <w:p w14:paraId="38C43E1C" w14:textId="77777777" w:rsidR="00F14D1E" w:rsidRDefault="00F14D1E">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C3419B" w14:textId="77777777" w:rsidR="00F14D1E" w:rsidRDefault="00F14D1E" w:rsidP="00E54E52">
    <w:pPr>
      <w:pStyle w:val="Footer"/>
      <w:jc w:val="center"/>
    </w:pPr>
    <w:r>
      <w:rPr>
        <w:noProof/>
        <w:lang w:val="bg-BG" w:eastAsia="bg-BG"/>
      </w:rPr>
      <w:drawing>
        <wp:anchor distT="0" distB="0" distL="114300" distR="114300" simplePos="0" relativeHeight="251659264" behindDoc="0" locked="0" layoutInCell="1" allowOverlap="1" wp14:anchorId="4A527C8E" wp14:editId="59812315">
          <wp:simplePos x="0" y="0"/>
          <wp:positionH relativeFrom="column">
            <wp:posOffset>5123180</wp:posOffset>
          </wp:positionH>
          <wp:positionV relativeFrom="paragraph">
            <wp:posOffset>125095</wp:posOffset>
          </wp:positionV>
          <wp:extent cx="1198880" cy="678815"/>
          <wp:effectExtent l="19050" t="0" r="1270" b="0"/>
          <wp:wrapSquare wrapText="right"/>
          <wp:docPr id="632"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
                  <a:srcRect/>
                  <a:stretch>
                    <a:fillRect/>
                  </a:stretch>
                </pic:blipFill>
                <pic:spPr bwMode="auto">
                  <a:xfrm>
                    <a:off x="0" y="0"/>
                    <a:ext cx="1198880" cy="678815"/>
                  </a:xfrm>
                  <a:prstGeom prst="rect">
                    <a:avLst/>
                  </a:prstGeom>
                  <a:noFill/>
                  <a:ln w="9525">
                    <a:noFill/>
                    <a:miter lim="800000"/>
                    <a:headEnd/>
                    <a:tailEnd/>
                  </a:ln>
                </pic:spPr>
              </pic:pic>
            </a:graphicData>
          </a:graphic>
        </wp:anchor>
      </w:drawing>
    </w:r>
    <w:r>
      <w:rPr>
        <w:noProof/>
        <w:lang w:val="bg-BG" w:eastAsia="bg-BG"/>
      </w:rPr>
      <w:drawing>
        <wp:anchor distT="0" distB="0" distL="114300" distR="114300" simplePos="0" relativeHeight="251658240" behindDoc="1" locked="0" layoutInCell="1" allowOverlap="1" wp14:anchorId="4A2BD21E" wp14:editId="0E289B8C">
          <wp:simplePos x="0" y="0"/>
          <wp:positionH relativeFrom="column">
            <wp:posOffset>-447675</wp:posOffset>
          </wp:positionH>
          <wp:positionV relativeFrom="paragraph">
            <wp:posOffset>122555</wp:posOffset>
          </wp:positionV>
          <wp:extent cx="1115695" cy="731520"/>
          <wp:effectExtent l="19050" t="0" r="8255" b="0"/>
          <wp:wrapTight wrapText="bothSides">
            <wp:wrapPolygon edited="0">
              <wp:start x="-369" y="0"/>
              <wp:lineTo x="-369" y="20813"/>
              <wp:lineTo x="21760" y="20813"/>
              <wp:lineTo x="21760" y="0"/>
              <wp:lineTo x="-369" y="0"/>
            </wp:wrapPolygon>
          </wp:wrapTight>
          <wp:docPr id="633"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
                  <a:srcRect/>
                  <a:stretch>
                    <a:fillRect/>
                  </a:stretch>
                </pic:blipFill>
                <pic:spPr bwMode="auto">
                  <a:xfrm>
                    <a:off x="0" y="0"/>
                    <a:ext cx="1115695" cy="731520"/>
                  </a:xfrm>
                  <a:prstGeom prst="rect">
                    <a:avLst/>
                  </a:prstGeom>
                  <a:noFill/>
                  <a:ln w="9525">
                    <a:noFill/>
                    <a:miter lim="800000"/>
                    <a:headEnd/>
                    <a:tailEnd/>
                  </a:ln>
                </pic:spPr>
              </pic:pic>
            </a:graphicData>
          </a:graphic>
        </wp:anchor>
      </w:drawing>
    </w:r>
  </w:p>
  <w:p w14:paraId="36B8B2CC" w14:textId="77777777" w:rsidR="00F14D1E" w:rsidRDefault="00F14D1E" w:rsidP="00E54E52">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sidR="00523DE6">
      <w:rPr>
        <w:b/>
        <w:bCs/>
        <w:noProof/>
      </w:rPr>
      <w:t>199</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523DE6">
      <w:rPr>
        <w:b/>
        <w:bCs/>
        <w:noProof/>
      </w:rPr>
      <w:t>283</w:t>
    </w:r>
    <w:r>
      <w:rPr>
        <w:b/>
        <w:bCs/>
        <w:sz w:val="24"/>
        <w:szCs w:val="24"/>
      </w:rPr>
      <w:fldChar w:fldCharType="end"/>
    </w:r>
  </w:p>
  <w:p w14:paraId="66B00DA1" w14:textId="77777777" w:rsidR="00F14D1E" w:rsidRDefault="00F14D1E">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0D9D20" w14:textId="77777777" w:rsidR="00F14D1E" w:rsidRDefault="00F14D1E" w:rsidP="00E54E52">
    <w:pPr>
      <w:pStyle w:val="Footer"/>
      <w:jc w:val="center"/>
    </w:pPr>
    <w:r>
      <w:rPr>
        <w:noProof/>
        <w:lang w:val="bg-BG" w:eastAsia="bg-BG"/>
      </w:rPr>
      <w:drawing>
        <wp:anchor distT="0" distB="0" distL="114300" distR="114300" simplePos="0" relativeHeight="251665408" behindDoc="0" locked="0" layoutInCell="1" allowOverlap="1" wp14:anchorId="1D44FDD4" wp14:editId="7ACA7292">
          <wp:simplePos x="0" y="0"/>
          <wp:positionH relativeFrom="column">
            <wp:posOffset>5123180</wp:posOffset>
          </wp:positionH>
          <wp:positionV relativeFrom="paragraph">
            <wp:posOffset>179070</wp:posOffset>
          </wp:positionV>
          <wp:extent cx="1334770" cy="755650"/>
          <wp:effectExtent l="0" t="0" r="0" b="6350"/>
          <wp:wrapSquare wrapText="right"/>
          <wp:docPr id="635"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
                  <a:srcRect/>
                  <a:stretch>
                    <a:fillRect/>
                  </a:stretch>
                </pic:blipFill>
                <pic:spPr bwMode="auto">
                  <a:xfrm>
                    <a:off x="0" y="0"/>
                    <a:ext cx="1334770" cy="755650"/>
                  </a:xfrm>
                  <a:prstGeom prst="rect">
                    <a:avLst/>
                  </a:prstGeom>
                  <a:noFill/>
                  <a:ln w="9525">
                    <a:noFill/>
                    <a:miter lim="800000"/>
                    <a:headEnd/>
                    <a:tailEnd/>
                  </a:ln>
                </pic:spPr>
              </pic:pic>
            </a:graphicData>
          </a:graphic>
        </wp:anchor>
      </w:drawing>
    </w:r>
    <w:r>
      <w:rPr>
        <w:noProof/>
        <w:lang w:val="bg-BG" w:eastAsia="bg-BG"/>
      </w:rPr>
      <w:drawing>
        <wp:anchor distT="0" distB="0" distL="114300" distR="114300" simplePos="0" relativeHeight="251664384" behindDoc="1" locked="0" layoutInCell="1" allowOverlap="1" wp14:anchorId="439A52F6" wp14:editId="126D6E07">
          <wp:simplePos x="0" y="0"/>
          <wp:positionH relativeFrom="column">
            <wp:posOffset>-447675</wp:posOffset>
          </wp:positionH>
          <wp:positionV relativeFrom="paragraph">
            <wp:posOffset>475615</wp:posOffset>
          </wp:positionV>
          <wp:extent cx="1115695" cy="731520"/>
          <wp:effectExtent l="0" t="0" r="8255" b="0"/>
          <wp:wrapTight wrapText="bothSides">
            <wp:wrapPolygon edited="0">
              <wp:start x="0" y="0"/>
              <wp:lineTo x="0" y="20813"/>
              <wp:lineTo x="21391" y="20813"/>
              <wp:lineTo x="21391" y="0"/>
              <wp:lineTo x="0" y="0"/>
            </wp:wrapPolygon>
          </wp:wrapTight>
          <wp:docPr id="636"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
                  <a:srcRect/>
                  <a:stretch>
                    <a:fillRect/>
                  </a:stretch>
                </pic:blipFill>
                <pic:spPr bwMode="auto">
                  <a:xfrm>
                    <a:off x="0" y="0"/>
                    <a:ext cx="1115695" cy="731520"/>
                  </a:xfrm>
                  <a:prstGeom prst="rect">
                    <a:avLst/>
                  </a:prstGeom>
                  <a:noFill/>
                  <a:ln w="9525">
                    <a:noFill/>
                    <a:miter lim="800000"/>
                    <a:headEnd/>
                    <a:tailEnd/>
                  </a:ln>
                </pic:spPr>
              </pic:pic>
            </a:graphicData>
          </a:graphic>
        </wp:anchor>
      </w:drawing>
    </w:r>
  </w:p>
  <w:p w14:paraId="7851B85A" w14:textId="77777777" w:rsidR="00F14D1E" w:rsidRDefault="00F14D1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124188" w14:textId="77777777" w:rsidR="006F4153" w:rsidRDefault="006F4153" w:rsidP="005963A4">
      <w:pPr>
        <w:spacing w:after="0"/>
      </w:pPr>
      <w:r>
        <w:separator/>
      </w:r>
    </w:p>
  </w:footnote>
  <w:footnote w:type="continuationSeparator" w:id="0">
    <w:p w14:paraId="2C0BDCC2" w14:textId="77777777" w:rsidR="006F4153" w:rsidRDefault="006F4153" w:rsidP="005963A4">
      <w:pPr>
        <w:spacing w:after="0"/>
      </w:pPr>
      <w:r>
        <w:continuationSeparator/>
      </w:r>
    </w:p>
  </w:footnote>
  <w:footnote w:type="continuationNotice" w:id="1">
    <w:p w14:paraId="2C065963" w14:textId="77777777" w:rsidR="006F4153" w:rsidRDefault="006F4153">
      <w:pPr>
        <w:spacing w:after="0"/>
      </w:pPr>
    </w:p>
  </w:footnote>
  <w:footnote w:id="2">
    <w:p w14:paraId="0B22C109" w14:textId="77777777" w:rsidR="00F14D1E" w:rsidRPr="00FF3DC4" w:rsidRDefault="00F14D1E" w:rsidP="00D0188E">
      <w:pPr>
        <w:pStyle w:val="FootnoteText"/>
      </w:pPr>
      <w:r>
        <w:rPr>
          <w:rStyle w:val="FootnoteReference"/>
        </w:rPr>
        <w:footnoteRef/>
      </w:r>
      <w:r w:rsidRPr="00F61B62">
        <w:t>OIR et al. (2011): Regional Challenges in the Perspective of 2020 – Phase 2: Deepening and</w:t>
      </w:r>
      <w:r>
        <w:t xml:space="preserve"> </w:t>
      </w:r>
      <w:r w:rsidRPr="00F61B62">
        <w:t>Broadening the Analysis; research study Commissioned by European Commission, Directorate</w:t>
      </w:r>
      <w:r>
        <w:t xml:space="preserve"> </w:t>
      </w:r>
      <w:r w:rsidRPr="00F61B62">
        <w:t>General for Regional Policy, Unit C1 Conception, forward studies, impact assessment;</w:t>
      </w:r>
      <w:r>
        <w:t xml:space="preserve"> </w:t>
      </w:r>
      <w:r w:rsidRPr="00F61B62">
        <w:t>Vienna/Heisdorf/Bonn</w:t>
      </w:r>
    </w:p>
  </w:footnote>
  <w:footnote w:id="3">
    <w:p w14:paraId="4F543C7A" w14:textId="77777777" w:rsidR="00F14D1E" w:rsidRPr="00FF3DC4" w:rsidRDefault="00F14D1E" w:rsidP="00D0188E">
      <w:pPr>
        <w:pStyle w:val="FootnoteText"/>
      </w:pPr>
      <w:r>
        <w:rPr>
          <w:rStyle w:val="FootnoteReference"/>
        </w:rPr>
        <w:footnoteRef/>
      </w:r>
      <w:r w:rsidRPr="00F61B62">
        <w:t xml:space="preserve">ECNC et.al. (2007): Scenar 2020: </w:t>
      </w:r>
      <w:r>
        <w:t>S</w:t>
      </w:r>
      <w:r w:rsidRPr="00F61B62">
        <w:t>cenario study on agriculture and the rural world; contract study</w:t>
      </w:r>
      <w:r>
        <w:t xml:space="preserve"> </w:t>
      </w:r>
      <w:r w:rsidRPr="00F61B62">
        <w:t>commissioned by DG Agriculture, Directorate G:</w:t>
      </w:r>
      <w:r>
        <w:t xml:space="preserve"> E</w:t>
      </w:r>
      <w:r w:rsidRPr="00F61B62">
        <w:t>conomic analysis and evaluation; Brussels</w:t>
      </w:r>
    </w:p>
  </w:footnote>
  <w:footnote w:id="4">
    <w:p w14:paraId="6DA0F5BA" w14:textId="77777777" w:rsidR="00F14D1E" w:rsidRPr="003D677D" w:rsidRDefault="00F14D1E" w:rsidP="00D0188E">
      <w:pPr>
        <w:pStyle w:val="FootnoteText"/>
      </w:pPr>
      <w:r>
        <w:rPr>
          <w:rStyle w:val="FootnoteReference"/>
        </w:rPr>
        <w:footnoteRef/>
      </w:r>
      <w:r>
        <w:t xml:space="preserve"> ESPON</w:t>
      </w:r>
      <w:r w:rsidRPr="00F61B62">
        <w:t xml:space="preserve"> 3.2 (2006): Spatial Scenarios and Orientations in relation to the ESDP and Cohesion Policy –Final Report, Volume 3: Final Thematic Bases and Scenarios; Brussels</w:t>
      </w:r>
    </w:p>
  </w:footnote>
  <w:footnote w:id="5">
    <w:p w14:paraId="5D961EA3" w14:textId="77777777" w:rsidR="00F14D1E" w:rsidRDefault="00F14D1E"/>
    <w:p w14:paraId="52FFBF81" w14:textId="77777777" w:rsidR="00F14D1E" w:rsidRPr="00E80E8E" w:rsidRDefault="00F14D1E" w:rsidP="00D0188E">
      <w:pPr>
        <w:pStyle w:val="FootnoteText"/>
        <w:rPr>
          <w:sz w:val="16"/>
        </w:rPr>
      </w:pPr>
    </w:p>
  </w:footnote>
  <w:footnote w:id="6">
    <w:p w14:paraId="38629719" w14:textId="77777777" w:rsidR="00F14D1E" w:rsidRDefault="00F14D1E" w:rsidP="00B20E3C">
      <w:pPr>
        <w:pStyle w:val="FootnoteText"/>
      </w:pPr>
      <w:r>
        <w:rPr>
          <w:rStyle w:val="FootnoteReference"/>
        </w:rPr>
        <w:footnoteRef/>
      </w:r>
      <w:r>
        <w:t xml:space="preserve"> The agriculture includes fishing and aquaculture while the “services” category includes also the public services (healthcare, education) and public administration.</w:t>
      </w:r>
    </w:p>
  </w:footnote>
  <w:footnote w:id="7">
    <w:p w14:paraId="394B6EC0" w14:textId="77777777" w:rsidR="00F14D1E" w:rsidRDefault="00F14D1E" w:rsidP="00B20E3C">
      <w:pPr>
        <w:pStyle w:val="FootnoteText"/>
      </w:pPr>
      <w:r>
        <w:rPr>
          <w:rStyle w:val="FootnoteReference"/>
        </w:rPr>
        <w:footnoteRef/>
      </w:r>
      <w:r>
        <w:t xml:space="preserve"> Even though the on the ground experience seem to indicate that agriculture turnover is highly underestimated by statistics, as this is due to the high level of informal economy in the agriculture sector in both areas (the small-plot agriculture is only marginally taxed). </w:t>
      </w:r>
    </w:p>
  </w:footnote>
  <w:footnote w:id="8">
    <w:p w14:paraId="1DE49F55" w14:textId="77777777" w:rsidR="00F14D1E" w:rsidRDefault="00F14D1E" w:rsidP="00B20E3C">
      <w:pPr>
        <w:pStyle w:val="FootnoteText"/>
      </w:pPr>
      <w:r>
        <w:rPr>
          <w:rStyle w:val="FootnoteReference"/>
        </w:rPr>
        <w:footnoteRef/>
      </w:r>
      <w:r>
        <w:t xml:space="preserve"> According to the Bulgarian district statistical offices, the trade figures are confidential and cannot be spread. </w:t>
      </w:r>
    </w:p>
  </w:footnote>
  <w:footnote w:id="9">
    <w:p w14:paraId="66C142B7" w14:textId="77777777" w:rsidR="00F14D1E" w:rsidRDefault="00F14D1E" w:rsidP="009549CE">
      <w:pPr>
        <w:pStyle w:val="FootnoteText"/>
      </w:pPr>
      <w:r>
        <w:rPr>
          <w:rStyle w:val="FootnoteReference"/>
        </w:rPr>
        <w:footnoteRef/>
      </w:r>
      <w:r>
        <w:t xml:space="preserve"> Analyzed data come from the survey carried out within the EVOLUTION Project, in September-October 2011 on 2000 units (enterprises) in the cross-border region.</w:t>
      </w:r>
    </w:p>
  </w:footnote>
  <w:footnote w:id="10">
    <w:p w14:paraId="1F294139" w14:textId="77777777" w:rsidR="00F14D1E" w:rsidRDefault="00F14D1E" w:rsidP="009549CE">
      <w:pPr>
        <w:pStyle w:val="FootnoteText"/>
      </w:pPr>
      <w:r>
        <w:rPr>
          <w:rStyle w:val="FootnoteReference"/>
        </w:rPr>
        <w:footnoteRef/>
      </w:r>
      <w:r>
        <w:t>Although not specifically mentioned in tables, (White Book of SME-s 2011), the sample includes SME-s from both the Romanian and Bulgarian cross-border area, so the reference is to the national currencies of both countries.</w:t>
      </w:r>
    </w:p>
  </w:footnote>
  <w:footnote w:id="11">
    <w:p w14:paraId="0CB7D9EA" w14:textId="77777777" w:rsidR="00F14D1E" w:rsidRDefault="00F14D1E" w:rsidP="009549CE">
      <w:pPr>
        <w:pStyle w:val="FootnoteText"/>
      </w:pPr>
      <w:r>
        <w:rPr>
          <w:rStyle w:val="FootnoteReference"/>
        </w:rPr>
        <w:footnoteRef/>
      </w:r>
      <w:r>
        <w:t>The market analysis in the White Book of SME-s (2011) is only focused on Romanian enterprises</w:t>
      </w:r>
    </w:p>
  </w:footnote>
  <w:footnote w:id="12">
    <w:p w14:paraId="042F8DF3" w14:textId="77777777" w:rsidR="00F14D1E" w:rsidRPr="00AC5A09" w:rsidRDefault="00F14D1E" w:rsidP="009549CE">
      <w:pPr>
        <w:pStyle w:val="FootnoteText"/>
      </w:pPr>
      <w:r>
        <w:rPr>
          <w:rStyle w:val="FootnoteReference"/>
        </w:rPr>
        <w:footnoteRef/>
      </w:r>
      <w:r>
        <w:rPr>
          <w:rFonts w:eastAsia="Times New Roman"/>
        </w:rPr>
        <w:t>In a literal sense, the term 'polycentric' indicates that a spatial entity consists of multiple centers.</w:t>
      </w:r>
    </w:p>
  </w:footnote>
  <w:footnote w:id="13">
    <w:p w14:paraId="2F654FA3" w14:textId="77777777" w:rsidR="00F14D1E" w:rsidRDefault="00F14D1E" w:rsidP="00587CF0">
      <w:r>
        <w:rPr>
          <w:rStyle w:val="Appelnotedebasdep1"/>
          <w:i/>
          <w:sz w:val="18"/>
          <w:szCs w:val="24"/>
        </w:rPr>
        <w:footnoteRef/>
      </w:r>
      <w:r>
        <w:rPr>
          <w:i/>
          <w:sz w:val="18"/>
          <w:szCs w:val="24"/>
        </w:rPr>
        <w:t xml:space="preserve"> </w:t>
      </w:r>
      <w:hyperlink r:id="rId1" w:history="1">
        <w:r>
          <w:rPr>
            <w:rStyle w:val="Hyperlink"/>
            <w:i/>
            <w:sz w:val="18"/>
            <w:szCs w:val="24"/>
          </w:rPr>
          <w:t>http://www.un.org/esa/dsd/dsd_aofw_ni/ni_pdfs/NationalReports/romania/Romania.pdf</w:t>
        </w:r>
      </w:hyperlink>
    </w:p>
  </w:footnote>
  <w:footnote w:id="14">
    <w:p w14:paraId="5CACE812" w14:textId="77777777" w:rsidR="00F14D1E" w:rsidRDefault="00F14D1E" w:rsidP="00587CF0">
      <w:pPr>
        <w:rPr>
          <w:i/>
          <w:sz w:val="18"/>
          <w:szCs w:val="18"/>
        </w:rPr>
      </w:pPr>
      <w:r>
        <w:rPr>
          <w:rStyle w:val="Appelnotedebasdep1"/>
          <w:i/>
          <w:sz w:val="18"/>
          <w:szCs w:val="18"/>
        </w:rPr>
        <w:footnoteRef/>
      </w:r>
      <w:r>
        <w:rPr>
          <w:rStyle w:val="Appelnotedebasdep1"/>
          <w:i/>
          <w:sz w:val="18"/>
          <w:szCs w:val="18"/>
        </w:rPr>
        <w:t xml:space="preserve"> </w:t>
      </w:r>
      <w:hyperlink r:id="rId2" w:history="1">
        <w:r>
          <w:rPr>
            <w:rStyle w:val="Hyperlink"/>
            <w:i/>
            <w:sz w:val="18"/>
            <w:szCs w:val="18"/>
          </w:rPr>
          <w:t>http://www.un.org/esa/dsd/dsd_aofw_ni/ni_pdfs/NationalReports/romania/Romania.pdf</w:t>
        </w:r>
      </w:hyperlink>
    </w:p>
  </w:footnote>
  <w:footnote w:id="15">
    <w:p w14:paraId="704FDBCB" w14:textId="77777777" w:rsidR="00F14D1E" w:rsidRDefault="00F14D1E" w:rsidP="00587CF0">
      <w:r>
        <w:rPr>
          <w:rStyle w:val="Appelnotedebasdep1"/>
          <w:i/>
          <w:sz w:val="18"/>
          <w:szCs w:val="24"/>
        </w:rPr>
        <w:footnoteRef/>
      </w:r>
      <w:r>
        <w:rPr>
          <w:i/>
          <w:sz w:val="18"/>
          <w:szCs w:val="24"/>
        </w:rPr>
        <w:t xml:space="preserve"> </w:t>
      </w:r>
      <w:hyperlink r:id="rId3" w:history="1">
        <w:r>
          <w:rPr>
            <w:rStyle w:val="Hyperlink"/>
            <w:i/>
            <w:sz w:val="18"/>
            <w:szCs w:val="24"/>
          </w:rPr>
          <w:t>http://ec.europa.eu/transport/themes/strategies/2011_white_paper_en.htm</w:t>
        </w:r>
      </w:hyperlink>
    </w:p>
  </w:footnote>
  <w:footnote w:id="16">
    <w:p w14:paraId="42AFF21B" w14:textId="77777777" w:rsidR="00F14D1E" w:rsidRPr="00EA46BF" w:rsidRDefault="00F14D1E" w:rsidP="00CA1180">
      <w:pPr>
        <w:pStyle w:val="FootnoteText"/>
      </w:pPr>
      <w:r w:rsidRPr="00EA46BF">
        <w:rPr>
          <w:rStyle w:val="FootnoteCharacters"/>
          <w:szCs w:val="18"/>
          <w:vertAlign w:val="baseline"/>
        </w:rPr>
        <w:footnoteRef/>
      </w:r>
      <w:r w:rsidRPr="00EA46BF">
        <w:rPr>
          <w:rStyle w:val="FootnoteCharacters"/>
          <w:i w:val="0"/>
          <w:szCs w:val="18"/>
          <w:vertAlign w:val="baseline"/>
        </w:rPr>
        <w:t>This indicator is defined as the percentage share of each mode of transport in total inland transport, expressed in passenger-kilometres (pkm). It is based on transport by passenger cars, buses and coaches, and trains. All data should be based on movements on national territory, regardless of the nationality of the vehicle. However, the data collection methodology is not harmonised at the EU level.</w:t>
      </w:r>
      <w:r w:rsidRPr="00EA46BF">
        <w:t xml:space="preserve"> </w:t>
      </w:r>
    </w:p>
  </w:footnote>
  <w:footnote w:id="17">
    <w:p w14:paraId="72E7DD48" w14:textId="77777777" w:rsidR="00F14D1E" w:rsidRPr="00EA46BF" w:rsidRDefault="00F14D1E" w:rsidP="00CA1180">
      <w:pPr>
        <w:pStyle w:val="FootnoteText"/>
        <w:rPr>
          <w:rStyle w:val="Appelnotedebasdep1"/>
          <w:vertAlign w:val="baseline"/>
        </w:rPr>
      </w:pPr>
      <w:r w:rsidRPr="00EA46BF">
        <w:rPr>
          <w:rStyle w:val="FootnoteCharacters"/>
          <w:szCs w:val="18"/>
          <w:vertAlign w:val="baseline"/>
        </w:rPr>
        <w:footnoteRef/>
      </w:r>
      <w:r w:rsidRPr="00EA46BF">
        <w:rPr>
          <w:rStyle w:val="Appelnotedebasdep1"/>
          <w:i w:val="0"/>
          <w:szCs w:val="18"/>
          <w:vertAlign w:val="baseline"/>
        </w:rPr>
        <w:t>This indicator is defined as the percentage share of each mode of transport in total inland transport expressed in tonne-kilometres (tkm). It includes transport by road, rail and inland waterways. Road transport is based on all movements of vehicles registered in the reporting country. Rail and Inland waterways transport is generally based on movements on national territory, regardless of the nationality of the vehicle or vessel, but there are some variations in definitions from country to country.</w:t>
      </w:r>
    </w:p>
  </w:footnote>
  <w:footnote w:id="18">
    <w:p w14:paraId="44210D70" w14:textId="77777777" w:rsidR="00F14D1E" w:rsidRDefault="00F14D1E" w:rsidP="008E2B43">
      <w:pPr>
        <w:pStyle w:val="FootnoteText"/>
      </w:pPr>
      <w:r>
        <w:rPr>
          <w:rStyle w:val="FootnoteReference"/>
        </w:rPr>
        <w:footnoteRef/>
      </w:r>
      <w:r>
        <w:t xml:space="preserve"> Given the associated demographic indicators like life expectancy, net migration, as well as indicators from other sectors (like economic activity, economic structure, turnover of companies, etc.) that indicate the low standard of living of the region compared to the EU average and its consequent low attractiveness.   </w:t>
      </w:r>
    </w:p>
  </w:footnote>
  <w:footnote w:id="19">
    <w:p w14:paraId="430D6C50" w14:textId="77777777" w:rsidR="00F14D1E" w:rsidRDefault="00F14D1E" w:rsidP="008E2B43">
      <w:pPr>
        <w:pStyle w:val="FootnoteText"/>
      </w:pPr>
      <w:r>
        <w:rPr>
          <w:rStyle w:val="FootnoteReference"/>
        </w:rPr>
        <w:footnoteRef/>
      </w:r>
      <w:r>
        <w:t xml:space="preserve"> For instance the numbers of people having left the cross border area for a third country and registered by the official statistics, between 2000 and 2009,  is for the whole Romanian cross-border is of around 10 000 out of a total of around 4 million 700 000. </w:t>
      </w:r>
    </w:p>
  </w:footnote>
  <w:footnote w:id="20">
    <w:p w14:paraId="7500FEBE" w14:textId="77777777" w:rsidR="00F14D1E" w:rsidRPr="006E5082" w:rsidRDefault="00F14D1E" w:rsidP="0064018D">
      <w:pPr>
        <w:pStyle w:val="FootnoteText"/>
      </w:pPr>
      <w:r>
        <w:rPr>
          <w:rStyle w:val="FootnoteReference"/>
        </w:rPr>
        <w:footnoteRef/>
      </w:r>
      <w:r w:rsidRPr="006E5082">
        <w:t>Rehman Sobhan: Promoting Social Cohesion in the Asia Region: Lessons from the EU Experience</w:t>
      </w:r>
    </w:p>
  </w:footnote>
  <w:footnote w:id="21">
    <w:p w14:paraId="4239BC61" w14:textId="77777777" w:rsidR="00F14D1E" w:rsidRDefault="00F14D1E" w:rsidP="0064018D">
      <w:pPr>
        <w:pStyle w:val="FootnoteText"/>
      </w:pPr>
      <w:r>
        <w:rPr>
          <w:rStyle w:val="FootnoteReference"/>
        </w:rPr>
        <w:footnoteRef/>
      </w:r>
      <w:r>
        <w:t xml:space="preserve"> This indicator is highly adapted to the local situation. It is obtained by dividing the total active population (that includes the employees, the owners of companies, the un-employed that are declared as such, the self-employed, the workers without remuneration inside own households) by the total number of available workforce (people that are able to work inside the legal age group and people outside the legal age group that are working, excluding all retired persons – either for illness, handicap, legal age, anticipated, etc.).This means that the result indicates the percentage of people that are fit to work (at least officially) but are not declared (either as un-employed or employed in any legal possible manner).    </w:t>
      </w:r>
    </w:p>
  </w:footnote>
  <w:footnote w:id="22">
    <w:p w14:paraId="3BFCAABB" w14:textId="77777777" w:rsidR="00F14D1E" w:rsidRDefault="00F14D1E" w:rsidP="0064018D">
      <w:pPr>
        <w:pStyle w:val="FootnoteText"/>
      </w:pPr>
      <w:r>
        <w:rPr>
          <w:rStyle w:val="FootnoteReference"/>
        </w:rPr>
        <w:footnoteRef/>
      </w:r>
      <w:r>
        <w:t xml:space="preserve">From the population aged 10 and over (Romania) and aged 9 and over (Bulgaria). Data for Bulgaria are based on the number of people which never went to school from the total number of people for the district. </w:t>
      </w:r>
    </w:p>
  </w:footnote>
  <w:footnote w:id="23">
    <w:p w14:paraId="672EAB70" w14:textId="77777777" w:rsidR="00F14D1E" w:rsidRPr="000D7237" w:rsidRDefault="00F14D1E" w:rsidP="0064018D">
      <w:pPr>
        <w:pStyle w:val="FootnoteText"/>
        <w:rPr>
          <w:rStyle w:val="SubtleEmphasis"/>
          <w:i/>
          <w:iCs w:val="0"/>
        </w:rPr>
      </w:pPr>
      <w:r w:rsidRPr="000D7237">
        <w:rPr>
          <w:rStyle w:val="SubtleEmphasis"/>
          <w:i/>
          <w:iCs w:val="0"/>
        </w:rPr>
        <w:footnoteRef/>
      </w:r>
      <w:r w:rsidRPr="000D7237">
        <w:rPr>
          <w:rStyle w:val="SubtleEmphasis"/>
          <w:i/>
          <w:iCs w:val="0"/>
        </w:rPr>
        <w:t xml:space="preserve"> In the Romanian area this is worrying as the penetration rate of these networks/infrastructure increased very slowly during the 2007-2012 period, despite EU funding availability for related investments.  </w:t>
      </w:r>
    </w:p>
  </w:footnote>
  <w:footnote w:id="24">
    <w:p w14:paraId="0473C9EC" w14:textId="77777777" w:rsidR="00F14D1E" w:rsidRDefault="00F14D1E" w:rsidP="0064018D">
      <w:pPr>
        <w:pStyle w:val="FootnoteText"/>
      </w:pPr>
      <w:r>
        <w:rPr>
          <w:rStyle w:val="FootnoteReference"/>
        </w:rPr>
        <w:footnoteRef/>
      </w:r>
      <w:r>
        <w:t xml:space="preserve"> The statistical survey of households in the Romania-Bulgaria cross-border region (EVOLUTION Project) was implemented in 2011 on a sample of 7193 households in the Romanian area and 4800 in the Bulgarian area. </w:t>
      </w:r>
    </w:p>
  </w:footnote>
  <w:footnote w:id="25">
    <w:p w14:paraId="69161B3A" w14:textId="77777777" w:rsidR="00F14D1E" w:rsidRDefault="00F14D1E" w:rsidP="00E12EE5">
      <w:pPr>
        <w:pStyle w:val="FootnoteText"/>
        <w:rPr>
          <w:lang w:val="hu-HU"/>
        </w:rPr>
      </w:pPr>
      <w:r>
        <w:rPr>
          <w:rStyle w:val="FootnoteReference"/>
        </w:rPr>
        <w:footnoteRef/>
      </w:r>
      <w:hyperlink r:id="rId4" w:history="1">
        <w:r>
          <w:rPr>
            <w:rStyle w:val="Hyperlink"/>
          </w:rPr>
          <w:t>http://www3.moew.government.bg/files/file/Climate/Climate_Change_Policy_Directorate/THIRD_NATIONAL_ACTION_PLAN.pdf</w:t>
        </w:r>
      </w:hyperlink>
      <w:r>
        <w:t xml:space="preserve"> </w:t>
      </w:r>
    </w:p>
  </w:footnote>
  <w:footnote w:id="26">
    <w:p w14:paraId="101F7EA1" w14:textId="77777777" w:rsidR="00F14D1E" w:rsidRDefault="00F14D1E" w:rsidP="00E12EE5">
      <w:pPr>
        <w:pStyle w:val="FootnoteText"/>
        <w:rPr>
          <w:lang w:val="hu-HU"/>
        </w:rPr>
      </w:pPr>
      <w:r>
        <w:rPr>
          <w:rStyle w:val="FootnoteReference"/>
        </w:rPr>
        <w:footnoteRef/>
      </w:r>
      <w:r w:rsidRPr="00751AA0">
        <w:rPr>
          <w:lang w:val="hu-HU"/>
        </w:rPr>
        <w:t xml:space="preserve"> </w:t>
      </w:r>
      <w:hyperlink r:id="rId5" w:history="1">
        <w:r w:rsidRPr="00751AA0">
          <w:rPr>
            <w:rStyle w:val="Hyperlink"/>
            <w:lang w:val="hu-HU"/>
          </w:rPr>
          <w:t>http://www.mmediu.ro/beta/wp-content/uploads/2012/10/2012-10-05-Strategia_NR-SC.pdf</w:t>
        </w:r>
      </w:hyperlink>
      <w:r w:rsidRPr="00751AA0">
        <w:rPr>
          <w:lang w:val="hu-HU"/>
        </w:rPr>
        <w:t xml:space="preserve"> </w:t>
      </w:r>
    </w:p>
  </w:footnote>
  <w:footnote w:id="27">
    <w:p w14:paraId="234991F3" w14:textId="77777777" w:rsidR="00F14D1E" w:rsidRDefault="00F14D1E" w:rsidP="00E12EE5">
      <w:pPr>
        <w:pStyle w:val="FootnoteText"/>
        <w:rPr>
          <w:lang w:val="hu-HU"/>
        </w:rPr>
      </w:pPr>
      <w:r>
        <w:rPr>
          <w:rStyle w:val="FootnoteReference"/>
        </w:rPr>
        <w:footnoteRef/>
      </w:r>
      <w:r>
        <w:t xml:space="preserve"> </w:t>
      </w:r>
      <w:r>
        <w:rPr>
          <w:lang w:val="hu-HU"/>
        </w:rPr>
        <w:t>Assessment of climate change policies in the context of the European Semester, Country Report: Bulgaria (2013)</w:t>
      </w:r>
    </w:p>
    <w:p w14:paraId="5870D83D" w14:textId="77777777" w:rsidR="00F14D1E" w:rsidRPr="00751AA0" w:rsidRDefault="00523DE6" w:rsidP="00E12EE5">
      <w:pPr>
        <w:pStyle w:val="FootnoteText"/>
        <w:rPr>
          <w:lang w:val="hu-HU"/>
        </w:rPr>
      </w:pPr>
      <w:hyperlink r:id="rId6" w:history="1">
        <w:r w:rsidR="00F14D1E">
          <w:rPr>
            <w:rStyle w:val="Hyperlink"/>
            <w:lang w:val="hu-HU"/>
          </w:rPr>
          <w:t>http://www.ecologic.eu/sites/files/publication/2013/Country-report-Bulgaria-Assessment-of-climate-change-policies-in-the-context-of-the-European-semester_2013_en.pdf</w:t>
        </w:r>
      </w:hyperlink>
      <w:r w:rsidR="00F14D1E">
        <w:rPr>
          <w:lang w:val="hu-HU"/>
        </w:rPr>
        <w:t xml:space="preserve"> </w:t>
      </w:r>
    </w:p>
  </w:footnote>
  <w:footnote w:id="28">
    <w:p w14:paraId="7C248881" w14:textId="77777777" w:rsidR="00F14D1E" w:rsidRDefault="00F14D1E" w:rsidP="00E12EE5">
      <w:pPr>
        <w:pStyle w:val="FootnoteText"/>
        <w:rPr>
          <w:lang w:val="hu-HU"/>
        </w:rPr>
      </w:pPr>
      <w:r>
        <w:rPr>
          <w:rStyle w:val="FootnoteReference"/>
        </w:rPr>
        <w:footnoteRef/>
      </w:r>
      <w:r>
        <w:t xml:space="preserve"> </w:t>
      </w:r>
      <w:r>
        <w:rPr>
          <w:rFonts w:ascii="Arial" w:hAnsi="Arial" w:cs="Arial"/>
          <w:lang w:val="hu-HU"/>
        </w:rPr>
        <w:t xml:space="preserve"> </w:t>
      </w:r>
      <w:r>
        <w:rPr>
          <w:lang w:val="hu-HU"/>
        </w:rPr>
        <w:t>Strategia naţională a României privind schimbările climatice, 2013-2020, Ministry of Environment and Climate change Romania</w:t>
      </w:r>
    </w:p>
  </w:footnote>
  <w:footnote w:id="29">
    <w:p w14:paraId="2095AFBB" w14:textId="77777777" w:rsidR="00F14D1E" w:rsidRDefault="00F14D1E" w:rsidP="00E12EE5">
      <w:pPr>
        <w:pStyle w:val="FootnoteText"/>
        <w:rPr>
          <w:lang w:val="hu-HU"/>
        </w:rPr>
      </w:pPr>
      <w:r>
        <w:rPr>
          <w:rStyle w:val="FootnoteReference"/>
        </w:rPr>
        <w:footnoteRef/>
      </w:r>
      <w:r>
        <w:t xml:space="preserve"> </w:t>
      </w:r>
      <w:r>
        <w:rPr>
          <w:lang w:val="hu-HU"/>
        </w:rPr>
        <w:t>Third National Action Plan on Climate Change for the period 2013-2030, Ministry of Environment and Water, Republic of Bulgaria</w:t>
      </w:r>
    </w:p>
  </w:footnote>
  <w:footnote w:id="30">
    <w:p w14:paraId="29835DF2" w14:textId="77777777" w:rsidR="00F14D1E" w:rsidRDefault="00F14D1E" w:rsidP="00E12EE5">
      <w:pPr>
        <w:pStyle w:val="FootnoteText"/>
      </w:pPr>
      <w:r>
        <w:rPr>
          <w:rStyle w:val="FootnoteReference"/>
        </w:rPr>
        <w:footnoteRef/>
      </w:r>
      <w:r>
        <w:t xml:space="preserve"> </w:t>
      </w:r>
      <w:r>
        <w:rPr>
          <w:lang w:val="en-GB"/>
        </w:rPr>
        <w:t>Live green vegetation absorbs visible light (solar radiation) as part of photosynthesis. At the same time plants scatter (reflect) solar energy in the near infrared. This difference in absorption is quite unique to live vegetation and provides a measure of the greenness of the vegetation. NDVI is an index which measures this difference, providing a measure of vegetation density and condition. It is influenced by the fractional cover of the ground by vegetation, the vegetation density and the vegetation greenness. It indicates the photosynthetic capacity of the land surface cover.</w:t>
      </w:r>
    </w:p>
  </w:footnote>
  <w:footnote w:id="31">
    <w:p w14:paraId="2FB7CB8E" w14:textId="77777777" w:rsidR="00F14D1E" w:rsidRDefault="00F14D1E" w:rsidP="00E12EE5">
      <w:pPr>
        <w:pStyle w:val="FootnoteText"/>
        <w:rPr>
          <w:lang w:val="hu-HU"/>
        </w:rPr>
      </w:pPr>
      <w:r>
        <w:rPr>
          <w:rStyle w:val="FootnoteReference"/>
        </w:rPr>
        <w:footnoteRef/>
      </w:r>
      <w:r>
        <w:rPr>
          <w:lang w:val="hu-HU"/>
        </w:rPr>
        <w:t xml:space="preserve"> ESPON, Territorial Observation No.7, p.23</w:t>
      </w:r>
    </w:p>
  </w:footnote>
  <w:footnote w:id="32">
    <w:p w14:paraId="3908DABB" w14:textId="77777777" w:rsidR="00F14D1E" w:rsidRDefault="00F14D1E" w:rsidP="00E12EE5">
      <w:pPr>
        <w:pStyle w:val="FootnoteText"/>
        <w:rPr>
          <w:lang w:val="hu-HU"/>
        </w:rPr>
      </w:pPr>
      <w:r>
        <w:rPr>
          <w:rStyle w:val="FootnoteReference"/>
        </w:rPr>
        <w:footnoteRef/>
      </w:r>
      <w:r>
        <w:rPr>
          <w:lang w:val="hu-HU"/>
        </w:rPr>
        <w:t xml:space="preserve"> </w:t>
      </w:r>
      <w:hyperlink r:id="rId7" w:history="1">
        <w:r>
          <w:rPr>
            <w:rStyle w:val="Hyperlink"/>
            <w:lang w:val="hu-HU"/>
          </w:rPr>
          <w:t>http://ec.europa.eu/maritimeaffairs/documentation/studies/documents/romania_climate_change_en.pdf</w:t>
        </w:r>
      </w:hyperlink>
    </w:p>
  </w:footnote>
  <w:footnote w:id="33">
    <w:p w14:paraId="23BC111A" w14:textId="77777777" w:rsidR="00F14D1E" w:rsidRDefault="00F14D1E" w:rsidP="00E12EE5">
      <w:pPr>
        <w:pStyle w:val="FootnoteText"/>
        <w:rPr>
          <w:lang w:val="hu-HU"/>
        </w:rPr>
      </w:pPr>
      <w:r>
        <w:rPr>
          <w:rStyle w:val="FootnoteReference"/>
        </w:rPr>
        <w:footnoteRef/>
      </w:r>
      <w:r>
        <w:rPr>
          <w:lang w:val="hu-HU"/>
        </w:rPr>
        <w:t xml:space="preserve">  </w:t>
      </w:r>
      <w:hyperlink r:id="rId8" w:history="1">
        <w:r>
          <w:rPr>
            <w:rStyle w:val="Hyperlink"/>
            <w:lang w:val="hu-HU"/>
          </w:rPr>
          <w:t>http://ec.europa.eu/maritimeaffairs/documentation/studies/documents/romania_climate_change_en.pdf</w:t>
        </w:r>
      </w:hyperlink>
    </w:p>
    <w:p w14:paraId="00E8CBC5" w14:textId="77777777" w:rsidR="00F14D1E" w:rsidRDefault="00F14D1E" w:rsidP="00E12EE5">
      <w:pPr>
        <w:pStyle w:val="FootnoteText"/>
        <w:rPr>
          <w:lang w:val="hu-HU"/>
        </w:rPr>
      </w:pPr>
    </w:p>
  </w:footnote>
  <w:footnote w:id="34">
    <w:p w14:paraId="7DDDF651" w14:textId="77777777" w:rsidR="00F14D1E" w:rsidRDefault="00F14D1E" w:rsidP="00E12EE5">
      <w:pPr>
        <w:pStyle w:val="FootnoteText"/>
        <w:rPr>
          <w:i w:val="0"/>
          <w:lang w:val="en-GB"/>
        </w:rPr>
      </w:pPr>
      <w:r>
        <w:rPr>
          <w:rStyle w:val="FootnoteReference"/>
        </w:rPr>
        <w:footnoteRef/>
      </w:r>
      <w:r>
        <w:t xml:space="preserve"> </w:t>
      </w:r>
      <w:r>
        <w:rPr>
          <w:lang w:val="en-GB"/>
        </w:rPr>
        <w:t>Third National Action Plan on Climate Change for the Period 2013-2020, Bulgaria</w:t>
      </w:r>
    </w:p>
  </w:footnote>
  <w:footnote w:id="35">
    <w:p w14:paraId="473F72A5" w14:textId="77777777" w:rsidR="00F14D1E" w:rsidRPr="00823B22" w:rsidRDefault="00F14D1E" w:rsidP="00B5369A">
      <w:pPr>
        <w:pStyle w:val="FootnoteText"/>
        <w:rPr>
          <w:lang w:val="hu-HU"/>
        </w:rPr>
      </w:pPr>
      <w:r>
        <w:rPr>
          <w:rStyle w:val="FootnoteReference"/>
        </w:rPr>
        <w:footnoteRef/>
      </w:r>
      <w:r>
        <w:t xml:space="preserve"> Energy Efficiency Policies and Measures in ROMANIA in 2012</w:t>
      </w:r>
    </w:p>
  </w:footnote>
  <w:footnote w:id="36">
    <w:p w14:paraId="681DF4A3" w14:textId="77777777" w:rsidR="00F14D1E" w:rsidRPr="00413C5B" w:rsidRDefault="00F14D1E" w:rsidP="00B5369A">
      <w:pPr>
        <w:pStyle w:val="FootnoteText"/>
        <w:rPr>
          <w:lang w:val="hu-HU"/>
        </w:rPr>
      </w:pPr>
      <w:r>
        <w:rPr>
          <w:rStyle w:val="FootnoteReference"/>
        </w:rPr>
        <w:footnoteRef/>
      </w:r>
      <w:r>
        <w:t xml:space="preserve"> Energy Efficiency Policies and Measures in ROMANIA in 2012</w:t>
      </w:r>
    </w:p>
  </w:footnote>
  <w:footnote w:id="37">
    <w:p w14:paraId="603F031B" w14:textId="77777777" w:rsidR="00F14D1E" w:rsidRPr="00A51BAA" w:rsidRDefault="00F14D1E" w:rsidP="00B5369A">
      <w:pPr>
        <w:pStyle w:val="FootnoteText"/>
      </w:pPr>
      <w:r>
        <w:rPr>
          <w:rStyle w:val="FootnoteReference"/>
        </w:rPr>
        <w:footnoteRef/>
      </w:r>
      <w:r>
        <w:t xml:space="preserve"> </w:t>
      </w:r>
      <w:r w:rsidRPr="00B06992">
        <w:t xml:space="preserve">Gross inland consumption is defined as primary production plus imports, recovered products and stock change, less exports and fuel supply to maritime bunkers (for seagoing ships of all flags). It therefore reflects </w:t>
      </w:r>
      <w:r w:rsidRPr="00A51BAA">
        <w:t>the energy necessary to satisfy inland consumption within the limits of national territory</w:t>
      </w:r>
    </w:p>
  </w:footnote>
  <w:footnote w:id="38">
    <w:p w14:paraId="6C67003E" w14:textId="77777777" w:rsidR="00F14D1E" w:rsidRPr="00A51BAA" w:rsidRDefault="00F14D1E" w:rsidP="00B5369A">
      <w:pPr>
        <w:pStyle w:val="FootnoteText"/>
      </w:pPr>
      <w:r>
        <w:rPr>
          <w:rStyle w:val="FootnoteReference"/>
        </w:rPr>
        <w:footnoteRef/>
      </w:r>
      <w:r>
        <w:t xml:space="preserve"> </w:t>
      </w:r>
      <w:r w:rsidRPr="00A51BAA">
        <w:t>Final energy consumption includes all energy delivered to the final consumer's door (in the industry, transport, households and other sectors) for all energy uses. It excludes deliveries for transformation and/or own use of the energy producing industries, as well as network losses.</w:t>
      </w:r>
    </w:p>
  </w:footnote>
  <w:footnote w:id="39">
    <w:p w14:paraId="468137C5" w14:textId="77777777" w:rsidR="00F14D1E" w:rsidRPr="00847CAD" w:rsidRDefault="00F14D1E" w:rsidP="00B5369A">
      <w:pPr>
        <w:pStyle w:val="FootnoteText"/>
        <w:rPr>
          <w:lang w:val="hu-HU"/>
        </w:rPr>
      </w:pPr>
      <w:r>
        <w:rPr>
          <w:rStyle w:val="FootnoteReference"/>
        </w:rPr>
        <w:footnoteRef/>
      </w:r>
      <w:r>
        <w:t xml:space="preserve"> This indicator is the ratio between the gross inland consumption of energy and the gross domestic product (GDP) for a given calendar year. It measures the energy consumption of an economy and its overall energy efficiency. The gross inland consumption of energy is calculated as the sum of the gross inland consumption of five energy types: coal, electricity, oil, natural gas and renewable energy sources. The GDP figures are taken at chain linked volumes with reference year 2005. The energy intensity ratio is determined by dividing the gross inland consumption by the GDP. Since gross inland consumption is measured in kgoe (kilogram of oil equivalent) and GDP in 1 000 EUR, this ratio is measured in kgoe per 1 000 EUR.</w:t>
      </w:r>
    </w:p>
  </w:footnote>
  <w:footnote w:id="40">
    <w:p w14:paraId="6645541C" w14:textId="77777777" w:rsidR="00F14D1E" w:rsidRPr="00110155" w:rsidRDefault="00F14D1E" w:rsidP="00B5369A">
      <w:pPr>
        <w:pStyle w:val="FootnoteText"/>
        <w:rPr>
          <w:szCs w:val="18"/>
          <w:lang w:val="hu-HU"/>
        </w:rPr>
      </w:pPr>
      <w:r>
        <w:rPr>
          <w:rStyle w:val="FootnoteReference"/>
        </w:rPr>
        <w:footnoteRef/>
      </w:r>
      <w:r w:rsidRPr="00110155">
        <w:rPr>
          <w:lang w:val="hu-HU"/>
        </w:rPr>
        <w:t xml:space="preserve"> </w:t>
      </w:r>
      <w:hyperlink r:id="rId9" w:history="1">
        <w:r w:rsidRPr="00110155">
          <w:rPr>
            <w:rStyle w:val="Hyperlink"/>
            <w:szCs w:val="18"/>
            <w:lang w:val="hu-HU"/>
          </w:rPr>
          <w:t>http://epp.eurostat.ec.europa.eu/tgm/refreshTableAction.do?tab=table&amp;plugin=1&amp;pcode=tsdcc310&amp;language=en</w:t>
        </w:r>
      </w:hyperlink>
      <w:r w:rsidRPr="00110155">
        <w:rPr>
          <w:szCs w:val="18"/>
          <w:lang w:val="hu-HU"/>
        </w:rPr>
        <w:t xml:space="preserve"> </w:t>
      </w:r>
    </w:p>
  </w:footnote>
  <w:footnote w:id="41">
    <w:p w14:paraId="0CB8A452" w14:textId="77777777" w:rsidR="00F14D1E" w:rsidRPr="00B73ACB" w:rsidRDefault="00F14D1E" w:rsidP="00B5369A">
      <w:pPr>
        <w:autoSpaceDE w:val="0"/>
        <w:autoSpaceDN w:val="0"/>
        <w:adjustRightInd w:val="0"/>
        <w:spacing w:before="0" w:after="0"/>
        <w:jc w:val="left"/>
        <w:rPr>
          <w:lang w:val="hu-HU"/>
        </w:rPr>
      </w:pPr>
      <w:r>
        <w:rPr>
          <w:rStyle w:val="FootnoteReference"/>
        </w:rPr>
        <w:footnoteRef/>
      </w:r>
      <w:r>
        <w:t xml:space="preserve"> </w:t>
      </w:r>
      <w:r w:rsidRPr="00B73ACB">
        <w:rPr>
          <w:i/>
          <w:sz w:val="18"/>
          <w:szCs w:val="24"/>
        </w:rPr>
        <w:t>Policies and measures of energy efficiency in Bulgaria</w:t>
      </w:r>
      <w:r>
        <w:t>,</w:t>
      </w:r>
      <w:r w:rsidRPr="00B73ACB">
        <w:rPr>
          <w:i/>
          <w:sz w:val="18"/>
          <w:szCs w:val="24"/>
        </w:rPr>
        <w:t xml:space="preserve"> ODYSSEE- MURE 2010</w:t>
      </w:r>
    </w:p>
  </w:footnote>
  <w:footnote w:id="42">
    <w:p w14:paraId="228491B7" w14:textId="77777777" w:rsidR="00F14D1E" w:rsidRPr="00DC76C2" w:rsidRDefault="00F14D1E" w:rsidP="00B5369A">
      <w:pPr>
        <w:pStyle w:val="FootnoteText"/>
        <w:rPr>
          <w:lang w:val="hu-HU"/>
        </w:rPr>
      </w:pPr>
      <w:r>
        <w:rPr>
          <w:rStyle w:val="FootnoteReference"/>
        </w:rPr>
        <w:footnoteRef/>
      </w:r>
      <w:r>
        <w:t xml:space="preserve"> </w:t>
      </w:r>
      <w:r>
        <w:rPr>
          <w:i w:val="0"/>
        </w:rPr>
        <w:t>idem</w:t>
      </w:r>
    </w:p>
  </w:footnote>
  <w:footnote w:id="43">
    <w:p w14:paraId="52D6EE99" w14:textId="77777777" w:rsidR="00F14D1E" w:rsidRDefault="00F14D1E" w:rsidP="00AA4C82">
      <w:pPr>
        <w:pStyle w:val="FootnoteText"/>
      </w:pPr>
      <w:r>
        <w:rPr>
          <w:rStyle w:val="FootnoteReference"/>
        </w:rPr>
        <w:footnoteRef/>
      </w:r>
      <w:r>
        <w:t xml:space="preserve"> Source: Report on the use of territory of Republic of Bulgaria for 2011, Ministry of Agriculture, Department for Agrostatistics</w:t>
      </w:r>
    </w:p>
  </w:footnote>
  <w:footnote w:id="44">
    <w:p w14:paraId="1A8C4A9C" w14:textId="77777777" w:rsidR="00F14D1E" w:rsidRDefault="00F14D1E" w:rsidP="00AA4C82">
      <w:pPr>
        <w:pStyle w:val="FootnoteText"/>
      </w:pPr>
      <w:r>
        <w:rPr>
          <w:rStyle w:val="FootnoteReference"/>
        </w:rPr>
        <w:footnoteRef/>
      </w:r>
      <w:r>
        <w:t xml:space="preserve"> </w:t>
      </w:r>
      <w:hyperlink r:id="rId10" w:history="1">
        <w:r>
          <w:rPr>
            <w:rStyle w:val="Hyperlink"/>
          </w:rPr>
          <w:t>http://ec.europa.eu/environment/nature/natura2000/management/guidance_en.htm</w:t>
        </w:r>
      </w:hyperlink>
      <w:r>
        <w:t xml:space="preserve"> </w:t>
      </w:r>
    </w:p>
  </w:footnote>
  <w:footnote w:id="45">
    <w:p w14:paraId="13171326" w14:textId="77777777" w:rsidR="00F14D1E" w:rsidRDefault="00F14D1E" w:rsidP="00AA4C82">
      <w:pPr>
        <w:spacing w:before="0" w:after="0"/>
        <w:jc w:val="left"/>
        <w:rPr>
          <w:i/>
          <w:sz w:val="18"/>
          <w:szCs w:val="24"/>
        </w:rPr>
      </w:pPr>
      <w:r>
        <w:rPr>
          <w:rStyle w:val="FootnoteReference"/>
        </w:rPr>
        <w:footnoteRef/>
      </w:r>
      <w:r>
        <w:t xml:space="preserve"> </w:t>
      </w:r>
      <w:r>
        <w:rPr>
          <w:i/>
          <w:sz w:val="18"/>
          <w:szCs w:val="24"/>
        </w:rPr>
        <w:t>National Regional Development Strategy of the Republic of Bulgaria for the period 2012-2022 (Ministry of Regional Development and Public Works, 2012)</w:t>
      </w:r>
    </w:p>
  </w:footnote>
  <w:footnote w:id="46">
    <w:p w14:paraId="77464F6D" w14:textId="77777777" w:rsidR="00F14D1E" w:rsidRDefault="00F14D1E" w:rsidP="00AA4C82">
      <w:pPr>
        <w:pStyle w:val="FootnoteText"/>
      </w:pPr>
      <w:r>
        <w:rPr>
          <w:rStyle w:val="FootnoteReference"/>
        </w:rPr>
        <w:footnoteRef/>
      </w:r>
      <w:r>
        <w:t xml:space="preserve"> National Report for State and Protection of the Environment 2013, National Agency for Environment Protection in Bulgaria</w:t>
      </w:r>
    </w:p>
  </w:footnote>
  <w:footnote w:id="47">
    <w:p w14:paraId="5F61F265" w14:textId="77777777" w:rsidR="00F14D1E" w:rsidRDefault="00F14D1E" w:rsidP="00AA4C82">
      <w:pPr>
        <w:pStyle w:val="FootnoteText"/>
        <w:rPr>
          <w:b/>
          <w:sz w:val="28"/>
          <w:szCs w:val="28"/>
        </w:rPr>
      </w:pPr>
      <w:r>
        <w:rPr>
          <w:rStyle w:val="FootnoteReference"/>
        </w:rPr>
        <w:footnoteRef/>
      </w:r>
      <w:r>
        <w:t xml:space="preserve"> Environment Sectorial Operational Programme 2007-2013, Ministry of Environment and Sustainable Development </w:t>
      </w:r>
    </w:p>
    <w:p w14:paraId="4B9CF8D0" w14:textId="77777777" w:rsidR="00F14D1E" w:rsidRDefault="00F14D1E" w:rsidP="00AA4C82">
      <w:pPr>
        <w:pStyle w:val="FootnoteText"/>
        <w:rPr>
          <w:lang w:val="hu-HU"/>
        </w:rPr>
      </w:pPr>
    </w:p>
  </w:footnote>
  <w:footnote w:id="48">
    <w:p w14:paraId="60022185" w14:textId="77777777" w:rsidR="00F14D1E" w:rsidRPr="00751AA0" w:rsidRDefault="00F14D1E" w:rsidP="00AA4C82">
      <w:pPr>
        <w:pStyle w:val="FootnoteText"/>
        <w:rPr>
          <w:lang w:val="hu-HU"/>
        </w:rPr>
      </w:pPr>
      <w:r>
        <w:rPr>
          <w:rStyle w:val="FootnoteReference"/>
        </w:rPr>
        <w:footnoteRef/>
      </w:r>
      <w:r w:rsidRPr="00751AA0">
        <w:rPr>
          <w:lang w:val="hu-HU"/>
        </w:rPr>
        <w:t xml:space="preserve"> </w:t>
      </w:r>
      <w:hyperlink r:id="rId11" w:history="1">
        <w:r w:rsidRPr="00751AA0">
          <w:rPr>
            <w:rStyle w:val="Hyperlink"/>
            <w:lang w:val="hu-HU"/>
          </w:rPr>
          <w:t>http://ec.europa.eu/environment/water/water-urbanwaste/legislation/pdf/transitional_periods_eu10_eu2.pdf</w:t>
        </w:r>
      </w:hyperlink>
      <w:r w:rsidRPr="00751AA0">
        <w:rPr>
          <w:lang w:val="hu-HU"/>
        </w:rPr>
        <w:t xml:space="preserve"> </w:t>
      </w:r>
    </w:p>
  </w:footnote>
  <w:footnote w:id="49">
    <w:p w14:paraId="4CCCE2FA" w14:textId="77777777" w:rsidR="00F14D1E" w:rsidRDefault="00F14D1E" w:rsidP="00AA4C82">
      <w:pPr>
        <w:pStyle w:val="FootnoteText"/>
      </w:pPr>
      <w:r>
        <w:rPr>
          <w:rStyle w:val="FootnoteReference"/>
        </w:rPr>
        <w:footnoteRef/>
      </w:r>
      <w:r>
        <w:t xml:space="preserve"> </w:t>
      </w:r>
      <w:r>
        <w:rPr>
          <w:lang w:val="hu-HU"/>
        </w:rPr>
        <w:t>European Environment Agency Report No.7/2009</w:t>
      </w:r>
    </w:p>
  </w:footnote>
  <w:footnote w:id="50">
    <w:p w14:paraId="6B2C6DBB" w14:textId="77777777" w:rsidR="00F14D1E" w:rsidRDefault="00F14D1E" w:rsidP="00AA4C82">
      <w:pPr>
        <w:pStyle w:val="FootnoteText"/>
      </w:pPr>
      <w:r>
        <w:rPr>
          <w:rStyle w:val="FootnoteReference"/>
        </w:rPr>
        <w:footnoteRef/>
      </w:r>
      <w:r>
        <w:t xml:space="preserve"> Brussels, 18.05.2010, COM(2010) 235 final</w:t>
      </w:r>
    </w:p>
  </w:footnote>
  <w:footnote w:id="51">
    <w:p w14:paraId="227A81C4" w14:textId="77777777" w:rsidR="00F14D1E" w:rsidRPr="00E16C65" w:rsidRDefault="00F14D1E" w:rsidP="00843768">
      <w:pPr>
        <w:pStyle w:val="FootnoteText"/>
      </w:pPr>
      <w:r w:rsidRPr="00E16C65">
        <w:rPr>
          <w:rStyle w:val="FootnoteReference"/>
          <w:szCs w:val="18"/>
        </w:rPr>
        <w:footnoteRef/>
      </w:r>
      <w:r w:rsidRPr="00E16C65">
        <w:t xml:space="preserve"> ESPON (2006): ESPON project 2.3.2. Governance of Territorial and Urban Policies from EU to Local Level. Final Report.</w:t>
      </w:r>
    </w:p>
  </w:footnote>
  <w:footnote w:id="52">
    <w:p w14:paraId="50D10628" w14:textId="77777777" w:rsidR="00F14D1E" w:rsidRPr="002771DD" w:rsidRDefault="00F14D1E" w:rsidP="00843768">
      <w:pPr>
        <w:pStyle w:val="FootnoteText"/>
      </w:pPr>
      <w:r w:rsidRPr="002771DD">
        <w:rPr>
          <w:rStyle w:val="FootnoteReference"/>
          <w:szCs w:val="18"/>
        </w:rPr>
        <w:footnoteRef/>
      </w:r>
      <w:r w:rsidRPr="002771DD">
        <w:t xml:space="preserve"> STUDY ON LOCAL GOVERNANCE, Project FACING THE CHALLENGE OF HOW TO EFFECTIVELY SUPPORT PUBLIC ADMINISTRATION REFORMS THROUGH ESF FUNDS’</w:t>
      </w:r>
    </w:p>
  </w:footnote>
  <w:footnote w:id="53">
    <w:p w14:paraId="7DE61115" w14:textId="77777777" w:rsidR="00F14D1E" w:rsidRPr="00DA3E75" w:rsidRDefault="00F14D1E" w:rsidP="00843768">
      <w:pPr>
        <w:pStyle w:val="FootnoteText"/>
      </w:pPr>
      <w:r w:rsidRPr="00DA3E75">
        <w:rPr>
          <w:rStyle w:val="FootnoteReference"/>
          <w:szCs w:val="18"/>
        </w:rPr>
        <w:footnoteRef/>
      </w:r>
      <w:r w:rsidRPr="00DA3E75">
        <w:t xml:space="preserve"> STUDY ON LOCAL GOVERNANCE, Project FACING THE CHALLENGE OF HOW TO EFFECTIVELY SUPPORT PUBLIC ADMINISTRATION REFORMS THROUGH ESF FUNDS’</w:t>
      </w:r>
    </w:p>
  </w:footnote>
  <w:footnote w:id="54">
    <w:p w14:paraId="7E2A49B0" w14:textId="77777777" w:rsidR="00F14D1E" w:rsidRPr="00C04FD9" w:rsidRDefault="00F14D1E" w:rsidP="00843768">
      <w:pPr>
        <w:pStyle w:val="FootnoteText"/>
        <w:rPr>
          <w:lang w:val="en-GB"/>
        </w:rPr>
      </w:pPr>
      <w:r w:rsidRPr="00C04FD9">
        <w:rPr>
          <w:rStyle w:val="FootnoteReference"/>
          <w:szCs w:val="18"/>
        </w:rPr>
        <w:footnoteRef/>
      </w:r>
      <w:r w:rsidRPr="00C04FD9">
        <w:rPr>
          <w:lang w:val="en-GB"/>
        </w:rPr>
        <w:t>Report from the Commission to the European Parliament, the Council, the Economic and SocialCommittee and the Committee of the</w:t>
      </w:r>
      <w:r>
        <w:rPr>
          <w:lang w:val="en-GB"/>
        </w:rPr>
        <w:t xml:space="preserve"> Regions concerning the added-value of macro-</w:t>
      </w:r>
      <w:r w:rsidRPr="00C04FD9">
        <w:rPr>
          <w:lang w:val="en-GB"/>
        </w:rPr>
        <w:t>regional strategies</w:t>
      </w:r>
      <w:r>
        <w:rPr>
          <w:lang w:val="en-GB"/>
        </w:rPr>
        <w:t xml:space="preserve"> (COM(2013)</w:t>
      </w:r>
      <w:r w:rsidRPr="00C04FD9">
        <w:rPr>
          <w:lang w:val="en-GB"/>
        </w:rPr>
        <w:t>468 final), 27/06/2013</w:t>
      </w:r>
    </w:p>
    <w:p w14:paraId="3759D6E7" w14:textId="77777777" w:rsidR="00F14D1E" w:rsidRPr="00485C9C" w:rsidRDefault="00F14D1E" w:rsidP="00843768">
      <w:pPr>
        <w:pStyle w:val="FootnoteText"/>
        <w:rPr>
          <w:szCs w:val="18"/>
        </w:rPr>
      </w:pPr>
    </w:p>
  </w:footnote>
  <w:footnote w:id="55">
    <w:p w14:paraId="0C964066" w14:textId="77777777" w:rsidR="00F14D1E" w:rsidRPr="00DA3E75" w:rsidRDefault="00F14D1E" w:rsidP="00843768">
      <w:pPr>
        <w:pStyle w:val="FootnoteText"/>
        <w:rPr>
          <w:lang w:val="fr-FR"/>
        </w:rPr>
      </w:pPr>
      <w:r w:rsidRPr="00DA3E75">
        <w:rPr>
          <w:rStyle w:val="FootnoteReference"/>
          <w:szCs w:val="18"/>
        </w:rPr>
        <w:footnoteRef/>
      </w:r>
      <w:r w:rsidRPr="00DA3E75">
        <w:rPr>
          <w:lang w:val="fr-FR"/>
        </w:rPr>
        <w:t xml:space="preserve"> Rapport du Parlement européen sur l’évolution des strategies macro-régionales de l’UE: pratiques actuelles et perspectives d’avenir, notamment en Méditerranée (2011/2179(INI) </w:t>
      </w:r>
    </w:p>
    <w:p w14:paraId="7B3152C8" w14:textId="77777777" w:rsidR="00F14D1E" w:rsidRPr="00584ACF" w:rsidRDefault="00F14D1E" w:rsidP="00843768">
      <w:pPr>
        <w:pStyle w:val="FootnoteText"/>
        <w:rPr>
          <w:lang w:val="fr-FR"/>
        </w:rPr>
      </w:pPr>
    </w:p>
  </w:footnote>
  <w:footnote w:id="56">
    <w:p w14:paraId="2E41B8AB" w14:textId="77777777" w:rsidR="00F14D1E" w:rsidRPr="00751AA0" w:rsidRDefault="00F14D1E">
      <w:pPr>
        <w:pStyle w:val="FootnoteText"/>
      </w:pPr>
      <w:r>
        <w:rPr>
          <w:rStyle w:val="FootnoteReference"/>
        </w:rPr>
        <w:footnoteRef/>
      </w:r>
      <w:r>
        <w:t xml:space="preserve"> MICE: </w:t>
      </w:r>
      <w:r w:rsidRPr="008B0716">
        <w:t xml:space="preserve">Meetings, </w:t>
      </w:r>
      <w:r>
        <w:t>Incentives, C</w:t>
      </w:r>
      <w:r w:rsidRPr="008B0716">
        <w:t xml:space="preserve">onferences, and </w:t>
      </w:r>
      <w:r>
        <w:t>E</w:t>
      </w:r>
      <w:r w:rsidRPr="008B0716">
        <w:t>xhibitions</w:t>
      </w:r>
    </w:p>
  </w:footnote>
  <w:footnote w:id="57">
    <w:p w14:paraId="2A565542" w14:textId="77777777" w:rsidR="00F14D1E" w:rsidRPr="00F1181A" w:rsidRDefault="00F14D1E" w:rsidP="00053729">
      <w:pPr>
        <w:pStyle w:val="FootnoteText"/>
      </w:pPr>
      <w:r>
        <w:rPr>
          <w:rStyle w:val="FootnoteReference"/>
        </w:rPr>
        <w:footnoteRef/>
      </w:r>
      <w:r w:rsidRPr="00CA0345">
        <w:rPr>
          <w:sz w:val="16"/>
          <w:lang w:val="en-GB"/>
        </w:rPr>
        <w:t>The Triple Helix thesis is that the potential for innovation and economic development in a Knowledge Society lies in a more prominent role for the university and in the hybridisation of elements from university, industry and government to generate new institutional and social formats for the production, transfer and application of knowledge.</w:t>
      </w:r>
    </w:p>
  </w:footnote>
  <w:footnote w:id="58">
    <w:p w14:paraId="4D119659" w14:textId="77777777" w:rsidR="00F14D1E" w:rsidRPr="00157780" w:rsidRDefault="00F14D1E" w:rsidP="009E2D0E">
      <w:pPr>
        <w:pStyle w:val="FootnoteText"/>
        <w:rPr>
          <w:szCs w:val="18"/>
        </w:rPr>
      </w:pPr>
      <w:r w:rsidRPr="00157780">
        <w:rPr>
          <w:rStyle w:val="FootnoteReference"/>
          <w:szCs w:val="18"/>
        </w:rPr>
        <w:footnoteRef/>
      </w:r>
      <w:r w:rsidRPr="00157780">
        <w:rPr>
          <w:szCs w:val="18"/>
        </w:rPr>
        <w:t xml:space="preserve"> Meetings, Incentive, Conferencing and Exhibitions.  </w:t>
      </w:r>
    </w:p>
  </w:footnote>
  <w:footnote w:id="59">
    <w:p w14:paraId="36C1B836" w14:textId="77777777" w:rsidR="00F14D1E" w:rsidRPr="00157780" w:rsidRDefault="00F14D1E" w:rsidP="009E2D0E">
      <w:pPr>
        <w:widowControl w:val="0"/>
        <w:autoSpaceDE w:val="0"/>
        <w:autoSpaceDN w:val="0"/>
        <w:adjustRightInd w:val="0"/>
        <w:spacing w:before="0" w:after="0"/>
        <w:contextualSpacing/>
        <w:jc w:val="left"/>
        <w:rPr>
          <w:rFonts w:cs="Times"/>
          <w:sz w:val="18"/>
          <w:szCs w:val="18"/>
        </w:rPr>
      </w:pPr>
      <w:r w:rsidRPr="00157780">
        <w:rPr>
          <w:rStyle w:val="FootnoteReference"/>
          <w:sz w:val="18"/>
          <w:szCs w:val="18"/>
        </w:rPr>
        <w:footnoteRef/>
      </w:r>
      <w:r w:rsidRPr="00157780">
        <w:rPr>
          <w:sz w:val="18"/>
          <w:szCs w:val="18"/>
        </w:rPr>
        <w:t xml:space="preserve"> </w:t>
      </w:r>
      <w:r w:rsidRPr="00157780">
        <w:rPr>
          <w:i/>
          <w:sz w:val="18"/>
          <w:szCs w:val="18"/>
        </w:rPr>
        <w:t>Territorial Dimensions of the Europe 2020 Strategy, ESPON Workshop 30 September 2013, Brussels</w:t>
      </w:r>
    </w:p>
  </w:footnote>
  <w:footnote w:id="60">
    <w:p w14:paraId="40C4CE54" w14:textId="77777777" w:rsidR="00F14D1E" w:rsidRPr="00157780" w:rsidRDefault="00F14D1E" w:rsidP="009E2D0E">
      <w:pPr>
        <w:pStyle w:val="FootnoteText"/>
        <w:rPr>
          <w:szCs w:val="18"/>
        </w:rPr>
      </w:pPr>
      <w:r w:rsidRPr="00157780">
        <w:rPr>
          <w:rStyle w:val="FootnoteReference"/>
          <w:szCs w:val="18"/>
        </w:rPr>
        <w:footnoteRef/>
      </w:r>
      <w:r w:rsidRPr="00157780">
        <w:rPr>
          <w:szCs w:val="18"/>
        </w:rPr>
        <w:t xml:space="preserve"> The Romanian territorial strategy is not published yet. We had access to a public presentation.</w:t>
      </w:r>
    </w:p>
  </w:footnote>
  <w:footnote w:id="61">
    <w:p w14:paraId="592C36C5" w14:textId="77777777" w:rsidR="00F14D1E" w:rsidRPr="00740E5E" w:rsidRDefault="00F14D1E" w:rsidP="009E2D0E">
      <w:pPr>
        <w:pStyle w:val="FootnoteText"/>
      </w:pPr>
      <w:r w:rsidRPr="00157780">
        <w:rPr>
          <w:rStyle w:val="FootnoteReference"/>
          <w:szCs w:val="18"/>
        </w:rPr>
        <w:footnoteRef/>
      </w:r>
      <w:r w:rsidRPr="00157780">
        <w:rPr>
          <w:szCs w:val="18"/>
        </w:rPr>
        <w:t xml:space="preserve"> Krugman, 1980</w:t>
      </w:r>
    </w:p>
  </w:footnote>
  <w:footnote w:id="62">
    <w:p w14:paraId="103DFDA2" w14:textId="77777777" w:rsidR="00F14D1E" w:rsidRPr="00740E5E" w:rsidRDefault="00F14D1E" w:rsidP="009E2D0E">
      <w:pPr>
        <w:pStyle w:val="FootnoteText"/>
      </w:pPr>
      <w:r>
        <w:rPr>
          <w:rStyle w:val="FootnoteReference"/>
        </w:rPr>
        <w:footnoteRef/>
      </w:r>
      <w:r>
        <w:t xml:space="preserve"> </w:t>
      </w:r>
      <w:r w:rsidRPr="00740E5E">
        <w:rPr>
          <w:i w:val="0"/>
        </w:rPr>
        <w:t>Territorial Dimensions of the Europ</w:t>
      </w:r>
      <w:r>
        <w:rPr>
          <w:i w:val="0"/>
        </w:rPr>
        <w:t xml:space="preserve">e 2020 Strategy, ESPON Workshop, </w:t>
      </w:r>
      <w:r w:rsidRPr="00740E5E">
        <w:rPr>
          <w:i w:val="0"/>
        </w:rPr>
        <w:t>30 September 2013, Brussels</w:t>
      </w:r>
    </w:p>
  </w:footnote>
  <w:footnote w:id="63">
    <w:p w14:paraId="3537F011" w14:textId="77777777" w:rsidR="00F14D1E" w:rsidRPr="00BA7222" w:rsidRDefault="00F14D1E" w:rsidP="009E2D0E">
      <w:pPr>
        <w:rPr>
          <w:sz w:val="18"/>
        </w:rPr>
      </w:pPr>
      <w:r>
        <w:rPr>
          <w:rStyle w:val="FootnoteReference"/>
        </w:rPr>
        <w:footnoteRef/>
      </w:r>
      <w:r>
        <w:t xml:space="preserve"> </w:t>
      </w:r>
      <w:r>
        <w:rPr>
          <w:rFonts w:hint="eastAsia"/>
          <w:sz w:val="18"/>
        </w:rPr>
        <w:t>R</w:t>
      </w:r>
      <w:r w:rsidRPr="00BA7222">
        <w:rPr>
          <w:rFonts w:hint="eastAsia"/>
          <w:sz w:val="18"/>
        </w:rPr>
        <w:t>egulation (</w:t>
      </w:r>
      <w:r>
        <w:rPr>
          <w:sz w:val="18"/>
        </w:rPr>
        <w:t>EU</w:t>
      </w:r>
      <w:r w:rsidRPr="00BA7222">
        <w:rPr>
          <w:rFonts w:hint="eastAsia"/>
          <w:sz w:val="18"/>
        </w:rPr>
        <w:t xml:space="preserve">) no 1303/2013 of the </w:t>
      </w:r>
      <w:r w:rsidRPr="00BA7222">
        <w:rPr>
          <w:sz w:val="18"/>
        </w:rPr>
        <w:t>European</w:t>
      </w:r>
      <w:r>
        <w:rPr>
          <w:rFonts w:hint="eastAsia"/>
          <w:sz w:val="18"/>
        </w:rPr>
        <w:t xml:space="preserve"> Parliament and of the C</w:t>
      </w:r>
      <w:r w:rsidRPr="00BA7222">
        <w:rPr>
          <w:rFonts w:hint="eastAsia"/>
          <w:sz w:val="18"/>
        </w:rPr>
        <w:t xml:space="preserve">ouncil </w:t>
      </w:r>
      <w:r w:rsidRPr="00BA7222">
        <w:rPr>
          <w:sz w:val="18"/>
        </w:rPr>
        <w:t xml:space="preserve">of 17 December 2013 laying down common provisions on the European Regional Development Fund, the European Social Fund, the Cohesion Fund, the European Agricultural Fund for Rural Development and the European Maritime and Fisheries Fund and laying down general provisions on the European Regional Development Fund, the European Social Fund, the Cohesion Fund and the European Maritime and Fisheries Fund and repealing Council Regulation (EC) No 1083/2006 </w:t>
      </w:r>
    </w:p>
    <w:p w14:paraId="3E018934" w14:textId="77777777" w:rsidR="00F14D1E" w:rsidRPr="00751AA0" w:rsidRDefault="00F14D1E" w:rsidP="009E2D0E">
      <w:pPr>
        <w:pStyle w:val="FootnoteText"/>
      </w:pPr>
    </w:p>
  </w:footnote>
  <w:footnote w:id="64">
    <w:p w14:paraId="5BF95F3D" w14:textId="77777777" w:rsidR="00F14D1E" w:rsidRPr="002340FE" w:rsidRDefault="00F14D1E" w:rsidP="009E2D0E">
      <w:pPr>
        <w:pStyle w:val="FootnoteText"/>
      </w:pPr>
      <w:r>
        <w:rPr>
          <w:rStyle w:val="FootnoteReference"/>
        </w:rPr>
        <w:footnoteRef/>
      </w:r>
      <w:r>
        <w:t xml:space="preserve"> Interact Newsletter </w:t>
      </w:r>
      <w:r w:rsidRPr="002340FE">
        <w:t>winter 2011/2012</w:t>
      </w:r>
      <w:r>
        <w:t>:  “</w:t>
      </w:r>
      <w:r w:rsidRPr="002340FE">
        <w:rPr>
          <w:b/>
          <w:bCs/>
        </w:rPr>
        <w:t>European union macro- regional strategies</w:t>
      </w:r>
      <w:r>
        <w:rPr>
          <w:b/>
          <w:bCs/>
        </w:rPr>
        <w:t xml:space="preserve">: </w:t>
      </w:r>
      <w:r>
        <w:t xml:space="preserve"> W</w:t>
      </w:r>
      <w:r w:rsidRPr="002340FE">
        <w:t>hat the future holds</w:t>
      </w:r>
      <w:r>
        <w:t>?”</w:t>
      </w:r>
    </w:p>
    <w:p w14:paraId="08C78EB7" w14:textId="77777777" w:rsidR="00F14D1E" w:rsidRPr="00751AA0" w:rsidRDefault="00F14D1E" w:rsidP="009E2D0E">
      <w:pPr>
        <w:pStyle w:val="FootnoteText"/>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8F4F33" w14:textId="77777777" w:rsidR="00F14D1E" w:rsidRDefault="00F14D1E">
    <w:pPr>
      <w:pStyle w:val="Header"/>
    </w:pPr>
    <w:r>
      <w:rPr>
        <w:noProof/>
        <w:lang w:val="bg-BG" w:eastAsia="bg-BG"/>
      </w:rPr>
      <w:drawing>
        <wp:inline distT="0" distB="0" distL="0" distR="0" wp14:anchorId="01CA4088" wp14:editId="471A4599">
          <wp:extent cx="5848350" cy="942975"/>
          <wp:effectExtent l="19050" t="0" r="0" b="0"/>
          <wp:docPr id="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
                  <a:srcRect/>
                  <a:stretch>
                    <a:fillRect/>
                  </a:stretch>
                </pic:blipFill>
                <pic:spPr bwMode="auto">
                  <a:xfrm>
                    <a:off x="0" y="0"/>
                    <a:ext cx="5848350" cy="942975"/>
                  </a:xfrm>
                  <a:prstGeom prst="rect">
                    <a:avLst/>
                  </a:prstGeom>
                  <a:noFill/>
                  <a:ln w="9525">
                    <a:noFill/>
                    <a:miter lim="800000"/>
                    <a:headEnd/>
                    <a:tailEnd/>
                  </a:ln>
                </pic:spPr>
              </pic:pic>
            </a:graphicData>
          </a:graphic>
        </wp:inline>
      </w:drawing>
    </w:r>
  </w:p>
  <w:p w14:paraId="6DDE2154" w14:textId="77777777" w:rsidR="00F14D1E" w:rsidRDefault="00F14D1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FF2CF2" w14:textId="77777777" w:rsidR="00F14D1E" w:rsidRDefault="00F14D1E" w:rsidP="001B4D8E">
    <w:pPr>
      <w:pStyle w:val="Header"/>
    </w:pPr>
    <w:r>
      <w:rPr>
        <w:noProof/>
        <w:lang w:val="bg-BG" w:eastAsia="bg-BG"/>
      </w:rPr>
      <w:drawing>
        <wp:inline distT="0" distB="0" distL="0" distR="0" wp14:anchorId="5DB83F70" wp14:editId="00668322">
          <wp:extent cx="5848350" cy="942975"/>
          <wp:effectExtent l="19050" t="0" r="0" b="0"/>
          <wp:docPr id="59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
                  <a:srcRect/>
                  <a:stretch>
                    <a:fillRect/>
                  </a:stretch>
                </pic:blipFill>
                <pic:spPr bwMode="auto">
                  <a:xfrm>
                    <a:off x="0" y="0"/>
                    <a:ext cx="5848350" cy="942975"/>
                  </a:xfrm>
                  <a:prstGeom prst="rect">
                    <a:avLst/>
                  </a:prstGeom>
                  <a:noFill/>
                  <a:ln w="9525">
                    <a:noFill/>
                    <a:miter lim="800000"/>
                    <a:headEnd/>
                    <a:tailEnd/>
                  </a:ln>
                </pic:spPr>
              </pic:pic>
            </a:graphicData>
          </a:graphic>
        </wp:inline>
      </w:drawing>
    </w:r>
  </w:p>
  <w:p w14:paraId="1C6BE994" w14:textId="77777777" w:rsidR="00F14D1E" w:rsidRDefault="00F14D1E" w:rsidP="001B4D8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3D2F7E" w14:textId="77777777" w:rsidR="00F14D1E" w:rsidRDefault="00F14D1E">
    <w:pPr>
      <w:pStyle w:val="Header"/>
    </w:pPr>
    <w:r>
      <w:rPr>
        <w:noProof/>
        <w:lang w:val="bg-BG" w:eastAsia="bg-BG"/>
      </w:rPr>
      <w:drawing>
        <wp:inline distT="0" distB="0" distL="0" distR="0" wp14:anchorId="25642EE1" wp14:editId="0F6734B3">
          <wp:extent cx="5848350" cy="942975"/>
          <wp:effectExtent l="19050" t="0" r="0" b="0"/>
          <wp:docPr id="61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
                  <a:srcRect/>
                  <a:stretch>
                    <a:fillRect/>
                  </a:stretch>
                </pic:blipFill>
                <pic:spPr bwMode="auto">
                  <a:xfrm>
                    <a:off x="0" y="0"/>
                    <a:ext cx="5848350" cy="942975"/>
                  </a:xfrm>
                  <a:prstGeom prst="rect">
                    <a:avLst/>
                  </a:prstGeom>
                  <a:noFill/>
                  <a:ln w="9525">
                    <a:noFill/>
                    <a:miter lim="800000"/>
                    <a:headEnd/>
                    <a:tailEnd/>
                  </a:ln>
                </pic:spPr>
              </pic:pic>
            </a:graphicData>
          </a:graphic>
        </wp:inline>
      </w:drawing>
    </w:r>
  </w:p>
  <w:p w14:paraId="4453C313" w14:textId="77777777" w:rsidR="00F14D1E" w:rsidRDefault="00F14D1E">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F72DCA" w14:textId="77777777" w:rsidR="00F14D1E" w:rsidRDefault="00F14D1E">
    <w:pPr>
      <w:pStyle w:val="Header"/>
    </w:pPr>
    <w:r>
      <w:rPr>
        <w:noProof/>
        <w:lang w:val="bg-BG" w:eastAsia="bg-BG"/>
      </w:rPr>
      <w:drawing>
        <wp:inline distT="0" distB="0" distL="0" distR="0" wp14:anchorId="6E780C99" wp14:editId="0E8835C8">
          <wp:extent cx="5848350" cy="942975"/>
          <wp:effectExtent l="19050" t="0" r="0" b="0"/>
          <wp:docPr id="62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srcRect/>
                  <a:stretch>
                    <a:fillRect/>
                  </a:stretch>
                </pic:blipFill>
                <pic:spPr bwMode="auto">
                  <a:xfrm>
                    <a:off x="0" y="0"/>
                    <a:ext cx="5848350" cy="942975"/>
                  </a:xfrm>
                  <a:prstGeom prst="rect">
                    <a:avLst/>
                  </a:prstGeom>
                  <a:noFill/>
                  <a:ln w="9525">
                    <a:noFill/>
                    <a:miter lim="800000"/>
                    <a:headEnd/>
                    <a:tailEnd/>
                  </a:ln>
                </pic:spPr>
              </pic:pic>
            </a:graphicData>
          </a:graphic>
        </wp:inline>
      </w:drawing>
    </w:r>
  </w:p>
  <w:p w14:paraId="1DA48D21" w14:textId="77777777" w:rsidR="00F14D1E" w:rsidRDefault="00F14D1E">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CB80E8" w14:textId="77777777" w:rsidR="00F14D1E" w:rsidRDefault="00F14D1E">
    <w:pPr>
      <w:pStyle w:val="Header"/>
    </w:pPr>
    <w:r>
      <w:rPr>
        <w:noProof/>
        <w:lang w:val="bg-BG" w:eastAsia="bg-BG"/>
      </w:rPr>
      <w:drawing>
        <wp:inline distT="0" distB="0" distL="0" distR="0" wp14:anchorId="14AE1812" wp14:editId="75DE23A2">
          <wp:extent cx="5848350" cy="942975"/>
          <wp:effectExtent l="19050" t="0" r="0" b="0"/>
          <wp:docPr id="1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
                  <a:srcRect/>
                  <a:stretch>
                    <a:fillRect/>
                  </a:stretch>
                </pic:blipFill>
                <pic:spPr bwMode="auto">
                  <a:xfrm>
                    <a:off x="0" y="0"/>
                    <a:ext cx="5848350" cy="942975"/>
                  </a:xfrm>
                  <a:prstGeom prst="rect">
                    <a:avLst/>
                  </a:prstGeom>
                  <a:noFill/>
                  <a:ln w="9525">
                    <a:noFill/>
                    <a:miter lim="800000"/>
                    <a:headEnd/>
                    <a:tailEnd/>
                  </a:ln>
                </pic:spPr>
              </pic:pic>
            </a:graphicData>
          </a:graphic>
        </wp:inline>
      </w:drawing>
    </w:r>
  </w:p>
  <w:p w14:paraId="151D16A1" w14:textId="77777777" w:rsidR="00F14D1E" w:rsidRDefault="00F14D1E">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656BA3" w14:textId="77777777" w:rsidR="00F14D1E" w:rsidRDefault="00F14D1E">
    <w:pPr>
      <w:pStyle w:val="Header"/>
    </w:pPr>
    <w:r>
      <w:rPr>
        <w:noProof/>
        <w:lang w:val="bg-BG" w:eastAsia="bg-BG"/>
      </w:rPr>
      <w:drawing>
        <wp:inline distT="0" distB="0" distL="0" distR="0" wp14:anchorId="60C31617" wp14:editId="37336911">
          <wp:extent cx="5848350" cy="942975"/>
          <wp:effectExtent l="19050" t="0" r="0" b="0"/>
          <wp:docPr id="631"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
                  <a:srcRect/>
                  <a:stretch>
                    <a:fillRect/>
                  </a:stretch>
                </pic:blipFill>
                <pic:spPr bwMode="auto">
                  <a:xfrm>
                    <a:off x="0" y="0"/>
                    <a:ext cx="5848350" cy="942975"/>
                  </a:xfrm>
                  <a:prstGeom prst="rect">
                    <a:avLst/>
                  </a:prstGeom>
                  <a:noFill/>
                  <a:ln w="9525">
                    <a:noFill/>
                    <a:miter lim="800000"/>
                    <a:headEnd/>
                    <a:tailEnd/>
                  </a:ln>
                </pic:spPr>
              </pic:pic>
            </a:graphicData>
          </a:graphic>
        </wp:inline>
      </w:drawing>
    </w:r>
  </w:p>
  <w:p w14:paraId="1ADF11AD" w14:textId="77777777" w:rsidR="00F14D1E" w:rsidRDefault="00F14D1E">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0F45CE" w14:textId="77777777" w:rsidR="00F14D1E" w:rsidRDefault="00F14D1E">
    <w:pPr>
      <w:pStyle w:val="Header"/>
    </w:pPr>
    <w:r>
      <w:rPr>
        <w:noProof/>
        <w:lang w:val="bg-BG" w:eastAsia="bg-BG"/>
      </w:rPr>
      <w:drawing>
        <wp:inline distT="0" distB="0" distL="0" distR="0" wp14:anchorId="46E40ABF" wp14:editId="357D26C4">
          <wp:extent cx="5581818" cy="900000"/>
          <wp:effectExtent l="0" t="0" r="0" b="0"/>
          <wp:docPr id="634"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
                  <a:srcRect/>
                  <a:stretch>
                    <a:fillRect/>
                  </a:stretch>
                </pic:blipFill>
                <pic:spPr bwMode="auto">
                  <a:xfrm>
                    <a:off x="0" y="0"/>
                    <a:ext cx="5581818" cy="90000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WWNum1"/>
    <w:lvl w:ilvl="0">
      <w:start w:val="1"/>
      <w:numFmt w:val="upperRoman"/>
      <w:lvlText w:val="%1."/>
      <w:lvlJc w:val="left"/>
      <w:pPr>
        <w:tabs>
          <w:tab w:val="num" w:pos="0"/>
        </w:tabs>
        <w:ind w:left="717" w:hanging="360"/>
      </w:pPr>
      <w:rPr>
        <w:b/>
        <w:i w:val="0"/>
        <w:color w:val="FFFFFF"/>
        <w:sz w:val="36"/>
        <w:lang w:val="en-GB"/>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nsid w:val="00000004"/>
    <w:multiLevelType w:val="multilevel"/>
    <w:tmpl w:val="00000004"/>
    <w:name w:val="WW8Num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2">
    <w:nsid w:val="00000005"/>
    <w:multiLevelType w:val="multilevel"/>
    <w:tmpl w:val="00000005"/>
    <w:name w:val="WWNum5"/>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nsid w:val="00000006"/>
    <w:multiLevelType w:val="multilevel"/>
    <w:tmpl w:val="00000006"/>
    <w:name w:val="WW8Num6"/>
    <w:lvl w:ilvl="0">
      <w:start w:val="1"/>
      <w:numFmt w:val="upperLetter"/>
      <w:lvlText w:val="%1."/>
      <w:lvlJc w:val="left"/>
      <w:pPr>
        <w:tabs>
          <w:tab w:val="num" w:pos="720"/>
        </w:tabs>
        <w:ind w:left="720" w:hanging="360"/>
      </w:pPr>
      <w:rPr>
        <w:rFonts w:cs="Times New Roman"/>
      </w:rPr>
    </w:lvl>
    <w:lvl w:ilvl="1">
      <w:start w:val="1"/>
      <w:numFmt w:val="bullet"/>
      <w:lvlText w:val=""/>
      <w:lvlJc w:val="left"/>
      <w:pPr>
        <w:tabs>
          <w:tab w:val="num" w:pos="1440"/>
        </w:tabs>
        <w:ind w:left="1440" w:hanging="360"/>
      </w:pPr>
      <w:rPr>
        <w:rFonts w:ascii="Symbol" w:hAnsi="Symbol"/>
      </w:rPr>
    </w:lvl>
    <w:lvl w:ilvl="2">
      <w:start w:val="1"/>
      <w:numFmt w:val="lowerRoman"/>
      <w:lvlText w:val="%3."/>
      <w:lvlJc w:val="lef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lef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left"/>
      <w:pPr>
        <w:tabs>
          <w:tab w:val="num" w:pos="6480"/>
        </w:tabs>
        <w:ind w:left="6480" w:hanging="180"/>
      </w:pPr>
      <w:rPr>
        <w:rFonts w:cs="Times New Roman"/>
      </w:rPr>
    </w:lvl>
  </w:abstractNum>
  <w:abstractNum w:abstractNumId="4">
    <w:nsid w:val="00000007"/>
    <w:multiLevelType w:val="multilevel"/>
    <w:tmpl w:val="00000007"/>
    <w:name w:val="WWNum7"/>
    <w:lvl w:ilvl="0">
      <w:start w:val="1"/>
      <w:numFmt w:val="decimal"/>
      <w:lvlText w:val="%1"/>
      <w:lvlJc w:val="left"/>
      <w:pPr>
        <w:tabs>
          <w:tab w:val="num" w:pos="0"/>
        </w:tabs>
        <w:ind w:left="927" w:hanging="360"/>
      </w:pPr>
      <w:rPr>
        <w:b/>
        <w:i w:val="0"/>
        <w:color w:val="0070C0"/>
        <w:sz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00000008"/>
    <w:multiLevelType w:val="multilevel"/>
    <w:tmpl w:val="00000008"/>
    <w:name w:val="WW8Num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
    <w:nsid w:val="00000009"/>
    <w:multiLevelType w:val="multilevel"/>
    <w:tmpl w:val="00000009"/>
    <w:name w:val="WW8Num9"/>
    <w:lvl w:ilvl="0">
      <w:start w:val="1"/>
      <w:numFmt w:val="bullet"/>
      <w:lvlText w:val=""/>
      <w:lvlJc w:val="left"/>
      <w:pPr>
        <w:tabs>
          <w:tab w:val="num" w:pos="1440"/>
        </w:tabs>
        <w:ind w:left="1440" w:hanging="360"/>
      </w:pPr>
      <w:rPr>
        <w:rFonts w:ascii="Symbol" w:hAnsi="Symbol"/>
      </w:rPr>
    </w:lvl>
    <w:lvl w:ilvl="1">
      <w:start w:val="1"/>
      <w:numFmt w:val="decimal"/>
      <w:lvlText w:val="%2."/>
      <w:lvlJc w:val="left"/>
      <w:pPr>
        <w:tabs>
          <w:tab w:val="num" w:pos="1211"/>
        </w:tabs>
        <w:ind w:left="1211"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7">
    <w:nsid w:val="0000000A"/>
    <w:multiLevelType w:val="multilevel"/>
    <w:tmpl w:val="0000000A"/>
    <w:name w:val="WW8Num10"/>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8">
    <w:nsid w:val="0000000B"/>
    <w:multiLevelType w:val="multilevel"/>
    <w:tmpl w:val="0000000B"/>
    <w:name w:val="WWNum17"/>
    <w:lvl w:ilvl="0">
      <w:start w:val="1"/>
      <w:numFmt w:val="bullet"/>
      <w:suff w:val="space"/>
      <w:lvlText w:val=""/>
      <w:lvlJc w:val="left"/>
      <w:pPr>
        <w:tabs>
          <w:tab w:val="num" w:pos="0"/>
        </w:tabs>
        <w:ind w:left="360" w:hanging="360"/>
      </w:pPr>
      <w:rPr>
        <w:rFonts w:ascii="Wingdings" w:hAnsi="Wingdings"/>
      </w:rPr>
    </w:lvl>
    <w:lvl w:ilvl="1">
      <w:start w:val="1"/>
      <w:numFmt w:val="bullet"/>
      <w:lvlText w:val="o"/>
      <w:lvlJc w:val="left"/>
      <w:pPr>
        <w:tabs>
          <w:tab w:val="num" w:pos="0"/>
        </w:tabs>
        <w:ind w:left="1080" w:hanging="360"/>
      </w:pPr>
      <w:rPr>
        <w:rFonts w:ascii="Courier New" w:hAnsi="Courier New" w:cs="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cs="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cs="Courier New"/>
      </w:rPr>
    </w:lvl>
    <w:lvl w:ilvl="8">
      <w:start w:val="1"/>
      <w:numFmt w:val="bullet"/>
      <w:lvlText w:val=""/>
      <w:lvlJc w:val="left"/>
      <w:pPr>
        <w:tabs>
          <w:tab w:val="num" w:pos="0"/>
        </w:tabs>
        <w:ind w:left="6120" w:hanging="360"/>
      </w:pPr>
      <w:rPr>
        <w:rFonts w:ascii="Wingdings" w:hAnsi="Wingdings"/>
      </w:rPr>
    </w:lvl>
  </w:abstractNum>
  <w:abstractNum w:abstractNumId="9">
    <w:nsid w:val="0000000C"/>
    <w:multiLevelType w:val="multilevel"/>
    <w:tmpl w:val="0000000C"/>
    <w:name w:val="WWNum20"/>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0">
    <w:nsid w:val="0000000D"/>
    <w:multiLevelType w:val="multilevel"/>
    <w:tmpl w:val="0000000D"/>
    <w:name w:val="WW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1">
    <w:nsid w:val="0000000E"/>
    <w:multiLevelType w:val="multilevel"/>
    <w:tmpl w:val="0000000E"/>
    <w:name w:val="WWNum22"/>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2">
    <w:nsid w:val="0000000F"/>
    <w:multiLevelType w:val="multilevel"/>
    <w:tmpl w:val="0000000F"/>
    <w:name w:val="WWNum2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13">
    <w:nsid w:val="00000010"/>
    <w:multiLevelType w:val="multilevel"/>
    <w:tmpl w:val="00000010"/>
    <w:name w:val="WWNum26"/>
    <w:lvl w:ilvl="0">
      <w:start w:val="1"/>
      <w:numFmt w:val="bullet"/>
      <w:lvlText w:val=""/>
      <w:lvlJc w:val="left"/>
      <w:pPr>
        <w:tabs>
          <w:tab w:val="num" w:pos="0"/>
        </w:tabs>
        <w:ind w:left="1440" w:hanging="360"/>
      </w:pPr>
      <w:rPr>
        <w:rFonts w:ascii="Wingdings" w:hAnsi="Wingdings"/>
        <w:b/>
        <w:i w:val="0"/>
        <w:color w:val="0070C0"/>
        <w:sz w:val="24"/>
      </w:rPr>
    </w:lvl>
    <w:lvl w:ilvl="1">
      <w:start w:val="1"/>
      <w:numFmt w:val="bullet"/>
      <w:lvlText w:val="o"/>
      <w:lvlJc w:val="left"/>
      <w:pPr>
        <w:tabs>
          <w:tab w:val="num" w:pos="0"/>
        </w:tabs>
        <w:ind w:left="2160" w:hanging="360"/>
      </w:pPr>
      <w:rPr>
        <w:rFonts w:ascii="Courier New" w:hAnsi="Courier New" w:cs="Courier New"/>
      </w:rPr>
    </w:lvl>
    <w:lvl w:ilvl="2">
      <w:start w:val="1"/>
      <w:numFmt w:val="bullet"/>
      <w:lvlText w:val=""/>
      <w:lvlJc w:val="left"/>
      <w:pPr>
        <w:tabs>
          <w:tab w:val="num" w:pos="0"/>
        </w:tabs>
        <w:ind w:left="2880" w:hanging="360"/>
      </w:pPr>
      <w:rPr>
        <w:rFonts w:ascii="Wingdings" w:hAnsi="Wingdings"/>
      </w:rPr>
    </w:lvl>
    <w:lvl w:ilvl="3">
      <w:start w:val="1"/>
      <w:numFmt w:val="bullet"/>
      <w:lvlText w:val=""/>
      <w:lvlJc w:val="left"/>
      <w:pPr>
        <w:tabs>
          <w:tab w:val="num" w:pos="0"/>
        </w:tabs>
        <w:ind w:left="3600" w:hanging="360"/>
      </w:pPr>
      <w:rPr>
        <w:rFonts w:ascii="Symbol" w:hAnsi="Symbol"/>
      </w:rPr>
    </w:lvl>
    <w:lvl w:ilvl="4">
      <w:start w:val="1"/>
      <w:numFmt w:val="bullet"/>
      <w:lvlText w:val="o"/>
      <w:lvlJc w:val="left"/>
      <w:pPr>
        <w:tabs>
          <w:tab w:val="num" w:pos="0"/>
        </w:tabs>
        <w:ind w:left="4320" w:hanging="360"/>
      </w:pPr>
      <w:rPr>
        <w:rFonts w:ascii="Courier New" w:hAnsi="Courier New" w:cs="Courier New"/>
      </w:rPr>
    </w:lvl>
    <w:lvl w:ilvl="5">
      <w:start w:val="1"/>
      <w:numFmt w:val="bullet"/>
      <w:lvlText w:val=""/>
      <w:lvlJc w:val="left"/>
      <w:pPr>
        <w:tabs>
          <w:tab w:val="num" w:pos="0"/>
        </w:tabs>
        <w:ind w:left="5040" w:hanging="360"/>
      </w:pPr>
      <w:rPr>
        <w:rFonts w:ascii="Wingdings" w:hAnsi="Wingdings"/>
      </w:rPr>
    </w:lvl>
    <w:lvl w:ilvl="6">
      <w:start w:val="1"/>
      <w:numFmt w:val="bullet"/>
      <w:lvlText w:val=""/>
      <w:lvlJc w:val="left"/>
      <w:pPr>
        <w:tabs>
          <w:tab w:val="num" w:pos="0"/>
        </w:tabs>
        <w:ind w:left="5760" w:hanging="360"/>
      </w:pPr>
      <w:rPr>
        <w:rFonts w:ascii="Symbol" w:hAnsi="Symbol"/>
      </w:rPr>
    </w:lvl>
    <w:lvl w:ilvl="7">
      <w:start w:val="1"/>
      <w:numFmt w:val="bullet"/>
      <w:lvlText w:val="o"/>
      <w:lvlJc w:val="left"/>
      <w:pPr>
        <w:tabs>
          <w:tab w:val="num" w:pos="0"/>
        </w:tabs>
        <w:ind w:left="6480" w:hanging="360"/>
      </w:pPr>
      <w:rPr>
        <w:rFonts w:ascii="Courier New" w:hAnsi="Courier New" w:cs="Courier New"/>
      </w:rPr>
    </w:lvl>
    <w:lvl w:ilvl="8">
      <w:start w:val="1"/>
      <w:numFmt w:val="bullet"/>
      <w:lvlText w:val=""/>
      <w:lvlJc w:val="left"/>
      <w:pPr>
        <w:tabs>
          <w:tab w:val="num" w:pos="0"/>
        </w:tabs>
        <w:ind w:left="7200" w:hanging="360"/>
      </w:pPr>
      <w:rPr>
        <w:rFonts w:ascii="Wingdings" w:hAnsi="Wingdings"/>
      </w:rPr>
    </w:lvl>
  </w:abstractNum>
  <w:abstractNum w:abstractNumId="14">
    <w:nsid w:val="00AB5E7B"/>
    <w:multiLevelType w:val="hybridMultilevel"/>
    <w:tmpl w:val="9A9256C0"/>
    <w:lvl w:ilvl="0" w:tplc="04090005">
      <w:start w:val="1"/>
      <w:numFmt w:val="bullet"/>
      <w:lvlText w:val=""/>
      <w:lvlJc w:val="left"/>
      <w:pPr>
        <w:tabs>
          <w:tab w:val="num" w:pos="720"/>
        </w:tabs>
        <w:ind w:left="720" w:hanging="360"/>
      </w:pPr>
      <w:rPr>
        <w:rFonts w:ascii="Wingdings" w:hAnsi="Wingdings" w:hint="default"/>
      </w:rPr>
    </w:lvl>
    <w:lvl w:ilvl="1" w:tplc="880E1A2E" w:tentative="1">
      <w:start w:val="1"/>
      <w:numFmt w:val="bullet"/>
      <w:lvlText w:val="•"/>
      <w:lvlJc w:val="left"/>
      <w:pPr>
        <w:tabs>
          <w:tab w:val="num" w:pos="1440"/>
        </w:tabs>
        <w:ind w:left="1440" w:hanging="360"/>
      </w:pPr>
      <w:rPr>
        <w:rFonts w:ascii="Arial" w:hAnsi="Arial" w:hint="default"/>
      </w:rPr>
    </w:lvl>
    <w:lvl w:ilvl="2" w:tplc="A4443DD2" w:tentative="1">
      <w:start w:val="1"/>
      <w:numFmt w:val="bullet"/>
      <w:lvlText w:val="•"/>
      <w:lvlJc w:val="left"/>
      <w:pPr>
        <w:tabs>
          <w:tab w:val="num" w:pos="2160"/>
        </w:tabs>
        <w:ind w:left="2160" w:hanging="360"/>
      </w:pPr>
      <w:rPr>
        <w:rFonts w:ascii="Arial" w:hAnsi="Arial" w:hint="default"/>
      </w:rPr>
    </w:lvl>
    <w:lvl w:ilvl="3" w:tplc="0A9678D2" w:tentative="1">
      <w:start w:val="1"/>
      <w:numFmt w:val="bullet"/>
      <w:lvlText w:val="•"/>
      <w:lvlJc w:val="left"/>
      <w:pPr>
        <w:tabs>
          <w:tab w:val="num" w:pos="2880"/>
        </w:tabs>
        <w:ind w:left="2880" w:hanging="360"/>
      </w:pPr>
      <w:rPr>
        <w:rFonts w:ascii="Arial" w:hAnsi="Arial" w:hint="default"/>
      </w:rPr>
    </w:lvl>
    <w:lvl w:ilvl="4" w:tplc="975E6A14" w:tentative="1">
      <w:start w:val="1"/>
      <w:numFmt w:val="bullet"/>
      <w:lvlText w:val="•"/>
      <w:lvlJc w:val="left"/>
      <w:pPr>
        <w:tabs>
          <w:tab w:val="num" w:pos="3600"/>
        </w:tabs>
        <w:ind w:left="3600" w:hanging="360"/>
      </w:pPr>
      <w:rPr>
        <w:rFonts w:ascii="Arial" w:hAnsi="Arial" w:hint="default"/>
      </w:rPr>
    </w:lvl>
    <w:lvl w:ilvl="5" w:tplc="EA9C05CC" w:tentative="1">
      <w:start w:val="1"/>
      <w:numFmt w:val="bullet"/>
      <w:lvlText w:val="•"/>
      <w:lvlJc w:val="left"/>
      <w:pPr>
        <w:tabs>
          <w:tab w:val="num" w:pos="4320"/>
        </w:tabs>
        <w:ind w:left="4320" w:hanging="360"/>
      </w:pPr>
      <w:rPr>
        <w:rFonts w:ascii="Arial" w:hAnsi="Arial" w:hint="default"/>
      </w:rPr>
    </w:lvl>
    <w:lvl w:ilvl="6" w:tplc="C7C6873A" w:tentative="1">
      <w:start w:val="1"/>
      <w:numFmt w:val="bullet"/>
      <w:lvlText w:val="•"/>
      <w:lvlJc w:val="left"/>
      <w:pPr>
        <w:tabs>
          <w:tab w:val="num" w:pos="5040"/>
        </w:tabs>
        <w:ind w:left="5040" w:hanging="360"/>
      </w:pPr>
      <w:rPr>
        <w:rFonts w:ascii="Arial" w:hAnsi="Arial" w:hint="default"/>
      </w:rPr>
    </w:lvl>
    <w:lvl w:ilvl="7" w:tplc="242C0F1E" w:tentative="1">
      <w:start w:val="1"/>
      <w:numFmt w:val="bullet"/>
      <w:lvlText w:val="•"/>
      <w:lvlJc w:val="left"/>
      <w:pPr>
        <w:tabs>
          <w:tab w:val="num" w:pos="5760"/>
        </w:tabs>
        <w:ind w:left="5760" w:hanging="360"/>
      </w:pPr>
      <w:rPr>
        <w:rFonts w:ascii="Arial" w:hAnsi="Arial" w:hint="default"/>
      </w:rPr>
    </w:lvl>
    <w:lvl w:ilvl="8" w:tplc="5666DE4C" w:tentative="1">
      <w:start w:val="1"/>
      <w:numFmt w:val="bullet"/>
      <w:lvlText w:val="•"/>
      <w:lvlJc w:val="left"/>
      <w:pPr>
        <w:tabs>
          <w:tab w:val="num" w:pos="6480"/>
        </w:tabs>
        <w:ind w:left="6480" w:hanging="360"/>
      </w:pPr>
      <w:rPr>
        <w:rFonts w:ascii="Arial" w:hAnsi="Arial" w:hint="default"/>
      </w:rPr>
    </w:lvl>
  </w:abstractNum>
  <w:abstractNum w:abstractNumId="15">
    <w:nsid w:val="00D6464B"/>
    <w:multiLevelType w:val="hybridMultilevel"/>
    <w:tmpl w:val="471EA27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nsid w:val="0213380E"/>
    <w:multiLevelType w:val="hybridMultilevel"/>
    <w:tmpl w:val="7F0205F2"/>
    <w:lvl w:ilvl="0" w:tplc="5A8403F6">
      <w:start w:val="1"/>
      <w:numFmt w:val="bullet"/>
      <w:lvlText w:val=""/>
      <w:lvlJc w:val="left"/>
      <w:pPr>
        <w:tabs>
          <w:tab w:val="num" w:pos="720"/>
        </w:tabs>
        <w:ind w:left="720" w:hanging="360"/>
      </w:pPr>
      <w:rPr>
        <w:rFonts w:ascii="Wingdings" w:hAnsi="Wingdings" w:hint="default"/>
      </w:rPr>
    </w:lvl>
    <w:lvl w:ilvl="1" w:tplc="622222D2" w:tentative="1">
      <w:start w:val="1"/>
      <w:numFmt w:val="bullet"/>
      <w:lvlText w:val=""/>
      <w:lvlJc w:val="left"/>
      <w:pPr>
        <w:tabs>
          <w:tab w:val="num" w:pos="1440"/>
        </w:tabs>
        <w:ind w:left="1440" w:hanging="360"/>
      </w:pPr>
      <w:rPr>
        <w:rFonts w:ascii="Wingdings" w:hAnsi="Wingdings" w:hint="default"/>
      </w:rPr>
    </w:lvl>
    <w:lvl w:ilvl="2" w:tplc="21F4F120" w:tentative="1">
      <w:start w:val="1"/>
      <w:numFmt w:val="bullet"/>
      <w:lvlText w:val=""/>
      <w:lvlJc w:val="left"/>
      <w:pPr>
        <w:tabs>
          <w:tab w:val="num" w:pos="2160"/>
        </w:tabs>
        <w:ind w:left="2160" w:hanging="360"/>
      </w:pPr>
      <w:rPr>
        <w:rFonts w:ascii="Wingdings" w:hAnsi="Wingdings" w:hint="default"/>
      </w:rPr>
    </w:lvl>
    <w:lvl w:ilvl="3" w:tplc="EF66BC1E" w:tentative="1">
      <w:start w:val="1"/>
      <w:numFmt w:val="bullet"/>
      <w:lvlText w:val=""/>
      <w:lvlJc w:val="left"/>
      <w:pPr>
        <w:tabs>
          <w:tab w:val="num" w:pos="2880"/>
        </w:tabs>
        <w:ind w:left="2880" w:hanging="360"/>
      </w:pPr>
      <w:rPr>
        <w:rFonts w:ascii="Wingdings" w:hAnsi="Wingdings" w:hint="default"/>
      </w:rPr>
    </w:lvl>
    <w:lvl w:ilvl="4" w:tplc="7EAACB24" w:tentative="1">
      <w:start w:val="1"/>
      <w:numFmt w:val="bullet"/>
      <w:lvlText w:val=""/>
      <w:lvlJc w:val="left"/>
      <w:pPr>
        <w:tabs>
          <w:tab w:val="num" w:pos="3600"/>
        </w:tabs>
        <w:ind w:left="3600" w:hanging="360"/>
      </w:pPr>
      <w:rPr>
        <w:rFonts w:ascii="Wingdings" w:hAnsi="Wingdings" w:hint="default"/>
      </w:rPr>
    </w:lvl>
    <w:lvl w:ilvl="5" w:tplc="D1D43B14" w:tentative="1">
      <w:start w:val="1"/>
      <w:numFmt w:val="bullet"/>
      <w:lvlText w:val=""/>
      <w:lvlJc w:val="left"/>
      <w:pPr>
        <w:tabs>
          <w:tab w:val="num" w:pos="4320"/>
        </w:tabs>
        <w:ind w:left="4320" w:hanging="360"/>
      </w:pPr>
      <w:rPr>
        <w:rFonts w:ascii="Wingdings" w:hAnsi="Wingdings" w:hint="default"/>
      </w:rPr>
    </w:lvl>
    <w:lvl w:ilvl="6" w:tplc="C1627512" w:tentative="1">
      <w:start w:val="1"/>
      <w:numFmt w:val="bullet"/>
      <w:lvlText w:val=""/>
      <w:lvlJc w:val="left"/>
      <w:pPr>
        <w:tabs>
          <w:tab w:val="num" w:pos="5040"/>
        </w:tabs>
        <w:ind w:left="5040" w:hanging="360"/>
      </w:pPr>
      <w:rPr>
        <w:rFonts w:ascii="Wingdings" w:hAnsi="Wingdings" w:hint="default"/>
      </w:rPr>
    </w:lvl>
    <w:lvl w:ilvl="7" w:tplc="9ED60992" w:tentative="1">
      <w:start w:val="1"/>
      <w:numFmt w:val="bullet"/>
      <w:lvlText w:val=""/>
      <w:lvlJc w:val="left"/>
      <w:pPr>
        <w:tabs>
          <w:tab w:val="num" w:pos="5760"/>
        </w:tabs>
        <w:ind w:left="5760" w:hanging="360"/>
      </w:pPr>
      <w:rPr>
        <w:rFonts w:ascii="Wingdings" w:hAnsi="Wingdings" w:hint="default"/>
      </w:rPr>
    </w:lvl>
    <w:lvl w:ilvl="8" w:tplc="A8A439B2" w:tentative="1">
      <w:start w:val="1"/>
      <w:numFmt w:val="bullet"/>
      <w:lvlText w:val=""/>
      <w:lvlJc w:val="left"/>
      <w:pPr>
        <w:tabs>
          <w:tab w:val="num" w:pos="6480"/>
        </w:tabs>
        <w:ind w:left="6480" w:hanging="360"/>
      </w:pPr>
      <w:rPr>
        <w:rFonts w:ascii="Wingdings" w:hAnsi="Wingdings" w:hint="default"/>
      </w:rPr>
    </w:lvl>
  </w:abstractNum>
  <w:abstractNum w:abstractNumId="17">
    <w:nsid w:val="0294094F"/>
    <w:multiLevelType w:val="hybridMultilevel"/>
    <w:tmpl w:val="045467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036A2749"/>
    <w:multiLevelType w:val="hybridMultilevel"/>
    <w:tmpl w:val="9170EEE4"/>
    <w:lvl w:ilvl="0" w:tplc="ABCC3AA4">
      <w:start w:val="1"/>
      <w:numFmt w:val="bullet"/>
      <w:lvlText w:val=""/>
      <w:lvlJc w:val="left"/>
      <w:pPr>
        <w:ind w:left="1440" w:hanging="360"/>
      </w:pPr>
      <w:rPr>
        <w:rFonts w:ascii="Wingdings" w:hAnsi="Wingdings" w:hint="default"/>
        <w:b/>
        <w:i w:val="0"/>
        <w:color w:val="auto"/>
        <w:sz w:val="24"/>
      </w:rPr>
    </w:lvl>
    <w:lvl w:ilvl="1" w:tplc="040C0003">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9">
    <w:nsid w:val="042358DE"/>
    <w:multiLevelType w:val="hybridMultilevel"/>
    <w:tmpl w:val="09A8E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E97F80"/>
    <w:multiLevelType w:val="hybridMultilevel"/>
    <w:tmpl w:val="590C8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73700DE"/>
    <w:multiLevelType w:val="hybridMultilevel"/>
    <w:tmpl w:val="078CDD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07916EB7"/>
    <w:multiLevelType w:val="hybridMultilevel"/>
    <w:tmpl w:val="6A6AEC96"/>
    <w:lvl w:ilvl="0" w:tplc="22C086F0">
      <w:start w:val="1"/>
      <w:numFmt w:val="bullet"/>
      <w:lvlText w:val=""/>
      <w:lvlJc w:val="left"/>
      <w:pPr>
        <w:ind w:left="1440" w:hanging="360"/>
      </w:pPr>
      <w:rPr>
        <w:rFonts w:ascii="Wingdings" w:hAnsi="Wingdings" w:hint="default"/>
        <w:b/>
        <w:i w:val="0"/>
        <w:color w:val="0070C0"/>
        <w:sz w:val="24"/>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84B4A7D"/>
    <w:multiLevelType w:val="hybridMultilevel"/>
    <w:tmpl w:val="D8B88674"/>
    <w:lvl w:ilvl="0" w:tplc="04180003">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0E092F5B"/>
    <w:multiLevelType w:val="hybridMultilevel"/>
    <w:tmpl w:val="DC8C7DEE"/>
    <w:lvl w:ilvl="0" w:tplc="04180003">
      <w:start w:val="1"/>
      <w:numFmt w:val="bullet"/>
      <w:lvlText w:val=""/>
      <w:lvlJc w:val="left"/>
      <w:pPr>
        <w:ind w:left="833" w:hanging="360"/>
      </w:pPr>
      <w:rPr>
        <w:rFonts w:ascii="Wingdings" w:hAnsi="Wingdings" w:hint="default"/>
      </w:rPr>
    </w:lvl>
    <w:lvl w:ilvl="1" w:tplc="040C0003" w:tentative="1">
      <w:start w:val="1"/>
      <w:numFmt w:val="bullet"/>
      <w:lvlText w:val="o"/>
      <w:lvlJc w:val="left"/>
      <w:pPr>
        <w:ind w:left="1553" w:hanging="360"/>
      </w:pPr>
      <w:rPr>
        <w:rFonts w:ascii="Courier New" w:hAnsi="Courier New" w:cs="Courier New" w:hint="default"/>
      </w:rPr>
    </w:lvl>
    <w:lvl w:ilvl="2" w:tplc="040C0005" w:tentative="1">
      <w:start w:val="1"/>
      <w:numFmt w:val="bullet"/>
      <w:lvlText w:val=""/>
      <w:lvlJc w:val="left"/>
      <w:pPr>
        <w:ind w:left="2273" w:hanging="360"/>
      </w:pPr>
      <w:rPr>
        <w:rFonts w:ascii="Wingdings" w:hAnsi="Wingdings" w:hint="default"/>
      </w:rPr>
    </w:lvl>
    <w:lvl w:ilvl="3" w:tplc="040C0001" w:tentative="1">
      <w:start w:val="1"/>
      <w:numFmt w:val="bullet"/>
      <w:lvlText w:val=""/>
      <w:lvlJc w:val="left"/>
      <w:pPr>
        <w:ind w:left="2993" w:hanging="360"/>
      </w:pPr>
      <w:rPr>
        <w:rFonts w:ascii="Symbol" w:hAnsi="Symbol" w:hint="default"/>
      </w:rPr>
    </w:lvl>
    <w:lvl w:ilvl="4" w:tplc="040C0003" w:tentative="1">
      <w:start w:val="1"/>
      <w:numFmt w:val="bullet"/>
      <w:lvlText w:val="o"/>
      <w:lvlJc w:val="left"/>
      <w:pPr>
        <w:ind w:left="3713" w:hanging="360"/>
      </w:pPr>
      <w:rPr>
        <w:rFonts w:ascii="Courier New" w:hAnsi="Courier New" w:cs="Courier New" w:hint="default"/>
      </w:rPr>
    </w:lvl>
    <w:lvl w:ilvl="5" w:tplc="040C0005" w:tentative="1">
      <w:start w:val="1"/>
      <w:numFmt w:val="bullet"/>
      <w:lvlText w:val=""/>
      <w:lvlJc w:val="left"/>
      <w:pPr>
        <w:ind w:left="4433" w:hanging="360"/>
      </w:pPr>
      <w:rPr>
        <w:rFonts w:ascii="Wingdings" w:hAnsi="Wingdings" w:hint="default"/>
      </w:rPr>
    </w:lvl>
    <w:lvl w:ilvl="6" w:tplc="040C0001" w:tentative="1">
      <w:start w:val="1"/>
      <w:numFmt w:val="bullet"/>
      <w:lvlText w:val=""/>
      <w:lvlJc w:val="left"/>
      <w:pPr>
        <w:ind w:left="5153" w:hanging="360"/>
      </w:pPr>
      <w:rPr>
        <w:rFonts w:ascii="Symbol" w:hAnsi="Symbol" w:hint="default"/>
      </w:rPr>
    </w:lvl>
    <w:lvl w:ilvl="7" w:tplc="040C0003" w:tentative="1">
      <w:start w:val="1"/>
      <w:numFmt w:val="bullet"/>
      <w:lvlText w:val="o"/>
      <w:lvlJc w:val="left"/>
      <w:pPr>
        <w:ind w:left="5873" w:hanging="360"/>
      </w:pPr>
      <w:rPr>
        <w:rFonts w:ascii="Courier New" w:hAnsi="Courier New" w:cs="Courier New" w:hint="default"/>
      </w:rPr>
    </w:lvl>
    <w:lvl w:ilvl="8" w:tplc="040C0005" w:tentative="1">
      <w:start w:val="1"/>
      <w:numFmt w:val="bullet"/>
      <w:lvlText w:val=""/>
      <w:lvlJc w:val="left"/>
      <w:pPr>
        <w:ind w:left="6593" w:hanging="360"/>
      </w:pPr>
      <w:rPr>
        <w:rFonts w:ascii="Wingdings" w:hAnsi="Wingdings" w:hint="default"/>
      </w:rPr>
    </w:lvl>
  </w:abstractNum>
  <w:abstractNum w:abstractNumId="25">
    <w:nsid w:val="0EB03A96"/>
    <w:multiLevelType w:val="hybridMultilevel"/>
    <w:tmpl w:val="8D406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0FEF0537"/>
    <w:multiLevelType w:val="hybridMultilevel"/>
    <w:tmpl w:val="8F2025D6"/>
    <w:lvl w:ilvl="0" w:tplc="22C086F0">
      <w:start w:val="1"/>
      <w:numFmt w:val="bullet"/>
      <w:lvlText w:val=""/>
      <w:lvlJc w:val="left"/>
      <w:pPr>
        <w:ind w:left="1080" w:hanging="360"/>
      </w:pPr>
      <w:rPr>
        <w:rFonts w:ascii="Wingdings" w:hAnsi="Wingdings" w:hint="default"/>
        <w:b/>
        <w:i w:val="0"/>
        <w:color w:val="0070C0"/>
        <w:sz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11D55263"/>
    <w:multiLevelType w:val="hybridMultilevel"/>
    <w:tmpl w:val="E6A4B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584104C"/>
    <w:multiLevelType w:val="hybridMultilevel"/>
    <w:tmpl w:val="AE1866E0"/>
    <w:lvl w:ilvl="0" w:tplc="04090005">
      <w:start w:val="1"/>
      <w:numFmt w:val="bullet"/>
      <w:lvlText w:val=""/>
      <w:lvlJc w:val="left"/>
      <w:pPr>
        <w:tabs>
          <w:tab w:val="num" w:pos="720"/>
        </w:tabs>
        <w:ind w:left="720" w:hanging="360"/>
      </w:pPr>
      <w:rPr>
        <w:rFonts w:ascii="Wingdings" w:hAnsi="Wingdings" w:hint="default"/>
      </w:rPr>
    </w:lvl>
    <w:lvl w:ilvl="1" w:tplc="EA8EF268" w:tentative="1">
      <w:start w:val="1"/>
      <w:numFmt w:val="bullet"/>
      <w:lvlText w:val="•"/>
      <w:lvlJc w:val="left"/>
      <w:pPr>
        <w:tabs>
          <w:tab w:val="num" w:pos="1440"/>
        </w:tabs>
        <w:ind w:left="1440" w:hanging="360"/>
      </w:pPr>
      <w:rPr>
        <w:rFonts w:ascii="Arial" w:hAnsi="Arial" w:hint="default"/>
      </w:rPr>
    </w:lvl>
    <w:lvl w:ilvl="2" w:tplc="176A9298" w:tentative="1">
      <w:start w:val="1"/>
      <w:numFmt w:val="bullet"/>
      <w:lvlText w:val="•"/>
      <w:lvlJc w:val="left"/>
      <w:pPr>
        <w:tabs>
          <w:tab w:val="num" w:pos="2160"/>
        </w:tabs>
        <w:ind w:left="2160" w:hanging="360"/>
      </w:pPr>
      <w:rPr>
        <w:rFonts w:ascii="Arial" w:hAnsi="Arial" w:hint="default"/>
      </w:rPr>
    </w:lvl>
    <w:lvl w:ilvl="3" w:tplc="34A0514E" w:tentative="1">
      <w:start w:val="1"/>
      <w:numFmt w:val="bullet"/>
      <w:lvlText w:val="•"/>
      <w:lvlJc w:val="left"/>
      <w:pPr>
        <w:tabs>
          <w:tab w:val="num" w:pos="2880"/>
        </w:tabs>
        <w:ind w:left="2880" w:hanging="360"/>
      </w:pPr>
      <w:rPr>
        <w:rFonts w:ascii="Arial" w:hAnsi="Arial" w:hint="default"/>
      </w:rPr>
    </w:lvl>
    <w:lvl w:ilvl="4" w:tplc="B87843E6" w:tentative="1">
      <w:start w:val="1"/>
      <w:numFmt w:val="bullet"/>
      <w:lvlText w:val="•"/>
      <w:lvlJc w:val="left"/>
      <w:pPr>
        <w:tabs>
          <w:tab w:val="num" w:pos="3600"/>
        </w:tabs>
        <w:ind w:left="3600" w:hanging="360"/>
      </w:pPr>
      <w:rPr>
        <w:rFonts w:ascii="Arial" w:hAnsi="Arial" w:hint="default"/>
      </w:rPr>
    </w:lvl>
    <w:lvl w:ilvl="5" w:tplc="333AB338" w:tentative="1">
      <w:start w:val="1"/>
      <w:numFmt w:val="bullet"/>
      <w:lvlText w:val="•"/>
      <w:lvlJc w:val="left"/>
      <w:pPr>
        <w:tabs>
          <w:tab w:val="num" w:pos="4320"/>
        </w:tabs>
        <w:ind w:left="4320" w:hanging="360"/>
      </w:pPr>
      <w:rPr>
        <w:rFonts w:ascii="Arial" w:hAnsi="Arial" w:hint="default"/>
      </w:rPr>
    </w:lvl>
    <w:lvl w:ilvl="6" w:tplc="F030F708" w:tentative="1">
      <w:start w:val="1"/>
      <w:numFmt w:val="bullet"/>
      <w:lvlText w:val="•"/>
      <w:lvlJc w:val="left"/>
      <w:pPr>
        <w:tabs>
          <w:tab w:val="num" w:pos="5040"/>
        </w:tabs>
        <w:ind w:left="5040" w:hanging="360"/>
      </w:pPr>
      <w:rPr>
        <w:rFonts w:ascii="Arial" w:hAnsi="Arial" w:hint="default"/>
      </w:rPr>
    </w:lvl>
    <w:lvl w:ilvl="7" w:tplc="999A0F26" w:tentative="1">
      <w:start w:val="1"/>
      <w:numFmt w:val="bullet"/>
      <w:lvlText w:val="•"/>
      <w:lvlJc w:val="left"/>
      <w:pPr>
        <w:tabs>
          <w:tab w:val="num" w:pos="5760"/>
        </w:tabs>
        <w:ind w:left="5760" w:hanging="360"/>
      </w:pPr>
      <w:rPr>
        <w:rFonts w:ascii="Arial" w:hAnsi="Arial" w:hint="default"/>
      </w:rPr>
    </w:lvl>
    <w:lvl w:ilvl="8" w:tplc="9C141694" w:tentative="1">
      <w:start w:val="1"/>
      <w:numFmt w:val="bullet"/>
      <w:lvlText w:val="•"/>
      <w:lvlJc w:val="left"/>
      <w:pPr>
        <w:tabs>
          <w:tab w:val="num" w:pos="6480"/>
        </w:tabs>
        <w:ind w:left="6480" w:hanging="360"/>
      </w:pPr>
      <w:rPr>
        <w:rFonts w:ascii="Arial" w:hAnsi="Arial" w:hint="default"/>
      </w:rPr>
    </w:lvl>
  </w:abstractNum>
  <w:abstractNum w:abstractNumId="29">
    <w:nsid w:val="16BB4514"/>
    <w:multiLevelType w:val="hybridMultilevel"/>
    <w:tmpl w:val="175EED06"/>
    <w:lvl w:ilvl="0" w:tplc="0C184FA6">
      <w:start w:val="1"/>
      <w:numFmt w:val="decimal"/>
      <w:lvlText w:val="%1."/>
      <w:lvlJc w:val="left"/>
      <w:pPr>
        <w:ind w:left="360" w:hanging="360"/>
      </w:pPr>
      <w:rPr>
        <w:color w:val="auto"/>
      </w:rPr>
    </w:lvl>
    <w:lvl w:ilvl="1" w:tplc="040E0019">
      <w:start w:val="1"/>
      <w:numFmt w:val="lowerLetter"/>
      <w:lvlText w:val="%2."/>
      <w:lvlJc w:val="left"/>
      <w:pPr>
        <w:ind w:left="1080" w:hanging="360"/>
      </w:pPr>
    </w:lvl>
    <w:lvl w:ilvl="2" w:tplc="040E001B">
      <w:start w:val="1"/>
      <w:numFmt w:val="lowerRoman"/>
      <w:lvlText w:val="%3."/>
      <w:lvlJc w:val="right"/>
      <w:pPr>
        <w:ind w:left="1800" w:hanging="180"/>
      </w:pPr>
    </w:lvl>
    <w:lvl w:ilvl="3" w:tplc="040E000F">
      <w:start w:val="1"/>
      <w:numFmt w:val="decimal"/>
      <w:lvlText w:val="%4."/>
      <w:lvlJc w:val="left"/>
      <w:pPr>
        <w:ind w:left="2520" w:hanging="360"/>
      </w:pPr>
    </w:lvl>
    <w:lvl w:ilvl="4" w:tplc="040E0019">
      <w:start w:val="1"/>
      <w:numFmt w:val="lowerLetter"/>
      <w:lvlText w:val="%5."/>
      <w:lvlJc w:val="left"/>
      <w:pPr>
        <w:ind w:left="3240" w:hanging="360"/>
      </w:pPr>
    </w:lvl>
    <w:lvl w:ilvl="5" w:tplc="040E001B">
      <w:start w:val="1"/>
      <w:numFmt w:val="lowerRoman"/>
      <w:lvlText w:val="%6."/>
      <w:lvlJc w:val="right"/>
      <w:pPr>
        <w:ind w:left="3960" w:hanging="180"/>
      </w:pPr>
    </w:lvl>
    <w:lvl w:ilvl="6" w:tplc="040E000F">
      <w:start w:val="1"/>
      <w:numFmt w:val="decimal"/>
      <w:lvlText w:val="%7."/>
      <w:lvlJc w:val="left"/>
      <w:pPr>
        <w:ind w:left="4680" w:hanging="360"/>
      </w:pPr>
    </w:lvl>
    <w:lvl w:ilvl="7" w:tplc="040E0019">
      <w:start w:val="1"/>
      <w:numFmt w:val="lowerLetter"/>
      <w:lvlText w:val="%8."/>
      <w:lvlJc w:val="left"/>
      <w:pPr>
        <w:ind w:left="5400" w:hanging="360"/>
      </w:pPr>
    </w:lvl>
    <w:lvl w:ilvl="8" w:tplc="040E001B">
      <w:start w:val="1"/>
      <w:numFmt w:val="lowerRoman"/>
      <w:lvlText w:val="%9."/>
      <w:lvlJc w:val="right"/>
      <w:pPr>
        <w:ind w:left="6120" w:hanging="180"/>
      </w:pPr>
    </w:lvl>
  </w:abstractNum>
  <w:abstractNum w:abstractNumId="30">
    <w:nsid w:val="16BB45AE"/>
    <w:multiLevelType w:val="hybridMultilevel"/>
    <w:tmpl w:val="D60AF4F4"/>
    <w:lvl w:ilvl="0" w:tplc="04180003">
      <w:start w:val="1"/>
      <w:numFmt w:val="bullet"/>
      <w:lvlText w:val=""/>
      <w:lvlJc w:val="left"/>
      <w:pPr>
        <w:ind w:left="833" w:hanging="360"/>
      </w:pPr>
      <w:rPr>
        <w:rFonts w:ascii="Wingdings" w:hAnsi="Wingdings" w:hint="default"/>
      </w:rPr>
    </w:lvl>
    <w:lvl w:ilvl="1" w:tplc="040C0003" w:tentative="1">
      <w:start w:val="1"/>
      <w:numFmt w:val="bullet"/>
      <w:lvlText w:val="o"/>
      <w:lvlJc w:val="left"/>
      <w:pPr>
        <w:ind w:left="1553" w:hanging="360"/>
      </w:pPr>
      <w:rPr>
        <w:rFonts w:ascii="Courier New" w:hAnsi="Courier New" w:cs="Courier New" w:hint="default"/>
      </w:rPr>
    </w:lvl>
    <w:lvl w:ilvl="2" w:tplc="040C0005" w:tentative="1">
      <w:start w:val="1"/>
      <w:numFmt w:val="bullet"/>
      <w:lvlText w:val=""/>
      <w:lvlJc w:val="left"/>
      <w:pPr>
        <w:ind w:left="2273" w:hanging="360"/>
      </w:pPr>
      <w:rPr>
        <w:rFonts w:ascii="Wingdings" w:hAnsi="Wingdings" w:hint="default"/>
      </w:rPr>
    </w:lvl>
    <w:lvl w:ilvl="3" w:tplc="040C0001" w:tentative="1">
      <w:start w:val="1"/>
      <w:numFmt w:val="bullet"/>
      <w:lvlText w:val=""/>
      <w:lvlJc w:val="left"/>
      <w:pPr>
        <w:ind w:left="2993" w:hanging="360"/>
      </w:pPr>
      <w:rPr>
        <w:rFonts w:ascii="Symbol" w:hAnsi="Symbol" w:hint="default"/>
      </w:rPr>
    </w:lvl>
    <w:lvl w:ilvl="4" w:tplc="040C0003" w:tentative="1">
      <w:start w:val="1"/>
      <w:numFmt w:val="bullet"/>
      <w:lvlText w:val="o"/>
      <w:lvlJc w:val="left"/>
      <w:pPr>
        <w:ind w:left="3713" w:hanging="360"/>
      </w:pPr>
      <w:rPr>
        <w:rFonts w:ascii="Courier New" w:hAnsi="Courier New" w:cs="Courier New" w:hint="default"/>
      </w:rPr>
    </w:lvl>
    <w:lvl w:ilvl="5" w:tplc="040C0005" w:tentative="1">
      <w:start w:val="1"/>
      <w:numFmt w:val="bullet"/>
      <w:lvlText w:val=""/>
      <w:lvlJc w:val="left"/>
      <w:pPr>
        <w:ind w:left="4433" w:hanging="360"/>
      </w:pPr>
      <w:rPr>
        <w:rFonts w:ascii="Wingdings" w:hAnsi="Wingdings" w:hint="default"/>
      </w:rPr>
    </w:lvl>
    <w:lvl w:ilvl="6" w:tplc="040C0001" w:tentative="1">
      <w:start w:val="1"/>
      <w:numFmt w:val="bullet"/>
      <w:lvlText w:val=""/>
      <w:lvlJc w:val="left"/>
      <w:pPr>
        <w:ind w:left="5153" w:hanging="360"/>
      </w:pPr>
      <w:rPr>
        <w:rFonts w:ascii="Symbol" w:hAnsi="Symbol" w:hint="default"/>
      </w:rPr>
    </w:lvl>
    <w:lvl w:ilvl="7" w:tplc="040C0003" w:tentative="1">
      <w:start w:val="1"/>
      <w:numFmt w:val="bullet"/>
      <w:lvlText w:val="o"/>
      <w:lvlJc w:val="left"/>
      <w:pPr>
        <w:ind w:left="5873" w:hanging="360"/>
      </w:pPr>
      <w:rPr>
        <w:rFonts w:ascii="Courier New" w:hAnsi="Courier New" w:cs="Courier New" w:hint="default"/>
      </w:rPr>
    </w:lvl>
    <w:lvl w:ilvl="8" w:tplc="040C0005" w:tentative="1">
      <w:start w:val="1"/>
      <w:numFmt w:val="bullet"/>
      <w:lvlText w:val=""/>
      <w:lvlJc w:val="left"/>
      <w:pPr>
        <w:ind w:left="6593" w:hanging="360"/>
      </w:pPr>
      <w:rPr>
        <w:rFonts w:ascii="Wingdings" w:hAnsi="Wingdings" w:hint="default"/>
      </w:rPr>
    </w:lvl>
  </w:abstractNum>
  <w:abstractNum w:abstractNumId="31">
    <w:nsid w:val="17041E60"/>
    <w:multiLevelType w:val="hybridMultilevel"/>
    <w:tmpl w:val="09A0B03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71A00E7"/>
    <w:multiLevelType w:val="hybridMultilevel"/>
    <w:tmpl w:val="0BC6FDE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nsid w:val="183268C5"/>
    <w:multiLevelType w:val="hybridMultilevel"/>
    <w:tmpl w:val="6F0203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18DD0060"/>
    <w:multiLevelType w:val="hybridMultilevel"/>
    <w:tmpl w:val="C3C4CB68"/>
    <w:lvl w:ilvl="0" w:tplc="40AC7D24">
      <w:start w:val="1"/>
      <w:numFmt w:val="decimal"/>
      <w:pStyle w:val="Heading3"/>
      <w:lvlText w:val="%1."/>
      <w:lvlJc w:val="left"/>
      <w:pPr>
        <w:ind w:left="927" w:hanging="360"/>
      </w:pPr>
      <w:rPr>
        <w:rFonts w:ascii="Calibri" w:hAnsi="Calibri" w:hint="default"/>
        <w:b/>
        <w:i w:val="0"/>
        <w:color w:val="0070C0"/>
        <w:sz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nsid w:val="1A723BC4"/>
    <w:multiLevelType w:val="hybridMultilevel"/>
    <w:tmpl w:val="3CB44E22"/>
    <w:lvl w:ilvl="0" w:tplc="CE9A69C8">
      <w:start w:val="1"/>
      <w:numFmt w:val="bullet"/>
      <w:lvlText w:val=""/>
      <w:lvlJc w:val="left"/>
      <w:pPr>
        <w:tabs>
          <w:tab w:val="num" w:pos="720"/>
        </w:tabs>
        <w:ind w:left="720" w:hanging="360"/>
      </w:pPr>
      <w:rPr>
        <w:rFonts w:ascii="Wingdings" w:hAnsi="Wingdings" w:hint="default"/>
      </w:rPr>
    </w:lvl>
    <w:lvl w:ilvl="1" w:tplc="B088E41A" w:tentative="1">
      <w:start w:val="1"/>
      <w:numFmt w:val="bullet"/>
      <w:lvlText w:val=""/>
      <w:lvlJc w:val="left"/>
      <w:pPr>
        <w:tabs>
          <w:tab w:val="num" w:pos="1440"/>
        </w:tabs>
        <w:ind w:left="1440" w:hanging="360"/>
      </w:pPr>
      <w:rPr>
        <w:rFonts w:ascii="Wingdings" w:hAnsi="Wingdings" w:hint="default"/>
      </w:rPr>
    </w:lvl>
    <w:lvl w:ilvl="2" w:tplc="42D2D7CC" w:tentative="1">
      <w:start w:val="1"/>
      <w:numFmt w:val="bullet"/>
      <w:lvlText w:val=""/>
      <w:lvlJc w:val="left"/>
      <w:pPr>
        <w:tabs>
          <w:tab w:val="num" w:pos="2160"/>
        </w:tabs>
        <w:ind w:left="2160" w:hanging="360"/>
      </w:pPr>
      <w:rPr>
        <w:rFonts w:ascii="Wingdings" w:hAnsi="Wingdings" w:hint="default"/>
      </w:rPr>
    </w:lvl>
    <w:lvl w:ilvl="3" w:tplc="62C20192" w:tentative="1">
      <w:start w:val="1"/>
      <w:numFmt w:val="bullet"/>
      <w:lvlText w:val=""/>
      <w:lvlJc w:val="left"/>
      <w:pPr>
        <w:tabs>
          <w:tab w:val="num" w:pos="2880"/>
        </w:tabs>
        <w:ind w:left="2880" w:hanging="360"/>
      </w:pPr>
      <w:rPr>
        <w:rFonts w:ascii="Wingdings" w:hAnsi="Wingdings" w:hint="default"/>
      </w:rPr>
    </w:lvl>
    <w:lvl w:ilvl="4" w:tplc="BC549C38" w:tentative="1">
      <w:start w:val="1"/>
      <w:numFmt w:val="bullet"/>
      <w:lvlText w:val=""/>
      <w:lvlJc w:val="left"/>
      <w:pPr>
        <w:tabs>
          <w:tab w:val="num" w:pos="3600"/>
        </w:tabs>
        <w:ind w:left="3600" w:hanging="360"/>
      </w:pPr>
      <w:rPr>
        <w:rFonts w:ascii="Wingdings" w:hAnsi="Wingdings" w:hint="default"/>
      </w:rPr>
    </w:lvl>
    <w:lvl w:ilvl="5" w:tplc="862A95A0" w:tentative="1">
      <w:start w:val="1"/>
      <w:numFmt w:val="bullet"/>
      <w:lvlText w:val=""/>
      <w:lvlJc w:val="left"/>
      <w:pPr>
        <w:tabs>
          <w:tab w:val="num" w:pos="4320"/>
        </w:tabs>
        <w:ind w:left="4320" w:hanging="360"/>
      </w:pPr>
      <w:rPr>
        <w:rFonts w:ascii="Wingdings" w:hAnsi="Wingdings" w:hint="default"/>
      </w:rPr>
    </w:lvl>
    <w:lvl w:ilvl="6" w:tplc="A530AAA6" w:tentative="1">
      <w:start w:val="1"/>
      <w:numFmt w:val="bullet"/>
      <w:lvlText w:val=""/>
      <w:lvlJc w:val="left"/>
      <w:pPr>
        <w:tabs>
          <w:tab w:val="num" w:pos="5040"/>
        </w:tabs>
        <w:ind w:left="5040" w:hanging="360"/>
      </w:pPr>
      <w:rPr>
        <w:rFonts w:ascii="Wingdings" w:hAnsi="Wingdings" w:hint="default"/>
      </w:rPr>
    </w:lvl>
    <w:lvl w:ilvl="7" w:tplc="37D8BFE8" w:tentative="1">
      <w:start w:val="1"/>
      <w:numFmt w:val="bullet"/>
      <w:lvlText w:val=""/>
      <w:lvlJc w:val="left"/>
      <w:pPr>
        <w:tabs>
          <w:tab w:val="num" w:pos="5760"/>
        </w:tabs>
        <w:ind w:left="5760" w:hanging="360"/>
      </w:pPr>
      <w:rPr>
        <w:rFonts w:ascii="Wingdings" w:hAnsi="Wingdings" w:hint="default"/>
      </w:rPr>
    </w:lvl>
    <w:lvl w:ilvl="8" w:tplc="BE8EC280" w:tentative="1">
      <w:start w:val="1"/>
      <w:numFmt w:val="bullet"/>
      <w:lvlText w:val=""/>
      <w:lvlJc w:val="left"/>
      <w:pPr>
        <w:tabs>
          <w:tab w:val="num" w:pos="6480"/>
        </w:tabs>
        <w:ind w:left="6480" w:hanging="360"/>
      </w:pPr>
      <w:rPr>
        <w:rFonts w:ascii="Wingdings" w:hAnsi="Wingdings" w:hint="default"/>
      </w:rPr>
    </w:lvl>
  </w:abstractNum>
  <w:abstractNum w:abstractNumId="36">
    <w:nsid w:val="1BA00ACD"/>
    <w:multiLevelType w:val="hybridMultilevel"/>
    <w:tmpl w:val="0FC07A02"/>
    <w:lvl w:ilvl="0" w:tplc="25AA55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BA54F9E"/>
    <w:multiLevelType w:val="hybridMultilevel"/>
    <w:tmpl w:val="3AA062B8"/>
    <w:lvl w:ilvl="0" w:tplc="22C086F0">
      <w:start w:val="1"/>
      <w:numFmt w:val="bullet"/>
      <w:lvlText w:val=""/>
      <w:lvlJc w:val="left"/>
      <w:pPr>
        <w:ind w:left="1080" w:hanging="360"/>
      </w:pPr>
      <w:rPr>
        <w:rFonts w:ascii="Wingdings" w:hAnsi="Wingdings" w:hint="default"/>
        <w:b/>
        <w:i w:val="0"/>
        <w:color w:val="0070C0"/>
        <w:sz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1C1B62D4"/>
    <w:multiLevelType w:val="hybridMultilevel"/>
    <w:tmpl w:val="56462DD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1E2932D5"/>
    <w:multiLevelType w:val="hybridMultilevel"/>
    <w:tmpl w:val="B9A69C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1E5E3E9F"/>
    <w:multiLevelType w:val="hybridMultilevel"/>
    <w:tmpl w:val="38928A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1F3A22D7"/>
    <w:multiLevelType w:val="hybridMultilevel"/>
    <w:tmpl w:val="8226532E"/>
    <w:lvl w:ilvl="0" w:tplc="8068783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1FC62C0D"/>
    <w:multiLevelType w:val="hybridMultilevel"/>
    <w:tmpl w:val="76749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22457395"/>
    <w:multiLevelType w:val="hybridMultilevel"/>
    <w:tmpl w:val="E8245F8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nsid w:val="2587625C"/>
    <w:multiLevelType w:val="hybridMultilevel"/>
    <w:tmpl w:val="5D0E39F6"/>
    <w:lvl w:ilvl="0" w:tplc="03120DF6">
      <w:start w:val="1"/>
      <w:numFmt w:val="bullet"/>
      <w:suff w:val="space"/>
      <w:lvlText w:val=""/>
      <w:lvlJc w:val="left"/>
      <w:pPr>
        <w:ind w:left="360" w:hanging="360"/>
      </w:pPr>
      <w:rPr>
        <w:rFonts w:ascii="Wingdings" w:hAnsi="Wingdings" w:hint="default"/>
      </w:rPr>
    </w:lvl>
    <w:lvl w:ilvl="1" w:tplc="040E0003">
      <w:start w:val="1"/>
      <w:numFmt w:val="decimal"/>
      <w:lvlText w:val="%2."/>
      <w:lvlJc w:val="left"/>
      <w:pPr>
        <w:tabs>
          <w:tab w:val="num" w:pos="1440"/>
        </w:tabs>
        <w:ind w:left="1440" w:hanging="360"/>
      </w:pPr>
    </w:lvl>
    <w:lvl w:ilvl="2" w:tplc="040E0005">
      <w:start w:val="1"/>
      <w:numFmt w:val="decimal"/>
      <w:lvlText w:val="%3."/>
      <w:lvlJc w:val="left"/>
      <w:pPr>
        <w:tabs>
          <w:tab w:val="num" w:pos="2160"/>
        </w:tabs>
        <w:ind w:left="2160" w:hanging="360"/>
      </w:pPr>
    </w:lvl>
    <w:lvl w:ilvl="3" w:tplc="040E0001">
      <w:start w:val="1"/>
      <w:numFmt w:val="decimal"/>
      <w:lvlText w:val="%4."/>
      <w:lvlJc w:val="left"/>
      <w:pPr>
        <w:tabs>
          <w:tab w:val="num" w:pos="2880"/>
        </w:tabs>
        <w:ind w:left="2880" w:hanging="360"/>
      </w:pPr>
    </w:lvl>
    <w:lvl w:ilvl="4" w:tplc="040E0003">
      <w:start w:val="1"/>
      <w:numFmt w:val="decimal"/>
      <w:lvlText w:val="%5."/>
      <w:lvlJc w:val="left"/>
      <w:pPr>
        <w:tabs>
          <w:tab w:val="num" w:pos="3600"/>
        </w:tabs>
        <w:ind w:left="3600" w:hanging="360"/>
      </w:pPr>
    </w:lvl>
    <w:lvl w:ilvl="5" w:tplc="040E0005">
      <w:start w:val="1"/>
      <w:numFmt w:val="decimal"/>
      <w:lvlText w:val="%6."/>
      <w:lvlJc w:val="left"/>
      <w:pPr>
        <w:tabs>
          <w:tab w:val="num" w:pos="4320"/>
        </w:tabs>
        <w:ind w:left="4320" w:hanging="360"/>
      </w:pPr>
    </w:lvl>
    <w:lvl w:ilvl="6" w:tplc="040E0001">
      <w:start w:val="1"/>
      <w:numFmt w:val="decimal"/>
      <w:lvlText w:val="%7."/>
      <w:lvlJc w:val="left"/>
      <w:pPr>
        <w:tabs>
          <w:tab w:val="num" w:pos="5040"/>
        </w:tabs>
        <w:ind w:left="5040" w:hanging="360"/>
      </w:pPr>
    </w:lvl>
    <w:lvl w:ilvl="7" w:tplc="040E0003">
      <w:start w:val="1"/>
      <w:numFmt w:val="decimal"/>
      <w:lvlText w:val="%8."/>
      <w:lvlJc w:val="left"/>
      <w:pPr>
        <w:tabs>
          <w:tab w:val="num" w:pos="5760"/>
        </w:tabs>
        <w:ind w:left="5760" w:hanging="360"/>
      </w:pPr>
    </w:lvl>
    <w:lvl w:ilvl="8" w:tplc="040E0005">
      <w:start w:val="1"/>
      <w:numFmt w:val="decimal"/>
      <w:lvlText w:val="%9."/>
      <w:lvlJc w:val="left"/>
      <w:pPr>
        <w:tabs>
          <w:tab w:val="num" w:pos="6480"/>
        </w:tabs>
        <w:ind w:left="6480" w:hanging="360"/>
      </w:pPr>
    </w:lvl>
  </w:abstractNum>
  <w:abstractNum w:abstractNumId="45">
    <w:nsid w:val="286159D7"/>
    <w:multiLevelType w:val="hybridMultilevel"/>
    <w:tmpl w:val="A5261BE2"/>
    <w:lvl w:ilvl="0" w:tplc="25AA55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28C8341C"/>
    <w:multiLevelType w:val="hybridMultilevel"/>
    <w:tmpl w:val="4C50EB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nsid w:val="2B5B73C7"/>
    <w:multiLevelType w:val="hybridMultilevel"/>
    <w:tmpl w:val="C7548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2B800C21"/>
    <w:multiLevelType w:val="hybridMultilevel"/>
    <w:tmpl w:val="317E1B4C"/>
    <w:lvl w:ilvl="0" w:tplc="0C184FA6">
      <w:start w:val="1"/>
      <w:numFmt w:val="decimal"/>
      <w:lvlText w:val="%1."/>
      <w:lvlJc w:val="left"/>
      <w:pPr>
        <w:ind w:left="720" w:hanging="360"/>
      </w:pPr>
      <w:rPr>
        <w:color w:val="auto"/>
      </w:r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start w:val="1"/>
      <w:numFmt w:val="decimal"/>
      <w:lvlText w:val="%4."/>
      <w:lvlJc w:val="left"/>
      <w:pPr>
        <w:ind w:left="2880" w:hanging="360"/>
      </w:pPr>
    </w:lvl>
    <w:lvl w:ilvl="4" w:tplc="040E0019">
      <w:start w:val="1"/>
      <w:numFmt w:val="lowerLetter"/>
      <w:lvlText w:val="%5."/>
      <w:lvlJc w:val="left"/>
      <w:pPr>
        <w:ind w:left="3600" w:hanging="360"/>
      </w:pPr>
    </w:lvl>
    <w:lvl w:ilvl="5" w:tplc="040E001B">
      <w:start w:val="1"/>
      <w:numFmt w:val="lowerRoman"/>
      <w:lvlText w:val="%6."/>
      <w:lvlJc w:val="right"/>
      <w:pPr>
        <w:ind w:left="4320" w:hanging="180"/>
      </w:pPr>
    </w:lvl>
    <w:lvl w:ilvl="6" w:tplc="040E000F">
      <w:start w:val="1"/>
      <w:numFmt w:val="decimal"/>
      <w:lvlText w:val="%7."/>
      <w:lvlJc w:val="left"/>
      <w:pPr>
        <w:ind w:left="5040" w:hanging="360"/>
      </w:pPr>
    </w:lvl>
    <w:lvl w:ilvl="7" w:tplc="040E0019">
      <w:start w:val="1"/>
      <w:numFmt w:val="lowerLetter"/>
      <w:lvlText w:val="%8."/>
      <w:lvlJc w:val="left"/>
      <w:pPr>
        <w:ind w:left="5760" w:hanging="360"/>
      </w:pPr>
    </w:lvl>
    <w:lvl w:ilvl="8" w:tplc="040E001B">
      <w:start w:val="1"/>
      <w:numFmt w:val="lowerRoman"/>
      <w:lvlText w:val="%9."/>
      <w:lvlJc w:val="right"/>
      <w:pPr>
        <w:ind w:left="6480" w:hanging="180"/>
      </w:pPr>
    </w:lvl>
  </w:abstractNum>
  <w:abstractNum w:abstractNumId="49">
    <w:nsid w:val="2C474BD4"/>
    <w:multiLevelType w:val="hybridMultilevel"/>
    <w:tmpl w:val="C3E24090"/>
    <w:lvl w:ilvl="0" w:tplc="040E0005">
      <w:numFmt w:val="bullet"/>
      <w:lvlText w:val="-"/>
      <w:lvlJc w:val="left"/>
      <w:pPr>
        <w:ind w:left="720" w:hanging="360"/>
      </w:pPr>
      <w:rPr>
        <w:rFonts w:ascii="Times New Roman" w:eastAsia="Times New Roman" w:hAnsi="Times New Roman"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0">
    <w:nsid w:val="2D1C4E9B"/>
    <w:multiLevelType w:val="hybridMultilevel"/>
    <w:tmpl w:val="91BC57F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2E4B3F7F"/>
    <w:multiLevelType w:val="hybridMultilevel"/>
    <w:tmpl w:val="5046F442"/>
    <w:lvl w:ilvl="0" w:tplc="0C184FA6">
      <w:start w:val="1"/>
      <w:numFmt w:val="decimal"/>
      <w:lvlText w:val="%1."/>
      <w:lvlJc w:val="left"/>
      <w:pPr>
        <w:ind w:left="360" w:hanging="360"/>
      </w:pPr>
    </w:lvl>
    <w:lvl w:ilvl="1" w:tplc="040E0019">
      <w:start w:val="1"/>
      <w:numFmt w:val="lowerLetter"/>
      <w:lvlText w:val="%2."/>
      <w:lvlJc w:val="left"/>
      <w:pPr>
        <w:ind w:left="1080" w:hanging="360"/>
      </w:pPr>
    </w:lvl>
    <w:lvl w:ilvl="2" w:tplc="040E001B">
      <w:start w:val="1"/>
      <w:numFmt w:val="lowerRoman"/>
      <w:lvlText w:val="%3."/>
      <w:lvlJc w:val="right"/>
      <w:pPr>
        <w:ind w:left="1800" w:hanging="180"/>
      </w:pPr>
    </w:lvl>
    <w:lvl w:ilvl="3" w:tplc="040E000F">
      <w:start w:val="1"/>
      <w:numFmt w:val="decimal"/>
      <w:lvlText w:val="%4."/>
      <w:lvlJc w:val="left"/>
      <w:pPr>
        <w:ind w:left="2520" w:hanging="360"/>
      </w:pPr>
    </w:lvl>
    <w:lvl w:ilvl="4" w:tplc="040E0019">
      <w:start w:val="1"/>
      <w:numFmt w:val="lowerLetter"/>
      <w:lvlText w:val="%5."/>
      <w:lvlJc w:val="left"/>
      <w:pPr>
        <w:ind w:left="3240" w:hanging="360"/>
      </w:pPr>
    </w:lvl>
    <w:lvl w:ilvl="5" w:tplc="040E001B">
      <w:start w:val="1"/>
      <w:numFmt w:val="lowerRoman"/>
      <w:lvlText w:val="%6."/>
      <w:lvlJc w:val="right"/>
      <w:pPr>
        <w:ind w:left="3960" w:hanging="180"/>
      </w:pPr>
    </w:lvl>
    <w:lvl w:ilvl="6" w:tplc="040E000F">
      <w:start w:val="1"/>
      <w:numFmt w:val="decimal"/>
      <w:lvlText w:val="%7."/>
      <w:lvlJc w:val="left"/>
      <w:pPr>
        <w:ind w:left="4680" w:hanging="360"/>
      </w:pPr>
    </w:lvl>
    <w:lvl w:ilvl="7" w:tplc="040E0019">
      <w:start w:val="1"/>
      <w:numFmt w:val="lowerLetter"/>
      <w:lvlText w:val="%8."/>
      <w:lvlJc w:val="left"/>
      <w:pPr>
        <w:ind w:left="5400" w:hanging="360"/>
      </w:pPr>
    </w:lvl>
    <w:lvl w:ilvl="8" w:tplc="040E001B">
      <w:start w:val="1"/>
      <w:numFmt w:val="lowerRoman"/>
      <w:lvlText w:val="%9."/>
      <w:lvlJc w:val="right"/>
      <w:pPr>
        <w:ind w:left="6120" w:hanging="180"/>
      </w:pPr>
    </w:lvl>
  </w:abstractNum>
  <w:abstractNum w:abstractNumId="52">
    <w:nsid w:val="31216E3B"/>
    <w:multiLevelType w:val="hybridMultilevel"/>
    <w:tmpl w:val="38928A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33E2349F"/>
    <w:multiLevelType w:val="hybridMultilevel"/>
    <w:tmpl w:val="EC369D10"/>
    <w:lvl w:ilvl="0" w:tplc="04180003">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nsid w:val="34ED164A"/>
    <w:multiLevelType w:val="hybridMultilevel"/>
    <w:tmpl w:val="B67EB560"/>
    <w:lvl w:ilvl="0" w:tplc="04180003">
      <w:start w:val="1"/>
      <w:numFmt w:val="bullet"/>
      <w:lvlText w:val=""/>
      <w:lvlJc w:val="left"/>
      <w:pPr>
        <w:tabs>
          <w:tab w:val="num" w:pos="720"/>
        </w:tabs>
        <w:ind w:left="720" w:hanging="360"/>
      </w:pPr>
      <w:rPr>
        <w:rFonts w:ascii="Wingdings" w:hAnsi="Wingdings" w:hint="default"/>
      </w:rPr>
    </w:lvl>
    <w:lvl w:ilvl="1" w:tplc="4AE48F28" w:tentative="1">
      <w:start w:val="1"/>
      <w:numFmt w:val="bullet"/>
      <w:lvlText w:val="•"/>
      <w:lvlJc w:val="left"/>
      <w:pPr>
        <w:tabs>
          <w:tab w:val="num" w:pos="1440"/>
        </w:tabs>
        <w:ind w:left="1440" w:hanging="360"/>
      </w:pPr>
      <w:rPr>
        <w:rFonts w:ascii="Arial" w:hAnsi="Arial" w:hint="default"/>
      </w:rPr>
    </w:lvl>
    <w:lvl w:ilvl="2" w:tplc="8D72E47C" w:tentative="1">
      <w:start w:val="1"/>
      <w:numFmt w:val="bullet"/>
      <w:lvlText w:val="•"/>
      <w:lvlJc w:val="left"/>
      <w:pPr>
        <w:tabs>
          <w:tab w:val="num" w:pos="2160"/>
        </w:tabs>
        <w:ind w:left="2160" w:hanging="360"/>
      </w:pPr>
      <w:rPr>
        <w:rFonts w:ascii="Arial" w:hAnsi="Arial" w:hint="default"/>
      </w:rPr>
    </w:lvl>
    <w:lvl w:ilvl="3" w:tplc="0B2A97DE" w:tentative="1">
      <w:start w:val="1"/>
      <w:numFmt w:val="bullet"/>
      <w:lvlText w:val="•"/>
      <w:lvlJc w:val="left"/>
      <w:pPr>
        <w:tabs>
          <w:tab w:val="num" w:pos="2880"/>
        </w:tabs>
        <w:ind w:left="2880" w:hanging="360"/>
      </w:pPr>
      <w:rPr>
        <w:rFonts w:ascii="Arial" w:hAnsi="Arial" w:hint="default"/>
      </w:rPr>
    </w:lvl>
    <w:lvl w:ilvl="4" w:tplc="BD247F06" w:tentative="1">
      <w:start w:val="1"/>
      <w:numFmt w:val="bullet"/>
      <w:lvlText w:val="•"/>
      <w:lvlJc w:val="left"/>
      <w:pPr>
        <w:tabs>
          <w:tab w:val="num" w:pos="3600"/>
        </w:tabs>
        <w:ind w:left="3600" w:hanging="360"/>
      </w:pPr>
      <w:rPr>
        <w:rFonts w:ascii="Arial" w:hAnsi="Arial" w:hint="default"/>
      </w:rPr>
    </w:lvl>
    <w:lvl w:ilvl="5" w:tplc="930E1880" w:tentative="1">
      <w:start w:val="1"/>
      <w:numFmt w:val="bullet"/>
      <w:lvlText w:val="•"/>
      <w:lvlJc w:val="left"/>
      <w:pPr>
        <w:tabs>
          <w:tab w:val="num" w:pos="4320"/>
        </w:tabs>
        <w:ind w:left="4320" w:hanging="360"/>
      </w:pPr>
      <w:rPr>
        <w:rFonts w:ascii="Arial" w:hAnsi="Arial" w:hint="default"/>
      </w:rPr>
    </w:lvl>
    <w:lvl w:ilvl="6" w:tplc="63D41F08" w:tentative="1">
      <w:start w:val="1"/>
      <w:numFmt w:val="bullet"/>
      <w:lvlText w:val="•"/>
      <w:lvlJc w:val="left"/>
      <w:pPr>
        <w:tabs>
          <w:tab w:val="num" w:pos="5040"/>
        </w:tabs>
        <w:ind w:left="5040" w:hanging="360"/>
      </w:pPr>
      <w:rPr>
        <w:rFonts w:ascii="Arial" w:hAnsi="Arial" w:hint="default"/>
      </w:rPr>
    </w:lvl>
    <w:lvl w:ilvl="7" w:tplc="EB8877E8" w:tentative="1">
      <w:start w:val="1"/>
      <w:numFmt w:val="bullet"/>
      <w:lvlText w:val="•"/>
      <w:lvlJc w:val="left"/>
      <w:pPr>
        <w:tabs>
          <w:tab w:val="num" w:pos="5760"/>
        </w:tabs>
        <w:ind w:left="5760" w:hanging="360"/>
      </w:pPr>
      <w:rPr>
        <w:rFonts w:ascii="Arial" w:hAnsi="Arial" w:hint="default"/>
      </w:rPr>
    </w:lvl>
    <w:lvl w:ilvl="8" w:tplc="5C6E707A" w:tentative="1">
      <w:start w:val="1"/>
      <w:numFmt w:val="bullet"/>
      <w:lvlText w:val="•"/>
      <w:lvlJc w:val="left"/>
      <w:pPr>
        <w:tabs>
          <w:tab w:val="num" w:pos="6480"/>
        </w:tabs>
        <w:ind w:left="6480" w:hanging="360"/>
      </w:pPr>
      <w:rPr>
        <w:rFonts w:ascii="Arial" w:hAnsi="Arial" w:hint="default"/>
      </w:rPr>
    </w:lvl>
  </w:abstractNum>
  <w:abstractNum w:abstractNumId="55">
    <w:nsid w:val="38573138"/>
    <w:multiLevelType w:val="hybridMultilevel"/>
    <w:tmpl w:val="8BA6D7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38595AA1"/>
    <w:multiLevelType w:val="multilevel"/>
    <w:tmpl w:val="E96697B6"/>
    <w:lvl w:ilvl="0">
      <w:start w:val="1"/>
      <w:numFmt w:val="decimal"/>
      <w:lvlText w:val="%1."/>
      <w:lvlJc w:val="left"/>
      <w:pPr>
        <w:tabs>
          <w:tab w:val="num" w:pos="540"/>
        </w:tabs>
        <w:ind w:left="540" w:hanging="540"/>
      </w:pPr>
      <w:rPr>
        <w:rFonts w:hint="default"/>
      </w:rPr>
    </w:lvl>
    <w:lvl w:ilvl="1">
      <w:start w:val="2"/>
      <w:numFmt w:val="decimal"/>
      <w:lvlText w:val="%1.%2."/>
      <w:lvlJc w:val="left"/>
      <w:pPr>
        <w:tabs>
          <w:tab w:val="num" w:pos="761"/>
        </w:tabs>
        <w:ind w:left="761" w:hanging="540"/>
      </w:pPr>
      <w:rPr>
        <w:rFonts w:cs="Times New Roman" w:hint="default"/>
      </w:rPr>
    </w:lvl>
    <w:lvl w:ilvl="2">
      <w:start w:val="5"/>
      <w:numFmt w:val="decimal"/>
      <w:lvlText w:val="%1.%2.%3."/>
      <w:lvlJc w:val="left"/>
      <w:pPr>
        <w:tabs>
          <w:tab w:val="num" w:pos="1162"/>
        </w:tabs>
        <w:ind w:left="1162" w:hanging="720"/>
      </w:pPr>
      <w:rPr>
        <w:rFonts w:cs="Times New Roman" w:hint="default"/>
      </w:rPr>
    </w:lvl>
    <w:lvl w:ilvl="3">
      <w:start w:val="1"/>
      <w:numFmt w:val="decimal"/>
      <w:lvlText w:val="%1.%2.%3.%4."/>
      <w:lvlJc w:val="left"/>
      <w:pPr>
        <w:tabs>
          <w:tab w:val="num" w:pos="1383"/>
        </w:tabs>
        <w:ind w:left="1383" w:hanging="720"/>
      </w:pPr>
      <w:rPr>
        <w:rFonts w:cs="Times New Roman" w:hint="default"/>
      </w:rPr>
    </w:lvl>
    <w:lvl w:ilvl="4">
      <w:start w:val="1"/>
      <w:numFmt w:val="decimal"/>
      <w:lvlText w:val="%1.%2.%3.%4.%5."/>
      <w:lvlJc w:val="left"/>
      <w:pPr>
        <w:tabs>
          <w:tab w:val="num" w:pos="1964"/>
        </w:tabs>
        <w:ind w:left="1964" w:hanging="1080"/>
      </w:pPr>
      <w:rPr>
        <w:rFonts w:cs="Times New Roman" w:hint="default"/>
      </w:rPr>
    </w:lvl>
    <w:lvl w:ilvl="5">
      <w:start w:val="1"/>
      <w:numFmt w:val="decimal"/>
      <w:lvlText w:val="%1.%2.%3.%4.%5.%6."/>
      <w:lvlJc w:val="left"/>
      <w:pPr>
        <w:tabs>
          <w:tab w:val="num" w:pos="2185"/>
        </w:tabs>
        <w:ind w:left="2185" w:hanging="1080"/>
      </w:pPr>
      <w:rPr>
        <w:rFonts w:cs="Times New Roman" w:hint="default"/>
      </w:rPr>
    </w:lvl>
    <w:lvl w:ilvl="6">
      <w:start w:val="1"/>
      <w:numFmt w:val="decimal"/>
      <w:lvlText w:val="%1.%2.%3.%4.%5.%6.%7."/>
      <w:lvlJc w:val="left"/>
      <w:pPr>
        <w:tabs>
          <w:tab w:val="num" w:pos="2766"/>
        </w:tabs>
        <w:ind w:left="2766" w:hanging="1440"/>
      </w:pPr>
      <w:rPr>
        <w:rFonts w:cs="Times New Roman" w:hint="default"/>
      </w:rPr>
    </w:lvl>
    <w:lvl w:ilvl="7">
      <w:start w:val="1"/>
      <w:numFmt w:val="decimal"/>
      <w:lvlText w:val="%1.%2.%3.%4.%5.%6.%7.%8."/>
      <w:lvlJc w:val="left"/>
      <w:pPr>
        <w:tabs>
          <w:tab w:val="num" w:pos="2987"/>
        </w:tabs>
        <w:ind w:left="2987" w:hanging="1440"/>
      </w:pPr>
      <w:rPr>
        <w:rFonts w:cs="Times New Roman" w:hint="default"/>
      </w:rPr>
    </w:lvl>
    <w:lvl w:ilvl="8">
      <w:start w:val="1"/>
      <w:numFmt w:val="decimal"/>
      <w:lvlText w:val="%1.%2.%3.%4.%5.%6.%7.%8.%9."/>
      <w:lvlJc w:val="left"/>
      <w:pPr>
        <w:tabs>
          <w:tab w:val="num" w:pos="3568"/>
        </w:tabs>
        <w:ind w:left="3568" w:hanging="1800"/>
      </w:pPr>
      <w:rPr>
        <w:rFonts w:cs="Times New Roman" w:hint="default"/>
      </w:rPr>
    </w:lvl>
  </w:abstractNum>
  <w:abstractNum w:abstractNumId="57">
    <w:nsid w:val="387071EB"/>
    <w:multiLevelType w:val="hybridMultilevel"/>
    <w:tmpl w:val="350C8868"/>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58">
    <w:nsid w:val="397324B1"/>
    <w:multiLevelType w:val="hybridMultilevel"/>
    <w:tmpl w:val="CB16BC8E"/>
    <w:lvl w:ilvl="0" w:tplc="22C086F0">
      <w:start w:val="1"/>
      <w:numFmt w:val="bullet"/>
      <w:lvlText w:val=""/>
      <w:lvlJc w:val="left"/>
      <w:pPr>
        <w:ind w:left="1080" w:hanging="360"/>
      </w:pPr>
      <w:rPr>
        <w:rFonts w:ascii="Wingdings" w:hAnsi="Wingdings" w:hint="default"/>
        <w:b/>
        <w:i w:val="0"/>
        <w:color w:val="0070C0"/>
        <w:sz w:val="24"/>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nsid w:val="3AF57A91"/>
    <w:multiLevelType w:val="hybridMultilevel"/>
    <w:tmpl w:val="C996FE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3BEC0F43"/>
    <w:multiLevelType w:val="hybridMultilevel"/>
    <w:tmpl w:val="E84A13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nsid w:val="3C315AC0"/>
    <w:multiLevelType w:val="hybridMultilevel"/>
    <w:tmpl w:val="6194D6F4"/>
    <w:lvl w:ilvl="0" w:tplc="22C086F0">
      <w:start w:val="1"/>
      <w:numFmt w:val="bullet"/>
      <w:lvlText w:val=""/>
      <w:lvlJc w:val="left"/>
      <w:pPr>
        <w:ind w:left="1440" w:hanging="360"/>
      </w:pPr>
      <w:rPr>
        <w:rFonts w:ascii="Wingdings" w:hAnsi="Wingdings" w:hint="default"/>
        <w:b/>
        <w:i w:val="0"/>
        <w:color w:val="0070C0"/>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434328A5"/>
    <w:multiLevelType w:val="hybridMultilevel"/>
    <w:tmpl w:val="175EED06"/>
    <w:lvl w:ilvl="0" w:tplc="0C184FA6">
      <w:start w:val="1"/>
      <w:numFmt w:val="decimal"/>
      <w:lvlText w:val="%1."/>
      <w:lvlJc w:val="left"/>
      <w:pPr>
        <w:ind w:left="360" w:hanging="360"/>
      </w:pPr>
      <w:rPr>
        <w:color w:val="auto"/>
      </w:rPr>
    </w:lvl>
    <w:lvl w:ilvl="1" w:tplc="040E0019">
      <w:start w:val="1"/>
      <w:numFmt w:val="lowerLetter"/>
      <w:lvlText w:val="%2."/>
      <w:lvlJc w:val="left"/>
      <w:pPr>
        <w:ind w:left="1080" w:hanging="360"/>
      </w:pPr>
    </w:lvl>
    <w:lvl w:ilvl="2" w:tplc="040E001B">
      <w:start w:val="1"/>
      <w:numFmt w:val="lowerRoman"/>
      <w:lvlText w:val="%3."/>
      <w:lvlJc w:val="right"/>
      <w:pPr>
        <w:ind w:left="1800" w:hanging="180"/>
      </w:pPr>
    </w:lvl>
    <w:lvl w:ilvl="3" w:tplc="040E000F">
      <w:start w:val="1"/>
      <w:numFmt w:val="decimal"/>
      <w:lvlText w:val="%4."/>
      <w:lvlJc w:val="left"/>
      <w:pPr>
        <w:ind w:left="2520" w:hanging="360"/>
      </w:pPr>
    </w:lvl>
    <w:lvl w:ilvl="4" w:tplc="040E0019">
      <w:start w:val="1"/>
      <w:numFmt w:val="lowerLetter"/>
      <w:lvlText w:val="%5."/>
      <w:lvlJc w:val="left"/>
      <w:pPr>
        <w:ind w:left="3240" w:hanging="360"/>
      </w:pPr>
    </w:lvl>
    <w:lvl w:ilvl="5" w:tplc="040E001B">
      <w:start w:val="1"/>
      <w:numFmt w:val="lowerRoman"/>
      <w:lvlText w:val="%6."/>
      <w:lvlJc w:val="right"/>
      <w:pPr>
        <w:ind w:left="3960" w:hanging="180"/>
      </w:pPr>
    </w:lvl>
    <w:lvl w:ilvl="6" w:tplc="040E000F">
      <w:start w:val="1"/>
      <w:numFmt w:val="decimal"/>
      <w:lvlText w:val="%7."/>
      <w:lvlJc w:val="left"/>
      <w:pPr>
        <w:ind w:left="4680" w:hanging="360"/>
      </w:pPr>
    </w:lvl>
    <w:lvl w:ilvl="7" w:tplc="040E0019">
      <w:start w:val="1"/>
      <w:numFmt w:val="lowerLetter"/>
      <w:lvlText w:val="%8."/>
      <w:lvlJc w:val="left"/>
      <w:pPr>
        <w:ind w:left="5400" w:hanging="360"/>
      </w:pPr>
    </w:lvl>
    <w:lvl w:ilvl="8" w:tplc="040E001B">
      <w:start w:val="1"/>
      <w:numFmt w:val="lowerRoman"/>
      <w:lvlText w:val="%9."/>
      <w:lvlJc w:val="right"/>
      <w:pPr>
        <w:ind w:left="6120" w:hanging="180"/>
      </w:pPr>
    </w:lvl>
  </w:abstractNum>
  <w:abstractNum w:abstractNumId="63">
    <w:nsid w:val="43BF48F4"/>
    <w:multiLevelType w:val="hybridMultilevel"/>
    <w:tmpl w:val="DE5C07C4"/>
    <w:lvl w:ilvl="0" w:tplc="22C086F0">
      <w:start w:val="1"/>
      <w:numFmt w:val="bullet"/>
      <w:lvlText w:val=""/>
      <w:lvlJc w:val="left"/>
      <w:pPr>
        <w:ind w:left="1440" w:hanging="360"/>
      </w:pPr>
      <w:rPr>
        <w:rFonts w:ascii="Wingdings" w:hAnsi="Wingdings" w:hint="default"/>
        <w:b/>
        <w:i w:val="0"/>
        <w:color w:val="0070C0"/>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44385F14"/>
    <w:multiLevelType w:val="hybridMultilevel"/>
    <w:tmpl w:val="B0C8548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5">
    <w:nsid w:val="44C33639"/>
    <w:multiLevelType w:val="hybridMultilevel"/>
    <w:tmpl w:val="E760D498"/>
    <w:lvl w:ilvl="0" w:tplc="04180003">
      <w:start w:val="1"/>
      <w:numFmt w:val="bullet"/>
      <w:lvlText w:val=""/>
      <w:lvlJc w:val="left"/>
      <w:pPr>
        <w:ind w:left="720" w:hanging="360"/>
      </w:pPr>
      <w:rPr>
        <w:rFonts w:ascii="Wingdings" w:hAnsi="Wingdings" w:hint="default"/>
      </w:rPr>
    </w:lvl>
    <w:lvl w:ilvl="1" w:tplc="AA60A17C">
      <w:numFmt w:val="bullet"/>
      <w:lvlText w:val="-"/>
      <w:lvlJc w:val="left"/>
      <w:pPr>
        <w:ind w:left="1440" w:hanging="360"/>
      </w:pPr>
      <w:rPr>
        <w:rFonts w:ascii="Times New Roman" w:eastAsia="Times New Roman" w:hAnsi="Times New Roman"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6">
    <w:nsid w:val="45B32C99"/>
    <w:multiLevelType w:val="hybridMultilevel"/>
    <w:tmpl w:val="5AD63250"/>
    <w:lvl w:ilvl="0" w:tplc="AA60A17C">
      <w:start w:val="1"/>
      <w:numFmt w:val="upperRoman"/>
      <w:pStyle w:val="Heading1"/>
      <w:lvlText w:val="%1."/>
      <w:lvlJc w:val="left"/>
      <w:pPr>
        <w:ind w:left="360" w:hanging="360"/>
      </w:pPr>
      <w:rPr>
        <w:rFonts w:ascii="Calibri" w:hAnsi="Calibri" w:hint="default"/>
        <w:b/>
        <w:i w:val="0"/>
        <w:color w:val="FFFFFF"/>
        <w:sz w:val="36"/>
        <w:lang w:val="en-GB"/>
      </w:rPr>
    </w:lvl>
    <w:lvl w:ilvl="1" w:tplc="04180003" w:tentative="1">
      <w:start w:val="1"/>
      <w:numFmt w:val="lowerLetter"/>
      <w:lvlText w:val="%2."/>
      <w:lvlJc w:val="left"/>
      <w:pPr>
        <w:ind w:left="1440" w:hanging="360"/>
      </w:pPr>
    </w:lvl>
    <w:lvl w:ilvl="2" w:tplc="04180005" w:tentative="1">
      <w:start w:val="1"/>
      <w:numFmt w:val="lowerRoman"/>
      <w:lvlText w:val="%3."/>
      <w:lvlJc w:val="right"/>
      <w:pPr>
        <w:ind w:left="2160" w:hanging="180"/>
      </w:pPr>
    </w:lvl>
    <w:lvl w:ilvl="3" w:tplc="04180001" w:tentative="1">
      <w:start w:val="1"/>
      <w:numFmt w:val="decimal"/>
      <w:lvlText w:val="%4."/>
      <w:lvlJc w:val="left"/>
      <w:pPr>
        <w:ind w:left="2880" w:hanging="360"/>
      </w:pPr>
    </w:lvl>
    <w:lvl w:ilvl="4" w:tplc="04180003" w:tentative="1">
      <w:start w:val="1"/>
      <w:numFmt w:val="lowerLetter"/>
      <w:lvlText w:val="%5."/>
      <w:lvlJc w:val="left"/>
      <w:pPr>
        <w:ind w:left="3600" w:hanging="360"/>
      </w:pPr>
    </w:lvl>
    <w:lvl w:ilvl="5" w:tplc="04180005" w:tentative="1">
      <w:start w:val="1"/>
      <w:numFmt w:val="lowerRoman"/>
      <w:lvlText w:val="%6."/>
      <w:lvlJc w:val="right"/>
      <w:pPr>
        <w:ind w:left="4320" w:hanging="180"/>
      </w:pPr>
    </w:lvl>
    <w:lvl w:ilvl="6" w:tplc="04180001" w:tentative="1">
      <w:start w:val="1"/>
      <w:numFmt w:val="decimal"/>
      <w:lvlText w:val="%7."/>
      <w:lvlJc w:val="left"/>
      <w:pPr>
        <w:ind w:left="5040" w:hanging="360"/>
      </w:pPr>
    </w:lvl>
    <w:lvl w:ilvl="7" w:tplc="04180003" w:tentative="1">
      <w:start w:val="1"/>
      <w:numFmt w:val="lowerLetter"/>
      <w:lvlText w:val="%8."/>
      <w:lvlJc w:val="left"/>
      <w:pPr>
        <w:ind w:left="5760" w:hanging="360"/>
      </w:pPr>
    </w:lvl>
    <w:lvl w:ilvl="8" w:tplc="04180005" w:tentative="1">
      <w:start w:val="1"/>
      <w:numFmt w:val="lowerRoman"/>
      <w:lvlText w:val="%9."/>
      <w:lvlJc w:val="right"/>
      <w:pPr>
        <w:ind w:left="6480" w:hanging="180"/>
      </w:pPr>
    </w:lvl>
  </w:abstractNum>
  <w:abstractNum w:abstractNumId="67">
    <w:nsid w:val="476F2F16"/>
    <w:multiLevelType w:val="hybridMultilevel"/>
    <w:tmpl w:val="84B0C7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47AE0EF8"/>
    <w:multiLevelType w:val="hybridMultilevel"/>
    <w:tmpl w:val="D370209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nsid w:val="4AC70860"/>
    <w:multiLevelType w:val="hybridMultilevel"/>
    <w:tmpl w:val="FF5E7920"/>
    <w:lvl w:ilvl="0" w:tplc="04180003">
      <w:start w:val="1"/>
      <w:numFmt w:val="bullet"/>
      <w:lvlText w:val=""/>
      <w:lvlJc w:val="left"/>
      <w:pPr>
        <w:tabs>
          <w:tab w:val="num" w:pos="720"/>
        </w:tabs>
        <w:ind w:left="720" w:hanging="360"/>
      </w:pPr>
      <w:rPr>
        <w:rFonts w:ascii="Wingdings" w:hAnsi="Wingdings" w:hint="default"/>
      </w:rPr>
    </w:lvl>
    <w:lvl w:ilvl="1" w:tplc="AFCA5A0E" w:tentative="1">
      <w:start w:val="1"/>
      <w:numFmt w:val="bullet"/>
      <w:lvlText w:val="•"/>
      <w:lvlJc w:val="left"/>
      <w:pPr>
        <w:tabs>
          <w:tab w:val="num" w:pos="1440"/>
        </w:tabs>
        <w:ind w:left="1440" w:hanging="360"/>
      </w:pPr>
      <w:rPr>
        <w:rFonts w:ascii="Arial" w:hAnsi="Arial" w:hint="default"/>
      </w:rPr>
    </w:lvl>
    <w:lvl w:ilvl="2" w:tplc="4F6EBF32" w:tentative="1">
      <w:start w:val="1"/>
      <w:numFmt w:val="bullet"/>
      <w:lvlText w:val="•"/>
      <w:lvlJc w:val="left"/>
      <w:pPr>
        <w:tabs>
          <w:tab w:val="num" w:pos="2160"/>
        </w:tabs>
        <w:ind w:left="2160" w:hanging="360"/>
      </w:pPr>
      <w:rPr>
        <w:rFonts w:ascii="Arial" w:hAnsi="Arial" w:hint="default"/>
      </w:rPr>
    </w:lvl>
    <w:lvl w:ilvl="3" w:tplc="9CE81396" w:tentative="1">
      <w:start w:val="1"/>
      <w:numFmt w:val="bullet"/>
      <w:lvlText w:val="•"/>
      <w:lvlJc w:val="left"/>
      <w:pPr>
        <w:tabs>
          <w:tab w:val="num" w:pos="2880"/>
        </w:tabs>
        <w:ind w:left="2880" w:hanging="360"/>
      </w:pPr>
      <w:rPr>
        <w:rFonts w:ascii="Arial" w:hAnsi="Arial" w:hint="default"/>
      </w:rPr>
    </w:lvl>
    <w:lvl w:ilvl="4" w:tplc="E6A26AA2" w:tentative="1">
      <w:start w:val="1"/>
      <w:numFmt w:val="bullet"/>
      <w:lvlText w:val="•"/>
      <w:lvlJc w:val="left"/>
      <w:pPr>
        <w:tabs>
          <w:tab w:val="num" w:pos="3600"/>
        </w:tabs>
        <w:ind w:left="3600" w:hanging="360"/>
      </w:pPr>
      <w:rPr>
        <w:rFonts w:ascii="Arial" w:hAnsi="Arial" w:hint="default"/>
      </w:rPr>
    </w:lvl>
    <w:lvl w:ilvl="5" w:tplc="50B80992" w:tentative="1">
      <w:start w:val="1"/>
      <w:numFmt w:val="bullet"/>
      <w:lvlText w:val="•"/>
      <w:lvlJc w:val="left"/>
      <w:pPr>
        <w:tabs>
          <w:tab w:val="num" w:pos="4320"/>
        </w:tabs>
        <w:ind w:left="4320" w:hanging="360"/>
      </w:pPr>
      <w:rPr>
        <w:rFonts w:ascii="Arial" w:hAnsi="Arial" w:hint="default"/>
      </w:rPr>
    </w:lvl>
    <w:lvl w:ilvl="6" w:tplc="82A69F2A" w:tentative="1">
      <w:start w:val="1"/>
      <w:numFmt w:val="bullet"/>
      <w:lvlText w:val="•"/>
      <w:lvlJc w:val="left"/>
      <w:pPr>
        <w:tabs>
          <w:tab w:val="num" w:pos="5040"/>
        </w:tabs>
        <w:ind w:left="5040" w:hanging="360"/>
      </w:pPr>
      <w:rPr>
        <w:rFonts w:ascii="Arial" w:hAnsi="Arial" w:hint="default"/>
      </w:rPr>
    </w:lvl>
    <w:lvl w:ilvl="7" w:tplc="B08A2470" w:tentative="1">
      <w:start w:val="1"/>
      <w:numFmt w:val="bullet"/>
      <w:lvlText w:val="•"/>
      <w:lvlJc w:val="left"/>
      <w:pPr>
        <w:tabs>
          <w:tab w:val="num" w:pos="5760"/>
        </w:tabs>
        <w:ind w:left="5760" w:hanging="360"/>
      </w:pPr>
      <w:rPr>
        <w:rFonts w:ascii="Arial" w:hAnsi="Arial" w:hint="default"/>
      </w:rPr>
    </w:lvl>
    <w:lvl w:ilvl="8" w:tplc="489AA876" w:tentative="1">
      <w:start w:val="1"/>
      <w:numFmt w:val="bullet"/>
      <w:lvlText w:val="•"/>
      <w:lvlJc w:val="left"/>
      <w:pPr>
        <w:tabs>
          <w:tab w:val="num" w:pos="6480"/>
        </w:tabs>
        <w:ind w:left="6480" w:hanging="360"/>
      </w:pPr>
      <w:rPr>
        <w:rFonts w:ascii="Arial" w:hAnsi="Arial" w:hint="default"/>
      </w:rPr>
    </w:lvl>
  </w:abstractNum>
  <w:abstractNum w:abstractNumId="70">
    <w:nsid w:val="4BCF0992"/>
    <w:multiLevelType w:val="hybridMultilevel"/>
    <w:tmpl w:val="97FC4CA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4BDA1FD2"/>
    <w:multiLevelType w:val="hybridMultilevel"/>
    <w:tmpl w:val="FB4887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675E0D30">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4D4D4F20"/>
    <w:multiLevelType w:val="hybridMultilevel"/>
    <w:tmpl w:val="8F0A15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4FB76BC5"/>
    <w:multiLevelType w:val="hybridMultilevel"/>
    <w:tmpl w:val="317E1B4C"/>
    <w:lvl w:ilvl="0" w:tplc="0C184FA6">
      <w:start w:val="1"/>
      <w:numFmt w:val="decimal"/>
      <w:lvlText w:val="%1."/>
      <w:lvlJc w:val="left"/>
      <w:pPr>
        <w:ind w:left="720" w:hanging="360"/>
      </w:pPr>
      <w:rPr>
        <w:color w:val="auto"/>
      </w:r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start w:val="1"/>
      <w:numFmt w:val="decimal"/>
      <w:lvlText w:val="%4."/>
      <w:lvlJc w:val="left"/>
      <w:pPr>
        <w:ind w:left="2880" w:hanging="360"/>
      </w:pPr>
    </w:lvl>
    <w:lvl w:ilvl="4" w:tplc="040E0019">
      <w:start w:val="1"/>
      <w:numFmt w:val="lowerLetter"/>
      <w:lvlText w:val="%5."/>
      <w:lvlJc w:val="left"/>
      <w:pPr>
        <w:ind w:left="3600" w:hanging="360"/>
      </w:pPr>
    </w:lvl>
    <w:lvl w:ilvl="5" w:tplc="040E001B">
      <w:start w:val="1"/>
      <w:numFmt w:val="lowerRoman"/>
      <w:lvlText w:val="%6."/>
      <w:lvlJc w:val="right"/>
      <w:pPr>
        <w:ind w:left="4320" w:hanging="180"/>
      </w:pPr>
    </w:lvl>
    <w:lvl w:ilvl="6" w:tplc="040E000F">
      <w:start w:val="1"/>
      <w:numFmt w:val="decimal"/>
      <w:lvlText w:val="%7."/>
      <w:lvlJc w:val="left"/>
      <w:pPr>
        <w:ind w:left="5040" w:hanging="360"/>
      </w:pPr>
    </w:lvl>
    <w:lvl w:ilvl="7" w:tplc="040E0019">
      <w:start w:val="1"/>
      <w:numFmt w:val="lowerLetter"/>
      <w:lvlText w:val="%8."/>
      <w:lvlJc w:val="left"/>
      <w:pPr>
        <w:ind w:left="5760" w:hanging="360"/>
      </w:pPr>
    </w:lvl>
    <w:lvl w:ilvl="8" w:tplc="040E001B">
      <w:start w:val="1"/>
      <w:numFmt w:val="lowerRoman"/>
      <w:lvlText w:val="%9."/>
      <w:lvlJc w:val="right"/>
      <w:pPr>
        <w:ind w:left="6480" w:hanging="180"/>
      </w:pPr>
    </w:lvl>
  </w:abstractNum>
  <w:abstractNum w:abstractNumId="74">
    <w:nsid w:val="52193DAC"/>
    <w:multiLevelType w:val="hybridMultilevel"/>
    <w:tmpl w:val="6F72D02E"/>
    <w:lvl w:ilvl="0" w:tplc="8068783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56251612"/>
    <w:multiLevelType w:val="hybridMultilevel"/>
    <w:tmpl w:val="A9408CB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567B6CE6"/>
    <w:multiLevelType w:val="hybridMultilevel"/>
    <w:tmpl w:val="2A8CBAFE"/>
    <w:lvl w:ilvl="0" w:tplc="8068783C">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7">
    <w:nsid w:val="57CA3142"/>
    <w:multiLevelType w:val="hybridMultilevel"/>
    <w:tmpl w:val="C9E885C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580628F3"/>
    <w:multiLevelType w:val="hybridMultilevel"/>
    <w:tmpl w:val="F2B468C2"/>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9">
    <w:nsid w:val="59820629"/>
    <w:multiLevelType w:val="hybridMultilevel"/>
    <w:tmpl w:val="26C2506A"/>
    <w:lvl w:ilvl="0" w:tplc="22C086F0">
      <w:start w:val="1"/>
      <w:numFmt w:val="bullet"/>
      <w:lvlText w:val=""/>
      <w:lvlJc w:val="left"/>
      <w:pPr>
        <w:ind w:left="1080" w:hanging="360"/>
      </w:pPr>
      <w:rPr>
        <w:rFonts w:ascii="Wingdings" w:hAnsi="Wingdings" w:hint="default"/>
        <w:b/>
        <w:i w:val="0"/>
        <w:color w:val="0070C0"/>
        <w:sz w:val="24"/>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0">
    <w:nsid w:val="5C2C6041"/>
    <w:multiLevelType w:val="hybridMultilevel"/>
    <w:tmpl w:val="BDCA91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5DC0671B"/>
    <w:multiLevelType w:val="hybridMultilevel"/>
    <w:tmpl w:val="A5DEB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5E3553A7"/>
    <w:multiLevelType w:val="hybridMultilevel"/>
    <w:tmpl w:val="EDE4FD2E"/>
    <w:lvl w:ilvl="0" w:tplc="8068783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607D74BB"/>
    <w:multiLevelType w:val="hybridMultilevel"/>
    <w:tmpl w:val="E1F40D3C"/>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84">
    <w:nsid w:val="618B6DEC"/>
    <w:multiLevelType w:val="hybridMultilevel"/>
    <w:tmpl w:val="78FE42C4"/>
    <w:lvl w:ilvl="0" w:tplc="A800B282">
      <w:start w:val="1"/>
      <w:numFmt w:val="bullet"/>
      <w:lvlText w:val=""/>
      <w:lvlJc w:val="left"/>
      <w:pPr>
        <w:tabs>
          <w:tab w:val="num" w:pos="720"/>
        </w:tabs>
        <w:ind w:left="720" w:hanging="360"/>
      </w:pPr>
      <w:rPr>
        <w:rFonts w:ascii="Wingdings" w:hAnsi="Wingdings" w:hint="default"/>
      </w:rPr>
    </w:lvl>
    <w:lvl w:ilvl="1" w:tplc="BB10F4B2" w:tentative="1">
      <w:start w:val="1"/>
      <w:numFmt w:val="bullet"/>
      <w:lvlText w:val=""/>
      <w:lvlJc w:val="left"/>
      <w:pPr>
        <w:tabs>
          <w:tab w:val="num" w:pos="1440"/>
        </w:tabs>
        <w:ind w:left="1440" w:hanging="360"/>
      </w:pPr>
      <w:rPr>
        <w:rFonts w:ascii="Wingdings" w:hAnsi="Wingdings" w:hint="default"/>
      </w:rPr>
    </w:lvl>
    <w:lvl w:ilvl="2" w:tplc="0DE8E11E" w:tentative="1">
      <w:start w:val="1"/>
      <w:numFmt w:val="bullet"/>
      <w:lvlText w:val=""/>
      <w:lvlJc w:val="left"/>
      <w:pPr>
        <w:tabs>
          <w:tab w:val="num" w:pos="2160"/>
        </w:tabs>
        <w:ind w:left="2160" w:hanging="360"/>
      </w:pPr>
      <w:rPr>
        <w:rFonts w:ascii="Wingdings" w:hAnsi="Wingdings" w:hint="default"/>
      </w:rPr>
    </w:lvl>
    <w:lvl w:ilvl="3" w:tplc="BA443328" w:tentative="1">
      <w:start w:val="1"/>
      <w:numFmt w:val="bullet"/>
      <w:lvlText w:val=""/>
      <w:lvlJc w:val="left"/>
      <w:pPr>
        <w:tabs>
          <w:tab w:val="num" w:pos="2880"/>
        </w:tabs>
        <w:ind w:left="2880" w:hanging="360"/>
      </w:pPr>
      <w:rPr>
        <w:rFonts w:ascii="Wingdings" w:hAnsi="Wingdings" w:hint="default"/>
      </w:rPr>
    </w:lvl>
    <w:lvl w:ilvl="4" w:tplc="CC64B060" w:tentative="1">
      <w:start w:val="1"/>
      <w:numFmt w:val="bullet"/>
      <w:lvlText w:val=""/>
      <w:lvlJc w:val="left"/>
      <w:pPr>
        <w:tabs>
          <w:tab w:val="num" w:pos="3600"/>
        </w:tabs>
        <w:ind w:left="3600" w:hanging="360"/>
      </w:pPr>
      <w:rPr>
        <w:rFonts w:ascii="Wingdings" w:hAnsi="Wingdings" w:hint="default"/>
      </w:rPr>
    </w:lvl>
    <w:lvl w:ilvl="5" w:tplc="EABE3FD4" w:tentative="1">
      <w:start w:val="1"/>
      <w:numFmt w:val="bullet"/>
      <w:lvlText w:val=""/>
      <w:lvlJc w:val="left"/>
      <w:pPr>
        <w:tabs>
          <w:tab w:val="num" w:pos="4320"/>
        </w:tabs>
        <w:ind w:left="4320" w:hanging="360"/>
      </w:pPr>
      <w:rPr>
        <w:rFonts w:ascii="Wingdings" w:hAnsi="Wingdings" w:hint="default"/>
      </w:rPr>
    </w:lvl>
    <w:lvl w:ilvl="6" w:tplc="380C8564" w:tentative="1">
      <w:start w:val="1"/>
      <w:numFmt w:val="bullet"/>
      <w:lvlText w:val=""/>
      <w:lvlJc w:val="left"/>
      <w:pPr>
        <w:tabs>
          <w:tab w:val="num" w:pos="5040"/>
        </w:tabs>
        <w:ind w:left="5040" w:hanging="360"/>
      </w:pPr>
      <w:rPr>
        <w:rFonts w:ascii="Wingdings" w:hAnsi="Wingdings" w:hint="default"/>
      </w:rPr>
    </w:lvl>
    <w:lvl w:ilvl="7" w:tplc="E0A24072" w:tentative="1">
      <w:start w:val="1"/>
      <w:numFmt w:val="bullet"/>
      <w:lvlText w:val=""/>
      <w:lvlJc w:val="left"/>
      <w:pPr>
        <w:tabs>
          <w:tab w:val="num" w:pos="5760"/>
        </w:tabs>
        <w:ind w:left="5760" w:hanging="360"/>
      </w:pPr>
      <w:rPr>
        <w:rFonts w:ascii="Wingdings" w:hAnsi="Wingdings" w:hint="default"/>
      </w:rPr>
    </w:lvl>
    <w:lvl w:ilvl="8" w:tplc="B1EAE678" w:tentative="1">
      <w:start w:val="1"/>
      <w:numFmt w:val="bullet"/>
      <w:lvlText w:val=""/>
      <w:lvlJc w:val="left"/>
      <w:pPr>
        <w:tabs>
          <w:tab w:val="num" w:pos="6480"/>
        </w:tabs>
        <w:ind w:left="6480" w:hanging="360"/>
      </w:pPr>
      <w:rPr>
        <w:rFonts w:ascii="Wingdings" w:hAnsi="Wingdings" w:hint="default"/>
      </w:rPr>
    </w:lvl>
  </w:abstractNum>
  <w:abstractNum w:abstractNumId="85">
    <w:nsid w:val="61997932"/>
    <w:multiLevelType w:val="hybridMultilevel"/>
    <w:tmpl w:val="2DC2AFD2"/>
    <w:lvl w:ilvl="0" w:tplc="03120DF6">
      <w:start w:val="1"/>
      <w:numFmt w:val="bullet"/>
      <w:suff w:val="space"/>
      <w:lvlText w:val=""/>
      <w:lvlJc w:val="left"/>
      <w:pPr>
        <w:ind w:left="360" w:hanging="360"/>
      </w:pPr>
      <w:rPr>
        <w:rFonts w:ascii="Wingdings" w:hAnsi="Wingdings" w:hint="default"/>
      </w:rPr>
    </w:lvl>
    <w:lvl w:ilvl="1" w:tplc="040E0003">
      <w:start w:val="1"/>
      <w:numFmt w:val="decimal"/>
      <w:lvlText w:val="%2."/>
      <w:lvlJc w:val="left"/>
      <w:pPr>
        <w:tabs>
          <w:tab w:val="num" w:pos="1440"/>
        </w:tabs>
        <w:ind w:left="1440" w:hanging="360"/>
      </w:pPr>
    </w:lvl>
    <w:lvl w:ilvl="2" w:tplc="040E0005">
      <w:start w:val="1"/>
      <w:numFmt w:val="decimal"/>
      <w:lvlText w:val="%3."/>
      <w:lvlJc w:val="left"/>
      <w:pPr>
        <w:tabs>
          <w:tab w:val="num" w:pos="2160"/>
        </w:tabs>
        <w:ind w:left="2160" w:hanging="360"/>
      </w:pPr>
    </w:lvl>
    <w:lvl w:ilvl="3" w:tplc="040E0001">
      <w:start w:val="1"/>
      <w:numFmt w:val="decimal"/>
      <w:lvlText w:val="%4."/>
      <w:lvlJc w:val="left"/>
      <w:pPr>
        <w:tabs>
          <w:tab w:val="num" w:pos="2880"/>
        </w:tabs>
        <w:ind w:left="2880" w:hanging="360"/>
      </w:pPr>
    </w:lvl>
    <w:lvl w:ilvl="4" w:tplc="040E0003">
      <w:start w:val="1"/>
      <w:numFmt w:val="decimal"/>
      <w:lvlText w:val="%5."/>
      <w:lvlJc w:val="left"/>
      <w:pPr>
        <w:tabs>
          <w:tab w:val="num" w:pos="3600"/>
        </w:tabs>
        <w:ind w:left="3600" w:hanging="360"/>
      </w:pPr>
    </w:lvl>
    <w:lvl w:ilvl="5" w:tplc="040E0005">
      <w:start w:val="1"/>
      <w:numFmt w:val="decimal"/>
      <w:lvlText w:val="%6."/>
      <w:lvlJc w:val="left"/>
      <w:pPr>
        <w:tabs>
          <w:tab w:val="num" w:pos="4320"/>
        </w:tabs>
        <w:ind w:left="4320" w:hanging="360"/>
      </w:pPr>
    </w:lvl>
    <w:lvl w:ilvl="6" w:tplc="040E0001">
      <w:start w:val="1"/>
      <w:numFmt w:val="decimal"/>
      <w:lvlText w:val="%7."/>
      <w:lvlJc w:val="left"/>
      <w:pPr>
        <w:tabs>
          <w:tab w:val="num" w:pos="5040"/>
        </w:tabs>
        <w:ind w:left="5040" w:hanging="360"/>
      </w:pPr>
    </w:lvl>
    <w:lvl w:ilvl="7" w:tplc="040E0003">
      <w:start w:val="1"/>
      <w:numFmt w:val="decimal"/>
      <w:lvlText w:val="%8."/>
      <w:lvlJc w:val="left"/>
      <w:pPr>
        <w:tabs>
          <w:tab w:val="num" w:pos="5760"/>
        </w:tabs>
        <w:ind w:left="5760" w:hanging="360"/>
      </w:pPr>
    </w:lvl>
    <w:lvl w:ilvl="8" w:tplc="040E0005">
      <w:start w:val="1"/>
      <w:numFmt w:val="decimal"/>
      <w:lvlText w:val="%9."/>
      <w:lvlJc w:val="left"/>
      <w:pPr>
        <w:tabs>
          <w:tab w:val="num" w:pos="6480"/>
        </w:tabs>
        <w:ind w:left="6480" w:hanging="360"/>
      </w:pPr>
    </w:lvl>
  </w:abstractNum>
  <w:abstractNum w:abstractNumId="86">
    <w:nsid w:val="619D1A31"/>
    <w:multiLevelType w:val="hybridMultilevel"/>
    <w:tmpl w:val="BF7ECF22"/>
    <w:lvl w:ilvl="0" w:tplc="0409000F">
      <w:start w:val="1"/>
      <w:numFmt w:val="decimal"/>
      <w:lvlText w:val="%1."/>
      <w:lvlJc w:val="left"/>
      <w:pPr>
        <w:ind w:left="774" w:hanging="360"/>
      </w:pPr>
      <w:rPr>
        <w:rFonts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87">
    <w:nsid w:val="641C5528"/>
    <w:multiLevelType w:val="hybridMultilevel"/>
    <w:tmpl w:val="0840D1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646968B6"/>
    <w:multiLevelType w:val="hybridMultilevel"/>
    <w:tmpl w:val="B23AEFA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68B8245F"/>
    <w:multiLevelType w:val="hybridMultilevel"/>
    <w:tmpl w:val="093ECCC4"/>
    <w:lvl w:ilvl="0" w:tplc="66EABBB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nsid w:val="68FB38DA"/>
    <w:multiLevelType w:val="hybridMultilevel"/>
    <w:tmpl w:val="6054149C"/>
    <w:lvl w:ilvl="0" w:tplc="C25A8FCA">
      <w:start w:val="1"/>
      <w:numFmt w:val="lowerLetter"/>
      <w:pStyle w:val="Heading5"/>
      <w:lvlText w:val="%1)"/>
      <w:lvlJc w:val="left"/>
      <w:pPr>
        <w:ind w:left="1211" w:hanging="360"/>
      </w:pPr>
      <w:rPr>
        <w:rFonts w:ascii="Calibri" w:hAnsi="Calibri" w:hint="default"/>
        <w:sz w:val="22"/>
      </w:rPr>
    </w:lvl>
    <w:lvl w:ilvl="1" w:tplc="040C0019" w:tentative="1">
      <w:start w:val="1"/>
      <w:numFmt w:val="lowerLetter"/>
      <w:lvlText w:val="%2."/>
      <w:lvlJc w:val="left"/>
      <w:pPr>
        <w:ind w:left="1931" w:hanging="360"/>
      </w:pPr>
    </w:lvl>
    <w:lvl w:ilvl="2" w:tplc="040C001B" w:tentative="1">
      <w:start w:val="1"/>
      <w:numFmt w:val="lowerRoman"/>
      <w:lvlText w:val="%3."/>
      <w:lvlJc w:val="right"/>
      <w:pPr>
        <w:ind w:left="2651" w:hanging="180"/>
      </w:pPr>
    </w:lvl>
    <w:lvl w:ilvl="3" w:tplc="040C000F" w:tentative="1">
      <w:start w:val="1"/>
      <w:numFmt w:val="decimal"/>
      <w:lvlText w:val="%4."/>
      <w:lvlJc w:val="left"/>
      <w:pPr>
        <w:ind w:left="3371" w:hanging="360"/>
      </w:pPr>
    </w:lvl>
    <w:lvl w:ilvl="4" w:tplc="040C0019" w:tentative="1">
      <w:start w:val="1"/>
      <w:numFmt w:val="lowerLetter"/>
      <w:lvlText w:val="%5."/>
      <w:lvlJc w:val="left"/>
      <w:pPr>
        <w:ind w:left="4091" w:hanging="360"/>
      </w:pPr>
    </w:lvl>
    <w:lvl w:ilvl="5" w:tplc="040C001B" w:tentative="1">
      <w:start w:val="1"/>
      <w:numFmt w:val="lowerRoman"/>
      <w:lvlText w:val="%6."/>
      <w:lvlJc w:val="right"/>
      <w:pPr>
        <w:ind w:left="4811" w:hanging="180"/>
      </w:pPr>
    </w:lvl>
    <w:lvl w:ilvl="6" w:tplc="040C000F" w:tentative="1">
      <w:start w:val="1"/>
      <w:numFmt w:val="decimal"/>
      <w:lvlText w:val="%7."/>
      <w:lvlJc w:val="left"/>
      <w:pPr>
        <w:ind w:left="5531" w:hanging="360"/>
      </w:pPr>
    </w:lvl>
    <w:lvl w:ilvl="7" w:tplc="040C0019" w:tentative="1">
      <w:start w:val="1"/>
      <w:numFmt w:val="lowerLetter"/>
      <w:lvlText w:val="%8."/>
      <w:lvlJc w:val="left"/>
      <w:pPr>
        <w:ind w:left="6251" w:hanging="360"/>
      </w:pPr>
    </w:lvl>
    <w:lvl w:ilvl="8" w:tplc="040C001B" w:tentative="1">
      <w:start w:val="1"/>
      <w:numFmt w:val="lowerRoman"/>
      <w:lvlText w:val="%9."/>
      <w:lvlJc w:val="right"/>
      <w:pPr>
        <w:ind w:left="6971" w:hanging="180"/>
      </w:pPr>
    </w:lvl>
  </w:abstractNum>
  <w:abstractNum w:abstractNumId="91">
    <w:nsid w:val="6949725F"/>
    <w:multiLevelType w:val="hybridMultilevel"/>
    <w:tmpl w:val="84B0C7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69F813FC"/>
    <w:multiLevelType w:val="hybridMultilevel"/>
    <w:tmpl w:val="CAE2C650"/>
    <w:lvl w:ilvl="0" w:tplc="04090001">
      <w:start w:val="1"/>
      <w:numFmt w:val="bullet"/>
      <w:pStyle w:val="ListParagraph2"/>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93">
    <w:nsid w:val="6AAF0263"/>
    <w:multiLevelType w:val="hybridMultilevel"/>
    <w:tmpl w:val="6C0EC7E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4">
    <w:nsid w:val="71953C17"/>
    <w:multiLevelType w:val="hybridMultilevel"/>
    <w:tmpl w:val="D78CD44E"/>
    <w:lvl w:ilvl="0" w:tplc="570AAEAC">
      <w:start w:val="1"/>
      <w:numFmt w:val="bullet"/>
      <w:lvlText w:val=""/>
      <w:lvlJc w:val="left"/>
      <w:pPr>
        <w:tabs>
          <w:tab w:val="num" w:pos="720"/>
        </w:tabs>
        <w:ind w:left="720" w:hanging="360"/>
      </w:pPr>
      <w:rPr>
        <w:rFonts w:ascii="Wingdings" w:hAnsi="Wingdings" w:hint="default"/>
      </w:rPr>
    </w:lvl>
    <w:lvl w:ilvl="1" w:tplc="676C17CE" w:tentative="1">
      <w:start w:val="1"/>
      <w:numFmt w:val="bullet"/>
      <w:lvlText w:val=""/>
      <w:lvlJc w:val="left"/>
      <w:pPr>
        <w:tabs>
          <w:tab w:val="num" w:pos="1440"/>
        </w:tabs>
        <w:ind w:left="1440" w:hanging="360"/>
      </w:pPr>
      <w:rPr>
        <w:rFonts w:ascii="Wingdings" w:hAnsi="Wingdings" w:hint="default"/>
      </w:rPr>
    </w:lvl>
    <w:lvl w:ilvl="2" w:tplc="77846BDA" w:tentative="1">
      <w:start w:val="1"/>
      <w:numFmt w:val="bullet"/>
      <w:lvlText w:val=""/>
      <w:lvlJc w:val="left"/>
      <w:pPr>
        <w:tabs>
          <w:tab w:val="num" w:pos="2160"/>
        </w:tabs>
        <w:ind w:left="2160" w:hanging="360"/>
      </w:pPr>
      <w:rPr>
        <w:rFonts w:ascii="Wingdings" w:hAnsi="Wingdings" w:hint="default"/>
      </w:rPr>
    </w:lvl>
    <w:lvl w:ilvl="3" w:tplc="0D5E451E" w:tentative="1">
      <w:start w:val="1"/>
      <w:numFmt w:val="bullet"/>
      <w:lvlText w:val=""/>
      <w:lvlJc w:val="left"/>
      <w:pPr>
        <w:tabs>
          <w:tab w:val="num" w:pos="2880"/>
        </w:tabs>
        <w:ind w:left="2880" w:hanging="360"/>
      </w:pPr>
      <w:rPr>
        <w:rFonts w:ascii="Wingdings" w:hAnsi="Wingdings" w:hint="default"/>
      </w:rPr>
    </w:lvl>
    <w:lvl w:ilvl="4" w:tplc="FE2C8446" w:tentative="1">
      <w:start w:val="1"/>
      <w:numFmt w:val="bullet"/>
      <w:lvlText w:val=""/>
      <w:lvlJc w:val="left"/>
      <w:pPr>
        <w:tabs>
          <w:tab w:val="num" w:pos="3600"/>
        </w:tabs>
        <w:ind w:left="3600" w:hanging="360"/>
      </w:pPr>
      <w:rPr>
        <w:rFonts w:ascii="Wingdings" w:hAnsi="Wingdings" w:hint="default"/>
      </w:rPr>
    </w:lvl>
    <w:lvl w:ilvl="5" w:tplc="157223F2" w:tentative="1">
      <w:start w:val="1"/>
      <w:numFmt w:val="bullet"/>
      <w:lvlText w:val=""/>
      <w:lvlJc w:val="left"/>
      <w:pPr>
        <w:tabs>
          <w:tab w:val="num" w:pos="4320"/>
        </w:tabs>
        <w:ind w:left="4320" w:hanging="360"/>
      </w:pPr>
      <w:rPr>
        <w:rFonts w:ascii="Wingdings" w:hAnsi="Wingdings" w:hint="default"/>
      </w:rPr>
    </w:lvl>
    <w:lvl w:ilvl="6" w:tplc="4AEEF9A6" w:tentative="1">
      <w:start w:val="1"/>
      <w:numFmt w:val="bullet"/>
      <w:lvlText w:val=""/>
      <w:lvlJc w:val="left"/>
      <w:pPr>
        <w:tabs>
          <w:tab w:val="num" w:pos="5040"/>
        </w:tabs>
        <w:ind w:left="5040" w:hanging="360"/>
      </w:pPr>
      <w:rPr>
        <w:rFonts w:ascii="Wingdings" w:hAnsi="Wingdings" w:hint="default"/>
      </w:rPr>
    </w:lvl>
    <w:lvl w:ilvl="7" w:tplc="D7E62A66" w:tentative="1">
      <w:start w:val="1"/>
      <w:numFmt w:val="bullet"/>
      <w:lvlText w:val=""/>
      <w:lvlJc w:val="left"/>
      <w:pPr>
        <w:tabs>
          <w:tab w:val="num" w:pos="5760"/>
        </w:tabs>
        <w:ind w:left="5760" w:hanging="360"/>
      </w:pPr>
      <w:rPr>
        <w:rFonts w:ascii="Wingdings" w:hAnsi="Wingdings" w:hint="default"/>
      </w:rPr>
    </w:lvl>
    <w:lvl w:ilvl="8" w:tplc="F6689C04" w:tentative="1">
      <w:start w:val="1"/>
      <w:numFmt w:val="bullet"/>
      <w:lvlText w:val=""/>
      <w:lvlJc w:val="left"/>
      <w:pPr>
        <w:tabs>
          <w:tab w:val="num" w:pos="6480"/>
        </w:tabs>
        <w:ind w:left="6480" w:hanging="360"/>
      </w:pPr>
      <w:rPr>
        <w:rFonts w:ascii="Wingdings" w:hAnsi="Wingdings" w:hint="default"/>
      </w:rPr>
    </w:lvl>
  </w:abstractNum>
  <w:abstractNum w:abstractNumId="95">
    <w:nsid w:val="727D7A15"/>
    <w:multiLevelType w:val="hybridMultilevel"/>
    <w:tmpl w:val="9536ACD0"/>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nsid w:val="734B492B"/>
    <w:multiLevelType w:val="hybridMultilevel"/>
    <w:tmpl w:val="6AB03CC8"/>
    <w:lvl w:ilvl="0" w:tplc="195C66B0">
      <w:start w:val="1"/>
      <w:numFmt w:val="upperLetter"/>
      <w:pStyle w:val="Heading2"/>
      <w:lvlText w:val="%1."/>
      <w:lvlJc w:val="left"/>
      <w:pPr>
        <w:ind w:left="757" w:hanging="360"/>
      </w:pPr>
      <w:rPr>
        <w:rFonts w:ascii="Calibri" w:hAnsi="Calibri" w:hint="default"/>
        <w:b/>
        <w:i w:val="0"/>
        <w:color w:val="365F91"/>
        <w:sz w:val="28"/>
      </w:rPr>
    </w:lvl>
    <w:lvl w:ilvl="1" w:tplc="04180003">
      <w:start w:val="1"/>
      <w:numFmt w:val="lowerLetter"/>
      <w:lvlText w:val="%2."/>
      <w:lvlJc w:val="left"/>
      <w:pPr>
        <w:ind w:left="1440" w:hanging="360"/>
      </w:pPr>
    </w:lvl>
    <w:lvl w:ilvl="2" w:tplc="04180005" w:tentative="1">
      <w:start w:val="1"/>
      <w:numFmt w:val="lowerRoman"/>
      <w:lvlText w:val="%3."/>
      <w:lvlJc w:val="right"/>
      <w:pPr>
        <w:ind w:left="2160" w:hanging="180"/>
      </w:pPr>
    </w:lvl>
    <w:lvl w:ilvl="3" w:tplc="04180001" w:tentative="1">
      <w:start w:val="1"/>
      <w:numFmt w:val="decimal"/>
      <w:lvlText w:val="%4."/>
      <w:lvlJc w:val="left"/>
      <w:pPr>
        <w:ind w:left="2880" w:hanging="360"/>
      </w:pPr>
    </w:lvl>
    <w:lvl w:ilvl="4" w:tplc="04180003" w:tentative="1">
      <w:start w:val="1"/>
      <w:numFmt w:val="lowerLetter"/>
      <w:lvlText w:val="%5."/>
      <w:lvlJc w:val="left"/>
      <w:pPr>
        <w:ind w:left="3600" w:hanging="360"/>
      </w:pPr>
    </w:lvl>
    <w:lvl w:ilvl="5" w:tplc="04180005" w:tentative="1">
      <w:start w:val="1"/>
      <w:numFmt w:val="lowerRoman"/>
      <w:lvlText w:val="%6."/>
      <w:lvlJc w:val="right"/>
      <w:pPr>
        <w:ind w:left="4320" w:hanging="180"/>
      </w:pPr>
    </w:lvl>
    <w:lvl w:ilvl="6" w:tplc="04180001" w:tentative="1">
      <w:start w:val="1"/>
      <w:numFmt w:val="decimal"/>
      <w:lvlText w:val="%7."/>
      <w:lvlJc w:val="left"/>
      <w:pPr>
        <w:ind w:left="5040" w:hanging="360"/>
      </w:pPr>
    </w:lvl>
    <w:lvl w:ilvl="7" w:tplc="04180003" w:tentative="1">
      <w:start w:val="1"/>
      <w:numFmt w:val="lowerLetter"/>
      <w:lvlText w:val="%8."/>
      <w:lvlJc w:val="left"/>
      <w:pPr>
        <w:ind w:left="5760" w:hanging="360"/>
      </w:pPr>
    </w:lvl>
    <w:lvl w:ilvl="8" w:tplc="04180005" w:tentative="1">
      <w:start w:val="1"/>
      <w:numFmt w:val="lowerRoman"/>
      <w:lvlText w:val="%9."/>
      <w:lvlJc w:val="right"/>
      <w:pPr>
        <w:ind w:left="6480" w:hanging="180"/>
      </w:pPr>
    </w:lvl>
  </w:abstractNum>
  <w:abstractNum w:abstractNumId="97">
    <w:nsid w:val="7468133F"/>
    <w:multiLevelType w:val="hybridMultilevel"/>
    <w:tmpl w:val="317E1B4C"/>
    <w:lvl w:ilvl="0" w:tplc="0C184FA6">
      <w:start w:val="1"/>
      <w:numFmt w:val="decimal"/>
      <w:lvlText w:val="%1."/>
      <w:lvlJc w:val="left"/>
      <w:pPr>
        <w:ind w:left="720" w:hanging="360"/>
      </w:pPr>
      <w:rPr>
        <w:color w:val="auto"/>
      </w:r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start w:val="1"/>
      <w:numFmt w:val="decimal"/>
      <w:lvlText w:val="%4."/>
      <w:lvlJc w:val="left"/>
      <w:pPr>
        <w:ind w:left="2880" w:hanging="360"/>
      </w:pPr>
    </w:lvl>
    <w:lvl w:ilvl="4" w:tplc="040E0019">
      <w:start w:val="1"/>
      <w:numFmt w:val="lowerLetter"/>
      <w:lvlText w:val="%5."/>
      <w:lvlJc w:val="left"/>
      <w:pPr>
        <w:ind w:left="3600" w:hanging="360"/>
      </w:pPr>
    </w:lvl>
    <w:lvl w:ilvl="5" w:tplc="040E001B">
      <w:start w:val="1"/>
      <w:numFmt w:val="lowerRoman"/>
      <w:lvlText w:val="%6."/>
      <w:lvlJc w:val="right"/>
      <w:pPr>
        <w:ind w:left="4320" w:hanging="180"/>
      </w:pPr>
    </w:lvl>
    <w:lvl w:ilvl="6" w:tplc="040E000F">
      <w:start w:val="1"/>
      <w:numFmt w:val="decimal"/>
      <w:lvlText w:val="%7."/>
      <w:lvlJc w:val="left"/>
      <w:pPr>
        <w:ind w:left="5040" w:hanging="360"/>
      </w:pPr>
    </w:lvl>
    <w:lvl w:ilvl="7" w:tplc="040E0019">
      <w:start w:val="1"/>
      <w:numFmt w:val="lowerLetter"/>
      <w:lvlText w:val="%8."/>
      <w:lvlJc w:val="left"/>
      <w:pPr>
        <w:ind w:left="5760" w:hanging="360"/>
      </w:pPr>
    </w:lvl>
    <w:lvl w:ilvl="8" w:tplc="040E001B">
      <w:start w:val="1"/>
      <w:numFmt w:val="lowerRoman"/>
      <w:lvlText w:val="%9."/>
      <w:lvlJc w:val="right"/>
      <w:pPr>
        <w:ind w:left="6480" w:hanging="180"/>
      </w:pPr>
    </w:lvl>
  </w:abstractNum>
  <w:abstractNum w:abstractNumId="98">
    <w:nsid w:val="75FC1290"/>
    <w:multiLevelType w:val="hybridMultilevel"/>
    <w:tmpl w:val="76540B3A"/>
    <w:lvl w:ilvl="0" w:tplc="0C184FA6">
      <w:start w:val="1"/>
      <w:numFmt w:val="decimal"/>
      <w:lvlText w:val="%1."/>
      <w:lvlJc w:val="left"/>
      <w:pPr>
        <w:ind w:left="720" w:hanging="360"/>
      </w:pPr>
      <w:rPr>
        <w:color w:val="auto"/>
      </w:r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start w:val="1"/>
      <w:numFmt w:val="decimal"/>
      <w:lvlText w:val="%4."/>
      <w:lvlJc w:val="left"/>
      <w:pPr>
        <w:ind w:left="2880" w:hanging="360"/>
      </w:pPr>
    </w:lvl>
    <w:lvl w:ilvl="4" w:tplc="040E0019">
      <w:start w:val="1"/>
      <w:numFmt w:val="lowerLetter"/>
      <w:lvlText w:val="%5."/>
      <w:lvlJc w:val="left"/>
      <w:pPr>
        <w:ind w:left="3600" w:hanging="360"/>
      </w:pPr>
    </w:lvl>
    <w:lvl w:ilvl="5" w:tplc="040E001B">
      <w:start w:val="1"/>
      <w:numFmt w:val="lowerRoman"/>
      <w:lvlText w:val="%6."/>
      <w:lvlJc w:val="right"/>
      <w:pPr>
        <w:ind w:left="4320" w:hanging="180"/>
      </w:pPr>
    </w:lvl>
    <w:lvl w:ilvl="6" w:tplc="040E000F">
      <w:start w:val="1"/>
      <w:numFmt w:val="decimal"/>
      <w:lvlText w:val="%7."/>
      <w:lvlJc w:val="left"/>
      <w:pPr>
        <w:ind w:left="5040" w:hanging="360"/>
      </w:pPr>
    </w:lvl>
    <w:lvl w:ilvl="7" w:tplc="040E0019">
      <w:start w:val="1"/>
      <w:numFmt w:val="lowerLetter"/>
      <w:lvlText w:val="%8."/>
      <w:lvlJc w:val="left"/>
      <w:pPr>
        <w:ind w:left="5760" w:hanging="360"/>
      </w:pPr>
    </w:lvl>
    <w:lvl w:ilvl="8" w:tplc="040E001B">
      <w:start w:val="1"/>
      <w:numFmt w:val="lowerRoman"/>
      <w:lvlText w:val="%9."/>
      <w:lvlJc w:val="right"/>
      <w:pPr>
        <w:ind w:left="6480" w:hanging="180"/>
      </w:pPr>
    </w:lvl>
  </w:abstractNum>
  <w:abstractNum w:abstractNumId="99">
    <w:nsid w:val="766C68EC"/>
    <w:multiLevelType w:val="hybridMultilevel"/>
    <w:tmpl w:val="317E1B4C"/>
    <w:lvl w:ilvl="0" w:tplc="0C184FA6">
      <w:start w:val="1"/>
      <w:numFmt w:val="decimal"/>
      <w:lvlText w:val="%1."/>
      <w:lvlJc w:val="left"/>
      <w:pPr>
        <w:ind w:left="720" w:hanging="360"/>
      </w:pPr>
      <w:rPr>
        <w:color w:val="auto"/>
      </w:r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start w:val="1"/>
      <w:numFmt w:val="decimal"/>
      <w:lvlText w:val="%4."/>
      <w:lvlJc w:val="left"/>
      <w:pPr>
        <w:ind w:left="2880" w:hanging="360"/>
      </w:pPr>
    </w:lvl>
    <w:lvl w:ilvl="4" w:tplc="040E0019">
      <w:start w:val="1"/>
      <w:numFmt w:val="lowerLetter"/>
      <w:lvlText w:val="%5."/>
      <w:lvlJc w:val="left"/>
      <w:pPr>
        <w:ind w:left="3600" w:hanging="360"/>
      </w:pPr>
    </w:lvl>
    <w:lvl w:ilvl="5" w:tplc="040E001B">
      <w:start w:val="1"/>
      <w:numFmt w:val="lowerRoman"/>
      <w:lvlText w:val="%6."/>
      <w:lvlJc w:val="right"/>
      <w:pPr>
        <w:ind w:left="4320" w:hanging="180"/>
      </w:pPr>
    </w:lvl>
    <w:lvl w:ilvl="6" w:tplc="040E000F">
      <w:start w:val="1"/>
      <w:numFmt w:val="decimal"/>
      <w:lvlText w:val="%7."/>
      <w:lvlJc w:val="left"/>
      <w:pPr>
        <w:ind w:left="5040" w:hanging="360"/>
      </w:pPr>
    </w:lvl>
    <w:lvl w:ilvl="7" w:tplc="040E0019">
      <w:start w:val="1"/>
      <w:numFmt w:val="lowerLetter"/>
      <w:lvlText w:val="%8."/>
      <w:lvlJc w:val="left"/>
      <w:pPr>
        <w:ind w:left="5760" w:hanging="360"/>
      </w:pPr>
    </w:lvl>
    <w:lvl w:ilvl="8" w:tplc="040E001B">
      <w:start w:val="1"/>
      <w:numFmt w:val="lowerRoman"/>
      <w:lvlText w:val="%9."/>
      <w:lvlJc w:val="right"/>
      <w:pPr>
        <w:ind w:left="6480" w:hanging="180"/>
      </w:pPr>
    </w:lvl>
  </w:abstractNum>
  <w:abstractNum w:abstractNumId="100">
    <w:nsid w:val="7719554E"/>
    <w:multiLevelType w:val="hybridMultilevel"/>
    <w:tmpl w:val="96720C34"/>
    <w:lvl w:ilvl="0" w:tplc="893068BC">
      <w:start w:val="1"/>
      <w:numFmt w:val="decimal"/>
      <w:lvlText w:val="%1."/>
      <w:lvlJc w:val="left"/>
      <w:pPr>
        <w:tabs>
          <w:tab w:val="num" w:pos="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nsid w:val="79964381"/>
    <w:multiLevelType w:val="hybridMultilevel"/>
    <w:tmpl w:val="F0E8975C"/>
    <w:lvl w:ilvl="0" w:tplc="04090001">
      <w:start w:val="1"/>
      <w:numFmt w:val="bullet"/>
      <w:lvlText w:val=""/>
      <w:lvlJc w:val="left"/>
      <w:pPr>
        <w:ind w:left="768" w:hanging="360"/>
      </w:pPr>
      <w:rPr>
        <w:rFonts w:ascii="Symbol" w:hAnsi="Symbol" w:hint="default"/>
      </w:rPr>
    </w:lvl>
    <w:lvl w:ilvl="1" w:tplc="04090003">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02">
    <w:nsid w:val="7D712255"/>
    <w:multiLevelType w:val="hybridMultilevel"/>
    <w:tmpl w:val="7DFED6F2"/>
    <w:lvl w:ilvl="0" w:tplc="22C086F0">
      <w:start w:val="1"/>
      <w:numFmt w:val="bullet"/>
      <w:lvlText w:val=""/>
      <w:lvlJc w:val="left"/>
      <w:pPr>
        <w:ind w:left="720" w:hanging="360"/>
      </w:pPr>
      <w:rPr>
        <w:rFonts w:ascii="Wingdings" w:hAnsi="Wingdings" w:hint="default"/>
        <w:b/>
        <w:i w:val="0"/>
        <w:color w:val="0070C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nsid w:val="7DDD6412"/>
    <w:multiLevelType w:val="hybridMultilevel"/>
    <w:tmpl w:val="8230E650"/>
    <w:lvl w:ilvl="0" w:tplc="8068783C">
      <w:start w:val="1"/>
      <w:numFmt w:val="decimal"/>
      <w:lvlText w:val="%1)"/>
      <w:lvlJc w:val="left"/>
      <w:pPr>
        <w:ind w:left="1440" w:hanging="360"/>
      </w:pPr>
    </w:lvl>
    <w:lvl w:ilvl="1" w:tplc="04090003"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104">
    <w:nsid w:val="7E5439C3"/>
    <w:multiLevelType w:val="hybridMultilevel"/>
    <w:tmpl w:val="7F520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7FE65D4F"/>
    <w:multiLevelType w:val="hybridMultilevel"/>
    <w:tmpl w:val="E30C09DE"/>
    <w:lvl w:ilvl="0" w:tplc="22C086F0">
      <w:start w:val="1"/>
      <w:numFmt w:val="bullet"/>
      <w:pStyle w:val="ListParagraph"/>
      <w:lvlText w:val=""/>
      <w:lvlJc w:val="left"/>
      <w:pPr>
        <w:ind w:left="1440" w:hanging="360"/>
      </w:pPr>
      <w:rPr>
        <w:rFonts w:ascii="Wingdings" w:hAnsi="Wingdings" w:hint="default"/>
        <w:b/>
        <w:i w:val="0"/>
        <w:color w:val="0070C0"/>
        <w:sz w:val="24"/>
      </w:rPr>
    </w:lvl>
    <w:lvl w:ilvl="1" w:tplc="040C0019" w:tentative="1">
      <w:start w:val="1"/>
      <w:numFmt w:val="bullet"/>
      <w:lvlText w:val="o"/>
      <w:lvlJc w:val="left"/>
      <w:pPr>
        <w:ind w:left="2160" w:hanging="360"/>
      </w:pPr>
      <w:rPr>
        <w:rFonts w:ascii="Courier New" w:hAnsi="Courier New" w:cs="Courier New" w:hint="default"/>
      </w:rPr>
    </w:lvl>
    <w:lvl w:ilvl="2" w:tplc="040C001B" w:tentative="1">
      <w:start w:val="1"/>
      <w:numFmt w:val="bullet"/>
      <w:lvlText w:val=""/>
      <w:lvlJc w:val="left"/>
      <w:pPr>
        <w:ind w:left="2880" w:hanging="360"/>
      </w:pPr>
      <w:rPr>
        <w:rFonts w:ascii="Wingdings" w:hAnsi="Wingdings" w:hint="default"/>
      </w:rPr>
    </w:lvl>
    <w:lvl w:ilvl="3" w:tplc="040C000F" w:tentative="1">
      <w:start w:val="1"/>
      <w:numFmt w:val="bullet"/>
      <w:lvlText w:val=""/>
      <w:lvlJc w:val="left"/>
      <w:pPr>
        <w:ind w:left="3600" w:hanging="360"/>
      </w:pPr>
      <w:rPr>
        <w:rFonts w:ascii="Symbol" w:hAnsi="Symbol" w:hint="default"/>
      </w:rPr>
    </w:lvl>
    <w:lvl w:ilvl="4" w:tplc="040C0019" w:tentative="1">
      <w:start w:val="1"/>
      <w:numFmt w:val="bullet"/>
      <w:lvlText w:val="o"/>
      <w:lvlJc w:val="left"/>
      <w:pPr>
        <w:ind w:left="4320" w:hanging="360"/>
      </w:pPr>
      <w:rPr>
        <w:rFonts w:ascii="Courier New" w:hAnsi="Courier New" w:cs="Courier New" w:hint="default"/>
      </w:rPr>
    </w:lvl>
    <w:lvl w:ilvl="5" w:tplc="040C001B" w:tentative="1">
      <w:start w:val="1"/>
      <w:numFmt w:val="bullet"/>
      <w:lvlText w:val=""/>
      <w:lvlJc w:val="left"/>
      <w:pPr>
        <w:ind w:left="5040" w:hanging="360"/>
      </w:pPr>
      <w:rPr>
        <w:rFonts w:ascii="Wingdings" w:hAnsi="Wingdings" w:hint="default"/>
      </w:rPr>
    </w:lvl>
    <w:lvl w:ilvl="6" w:tplc="040C000F" w:tentative="1">
      <w:start w:val="1"/>
      <w:numFmt w:val="bullet"/>
      <w:lvlText w:val=""/>
      <w:lvlJc w:val="left"/>
      <w:pPr>
        <w:ind w:left="5760" w:hanging="360"/>
      </w:pPr>
      <w:rPr>
        <w:rFonts w:ascii="Symbol" w:hAnsi="Symbol" w:hint="default"/>
      </w:rPr>
    </w:lvl>
    <w:lvl w:ilvl="7" w:tplc="040C0019" w:tentative="1">
      <w:start w:val="1"/>
      <w:numFmt w:val="bullet"/>
      <w:lvlText w:val="o"/>
      <w:lvlJc w:val="left"/>
      <w:pPr>
        <w:ind w:left="6480" w:hanging="360"/>
      </w:pPr>
      <w:rPr>
        <w:rFonts w:ascii="Courier New" w:hAnsi="Courier New" w:cs="Courier New" w:hint="default"/>
      </w:rPr>
    </w:lvl>
    <w:lvl w:ilvl="8" w:tplc="040C001B" w:tentative="1">
      <w:start w:val="1"/>
      <w:numFmt w:val="bullet"/>
      <w:lvlText w:val=""/>
      <w:lvlJc w:val="left"/>
      <w:pPr>
        <w:ind w:left="7200" w:hanging="360"/>
      </w:pPr>
      <w:rPr>
        <w:rFonts w:ascii="Wingdings" w:hAnsi="Wingdings" w:hint="default"/>
      </w:rPr>
    </w:lvl>
  </w:abstractNum>
  <w:num w:numId="1">
    <w:abstractNumId w:val="66"/>
  </w:num>
  <w:num w:numId="2">
    <w:abstractNumId w:val="96"/>
  </w:num>
  <w:num w:numId="3">
    <w:abstractNumId w:val="34"/>
  </w:num>
  <w:num w:numId="4">
    <w:abstractNumId w:val="105"/>
  </w:num>
  <w:num w:numId="5">
    <w:abstractNumId w:val="64"/>
  </w:num>
  <w:num w:numId="6">
    <w:abstractNumId w:val="89"/>
  </w:num>
  <w:num w:numId="7">
    <w:abstractNumId w:val="93"/>
  </w:num>
  <w:num w:numId="8">
    <w:abstractNumId w:val="49"/>
  </w:num>
  <w:num w:numId="9">
    <w:abstractNumId w:val="96"/>
    <w:lvlOverride w:ilvl="0">
      <w:startOverride w:val="1"/>
    </w:lvlOverride>
  </w:num>
  <w:num w:numId="10">
    <w:abstractNumId w:val="34"/>
    <w:lvlOverride w:ilvl="0">
      <w:startOverride w:val="1"/>
    </w:lvlOverride>
  </w:num>
  <w:num w:numId="11">
    <w:abstractNumId w:val="31"/>
  </w:num>
  <w:num w:numId="12">
    <w:abstractNumId w:val="33"/>
  </w:num>
  <w:num w:numId="13">
    <w:abstractNumId w:val="65"/>
  </w:num>
  <w:num w:numId="14">
    <w:abstractNumId w:val="92"/>
  </w:num>
  <w:num w:numId="15">
    <w:abstractNumId w:val="34"/>
    <w:lvlOverride w:ilvl="0">
      <w:startOverride w:val="1"/>
    </w:lvlOverride>
  </w:num>
  <w:num w:numId="16">
    <w:abstractNumId w:val="96"/>
    <w:lvlOverride w:ilvl="0">
      <w:startOverride w:val="1"/>
    </w:lvlOverride>
  </w:num>
  <w:num w:numId="17">
    <w:abstractNumId w:val="34"/>
    <w:lvlOverride w:ilvl="0">
      <w:startOverride w:val="1"/>
    </w:lvlOverride>
  </w:num>
  <w:num w:numId="18">
    <w:abstractNumId w:val="34"/>
    <w:lvlOverride w:ilvl="0">
      <w:startOverride w:val="1"/>
    </w:lvlOverride>
  </w:num>
  <w:num w:numId="19">
    <w:abstractNumId w:val="96"/>
    <w:lvlOverride w:ilvl="0">
      <w:startOverride w:val="1"/>
    </w:lvlOverride>
  </w:num>
  <w:num w:numId="20">
    <w:abstractNumId w:val="34"/>
    <w:lvlOverride w:ilvl="0">
      <w:startOverride w:val="1"/>
    </w:lvlOverride>
  </w:num>
  <w:num w:numId="21">
    <w:abstractNumId w:val="34"/>
    <w:lvlOverride w:ilvl="0">
      <w:startOverride w:val="1"/>
    </w:lvlOverride>
  </w:num>
  <w:num w:numId="22">
    <w:abstractNumId w:val="34"/>
    <w:lvlOverride w:ilvl="0">
      <w:startOverride w:val="1"/>
    </w:lvlOverride>
  </w:num>
  <w:num w:numId="23">
    <w:abstractNumId w:val="34"/>
    <w:lvlOverride w:ilvl="0">
      <w:startOverride w:val="1"/>
    </w:lvlOverride>
  </w:num>
  <w:num w:numId="24">
    <w:abstractNumId w:val="84"/>
  </w:num>
  <w:num w:numId="25">
    <w:abstractNumId w:val="94"/>
  </w:num>
  <w:num w:numId="26">
    <w:abstractNumId w:val="16"/>
  </w:num>
  <w:num w:numId="27">
    <w:abstractNumId w:val="35"/>
  </w:num>
  <w:num w:numId="28">
    <w:abstractNumId w:val="28"/>
  </w:num>
  <w:num w:numId="29">
    <w:abstractNumId w:val="14"/>
  </w:num>
  <w:num w:numId="30">
    <w:abstractNumId w:val="76"/>
  </w:num>
  <w:num w:numId="31">
    <w:abstractNumId w:val="103"/>
  </w:num>
  <w:num w:numId="32">
    <w:abstractNumId w:val="41"/>
  </w:num>
  <w:num w:numId="33">
    <w:abstractNumId w:val="82"/>
  </w:num>
  <w:num w:numId="34">
    <w:abstractNumId w:val="74"/>
  </w:num>
  <w:num w:numId="35">
    <w:abstractNumId w:val="36"/>
  </w:num>
  <w:num w:numId="36">
    <w:abstractNumId w:val="57"/>
  </w:num>
  <w:num w:numId="37">
    <w:abstractNumId w:val="83"/>
  </w:num>
  <w:num w:numId="38">
    <w:abstractNumId w:val="86"/>
  </w:num>
  <w:num w:numId="39">
    <w:abstractNumId w:val="17"/>
  </w:num>
  <w:num w:numId="40">
    <w:abstractNumId w:val="56"/>
  </w:num>
  <w:num w:numId="41">
    <w:abstractNumId w:val="42"/>
  </w:num>
  <w:num w:numId="42">
    <w:abstractNumId w:val="39"/>
  </w:num>
  <w:num w:numId="43">
    <w:abstractNumId w:val="52"/>
  </w:num>
  <w:num w:numId="44">
    <w:abstractNumId w:val="40"/>
  </w:num>
  <w:num w:numId="45">
    <w:abstractNumId w:val="34"/>
    <w:lvlOverride w:ilvl="0">
      <w:startOverride w:val="1"/>
    </w:lvlOverride>
  </w:num>
  <w:num w:numId="46">
    <w:abstractNumId w:val="34"/>
    <w:lvlOverride w:ilvl="0">
      <w:startOverride w:val="1"/>
    </w:lvlOverride>
  </w:num>
  <w:num w:numId="47">
    <w:abstractNumId w:val="96"/>
    <w:lvlOverride w:ilvl="0">
      <w:startOverride w:val="1"/>
    </w:lvlOverride>
  </w:num>
  <w:num w:numId="48">
    <w:abstractNumId w:val="34"/>
    <w:lvlOverride w:ilvl="0">
      <w:startOverride w:val="1"/>
    </w:lvlOverride>
  </w:num>
  <w:num w:numId="49">
    <w:abstractNumId w:val="69"/>
  </w:num>
  <w:num w:numId="50">
    <w:abstractNumId w:val="54"/>
  </w:num>
  <w:num w:numId="51">
    <w:abstractNumId w:val="34"/>
    <w:lvlOverride w:ilvl="0">
      <w:startOverride w:val="1"/>
    </w:lvlOverride>
  </w:num>
  <w:num w:numId="52">
    <w:abstractNumId w:val="24"/>
  </w:num>
  <w:num w:numId="53">
    <w:abstractNumId w:val="30"/>
  </w:num>
  <w:num w:numId="54">
    <w:abstractNumId w:val="101"/>
  </w:num>
  <w:num w:numId="55">
    <w:abstractNumId w:val="55"/>
  </w:num>
  <w:num w:numId="56">
    <w:abstractNumId w:val="50"/>
  </w:num>
  <w:num w:numId="57">
    <w:abstractNumId w:val="96"/>
    <w:lvlOverride w:ilvl="0">
      <w:startOverride w:val="1"/>
    </w:lvlOverride>
  </w:num>
  <w:num w:numId="58">
    <w:abstractNumId w:val="72"/>
  </w:num>
  <w:num w:numId="59">
    <w:abstractNumId w:val="96"/>
  </w:num>
  <w:num w:numId="60">
    <w:abstractNumId w:val="27"/>
  </w:num>
  <w:num w:numId="61">
    <w:abstractNumId w:val="20"/>
  </w:num>
  <w:num w:numId="62">
    <w:abstractNumId w:val="80"/>
  </w:num>
  <w:num w:numId="63">
    <w:abstractNumId w:val="104"/>
  </w:num>
  <w:num w:numId="64">
    <w:abstractNumId w:val="25"/>
  </w:num>
  <w:num w:numId="65">
    <w:abstractNumId w:val="19"/>
  </w:num>
  <w:num w:numId="66">
    <w:abstractNumId w:val="81"/>
  </w:num>
  <w:num w:numId="67">
    <w:abstractNumId w:val="96"/>
    <w:lvlOverride w:ilvl="0">
      <w:startOverride w:val="1"/>
    </w:lvlOverride>
  </w:num>
  <w:num w:numId="68">
    <w:abstractNumId w:val="23"/>
  </w:num>
  <w:num w:numId="69">
    <w:abstractNumId w:val="53"/>
  </w:num>
  <w:num w:numId="70">
    <w:abstractNumId w:val="59"/>
  </w:num>
  <w:num w:numId="71">
    <w:abstractNumId w:val="21"/>
  </w:num>
  <w:num w:numId="72">
    <w:abstractNumId w:val="96"/>
    <w:lvlOverride w:ilvl="0">
      <w:startOverride w:val="1"/>
    </w:lvlOverride>
  </w:num>
  <w:num w:numId="73">
    <w:abstractNumId w:val="100"/>
  </w:num>
  <w:num w:numId="74">
    <w:abstractNumId w:val="95"/>
  </w:num>
  <w:num w:numId="75">
    <w:abstractNumId w:val="70"/>
  </w:num>
  <w:num w:numId="76">
    <w:abstractNumId w:val="88"/>
  </w:num>
  <w:num w:numId="77">
    <w:abstractNumId w:val="75"/>
  </w:num>
  <w:num w:numId="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8"/>
  </w:num>
  <w:num w:numId="80">
    <w:abstractNumId w:val="34"/>
    <w:lvlOverride w:ilvl="0">
      <w:startOverride w:val="1"/>
    </w:lvlOverride>
  </w:num>
  <w:num w:numId="81">
    <w:abstractNumId w:val="34"/>
    <w:lvlOverride w:ilvl="0">
      <w:startOverride w:val="1"/>
    </w:lvlOverride>
  </w:num>
  <w:num w:numId="82">
    <w:abstractNumId w:val="10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34"/>
    <w:lvlOverride w:ilvl="0">
      <w:startOverride w:val="1"/>
    </w:lvlOverride>
  </w:num>
  <w:num w:numId="86">
    <w:abstractNumId w:val="34"/>
    <w:lvlOverride w:ilvl="0">
      <w:startOverride w:val="1"/>
    </w:lvlOverride>
  </w:num>
  <w:num w:numId="87">
    <w:abstractNumId w:val="96"/>
    <w:lvlOverride w:ilvl="0">
      <w:startOverride w:val="1"/>
    </w:lvlOverride>
  </w:num>
  <w:num w:numId="88">
    <w:abstractNumId w:val="34"/>
    <w:lvlOverride w:ilvl="0">
      <w:startOverride w:val="1"/>
    </w:lvlOverride>
  </w:num>
  <w:num w:numId="89">
    <w:abstractNumId w:val="34"/>
    <w:lvlOverride w:ilvl="0">
      <w:startOverride w:val="1"/>
    </w:lvlOverride>
  </w:num>
  <w:num w:numId="90">
    <w:abstractNumId w:val="38"/>
  </w:num>
  <w:num w:numId="91">
    <w:abstractNumId w:val="68"/>
  </w:num>
  <w:num w:numId="92">
    <w:abstractNumId w:val="96"/>
    <w:lvlOverride w:ilvl="0">
      <w:startOverride w:val="1"/>
    </w:lvlOverride>
  </w:num>
  <w:num w:numId="93">
    <w:abstractNumId w:val="96"/>
    <w:lvlOverride w:ilvl="0">
      <w:startOverride w:val="1"/>
    </w:lvlOverride>
  </w:num>
  <w:num w:numId="94">
    <w:abstractNumId w:val="96"/>
    <w:lvlOverride w:ilvl="0">
      <w:startOverride w:val="1"/>
    </w:lvlOverride>
  </w:num>
  <w:num w:numId="95">
    <w:abstractNumId w:val="45"/>
  </w:num>
  <w:num w:numId="96">
    <w:abstractNumId w:val="37"/>
  </w:num>
  <w:num w:numId="97">
    <w:abstractNumId w:val="63"/>
  </w:num>
  <w:num w:numId="98">
    <w:abstractNumId w:val="58"/>
  </w:num>
  <w:num w:numId="99">
    <w:abstractNumId w:val="22"/>
  </w:num>
  <w:num w:numId="100">
    <w:abstractNumId w:val="26"/>
  </w:num>
  <w:num w:numId="101">
    <w:abstractNumId w:val="61"/>
  </w:num>
  <w:num w:numId="102">
    <w:abstractNumId w:val="34"/>
    <w:lvlOverride w:ilvl="0">
      <w:startOverride w:val="1"/>
    </w:lvlOverride>
  </w:num>
  <w:num w:numId="103">
    <w:abstractNumId w:val="96"/>
    <w:lvlOverride w:ilvl="0">
      <w:startOverride w:val="1"/>
    </w:lvlOverride>
  </w:num>
  <w:num w:numId="104">
    <w:abstractNumId w:val="34"/>
    <w:lvlOverride w:ilvl="0">
      <w:startOverride w:val="1"/>
    </w:lvlOverride>
  </w:num>
  <w:num w:numId="105">
    <w:abstractNumId w:val="96"/>
    <w:lvlOverride w:ilvl="0">
      <w:startOverride w:val="1"/>
    </w:lvlOverride>
  </w:num>
  <w:num w:numId="106">
    <w:abstractNumId w:val="71"/>
  </w:num>
  <w:num w:numId="107">
    <w:abstractNumId w:val="90"/>
  </w:num>
  <w:num w:numId="108">
    <w:abstractNumId w:val="90"/>
    <w:lvlOverride w:ilvl="0">
      <w:startOverride w:val="1"/>
    </w:lvlOverride>
  </w:num>
  <w:num w:numId="109">
    <w:abstractNumId w:val="67"/>
  </w:num>
  <w:num w:numId="110">
    <w:abstractNumId w:val="78"/>
  </w:num>
  <w:num w:numId="11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62"/>
  </w:num>
  <w:num w:numId="114">
    <w:abstractNumId w:val="99"/>
  </w:num>
  <w:num w:numId="115">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6"/>
  </w:num>
  <w:num w:numId="11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87"/>
  </w:num>
  <w:num w:numId="119">
    <w:abstractNumId w:val="91"/>
  </w:num>
  <w:num w:numId="120">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9"/>
  </w:num>
  <w:num w:numId="122">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48"/>
  </w:num>
  <w:num w:numId="124">
    <w:abstractNumId w:val="51"/>
  </w:num>
  <w:num w:numId="125">
    <w:abstractNumId w:val="77"/>
  </w:num>
  <w:num w:numId="126">
    <w:abstractNumId w:val="102"/>
  </w:num>
  <w:num w:numId="127">
    <w:abstractNumId w:val="34"/>
    <w:lvlOverride w:ilvl="0">
      <w:startOverride w:val="1"/>
    </w:lvlOverride>
  </w:num>
  <w:num w:numId="128">
    <w:abstractNumId w:val="90"/>
    <w:lvlOverride w:ilvl="0">
      <w:startOverride w:val="1"/>
    </w:lvlOverride>
  </w:num>
  <w:num w:numId="129">
    <w:abstractNumId w:val="90"/>
    <w:lvlOverride w:ilvl="0">
      <w:startOverride w:val="1"/>
    </w:lvlOverride>
  </w:num>
  <w:num w:numId="130">
    <w:abstractNumId w:val="34"/>
    <w:lvlOverride w:ilvl="0">
      <w:startOverride w:val="1"/>
    </w:lvlOverride>
  </w:num>
  <w:num w:numId="131">
    <w:abstractNumId w:val="90"/>
    <w:lvlOverride w:ilvl="0">
      <w:startOverride w:val="1"/>
    </w:lvlOverride>
  </w:num>
  <w:num w:numId="132">
    <w:abstractNumId w:val="90"/>
    <w:lvlOverride w:ilvl="0">
      <w:startOverride w:val="1"/>
    </w:lvlOverride>
  </w:num>
  <w:num w:numId="133">
    <w:abstractNumId w:val="34"/>
    <w:lvlOverride w:ilvl="0">
      <w:startOverride w:val="1"/>
    </w:lvlOverride>
  </w:num>
  <w:num w:numId="134">
    <w:abstractNumId w:val="34"/>
    <w:lvlOverride w:ilvl="0">
      <w:startOverride w:val="1"/>
    </w:lvlOverride>
  </w:num>
  <w:num w:numId="135">
    <w:abstractNumId w:val="34"/>
    <w:lvlOverride w:ilvl="0">
      <w:startOverride w:val="1"/>
    </w:lvlOverride>
  </w:num>
  <w:num w:numId="136">
    <w:abstractNumId w:val="15"/>
  </w:num>
  <w:num w:numId="137">
    <w:abstractNumId w:val="47"/>
  </w:num>
  <w:num w:numId="138">
    <w:abstractNumId w:val="105"/>
  </w:num>
  <w:num w:numId="139">
    <w:abstractNumId w:val="79"/>
  </w:num>
  <w:num w:numId="140">
    <w:abstractNumId w:val="105"/>
  </w:num>
  <w:num w:numId="141">
    <w:abstractNumId w:val="60"/>
  </w:num>
  <w:num w:numId="142">
    <w:abstractNumId w:val="18"/>
  </w:num>
  <w:numIdMacAtCleanup w:val="1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20"/>
  <w:hyphenationZone w:val="425"/>
  <w:drawingGridHorizontalSpacing w:val="110"/>
  <w:displayHorizontalDrawingGridEvery w:val="2"/>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1296"/>
    <w:rsid w:val="00002094"/>
    <w:rsid w:val="00002422"/>
    <w:rsid w:val="00006F94"/>
    <w:rsid w:val="00014FFF"/>
    <w:rsid w:val="00016A41"/>
    <w:rsid w:val="00017F4B"/>
    <w:rsid w:val="0002068D"/>
    <w:rsid w:val="00021461"/>
    <w:rsid w:val="00022DA7"/>
    <w:rsid w:val="00022F59"/>
    <w:rsid w:val="00024316"/>
    <w:rsid w:val="000262F5"/>
    <w:rsid w:val="00027481"/>
    <w:rsid w:val="00031E36"/>
    <w:rsid w:val="00032152"/>
    <w:rsid w:val="00034421"/>
    <w:rsid w:val="00034ED4"/>
    <w:rsid w:val="000375AC"/>
    <w:rsid w:val="00040A4C"/>
    <w:rsid w:val="00042816"/>
    <w:rsid w:val="00043E36"/>
    <w:rsid w:val="00043ECB"/>
    <w:rsid w:val="000466BA"/>
    <w:rsid w:val="00053729"/>
    <w:rsid w:val="00055B1E"/>
    <w:rsid w:val="0006191A"/>
    <w:rsid w:val="0006319C"/>
    <w:rsid w:val="00063294"/>
    <w:rsid w:val="000646DA"/>
    <w:rsid w:val="000713C2"/>
    <w:rsid w:val="00071960"/>
    <w:rsid w:val="00072762"/>
    <w:rsid w:val="000741EE"/>
    <w:rsid w:val="000746C4"/>
    <w:rsid w:val="00074916"/>
    <w:rsid w:val="00074AE5"/>
    <w:rsid w:val="00074E76"/>
    <w:rsid w:val="000754E9"/>
    <w:rsid w:val="00075DB1"/>
    <w:rsid w:val="00076C57"/>
    <w:rsid w:val="0008000C"/>
    <w:rsid w:val="00082E13"/>
    <w:rsid w:val="00084BAE"/>
    <w:rsid w:val="000875A2"/>
    <w:rsid w:val="0009123E"/>
    <w:rsid w:val="000942F9"/>
    <w:rsid w:val="00095555"/>
    <w:rsid w:val="000971D1"/>
    <w:rsid w:val="000A189B"/>
    <w:rsid w:val="000A20CD"/>
    <w:rsid w:val="000A607C"/>
    <w:rsid w:val="000A6DE0"/>
    <w:rsid w:val="000B2353"/>
    <w:rsid w:val="000B314D"/>
    <w:rsid w:val="000B4E48"/>
    <w:rsid w:val="000C21D2"/>
    <w:rsid w:val="000C395B"/>
    <w:rsid w:val="000C3DB8"/>
    <w:rsid w:val="000C3E24"/>
    <w:rsid w:val="000C7513"/>
    <w:rsid w:val="000D22B4"/>
    <w:rsid w:val="000D2840"/>
    <w:rsid w:val="000D2B65"/>
    <w:rsid w:val="000D33D6"/>
    <w:rsid w:val="000D6033"/>
    <w:rsid w:val="000D6C49"/>
    <w:rsid w:val="000D7237"/>
    <w:rsid w:val="000E1285"/>
    <w:rsid w:val="000E2F7D"/>
    <w:rsid w:val="000E3742"/>
    <w:rsid w:val="000E3EB6"/>
    <w:rsid w:val="000E459F"/>
    <w:rsid w:val="000E6DF4"/>
    <w:rsid w:val="000F0F04"/>
    <w:rsid w:val="000F14B9"/>
    <w:rsid w:val="000F6A60"/>
    <w:rsid w:val="001018A9"/>
    <w:rsid w:val="00101CC2"/>
    <w:rsid w:val="00102604"/>
    <w:rsid w:val="001061F1"/>
    <w:rsid w:val="00111761"/>
    <w:rsid w:val="00111A0F"/>
    <w:rsid w:val="001125C5"/>
    <w:rsid w:val="00112E28"/>
    <w:rsid w:val="00113EBE"/>
    <w:rsid w:val="00113F61"/>
    <w:rsid w:val="0011464F"/>
    <w:rsid w:val="00114A4D"/>
    <w:rsid w:val="00115475"/>
    <w:rsid w:val="001238B4"/>
    <w:rsid w:val="00123F76"/>
    <w:rsid w:val="0012584F"/>
    <w:rsid w:val="00130920"/>
    <w:rsid w:val="00130B28"/>
    <w:rsid w:val="001340E6"/>
    <w:rsid w:val="0013539B"/>
    <w:rsid w:val="00137264"/>
    <w:rsid w:val="00142481"/>
    <w:rsid w:val="00143C16"/>
    <w:rsid w:val="001443C0"/>
    <w:rsid w:val="0014502D"/>
    <w:rsid w:val="001451D4"/>
    <w:rsid w:val="001469CF"/>
    <w:rsid w:val="00147FF9"/>
    <w:rsid w:val="0015238A"/>
    <w:rsid w:val="00152E61"/>
    <w:rsid w:val="00154615"/>
    <w:rsid w:val="00154788"/>
    <w:rsid w:val="00155F8B"/>
    <w:rsid w:val="001560BC"/>
    <w:rsid w:val="001570C3"/>
    <w:rsid w:val="00157CC4"/>
    <w:rsid w:val="00161B2A"/>
    <w:rsid w:val="00163BE5"/>
    <w:rsid w:val="00165004"/>
    <w:rsid w:val="00165465"/>
    <w:rsid w:val="00166C44"/>
    <w:rsid w:val="00166D3D"/>
    <w:rsid w:val="001670F7"/>
    <w:rsid w:val="001671EE"/>
    <w:rsid w:val="00167658"/>
    <w:rsid w:val="00167881"/>
    <w:rsid w:val="001679A8"/>
    <w:rsid w:val="001753E9"/>
    <w:rsid w:val="001758E0"/>
    <w:rsid w:val="00177D26"/>
    <w:rsid w:val="001804E0"/>
    <w:rsid w:val="001807BA"/>
    <w:rsid w:val="001808EF"/>
    <w:rsid w:val="00181E7F"/>
    <w:rsid w:val="001826FF"/>
    <w:rsid w:val="00186158"/>
    <w:rsid w:val="00187986"/>
    <w:rsid w:val="00187E88"/>
    <w:rsid w:val="00190B61"/>
    <w:rsid w:val="00190E52"/>
    <w:rsid w:val="00192312"/>
    <w:rsid w:val="0019311C"/>
    <w:rsid w:val="00193177"/>
    <w:rsid w:val="00193D32"/>
    <w:rsid w:val="001963C3"/>
    <w:rsid w:val="001A1F12"/>
    <w:rsid w:val="001A22FD"/>
    <w:rsid w:val="001A245F"/>
    <w:rsid w:val="001A3467"/>
    <w:rsid w:val="001A3EE3"/>
    <w:rsid w:val="001A59EC"/>
    <w:rsid w:val="001B0AB3"/>
    <w:rsid w:val="001B2AF7"/>
    <w:rsid w:val="001B2FAC"/>
    <w:rsid w:val="001B3299"/>
    <w:rsid w:val="001B4D8E"/>
    <w:rsid w:val="001B5C12"/>
    <w:rsid w:val="001B6F51"/>
    <w:rsid w:val="001C1971"/>
    <w:rsid w:val="001C314B"/>
    <w:rsid w:val="001C4EFD"/>
    <w:rsid w:val="001D260D"/>
    <w:rsid w:val="001D3C7E"/>
    <w:rsid w:val="001D6587"/>
    <w:rsid w:val="001D6D5B"/>
    <w:rsid w:val="001D6ECC"/>
    <w:rsid w:val="001D7D4F"/>
    <w:rsid w:val="001E0B41"/>
    <w:rsid w:val="001E2A86"/>
    <w:rsid w:val="001E3B84"/>
    <w:rsid w:val="001E4867"/>
    <w:rsid w:val="001E644E"/>
    <w:rsid w:val="001E7CA1"/>
    <w:rsid w:val="001E7D2C"/>
    <w:rsid w:val="001E7DEE"/>
    <w:rsid w:val="001F26F5"/>
    <w:rsid w:val="001F2AD7"/>
    <w:rsid w:val="001F4EFB"/>
    <w:rsid w:val="001F5152"/>
    <w:rsid w:val="001F5314"/>
    <w:rsid w:val="001F63C5"/>
    <w:rsid w:val="001F7D07"/>
    <w:rsid w:val="00202020"/>
    <w:rsid w:val="002020EC"/>
    <w:rsid w:val="002036BE"/>
    <w:rsid w:val="002044E0"/>
    <w:rsid w:val="0020459F"/>
    <w:rsid w:val="00207EDA"/>
    <w:rsid w:val="0021269F"/>
    <w:rsid w:val="00213A0B"/>
    <w:rsid w:val="00214325"/>
    <w:rsid w:val="00221984"/>
    <w:rsid w:val="00226AF0"/>
    <w:rsid w:val="00226DBF"/>
    <w:rsid w:val="002274F8"/>
    <w:rsid w:val="00230004"/>
    <w:rsid w:val="00230377"/>
    <w:rsid w:val="00230421"/>
    <w:rsid w:val="00233ECC"/>
    <w:rsid w:val="0023587E"/>
    <w:rsid w:val="00235F6A"/>
    <w:rsid w:val="002375EB"/>
    <w:rsid w:val="00237FC2"/>
    <w:rsid w:val="002405AE"/>
    <w:rsid w:val="00240617"/>
    <w:rsid w:val="002412B0"/>
    <w:rsid w:val="00241D50"/>
    <w:rsid w:val="00243295"/>
    <w:rsid w:val="00243691"/>
    <w:rsid w:val="002448E1"/>
    <w:rsid w:val="00246272"/>
    <w:rsid w:val="0025195E"/>
    <w:rsid w:val="002537DC"/>
    <w:rsid w:val="00254F22"/>
    <w:rsid w:val="00256DCD"/>
    <w:rsid w:val="00260253"/>
    <w:rsid w:val="00261A5D"/>
    <w:rsid w:val="00261FEB"/>
    <w:rsid w:val="002629D8"/>
    <w:rsid w:val="00263252"/>
    <w:rsid w:val="00266B86"/>
    <w:rsid w:val="00267861"/>
    <w:rsid w:val="00271447"/>
    <w:rsid w:val="002716AE"/>
    <w:rsid w:val="00273D62"/>
    <w:rsid w:val="002765C5"/>
    <w:rsid w:val="00277EFA"/>
    <w:rsid w:val="0028252C"/>
    <w:rsid w:val="00282B63"/>
    <w:rsid w:val="00283C03"/>
    <w:rsid w:val="002840F6"/>
    <w:rsid w:val="00286632"/>
    <w:rsid w:val="00290E9F"/>
    <w:rsid w:val="00293DBE"/>
    <w:rsid w:val="0029436D"/>
    <w:rsid w:val="002948C5"/>
    <w:rsid w:val="002964DB"/>
    <w:rsid w:val="002966C9"/>
    <w:rsid w:val="00297D3E"/>
    <w:rsid w:val="002A0052"/>
    <w:rsid w:val="002A1172"/>
    <w:rsid w:val="002A26A2"/>
    <w:rsid w:val="002A3265"/>
    <w:rsid w:val="002A3D94"/>
    <w:rsid w:val="002A4570"/>
    <w:rsid w:val="002A5756"/>
    <w:rsid w:val="002A57D7"/>
    <w:rsid w:val="002A6427"/>
    <w:rsid w:val="002A6698"/>
    <w:rsid w:val="002A671A"/>
    <w:rsid w:val="002B033E"/>
    <w:rsid w:val="002B2621"/>
    <w:rsid w:val="002B7A1F"/>
    <w:rsid w:val="002C23F4"/>
    <w:rsid w:val="002C2B09"/>
    <w:rsid w:val="002C383B"/>
    <w:rsid w:val="002C3A29"/>
    <w:rsid w:val="002C4146"/>
    <w:rsid w:val="002C4A54"/>
    <w:rsid w:val="002C59FB"/>
    <w:rsid w:val="002C5AA5"/>
    <w:rsid w:val="002D2574"/>
    <w:rsid w:val="002D2E96"/>
    <w:rsid w:val="002D3AA5"/>
    <w:rsid w:val="002D3D4F"/>
    <w:rsid w:val="002D4B3A"/>
    <w:rsid w:val="002D7C6D"/>
    <w:rsid w:val="002E0A19"/>
    <w:rsid w:val="002E0E6E"/>
    <w:rsid w:val="002E0F9D"/>
    <w:rsid w:val="002E1356"/>
    <w:rsid w:val="002E1E36"/>
    <w:rsid w:val="002E5571"/>
    <w:rsid w:val="002E65BA"/>
    <w:rsid w:val="002F582C"/>
    <w:rsid w:val="002F585D"/>
    <w:rsid w:val="002F5E50"/>
    <w:rsid w:val="002F7903"/>
    <w:rsid w:val="002F7B9E"/>
    <w:rsid w:val="002F7D53"/>
    <w:rsid w:val="002F7E49"/>
    <w:rsid w:val="00300403"/>
    <w:rsid w:val="00302066"/>
    <w:rsid w:val="00304BC1"/>
    <w:rsid w:val="003060EF"/>
    <w:rsid w:val="00310401"/>
    <w:rsid w:val="00312FF8"/>
    <w:rsid w:val="0031397D"/>
    <w:rsid w:val="00314DB1"/>
    <w:rsid w:val="00317123"/>
    <w:rsid w:val="00317F41"/>
    <w:rsid w:val="00320674"/>
    <w:rsid w:val="0032349E"/>
    <w:rsid w:val="00326942"/>
    <w:rsid w:val="0033167C"/>
    <w:rsid w:val="00332D68"/>
    <w:rsid w:val="00333163"/>
    <w:rsid w:val="00333CBE"/>
    <w:rsid w:val="003342D5"/>
    <w:rsid w:val="003359D1"/>
    <w:rsid w:val="00335C0D"/>
    <w:rsid w:val="00340327"/>
    <w:rsid w:val="00340978"/>
    <w:rsid w:val="003411FE"/>
    <w:rsid w:val="00342012"/>
    <w:rsid w:val="00342179"/>
    <w:rsid w:val="00342E0C"/>
    <w:rsid w:val="0034449A"/>
    <w:rsid w:val="00345804"/>
    <w:rsid w:val="003507C7"/>
    <w:rsid w:val="003519AE"/>
    <w:rsid w:val="003531E5"/>
    <w:rsid w:val="0035758B"/>
    <w:rsid w:val="00360A65"/>
    <w:rsid w:val="0036252F"/>
    <w:rsid w:val="00363299"/>
    <w:rsid w:val="00364CAD"/>
    <w:rsid w:val="00367121"/>
    <w:rsid w:val="00367167"/>
    <w:rsid w:val="00371020"/>
    <w:rsid w:val="0037102B"/>
    <w:rsid w:val="00373671"/>
    <w:rsid w:val="0037459B"/>
    <w:rsid w:val="00376362"/>
    <w:rsid w:val="00376630"/>
    <w:rsid w:val="00381658"/>
    <w:rsid w:val="00381E55"/>
    <w:rsid w:val="00383E1A"/>
    <w:rsid w:val="00384E00"/>
    <w:rsid w:val="00385774"/>
    <w:rsid w:val="00385FDB"/>
    <w:rsid w:val="00386DD8"/>
    <w:rsid w:val="0038764F"/>
    <w:rsid w:val="00387E7D"/>
    <w:rsid w:val="003910FC"/>
    <w:rsid w:val="00393EB7"/>
    <w:rsid w:val="003941F1"/>
    <w:rsid w:val="0039494C"/>
    <w:rsid w:val="003A1E87"/>
    <w:rsid w:val="003A2E13"/>
    <w:rsid w:val="003A3063"/>
    <w:rsid w:val="003A340A"/>
    <w:rsid w:val="003A34A5"/>
    <w:rsid w:val="003A482B"/>
    <w:rsid w:val="003A5D01"/>
    <w:rsid w:val="003B1CB9"/>
    <w:rsid w:val="003B29C1"/>
    <w:rsid w:val="003B3227"/>
    <w:rsid w:val="003B4D0B"/>
    <w:rsid w:val="003B52C5"/>
    <w:rsid w:val="003B5C36"/>
    <w:rsid w:val="003B7B45"/>
    <w:rsid w:val="003C0417"/>
    <w:rsid w:val="003C3D5A"/>
    <w:rsid w:val="003C7B33"/>
    <w:rsid w:val="003C7D7F"/>
    <w:rsid w:val="003D0587"/>
    <w:rsid w:val="003D0E05"/>
    <w:rsid w:val="003D2595"/>
    <w:rsid w:val="003D3194"/>
    <w:rsid w:val="003D33E9"/>
    <w:rsid w:val="003D4C5A"/>
    <w:rsid w:val="003E31C3"/>
    <w:rsid w:val="003E4C83"/>
    <w:rsid w:val="003E4D0B"/>
    <w:rsid w:val="003E54B1"/>
    <w:rsid w:val="003E5A9F"/>
    <w:rsid w:val="003E5E76"/>
    <w:rsid w:val="003E61E7"/>
    <w:rsid w:val="003F27A2"/>
    <w:rsid w:val="003F2F1E"/>
    <w:rsid w:val="003F34AF"/>
    <w:rsid w:val="003F4984"/>
    <w:rsid w:val="003F4E88"/>
    <w:rsid w:val="003F5AC9"/>
    <w:rsid w:val="003F5DFF"/>
    <w:rsid w:val="00401552"/>
    <w:rsid w:val="0040323B"/>
    <w:rsid w:val="00405D58"/>
    <w:rsid w:val="00406232"/>
    <w:rsid w:val="004134A9"/>
    <w:rsid w:val="00415F70"/>
    <w:rsid w:val="00417E27"/>
    <w:rsid w:val="00417F4A"/>
    <w:rsid w:val="004205E0"/>
    <w:rsid w:val="00420C97"/>
    <w:rsid w:val="004221D4"/>
    <w:rsid w:val="004234BD"/>
    <w:rsid w:val="0042418A"/>
    <w:rsid w:val="00426267"/>
    <w:rsid w:val="0042691C"/>
    <w:rsid w:val="00431EC9"/>
    <w:rsid w:val="0043499B"/>
    <w:rsid w:val="00436E69"/>
    <w:rsid w:val="00441BF3"/>
    <w:rsid w:val="004433FE"/>
    <w:rsid w:val="0044540E"/>
    <w:rsid w:val="0045106A"/>
    <w:rsid w:val="00451181"/>
    <w:rsid w:val="00451936"/>
    <w:rsid w:val="0045652E"/>
    <w:rsid w:val="004577A6"/>
    <w:rsid w:val="0046084D"/>
    <w:rsid w:val="004627A5"/>
    <w:rsid w:val="00463BC7"/>
    <w:rsid w:val="0046408D"/>
    <w:rsid w:val="0046418C"/>
    <w:rsid w:val="004705E4"/>
    <w:rsid w:val="004711EE"/>
    <w:rsid w:val="0047152B"/>
    <w:rsid w:val="00474B13"/>
    <w:rsid w:val="00474EAC"/>
    <w:rsid w:val="00474FE9"/>
    <w:rsid w:val="00475F99"/>
    <w:rsid w:val="00476A4D"/>
    <w:rsid w:val="00476FF2"/>
    <w:rsid w:val="00481779"/>
    <w:rsid w:val="0048234C"/>
    <w:rsid w:val="00483E11"/>
    <w:rsid w:val="00484CD6"/>
    <w:rsid w:val="0048550C"/>
    <w:rsid w:val="004857D7"/>
    <w:rsid w:val="0048667C"/>
    <w:rsid w:val="00487689"/>
    <w:rsid w:val="00487A42"/>
    <w:rsid w:val="00492077"/>
    <w:rsid w:val="0049232F"/>
    <w:rsid w:val="00492CE4"/>
    <w:rsid w:val="00492E3E"/>
    <w:rsid w:val="00493A72"/>
    <w:rsid w:val="00494495"/>
    <w:rsid w:val="004A1ABE"/>
    <w:rsid w:val="004A4407"/>
    <w:rsid w:val="004A4701"/>
    <w:rsid w:val="004A4A42"/>
    <w:rsid w:val="004A506A"/>
    <w:rsid w:val="004A5321"/>
    <w:rsid w:val="004A728C"/>
    <w:rsid w:val="004A7DE4"/>
    <w:rsid w:val="004B28A8"/>
    <w:rsid w:val="004B4751"/>
    <w:rsid w:val="004B60BC"/>
    <w:rsid w:val="004C0718"/>
    <w:rsid w:val="004C09C5"/>
    <w:rsid w:val="004C13F6"/>
    <w:rsid w:val="004C2574"/>
    <w:rsid w:val="004C3438"/>
    <w:rsid w:val="004C42D9"/>
    <w:rsid w:val="004C6066"/>
    <w:rsid w:val="004C666D"/>
    <w:rsid w:val="004D1AEB"/>
    <w:rsid w:val="004D20B2"/>
    <w:rsid w:val="004D2DC0"/>
    <w:rsid w:val="004D5E2E"/>
    <w:rsid w:val="004D7B6C"/>
    <w:rsid w:val="004E0024"/>
    <w:rsid w:val="004E126D"/>
    <w:rsid w:val="004E1498"/>
    <w:rsid w:val="004E19CB"/>
    <w:rsid w:val="004E1F8C"/>
    <w:rsid w:val="004E2F12"/>
    <w:rsid w:val="004E32B6"/>
    <w:rsid w:val="004E3F7F"/>
    <w:rsid w:val="004E4BD8"/>
    <w:rsid w:val="004E5484"/>
    <w:rsid w:val="004E5AD4"/>
    <w:rsid w:val="004E78AE"/>
    <w:rsid w:val="004E791C"/>
    <w:rsid w:val="004F0DF5"/>
    <w:rsid w:val="004F24F8"/>
    <w:rsid w:val="00500227"/>
    <w:rsid w:val="00500B16"/>
    <w:rsid w:val="00503025"/>
    <w:rsid w:val="00505AE8"/>
    <w:rsid w:val="00506D21"/>
    <w:rsid w:val="00506DC7"/>
    <w:rsid w:val="005073C5"/>
    <w:rsid w:val="005079CC"/>
    <w:rsid w:val="0051369B"/>
    <w:rsid w:val="00523DE6"/>
    <w:rsid w:val="0052532C"/>
    <w:rsid w:val="0052745E"/>
    <w:rsid w:val="005275B2"/>
    <w:rsid w:val="00527E08"/>
    <w:rsid w:val="00531408"/>
    <w:rsid w:val="0053223B"/>
    <w:rsid w:val="00533DAA"/>
    <w:rsid w:val="00533DE8"/>
    <w:rsid w:val="00536026"/>
    <w:rsid w:val="00540423"/>
    <w:rsid w:val="005404E3"/>
    <w:rsid w:val="00541052"/>
    <w:rsid w:val="00542020"/>
    <w:rsid w:val="00542956"/>
    <w:rsid w:val="005432DB"/>
    <w:rsid w:val="00546086"/>
    <w:rsid w:val="00546A91"/>
    <w:rsid w:val="00547979"/>
    <w:rsid w:val="00547AFB"/>
    <w:rsid w:val="0056102E"/>
    <w:rsid w:val="0056239B"/>
    <w:rsid w:val="005626B5"/>
    <w:rsid w:val="005637E1"/>
    <w:rsid w:val="00566B12"/>
    <w:rsid w:val="00567D5B"/>
    <w:rsid w:val="0057060D"/>
    <w:rsid w:val="005710BE"/>
    <w:rsid w:val="005721B7"/>
    <w:rsid w:val="005727B0"/>
    <w:rsid w:val="00572C7C"/>
    <w:rsid w:val="00573C97"/>
    <w:rsid w:val="00575986"/>
    <w:rsid w:val="00576EE9"/>
    <w:rsid w:val="00577738"/>
    <w:rsid w:val="00577A87"/>
    <w:rsid w:val="005804D5"/>
    <w:rsid w:val="0058116B"/>
    <w:rsid w:val="00582624"/>
    <w:rsid w:val="005848BE"/>
    <w:rsid w:val="00587CF0"/>
    <w:rsid w:val="00590B17"/>
    <w:rsid w:val="00591296"/>
    <w:rsid w:val="00592A07"/>
    <w:rsid w:val="005944B9"/>
    <w:rsid w:val="005949A9"/>
    <w:rsid w:val="005952F7"/>
    <w:rsid w:val="0059620F"/>
    <w:rsid w:val="005963A4"/>
    <w:rsid w:val="00596F7E"/>
    <w:rsid w:val="005979EB"/>
    <w:rsid w:val="005A03BD"/>
    <w:rsid w:val="005A0CB3"/>
    <w:rsid w:val="005A141E"/>
    <w:rsid w:val="005A2C95"/>
    <w:rsid w:val="005A48CB"/>
    <w:rsid w:val="005A5248"/>
    <w:rsid w:val="005A5B2C"/>
    <w:rsid w:val="005A7398"/>
    <w:rsid w:val="005B688F"/>
    <w:rsid w:val="005B6A46"/>
    <w:rsid w:val="005B6D45"/>
    <w:rsid w:val="005B783C"/>
    <w:rsid w:val="005B792D"/>
    <w:rsid w:val="005C43BC"/>
    <w:rsid w:val="005C4681"/>
    <w:rsid w:val="005C55AE"/>
    <w:rsid w:val="005D08C0"/>
    <w:rsid w:val="005D1086"/>
    <w:rsid w:val="005D41BE"/>
    <w:rsid w:val="005E0FF1"/>
    <w:rsid w:val="005E2819"/>
    <w:rsid w:val="005E2A79"/>
    <w:rsid w:val="005E32F6"/>
    <w:rsid w:val="005E40EB"/>
    <w:rsid w:val="005E4937"/>
    <w:rsid w:val="005E4CFD"/>
    <w:rsid w:val="005E5225"/>
    <w:rsid w:val="005F02FA"/>
    <w:rsid w:val="005F0A3B"/>
    <w:rsid w:val="005F137B"/>
    <w:rsid w:val="005F224F"/>
    <w:rsid w:val="005F23CA"/>
    <w:rsid w:val="005F2515"/>
    <w:rsid w:val="005F3B1C"/>
    <w:rsid w:val="005F6227"/>
    <w:rsid w:val="0060464C"/>
    <w:rsid w:val="0060522D"/>
    <w:rsid w:val="00605E8F"/>
    <w:rsid w:val="00605F52"/>
    <w:rsid w:val="00606EAA"/>
    <w:rsid w:val="00613114"/>
    <w:rsid w:val="006140C1"/>
    <w:rsid w:val="00614CDB"/>
    <w:rsid w:val="00614D10"/>
    <w:rsid w:val="00620D6E"/>
    <w:rsid w:val="00623103"/>
    <w:rsid w:val="00624936"/>
    <w:rsid w:val="00624ECC"/>
    <w:rsid w:val="00625139"/>
    <w:rsid w:val="00631401"/>
    <w:rsid w:val="00631759"/>
    <w:rsid w:val="00632502"/>
    <w:rsid w:val="006328DB"/>
    <w:rsid w:val="00633964"/>
    <w:rsid w:val="00633DB4"/>
    <w:rsid w:val="006343C4"/>
    <w:rsid w:val="00634D50"/>
    <w:rsid w:val="00635324"/>
    <w:rsid w:val="006364E7"/>
    <w:rsid w:val="00636CE4"/>
    <w:rsid w:val="006370AF"/>
    <w:rsid w:val="00637145"/>
    <w:rsid w:val="00637DA5"/>
    <w:rsid w:val="006400BD"/>
    <w:rsid w:val="0064018D"/>
    <w:rsid w:val="00640D09"/>
    <w:rsid w:val="006425AE"/>
    <w:rsid w:val="00646710"/>
    <w:rsid w:val="00647487"/>
    <w:rsid w:val="006509BE"/>
    <w:rsid w:val="00650C58"/>
    <w:rsid w:val="00651928"/>
    <w:rsid w:val="00651A1B"/>
    <w:rsid w:val="00653540"/>
    <w:rsid w:val="0065447B"/>
    <w:rsid w:val="0066340C"/>
    <w:rsid w:val="006645DC"/>
    <w:rsid w:val="00664DEF"/>
    <w:rsid w:val="00665EC8"/>
    <w:rsid w:val="00672458"/>
    <w:rsid w:val="00672E1E"/>
    <w:rsid w:val="0067328A"/>
    <w:rsid w:val="00673EA0"/>
    <w:rsid w:val="00674958"/>
    <w:rsid w:val="006754A7"/>
    <w:rsid w:val="00677AC3"/>
    <w:rsid w:val="006806DA"/>
    <w:rsid w:val="00682CF5"/>
    <w:rsid w:val="00683761"/>
    <w:rsid w:val="00683C11"/>
    <w:rsid w:val="0068402D"/>
    <w:rsid w:val="00687C0E"/>
    <w:rsid w:val="006902BE"/>
    <w:rsid w:val="006915F0"/>
    <w:rsid w:val="00692481"/>
    <w:rsid w:val="006948BB"/>
    <w:rsid w:val="0069775D"/>
    <w:rsid w:val="006A03E8"/>
    <w:rsid w:val="006A2296"/>
    <w:rsid w:val="006A4B51"/>
    <w:rsid w:val="006A4C21"/>
    <w:rsid w:val="006A53AF"/>
    <w:rsid w:val="006A5A5C"/>
    <w:rsid w:val="006A6B3E"/>
    <w:rsid w:val="006B0A2D"/>
    <w:rsid w:val="006B6E8A"/>
    <w:rsid w:val="006C306F"/>
    <w:rsid w:val="006C33CB"/>
    <w:rsid w:val="006C4E7C"/>
    <w:rsid w:val="006C6670"/>
    <w:rsid w:val="006C684A"/>
    <w:rsid w:val="006D0C67"/>
    <w:rsid w:val="006D10D8"/>
    <w:rsid w:val="006D19F8"/>
    <w:rsid w:val="006E1390"/>
    <w:rsid w:val="006E1CE0"/>
    <w:rsid w:val="006E2415"/>
    <w:rsid w:val="006E26D5"/>
    <w:rsid w:val="006E2C5D"/>
    <w:rsid w:val="006E4243"/>
    <w:rsid w:val="006E470D"/>
    <w:rsid w:val="006E59C6"/>
    <w:rsid w:val="006E5A50"/>
    <w:rsid w:val="006F0C78"/>
    <w:rsid w:val="006F38C2"/>
    <w:rsid w:val="006F4153"/>
    <w:rsid w:val="006F47B6"/>
    <w:rsid w:val="006F4C31"/>
    <w:rsid w:val="006F5399"/>
    <w:rsid w:val="007055FF"/>
    <w:rsid w:val="0070660D"/>
    <w:rsid w:val="00706814"/>
    <w:rsid w:val="00710CE3"/>
    <w:rsid w:val="007122AA"/>
    <w:rsid w:val="007122E9"/>
    <w:rsid w:val="0071325D"/>
    <w:rsid w:val="00715F60"/>
    <w:rsid w:val="0071614C"/>
    <w:rsid w:val="0071680B"/>
    <w:rsid w:val="00717722"/>
    <w:rsid w:val="00717850"/>
    <w:rsid w:val="0072173C"/>
    <w:rsid w:val="00721B3E"/>
    <w:rsid w:val="00723840"/>
    <w:rsid w:val="007240F6"/>
    <w:rsid w:val="00730391"/>
    <w:rsid w:val="00730F59"/>
    <w:rsid w:val="007332EF"/>
    <w:rsid w:val="0074065B"/>
    <w:rsid w:val="007459C1"/>
    <w:rsid w:val="007464A6"/>
    <w:rsid w:val="007478E1"/>
    <w:rsid w:val="00751AA0"/>
    <w:rsid w:val="007556DA"/>
    <w:rsid w:val="00760289"/>
    <w:rsid w:val="007612BB"/>
    <w:rsid w:val="00761E98"/>
    <w:rsid w:val="00762B08"/>
    <w:rsid w:val="0076358C"/>
    <w:rsid w:val="007657D0"/>
    <w:rsid w:val="00766830"/>
    <w:rsid w:val="00766D7B"/>
    <w:rsid w:val="0077043D"/>
    <w:rsid w:val="00770486"/>
    <w:rsid w:val="007723F6"/>
    <w:rsid w:val="00775675"/>
    <w:rsid w:val="00777F72"/>
    <w:rsid w:val="007819C9"/>
    <w:rsid w:val="00781A74"/>
    <w:rsid w:val="0078529E"/>
    <w:rsid w:val="007857FC"/>
    <w:rsid w:val="00787A38"/>
    <w:rsid w:val="00792004"/>
    <w:rsid w:val="00797394"/>
    <w:rsid w:val="00797645"/>
    <w:rsid w:val="007A0E5C"/>
    <w:rsid w:val="007B15F9"/>
    <w:rsid w:val="007B226B"/>
    <w:rsid w:val="007B44E7"/>
    <w:rsid w:val="007B621E"/>
    <w:rsid w:val="007B6808"/>
    <w:rsid w:val="007B6DE7"/>
    <w:rsid w:val="007B748D"/>
    <w:rsid w:val="007B7C3C"/>
    <w:rsid w:val="007C5AA8"/>
    <w:rsid w:val="007C64F6"/>
    <w:rsid w:val="007C7094"/>
    <w:rsid w:val="007D395C"/>
    <w:rsid w:val="007D47F2"/>
    <w:rsid w:val="007D515C"/>
    <w:rsid w:val="007D6A37"/>
    <w:rsid w:val="007E0890"/>
    <w:rsid w:val="007E236B"/>
    <w:rsid w:val="007E7141"/>
    <w:rsid w:val="007E73E6"/>
    <w:rsid w:val="007E7583"/>
    <w:rsid w:val="007F0E0A"/>
    <w:rsid w:val="007F2E0B"/>
    <w:rsid w:val="007F3CFA"/>
    <w:rsid w:val="008002C6"/>
    <w:rsid w:val="00803B79"/>
    <w:rsid w:val="00804F80"/>
    <w:rsid w:val="0080595F"/>
    <w:rsid w:val="00805C4F"/>
    <w:rsid w:val="00806D57"/>
    <w:rsid w:val="0081228C"/>
    <w:rsid w:val="00812AF8"/>
    <w:rsid w:val="00816C08"/>
    <w:rsid w:val="00821048"/>
    <w:rsid w:val="0082240D"/>
    <w:rsid w:val="0082438F"/>
    <w:rsid w:val="00825F87"/>
    <w:rsid w:val="00826093"/>
    <w:rsid w:val="00826AAD"/>
    <w:rsid w:val="008314FB"/>
    <w:rsid w:val="00832741"/>
    <w:rsid w:val="008341BC"/>
    <w:rsid w:val="008352EE"/>
    <w:rsid w:val="008363C1"/>
    <w:rsid w:val="008408F1"/>
    <w:rsid w:val="00843768"/>
    <w:rsid w:val="00845BAE"/>
    <w:rsid w:val="0084625A"/>
    <w:rsid w:val="00846752"/>
    <w:rsid w:val="0084725E"/>
    <w:rsid w:val="00847E66"/>
    <w:rsid w:val="00850E00"/>
    <w:rsid w:val="00861492"/>
    <w:rsid w:val="0086596D"/>
    <w:rsid w:val="00865A96"/>
    <w:rsid w:val="00867C55"/>
    <w:rsid w:val="00870D5E"/>
    <w:rsid w:val="00871327"/>
    <w:rsid w:val="008715DD"/>
    <w:rsid w:val="00874655"/>
    <w:rsid w:val="00876D30"/>
    <w:rsid w:val="008804DC"/>
    <w:rsid w:val="0088152A"/>
    <w:rsid w:val="00881BCA"/>
    <w:rsid w:val="00882FC7"/>
    <w:rsid w:val="008839BE"/>
    <w:rsid w:val="00885173"/>
    <w:rsid w:val="008860A9"/>
    <w:rsid w:val="00886B40"/>
    <w:rsid w:val="00890E0B"/>
    <w:rsid w:val="0089200D"/>
    <w:rsid w:val="00892234"/>
    <w:rsid w:val="00892798"/>
    <w:rsid w:val="008937E6"/>
    <w:rsid w:val="008A0478"/>
    <w:rsid w:val="008A139B"/>
    <w:rsid w:val="008A1D1C"/>
    <w:rsid w:val="008A254D"/>
    <w:rsid w:val="008A66CC"/>
    <w:rsid w:val="008A71AC"/>
    <w:rsid w:val="008A7AD9"/>
    <w:rsid w:val="008B0041"/>
    <w:rsid w:val="008B0716"/>
    <w:rsid w:val="008B32B4"/>
    <w:rsid w:val="008B6560"/>
    <w:rsid w:val="008B7E4A"/>
    <w:rsid w:val="008C173F"/>
    <w:rsid w:val="008C2529"/>
    <w:rsid w:val="008C254A"/>
    <w:rsid w:val="008C6494"/>
    <w:rsid w:val="008D4C82"/>
    <w:rsid w:val="008D5FF2"/>
    <w:rsid w:val="008D6A1C"/>
    <w:rsid w:val="008D7CC3"/>
    <w:rsid w:val="008E2B43"/>
    <w:rsid w:val="008E390D"/>
    <w:rsid w:val="008E5B61"/>
    <w:rsid w:val="008E6A19"/>
    <w:rsid w:val="008E7C11"/>
    <w:rsid w:val="008F1FFD"/>
    <w:rsid w:val="008F23A7"/>
    <w:rsid w:val="008F2E6F"/>
    <w:rsid w:val="008F565F"/>
    <w:rsid w:val="008F5D83"/>
    <w:rsid w:val="008F612A"/>
    <w:rsid w:val="008F6274"/>
    <w:rsid w:val="008F7B91"/>
    <w:rsid w:val="00900593"/>
    <w:rsid w:val="0090121D"/>
    <w:rsid w:val="00901B2B"/>
    <w:rsid w:val="009034C8"/>
    <w:rsid w:val="00903816"/>
    <w:rsid w:val="0090434E"/>
    <w:rsid w:val="00905910"/>
    <w:rsid w:val="00905CBB"/>
    <w:rsid w:val="00906345"/>
    <w:rsid w:val="00907CC8"/>
    <w:rsid w:val="00911931"/>
    <w:rsid w:val="009138E7"/>
    <w:rsid w:val="00914117"/>
    <w:rsid w:val="00916381"/>
    <w:rsid w:val="00916F61"/>
    <w:rsid w:val="00917CE9"/>
    <w:rsid w:val="00922854"/>
    <w:rsid w:val="009234C2"/>
    <w:rsid w:val="0092488C"/>
    <w:rsid w:val="00924B77"/>
    <w:rsid w:val="00924CA7"/>
    <w:rsid w:val="009262F9"/>
    <w:rsid w:val="00931E1B"/>
    <w:rsid w:val="0093247A"/>
    <w:rsid w:val="00936050"/>
    <w:rsid w:val="00945E24"/>
    <w:rsid w:val="009466EB"/>
    <w:rsid w:val="00946B2E"/>
    <w:rsid w:val="00946C28"/>
    <w:rsid w:val="00947408"/>
    <w:rsid w:val="00950BDB"/>
    <w:rsid w:val="00951B58"/>
    <w:rsid w:val="009549CE"/>
    <w:rsid w:val="00954B27"/>
    <w:rsid w:val="009565E3"/>
    <w:rsid w:val="00964DEE"/>
    <w:rsid w:val="009656B0"/>
    <w:rsid w:val="00965968"/>
    <w:rsid w:val="0096607B"/>
    <w:rsid w:val="009669CE"/>
    <w:rsid w:val="00966EB4"/>
    <w:rsid w:val="00967A58"/>
    <w:rsid w:val="00973F02"/>
    <w:rsid w:val="009750BD"/>
    <w:rsid w:val="00976C15"/>
    <w:rsid w:val="00977386"/>
    <w:rsid w:val="00980A63"/>
    <w:rsid w:val="00982279"/>
    <w:rsid w:val="00982AD8"/>
    <w:rsid w:val="0098468D"/>
    <w:rsid w:val="00984963"/>
    <w:rsid w:val="00991B59"/>
    <w:rsid w:val="00992BA9"/>
    <w:rsid w:val="00993345"/>
    <w:rsid w:val="00993523"/>
    <w:rsid w:val="009938A2"/>
    <w:rsid w:val="009954B2"/>
    <w:rsid w:val="0099582E"/>
    <w:rsid w:val="00996787"/>
    <w:rsid w:val="00997A4F"/>
    <w:rsid w:val="009A0FEA"/>
    <w:rsid w:val="009A2458"/>
    <w:rsid w:val="009A75CE"/>
    <w:rsid w:val="009B056D"/>
    <w:rsid w:val="009B3DAD"/>
    <w:rsid w:val="009B472F"/>
    <w:rsid w:val="009B4FB0"/>
    <w:rsid w:val="009B69BD"/>
    <w:rsid w:val="009C11C5"/>
    <w:rsid w:val="009C1C08"/>
    <w:rsid w:val="009C225C"/>
    <w:rsid w:val="009C25EE"/>
    <w:rsid w:val="009C6F1A"/>
    <w:rsid w:val="009D0071"/>
    <w:rsid w:val="009D0AA9"/>
    <w:rsid w:val="009D0D17"/>
    <w:rsid w:val="009D0E0E"/>
    <w:rsid w:val="009D10EC"/>
    <w:rsid w:val="009D3025"/>
    <w:rsid w:val="009D36E5"/>
    <w:rsid w:val="009D534C"/>
    <w:rsid w:val="009D603F"/>
    <w:rsid w:val="009E2D0E"/>
    <w:rsid w:val="009E3584"/>
    <w:rsid w:val="009E3913"/>
    <w:rsid w:val="009E5878"/>
    <w:rsid w:val="009E6218"/>
    <w:rsid w:val="009F247E"/>
    <w:rsid w:val="009F2FC1"/>
    <w:rsid w:val="009F5F12"/>
    <w:rsid w:val="00A02C0B"/>
    <w:rsid w:val="00A06534"/>
    <w:rsid w:val="00A119FF"/>
    <w:rsid w:val="00A14E7C"/>
    <w:rsid w:val="00A165C2"/>
    <w:rsid w:val="00A1670A"/>
    <w:rsid w:val="00A210A0"/>
    <w:rsid w:val="00A22545"/>
    <w:rsid w:val="00A22A46"/>
    <w:rsid w:val="00A23474"/>
    <w:rsid w:val="00A2355B"/>
    <w:rsid w:val="00A236F4"/>
    <w:rsid w:val="00A24688"/>
    <w:rsid w:val="00A25EBF"/>
    <w:rsid w:val="00A26405"/>
    <w:rsid w:val="00A30BED"/>
    <w:rsid w:val="00A3427D"/>
    <w:rsid w:val="00A362AF"/>
    <w:rsid w:val="00A36CC0"/>
    <w:rsid w:val="00A414B1"/>
    <w:rsid w:val="00A416E0"/>
    <w:rsid w:val="00A452DF"/>
    <w:rsid w:val="00A462B1"/>
    <w:rsid w:val="00A4740C"/>
    <w:rsid w:val="00A5108B"/>
    <w:rsid w:val="00A51BAA"/>
    <w:rsid w:val="00A54FAA"/>
    <w:rsid w:val="00A5541B"/>
    <w:rsid w:val="00A5593F"/>
    <w:rsid w:val="00A56896"/>
    <w:rsid w:val="00A56BDD"/>
    <w:rsid w:val="00A570DF"/>
    <w:rsid w:val="00A57DB1"/>
    <w:rsid w:val="00A63BAA"/>
    <w:rsid w:val="00A65350"/>
    <w:rsid w:val="00A6737C"/>
    <w:rsid w:val="00A676D7"/>
    <w:rsid w:val="00A67738"/>
    <w:rsid w:val="00A67B4B"/>
    <w:rsid w:val="00A67CA6"/>
    <w:rsid w:val="00A67D49"/>
    <w:rsid w:val="00A70F6A"/>
    <w:rsid w:val="00A7190D"/>
    <w:rsid w:val="00A733C0"/>
    <w:rsid w:val="00A73E1E"/>
    <w:rsid w:val="00A75D14"/>
    <w:rsid w:val="00A77E87"/>
    <w:rsid w:val="00A809A3"/>
    <w:rsid w:val="00A814B9"/>
    <w:rsid w:val="00A83500"/>
    <w:rsid w:val="00A838A6"/>
    <w:rsid w:val="00A84609"/>
    <w:rsid w:val="00A8556F"/>
    <w:rsid w:val="00A85615"/>
    <w:rsid w:val="00A85969"/>
    <w:rsid w:val="00A866D9"/>
    <w:rsid w:val="00A87E7B"/>
    <w:rsid w:val="00A930CF"/>
    <w:rsid w:val="00A943EA"/>
    <w:rsid w:val="00A952D6"/>
    <w:rsid w:val="00A95B3F"/>
    <w:rsid w:val="00A971DA"/>
    <w:rsid w:val="00AA195B"/>
    <w:rsid w:val="00AA1FB8"/>
    <w:rsid w:val="00AA4C82"/>
    <w:rsid w:val="00AA50CC"/>
    <w:rsid w:val="00AA590F"/>
    <w:rsid w:val="00AA772C"/>
    <w:rsid w:val="00AB02E0"/>
    <w:rsid w:val="00AB02F0"/>
    <w:rsid w:val="00AB0589"/>
    <w:rsid w:val="00AB2AE3"/>
    <w:rsid w:val="00AB2C64"/>
    <w:rsid w:val="00AB52C1"/>
    <w:rsid w:val="00AC40D2"/>
    <w:rsid w:val="00AC5043"/>
    <w:rsid w:val="00AC53A9"/>
    <w:rsid w:val="00AC5A09"/>
    <w:rsid w:val="00AC609F"/>
    <w:rsid w:val="00AC6769"/>
    <w:rsid w:val="00AC7F44"/>
    <w:rsid w:val="00AD1831"/>
    <w:rsid w:val="00AD59BC"/>
    <w:rsid w:val="00AD5B2B"/>
    <w:rsid w:val="00AD6640"/>
    <w:rsid w:val="00AD7494"/>
    <w:rsid w:val="00AE1E9E"/>
    <w:rsid w:val="00AE255C"/>
    <w:rsid w:val="00AE3C16"/>
    <w:rsid w:val="00AE4572"/>
    <w:rsid w:val="00AE6879"/>
    <w:rsid w:val="00AE70E9"/>
    <w:rsid w:val="00AE788C"/>
    <w:rsid w:val="00AF2A77"/>
    <w:rsid w:val="00AF4253"/>
    <w:rsid w:val="00AF7E90"/>
    <w:rsid w:val="00B02800"/>
    <w:rsid w:val="00B06992"/>
    <w:rsid w:val="00B07262"/>
    <w:rsid w:val="00B10432"/>
    <w:rsid w:val="00B10D69"/>
    <w:rsid w:val="00B11C0C"/>
    <w:rsid w:val="00B12F56"/>
    <w:rsid w:val="00B15501"/>
    <w:rsid w:val="00B161A8"/>
    <w:rsid w:val="00B16CBB"/>
    <w:rsid w:val="00B20667"/>
    <w:rsid w:val="00B20AC3"/>
    <w:rsid w:val="00B20E3C"/>
    <w:rsid w:val="00B21137"/>
    <w:rsid w:val="00B2198E"/>
    <w:rsid w:val="00B224E4"/>
    <w:rsid w:val="00B22F75"/>
    <w:rsid w:val="00B2365F"/>
    <w:rsid w:val="00B239DC"/>
    <w:rsid w:val="00B2518D"/>
    <w:rsid w:val="00B254DC"/>
    <w:rsid w:val="00B267B3"/>
    <w:rsid w:val="00B2723A"/>
    <w:rsid w:val="00B275E1"/>
    <w:rsid w:val="00B30162"/>
    <w:rsid w:val="00B3203A"/>
    <w:rsid w:val="00B3336F"/>
    <w:rsid w:val="00B33610"/>
    <w:rsid w:val="00B42BBD"/>
    <w:rsid w:val="00B45590"/>
    <w:rsid w:val="00B45CD8"/>
    <w:rsid w:val="00B470A1"/>
    <w:rsid w:val="00B521A2"/>
    <w:rsid w:val="00B5369A"/>
    <w:rsid w:val="00B5425F"/>
    <w:rsid w:val="00B550FE"/>
    <w:rsid w:val="00B55C50"/>
    <w:rsid w:val="00B57BF7"/>
    <w:rsid w:val="00B61C58"/>
    <w:rsid w:val="00B63189"/>
    <w:rsid w:val="00B63EA8"/>
    <w:rsid w:val="00B6456E"/>
    <w:rsid w:val="00B64634"/>
    <w:rsid w:val="00B64639"/>
    <w:rsid w:val="00B664D7"/>
    <w:rsid w:val="00B667D2"/>
    <w:rsid w:val="00B66F8C"/>
    <w:rsid w:val="00B67771"/>
    <w:rsid w:val="00B678A1"/>
    <w:rsid w:val="00B70E49"/>
    <w:rsid w:val="00B744B9"/>
    <w:rsid w:val="00B75D64"/>
    <w:rsid w:val="00B7756C"/>
    <w:rsid w:val="00B801E7"/>
    <w:rsid w:val="00B8081E"/>
    <w:rsid w:val="00B80A47"/>
    <w:rsid w:val="00B8162F"/>
    <w:rsid w:val="00B81706"/>
    <w:rsid w:val="00B81ADE"/>
    <w:rsid w:val="00B81C24"/>
    <w:rsid w:val="00B82E52"/>
    <w:rsid w:val="00B85F91"/>
    <w:rsid w:val="00B90B60"/>
    <w:rsid w:val="00B90E0F"/>
    <w:rsid w:val="00B9127E"/>
    <w:rsid w:val="00B9667A"/>
    <w:rsid w:val="00B97826"/>
    <w:rsid w:val="00BA032B"/>
    <w:rsid w:val="00BA4DD8"/>
    <w:rsid w:val="00BA7398"/>
    <w:rsid w:val="00BB0A11"/>
    <w:rsid w:val="00BB0E64"/>
    <w:rsid w:val="00BB4B42"/>
    <w:rsid w:val="00BB5F38"/>
    <w:rsid w:val="00BB70B4"/>
    <w:rsid w:val="00BB78A4"/>
    <w:rsid w:val="00BB7B93"/>
    <w:rsid w:val="00BC027E"/>
    <w:rsid w:val="00BC27C5"/>
    <w:rsid w:val="00BC3F27"/>
    <w:rsid w:val="00BC4671"/>
    <w:rsid w:val="00BC52F1"/>
    <w:rsid w:val="00BC6644"/>
    <w:rsid w:val="00BC68A5"/>
    <w:rsid w:val="00BD24BA"/>
    <w:rsid w:val="00BD3C65"/>
    <w:rsid w:val="00BD5178"/>
    <w:rsid w:val="00BD68CA"/>
    <w:rsid w:val="00BD68DE"/>
    <w:rsid w:val="00BD7128"/>
    <w:rsid w:val="00BE2582"/>
    <w:rsid w:val="00BE294B"/>
    <w:rsid w:val="00BE7980"/>
    <w:rsid w:val="00BF2097"/>
    <w:rsid w:val="00BF2517"/>
    <w:rsid w:val="00BF306C"/>
    <w:rsid w:val="00BF3C18"/>
    <w:rsid w:val="00BF3E43"/>
    <w:rsid w:val="00BF5B3C"/>
    <w:rsid w:val="00BF6ADA"/>
    <w:rsid w:val="00BF6E01"/>
    <w:rsid w:val="00BF78B2"/>
    <w:rsid w:val="00C00D75"/>
    <w:rsid w:val="00C01AEE"/>
    <w:rsid w:val="00C02CCB"/>
    <w:rsid w:val="00C0377F"/>
    <w:rsid w:val="00C069B8"/>
    <w:rsid w:val="00C10BBF"/>
    <w:rsid w:val="00C1537E"/>
    <w:rsid w:val="00C164DE"/>
    <w:rsid w:val="00C20579"/>
    <w:rsid w:val="00C2217B"/>
    <w:rsid w:val="00C22A61"/>
    <w:rsid w:val="00C23F0C"/>
    <w:rsid w:val="00C24EA6"/>
    <w:rsid w:val="00C257C2"/>
    <w:rsid w:val="00C264C4"/>
    <w:rsid w:val="00C27A38"/>
    <w:rsid w:val="00C35315"/>
    <w:rsid w:val="00C358F5"/>
    <w:rsid w:val="00C367E2"/>
    <w:rsid w:val="00C3689D"/>
    <w:rsid w:val="00C36FFB"/>
    <w:rsid w:val="00C37193"/>
    <w:rsid w:val="00C4152A"/>
    <w:rsid w:val="00C4277F"/>
    <w:rsid w:val="00C42FC1"/>
    <w:rsid w:val="00C46C6F"/>
    <w:rsid w:val="00C47470"/>
    <w:rsid w:val="00C4767E"/>
    <w:rsid w:val="00C51BDB"/>
    <w:rsid w:val="00C560A6"/>
    <w:rsid w:val="00C571AB"/>
    <w:rsid w:val="00C57BBB"/>
    <w:rsid w:val="00C61C4E"/>
    <w:rsid w:val="00C634B9"/>
    <w:rsid w:val="00C72A9D"/>
    <w:rsid w:val="00C731C0"/>
    <w:rsid w:val="00C749F9"/>
    <w:rsid w:val="00C75CE5"/>
    <w:rsid w:val="00C766BE"/>
    <w:rsid w:val="00C76973"/>
    <w:rsid w:val="00C76C0A"/>
    <w:rsid w:val="00C77B3E"/>
    <w:rsid w:val="00C8106E"/>
    <w:rsid w:val="00C820F0"/>
    <w:rsid w:val="00C8227A"/>
    <w:rsid w:val="00C8695D"/>
    <w:rsid w:val="00C870A7"/>
    <w:rsid w:val="00C905D2"/>
    <w:rsid w:val="00C90911"/>
    <w:rsid w:val="00C917A1"/>
    <w:rsid w:val="00C91ADE"/>
    <w:rsid w:val="00C91FBD"/>
    <w:rsid w:val="00C92B96"/>
    <w:rsid w:val="00C93313"/>
    <w:rsid w:val="00C939FE"/>
    <w:rsid w:val="00C94477"/>
    <w:rsid w:val="00C951D5"/>
    <w:rsid w:val="00C95F85"/>
    <w:rsid w:val="00CA1180"/>
    <w:rsid w:val="00CA2E66"/>
    <w:rsid w:val="00CA41D0"/>
    <w:rsid w:val="00CB2C11"/>
    <w:rsid w:val="00CB3FB2"/>
    <w:rsid w:val="00CB5FB9"/>
    <w:rsid w:val="00CB6CB1"/>
    <w:rsid w:val="00CC15FD"/>
    <w:rsid w:val="00CC2836"/>
    <w:rsid w:val="00CC4159"/>
    <w:rsid w:val="00CC4C34"/>
    <w:rsid w:val="00CC50F4"/>
    <w:rsid w:val="00CD16C6"/>
    <w:rsid w:val="00CD3376"/>
    <w:rsid w:val="00CD5078"/>
    <w:rsid w:val="00CD67D9"/>
    <w:rsid w:val="00CD7138"/>
    <w:rsid w:val="00CE0C26"/>
    <w:rsid w:val="00CE516F"/>
    <w:rsid w:val="00CE6EDD"/>
    <w:rsid w:val="00CE723E"/>
    <w:rsid w:val="00CF02F1"/>
    <w:rsid w:val="00CF0960"/>
    <w:rsid w:val="00CF1A9F"/>
    <w:rsid w:val="00CF356F"/>
    <w:rsid w:val="00CF706B"/>
    <w:rsid w:val="00CF7726"/>
    <w:rsid w:val="00CF7A79"/>
    <w:rsid w:val="00D000A4"/>
    <w:rsid w:val="00D0188E"/>
    <w:rsid w:val="00D055AF"/>
    <w:rsid w:val="00D057A1"/>
    <w:rsid w:val="00D05947"/>
    <w:rsid w:val="00D05EC4"/>
    <w:rsid w:val="00D067BD"/>
    <w:rsid w:val="00D069A0"/>
    <w:rsid w:val="00D06CAB"/>
    <w:rsid w:val="00D118FE"/>
    <w:rsid w:val="00D13876"/>
    <w:rsid w:val="00D1591D"/>
    <w:rsid w:val="00D16299"/>
    <w:rsid w:val="00D16360"/>
    <w:rsid w:val="00D165EF"/>
    <w:rsid w:val="00D16C35"/>
    <w:rsid w:val="00D16E1F"/>
    <w:rsid w:val="00D171FB"/>
    <w:rsid w:val="00D21031"/>
    <w:rsid w:val="00D21A29"/>
    <w:rsid w:val="00D21B2F"/>
    <w:rsid w:val="00D241CB"/>
    <w:rsid w:val="00D2614D"/>
    <w:rsid w:val="00D26355"/>
    <w:rsid w:val="00D26E0D"/>
    <w:rsid w:val="00D30DDE"/>
    <w:rsid w:val="00D31156"/>
    <w:rsid w:val="00D3245B"/>
    <w:rsid w:val="00D33CF1"/>
    <w:rsid w:val="00D34EA6"/>
    <w:rsid w:val="00D37AEB"/>
    <w:rsid w:val="00D437C4"/>
    <w:rsid w:val="00D442BB"/>
    <w:rsid w:val="00D515FC"/>
    <w:rsid w:val="00D52C5B"/>
    <w:rsid w:val="00D542F7"/>
    <w:rsid w:val="00D55397"/>
    <w:rsid w:val="00D56B82"/>
    <w:rsid w:val="00D64320"/>
    <w:rsid w:val="00D668FB"/>
    <w:rsid w:val="00D67E45"/>
    <w:rsid w:val="00D71292"/>
    <w:rsid w:val="00D713B9"/>
    <w:rsid w:val="00D740FA"/>
    <w:rsid w:val="00D77B64"/>
    <w:rsid w:val="00D77BA1"/>
    <w:rsid w:val="00D80435"/>
    <w:rsid w:val="00D81CAD"/>
    <w:rsid w:val="00D8291F"/>
    <w:rsid w:val="00D85403"/>
    <w:rsid w:val="00D86FA5"/>
    <w:rsid w:val="00D8737A"/>
    <w:rsid w:val="00D877BD"/>
    <w:rsid w:val="00D90EBE"/>
    <w:rsid w:val="00D91619"/>
    <w:rsid w:val="00D91D1C"/>
    <w:rsid w:val="00D93496"/>
    <w:rsid w:val="00D93817"/>
    <w:rsid w:val="00D94472"/>
    <w:rsid w:val="00D9623E"/>
    <w:rsid w:val="00D96D26"/>
    <w:rsid w:val="00D97949"/>
    <w:rsid w:val="00D97D43"/>
    <w:rsid w:val="00DA013E"/>
    <w:rsid w:val="00DA1A16"/>
    <w:rsid w:val="00DA2B60"/>
    <w:rsid w:val="00DA33B9"/>
    <w:rsid w:val="00DA3C7A"/>
    <w:rsid w:val="00DA48C4"/>
    <w:rsid w:val="00DA4EF1"/>
    <w:rsid w:val="00DA7333"/>
    <w:rsid w:val="00DB2F2B"/>
    <w:rsid w:val="00DB2FEB"/>
    <w:rsid w:val="00DB321F"/>
    <w:rsid w:val="00DB49FA"/>
    <w:rsid w:val="00DB4A9C"/>
    <w:rsid w:val="00DB65FA"/>
    <w:rsid w:val="00DB77E8"/>
    <w:rsid w:val="00DC046C"/>
    <w:rsid w:val="00DC130E"/>
    <w:rsid w:val="00DC1A8E"/>
    <w:rsid w:val="00DC1F4A"/>
    <w:rsid w:val="00DC5065"/>
    <w:rsid w:val="00DC681E"/>
    <w:rsid w:val="00DC6A8C"/>
    <w:rsid w:val="00DD14D9"/>
    <w:rsid w:val="00DD3AA2"/>
    <w:rsid w:val="00DD3C53"/>
    <w:rsid w:val="00DD6649"/>
    <w:rsid w:val="00DD6B01"/>
    <w:rsid w:val="00DE0F7E"/>
    <w:rsid w:val="00DE7FDF"/>
    <w:rsid w:val="00DF2276"/>
    <w:rsid w:val="00DF2DC8"/>
    <w:rsid w:val="00DF3EE1"/>
    <w:rsid w:val="00DF4C00"/>
    <w:rsid w:val="00DF5CA4"/>
    <w:rsid w:val="00DF6E7C"/>
    <w:rsid w:val="00DF6EB2"/>
    <w:rsid w:val="00E0089B"/>
    <w:rsid w:val="00E04804"/>
    <w:rsid w:val="00E04E9F"/>
    <w:rsid w:val="00E04F1D"/>
    <w:rsid w:val="00E0533D"/>
    <w:rsid w:val="00E06610"/>
    <w:rsid w:val="00E1106B"/>
    <w:rsid w:val="00E12296"/>
    <w:rsid w:val="00E12EE5"/>
    <w:rsid w:val="00E139A6"/>
    <w:rsid w:val="00E14A3C"/>
    <w:rsid w:val="00E15EBD"/>
    <w:rsid w:val="00E20024"/>
    <w:rsid w:val="00E2270F"/>
    <w:rsid w:val="00E24C00"/>
    <w:rsid w:val="00E24F49"/>
    <w:rsid w:val="00E300A0"/>
    <w:rsid w:val="00E302EF"/>
    <w:rsid w:val="00E30C33"/>
    <w:rsid w:val="00E31015"/>
    <w:rsid w:val="00E343F3"/>
    <w:rsid w:val="00E345DD"/>
    <w:rsid w:val="00E379DA"/>
    <w:rsid w:val="00E40487"/>
    <w:rsid w:val="00E41892"/>
    <w:rsid w:val="00E43A42"/>
    <w:rsid w:val="00E442B4"/>
    <w:rsid w:val="00E4550B"/>
    <w:rsid w:val="00E4563F"/>
    <w:rsid w:val="00E45F49"/>
    <w:rsid w:val="00E51610"/>
    <w:rsid w:val="00E54E52"/>
    <w:rsid w:val="00E57386"/>
    <w:rsid w:val="00E6001B"/>
    <w:rsid w:val="00E60254"/>
    <w:rsid w:val="00E613BB"/>
    <w:rsid w:val="00E618C3"/>
    <w:rsid w:val="00E63EE7"/>
    <w:rsid w:val="00E64084"/>
    <w:rsid w:val="00E664E9"/>
    <w:rsid w:val="00E66553"/>
    <w:rsid w:val="00E673C5"/>
    <w:rsid w:val="00E70487"/>
    <w:rsid w:val="00E755AE"/>
    <w:rsid w:val="00E760FD"/>
    <w:rsid w:val="00E7654C"/>
    <w:rsid w:val="00E800ED"/>
    <w:rsid w:val="00E80E8E"/>
    <w:rsid w:val="00E86214"/>
    <w:rsid w:val="00E8776D"/>
    <w:rsid w:val="00E87B90"/>
    <w:rsid w:val="00E92FA6"/>
    <w:rsid w:val="00E93B76"/>
    <w:rsid w:val="00E942E3"/>
    <w:rsid w:val="00E96257"/>
    <w:rsid w:val="00E9646E"/>
    <w:rsid w:val="00E9730E"/>
    <w:rsid w:val="00EA00E7"/>
    <w:rsid w:val="00EA09F5"/>
    <w:rsid w:val="00EA1B37"/>
    <w:rsid w:val="00EA3410"/>
    <w:rsid w:val="00EA46BF"/>
    <w:rsid w:val="00EA5332"/>
    <w:rsid w:val="00EB08A8"/>
    <w:rsid w:val="00EB2F96"/>
    <w:rsid w:val="00EB36D7"/>
    <w:rsid w:val="00EB4797"/>
    <w:rsid w:val="00EB4D87"/>
    <w:rsid w:val="00EB69AB"/>
    <w:rsid w:val="00EB6B6D"/>
    <w:rsid w:val="00EB703D"/>
    <w:rsid w:val="00EB71C3"/>
    <w:rsid w:val="00EB7625"/>
    <w:rsid w:val="00EC16E1"/>
    <w:rsid w:val="00EC1CAA"/>
    <w:rsid w:val="00EC228D"/>
    <w:rsid w:val="00EC3B5B"/>
    <w:rsid w:val="00EC6938"/>
    <w:rsid w:val="00ED5859"/>
    <w:rsid w:val="00ED5CF3"/>
    <w:rsid w:val="00ED7982"/>
    <w:rsid w:val="00EE065D"/>
    <w:rsid w:val="00EE2804"/>
    <w:rsid w:val="00EE4BEB"/>
    <w:rsid w:val="00EE7A7B"/>
    <w:rsid w:val="00EF0440"/>
    <w:rsid w:val="00EF1781"/>
    <w:rsid w:val="00EF1877"/>
    <w:rsid w:val="00EF1D9F"/>
    <w:rsid w:val="00EF226F"/>
    <w:rsid w:val="00EF33E3"/>
    <w:rsid w:val="00EF342A"/>
    <w:rsid w:val="00EF361A"/>
    <w:rsid w:val="00EF4491"/>
    <w:rsid w:val="00EF5725"/>
    <w:rsid w:val="00EF6104"/>
    <w:rsid w:val="00F04232"/>
    <w:rsid w:val="00F072FA"/>
    <w:rsid w:val="00F07C55"/>
    <w:rsid w:val="00F109AC"/>
    <w:rsid w:val="00F12D18"/>
    <w:rsid w:val="00F130C1"/>
    <w:rsid w:val="00F1439D"/>
    <w:rsid w:val="00F14D1E"/>
    <w:rsid w:val="00F15DA5"/>
    <w:rsid w:val="00F17447"/>
    <w:rsid w:val="00F2007F"/>
    <w:rsid w:val="00F21105"/>
    <w:rsid w:val="00F22A75"/>
    <w:rsid w:val="00F234ED"/>
    <w:rsid w:val="00F278AE"/>
    <w:rsid w:val="00F2798D"/>
    <w:rsid w:val="00F3149C"/>
    <w:rsid w:val="00F31C0F"/>
    <w:rsid w:val="00F332E4"/>
    <w:rsid w:val="00F35E83"/>
    <w:rsid w:val="00F3645F"/>
    <w:rsid w:val="00F3784E"/>
    <w:rsid w:val="00F40CD4"/>
    <w:rsid w:val="00F47480"/>
    <w:rsid w:val="00F47F2A"/>
    <w:rsid w:val="00F521CE"/>
    <w:rsid w:val="00F534AF"/>
    <w:rsid w:val="00F55184"/>
    <w:rsid w:val="00F56B6F"/>
    <w:rsid w:val="00F601B0"/>
    <w:rsid w:val="00F62371"/>
    <w:rsid w:val="00F62853"/>
    <w:rsid w:val="00F652BA"/>
    <w:rsid w:val="00F65339"/>
    <w:rsid w:val="00F65575"/>
    <w:rsid w:val="00F67501"/>
    <w:rsid w:val="00F705F6"/>
    <w:rsid w:val="00F70A7D"/>
    <w:rsid w:val="00F70FE1"/>
    <w:rsid w:val="00F724AF"/>
    <w:rsid w:val="00F72643"/>
    <w:rsid w:val="00F732EF"/>
    <w:rsid w:val="00F817BA"/>
    <w:rsid w:val="00F821BF"/>
    <w:rsid w:val="00F85B56"/>
    <w:rsid w:val="00F9045A"/>
    <w:rsid w:val="00F90927"/>
    <w:rsid w:val="00F91368"/>
    <w:rsid w:val="00F92F25"/>
    <w:rsid w:val="00F96AFC"/>
    <w:rsid w:val="00F97289"/>
    <w:rsid w:val="00FA373F"/>
    <w:rsid w:val="00FB2961"/>
    <w:rsid w:val="00FB3291"/>
    <w:rsid w:val="00FB439B"/>
    <w:rsid w:val="00FB4D40"/>
    <w:rsid w:val="00FB7C3E"/>
    <w:rsid w:val="00FC1102"/>
    <w:rsid w:val="00FC1B08"/>
    <w:rsid w:val="00FC1E80"/>
    <w:rsid w:val="00FC3BD0"/>
    <w:rsid w:val="00FC43CE"/>
    <w:rsid w:val="00FC48B3"/>
    <w:rsid w:val="00FC552C"/>
    <w:rsid w:val="00FC7BA1"/>
    <w:rsid w:val="00FD0316"/>
    <w:rsid w:val="00FD10F4"/>
    <w:rsid w:val="00FD1769"/>
    <w:rsid w:val="00FD193F"/>
    <w:rsid w:val="00FD2865"/>
    <w:rsid w:val="00FD4BA8"/>
    <w:rsid w:val="00FD5067"/>
    <w:rsid w:val="00FD6464"/>
    <w:rsid w:val="00FE068E"/>
    <w:rsid w:val="00FE320B"/>
    <w:rsid w:val="00FE597D"/>
    <w:rsid w:val="00FE79C7"/>
    <w:rsid w:val="00FF2C0B"/>
    <w:rsid w:val="00FF4656"/>
    <w:rsid w:val="00FF6A4E"/>
  </w:rsids>
  <m:mathPr>
    <m:mathFont m:val="Cambria Math"/>
    <m:brkBin m:val="before"/>
    <m:brkBinSub m:val="--"/>
    <m:smallFrac/>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4120B9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uiPriority="0"/>
    <w:lsdException w:name="footer" w:uiPriority="0"/>
    <w:lsdException w:name="caption" w:uiPriority="0" w:qFormat="1"/>
    <w:lsdException w:name="endnote reference" w:uiPriority="0"/>
    <w:lsdException w:name="toa heading" w:uiPriority="0"/>
    <w:lsdException w:name="List"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FollowedHyperlink" w:uiPriority="0"/>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4D8E"/>
    <w:pPr>
      <w:spacing w:before="120" w:after="120"/>
      <w:jc w:val="both"/>
    </w:pPr>
    <w:rPr>
      <w:sz w:val="22"/>
      <w:szCs w:val="22"/>
      <w:lang w:val="en-US" w:eastAsia="en-US"/>
    </w:rPr>
  </w:style>
  <w:style w:type="paragraph" w:styleId="Heading1">
    <w:name w:val="heading 1"/>
    <w:basedOn w:val="Normal"/>
    <w:next w:val="Normal"/>
    <w:link w:val="Heading1Char"/>
    <w:qFormat/>
    <w:rsid w:val="001B4D8E"/>
    <w:pPr>
      <w:keepNext/>
      <w:keepLines/>
      <w:numPr>
        <w:numId w:val="1"/>
      </w:numPr>
      <w:pBdr>
        <w:top w:val="single" w:sz="4" w:space="1" w:color="4F6228"/>
        <w:left w:val="single" w:sz="4" w:space="4" w:color="4F6228"/>
        <w:bottom w:val="single" w:sz="4" w:space="1" w:color="4F6228"/>
        <w:right w:val="single" w:sz="4" w:space="4" w:color="4F6228"/>
      </w:pBdr>
      <w:shd w:val="clear" w:color="auto" w:fill="4F6228"/>
      <w:spacing w:before="240" w:after="360"/>
      <w:outlineLvl w:val="0"/>
    </w:pPr>
    <w:rPr>
      <w:rFonts w:eastAsia="Times New Roman"/>
      <w:b/>
      <w:bCs/>
      <w:color w:val="FFFFFF"/>
      <w:sz w:val="36"/>
      <w:szCs w:val="28"/>
    </w:rPr>
  </w:style>
  <w:style w:type="paragraph" w:styleId="Heading2">
    <w:name w:val="heading 2"/>
    <w:aliases w:val="Sub-capitol"/>
    <w:basedOn w:val="Normal"/>
    <w:next w:val="Normal"/>
    <w:link w:val="Heading2Char"/>
    <w:unhideWhenUsed/>
    <w:qFormat/>
    <w:rsid w:val="003F34AF"/>
    <w:pPr>
      <w:keepNext/>
      <w:keepLines/>
      <w:numPr>
        <w:numId w:val="59"/>
      </w:numPr>
      <w:spacing w:before="240" w:after="240"/>
      <w:outlineLvl w:val="1"/>
    </w:pPr>
    <w:rPr>
      <w:rFonts w:eastAsia="Times New Roman"/>
      <w:b/>
      <w:bCs/>
      <w:color w:val="365F91"/>
      <w:sz w:val="28"/>
      <w:szCs w:val="26"/>
    </w:rPr>
  </w:style>
  <w:style w:type="paragraph" w:styleId="Heading3">
    <w:name w:val="heading 3"/>
    <w:aliases w:val="Titlu 1"/>
    <w:basedOn w:val="Normal"/>
    <w:next w:val="Normal"/>
    <w:link w:val="Heading3Char"/>
    <w:uiPriority w:val="9"/>
    <w:unhideWhenUsed/>
    <w:qFormat/>
    <w:rsid w:val="00474B13"/>
    <w:pPr>
      <w:keepNext/>
      <w:keepLines/>
      <w:numPr>
        <w:numId w:val="3"/>
      </w:numPr>
      <w:outlineLvl w:val="2"/>
    </w:pPr>
    <w:rPr>
      <w:rFonts w:eastAsia="Times New Roman"/>
      <w:b/>
      <w:bCs/>
      <w:color w:val="4F81BD"/>
      <w:sz w:val="24"/>
    </w:rPr>
  </w:style>
  <w:style w:type="paragraph" w:styleId="Heading4">
    <w:name w:val="heading 4"/>
    <w:aliases w:val="Sub-text tabel"/>
    <w:basedOn w:val="Normal"/>
    <w:next w:val="Normal"/>
    <w:link w:val="Heading4Char"/>
    <w:unhideWhenUsed/>
    <w:qFormat/>
    <w:rsid w:val="0060464C"/>
    <w:pPr>
      <w:keepNext/>
      <w:keepLines/>
      <w:spacing w:before="0" w:after="0"/>
      <w:jc w:val="right"/>
      <w:outlineLvl w:val="3"/>
    </w:pPr>
    <w:rPr>
      <w:rFonts w:eastAsia="Times New Roman"/>
      <w:bCs/>
      <w:i/>
      <w:iCs/>
      <w:sz w:val="18"/>
    </w:rPr>
  </w:style>
  <w:style w:type="paragraph" w:styleId="Heading5">
    <w:name w:val="heading 5"/>
    <w:aliases w:val="Sub-titlu 1"/>
    <w:basedOn w:val="Normal"/>
    <w:next w:val="Normal"/>
    <w:link w:val="Heading5Char"/>
    <w:unhideWhenUsed/>
    <w:qFormat/>
    <w:rsid w:val="00017F4B"/>
    <w:pPr>
      <w:keepNext/>
      <w:keepLines/>
      <w:numPr>
        <w:numId w:val="107"/>
      </w:numPr>
      <w:ind w:left="1208" w:hanging="357"/>
      <w:outlineLvl w:val="4"/>
    </w:pPr>
    <w:rPr>
      <w:rFonts w:eastAsia="Times New Roman"/>
      <w:b/>
      <w:color w:val="0070C0"/>
      <w:sz w:val="24"/>
    </w:rPr>
  </w:style>
  <w:style w:type="paragraph" w:styleId="Heading6">
    <w:name w:val="heading 6"/>
    <w:basedOn w:val="Normal"/>
    <w:next w:val="Normal"/>
    <w:link w:val="Heading6Char"/>
    <w:unhideWhenUsed/>
    <w:qFormat/>
    <w:rsid w:val="00385FDB"/>
    <w:pPr>
      <w:keepNext/>
      <w:keepLines/>
      <w:spacing w:before="200" w:after="0"/>
      <w:outlineLvl w:val="5"/>
    </w:pPr>
    <w:rPr>
      <w:rFonts w:ascii="Cambria" w:eastAsia="Times New Roman" w:hAnsi="Cambria"/>
      <w:i/>
      <w:iCs/>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56B6F"/>
    <w:pPr>
      <w:numPr>
        <w:numId w:val="4"/>
      </w:numPr>
    </w:pPr>
    <w:rPr>
      <w:rFonts w:eastAsia="Times New Roman"/>
      <w:lang w:val="ro-RO" w:eastAsia="en-GB"/>
    </w:rPr>
  </w:style>
  <w:style w:type="paragraph" w:styleId="Title">
    <w:name w:val="Title"/>
    <w:basedOn w:val="Normal"/>
    <w:next w:val="Normal"/>
    <w:link w:val="TitleChar"/>
    <w:qFormat/>
    <w:rsid w:val="00A57DB1"/>
    <w:pPr>
      <w:spacing w:before="480" w:after="480"/>
      <w:jc w:val="center"/>
    </w:pPr>
    <w:rPr>
      <w:rFonts w:eastAsia="Times New Roman"/>
      <w:b/>
      <w:color w:val="365F91"/>
      <w:spacing w:val="5"/>
      <w:kern w:val="28"/>
      <w:sz w:val="72"/>
      <w:szCs w:val="52"/>
    </w:rPr>
  </w:style>
  <w:style w:type="character" w:customStyle="1" w:styleId="TitleChar">
    <w:name w:val="Title Char"/>
    <w:link w:val="Title"/>
    <w:rsid w:val="00A57DB1"/>
    <w:rPr>
      <w:rFonts w:eastAsia="Times New Roman" w:cs="Times New Roman"/>
      <w:b/>
      <w:color w:val="365F91"/>
      <w:spacing w:val="5"/>
      <w:kern w:val="28"/>
      <w:sz w:val="72"/>
      <w:szCs w:val="52"/>
    </w:rPr>
  </w:style>
  <w:style w:type="paragraph" w:styleId="Subtitle">
    <w:name w:val="Subtitle"/>
    <w:basedOn w:val="Normal"/>
    <w:next w:val="Normal"/>
    <w:link w:val="SubtitleChar"/>
    <w:qFormat/>
    <w:rsid w:val="003E54B1"/>
    <w:pPr>
      <w:numPr>
        <w:ilvl w:val="1"/>
      </w:numPr>
      <w:spacing w:before="0" w:after="80"/>
      <w:ind w:left="284"/>
      <w:jc w:val="center"/>
    </w:pPr>
    <w:rPr>
      <w:rFonts w:asciiTheme="minorHAnsi" w:eastAsia="Times New Roman" w:hAnsiTheme="minorHAnsi"/>
      <w:b/>
      <w:i/>
      <w:iCs/>
      <w:color w:val="0070C0"/>
      <w:spacing w:val="15"/>
      <w:szCs w:val="24"/>
    </w:rPr>
  </w:style>
  <w:style w:type="character" w:customStyle="1" w:styleId="SubtitleChar">
    <w:name w:val="Subtitle Char"/>
    <w:link w:val="Subtitle"/>
    <w:rsid w:val="003E54B1"/>
    <w:rPr>
      <w:rFonts w:asciiTheme="minorHAnsi" w:eastAsia="Times New Roman" w:hAnsiTheme="minorHAnsi"/>
      <w:b/>
      <w:i/>
      <w:iCs/>
      <w:color w:val="0070C0"/>
      <w:spacing w:val="15"/>
      <w:sz w:val="22"/>
      <w:szCs w:val="24"/>
      <w:lang w:val="en-US" w:eastAsia="en-US"/>
    </w:rPr>
  </w:style>
  <w:style w:type="character" w:customStyle="1" w:styleId="Heading1Char">
    <w:name w:val="Heading 1 Char"/>
    <w:link w:val="Heading1"/>
    <w:rsid w:val="001B4D8E"/>
    <w:rPr>
      <w:rFonts w:eastAsia="Times New Roman"/>
      <w:b/>
      <w:bCs/>
      <w:color w:val="FFFFFF"/>
      <w:sz w:val="36"/>
      <w:szCs w:val="28"/>
      <w:shd w:val="clear" w:color="auto" w:fill="4F6228"/>
      <w:lang w:val="en-US" w:eastAsia="en-US"/>
    </w:rPr>
  </w:style>
  <w:style w:type="character" w:customStyle="1" w:styleId="Heading2Char">
    <w:name w:val="Heading 2 Char"/>
    <w:aliases w:val="Sub-capitol Char"/>
    <w:link w:val="Heading2"/>
    <w:rsid w:val="003F34AF"/>
    <w:rPr>
      <w:rFonts w:eastAsia="Times New Roman"/>
      <w:b/>
      <w:bCs/>
      <w:color w:val="365F91"/>
      <w:sz w:val="28"/>
      <w:szCs w:val="26"/>
      <w:lang w:val="en-US" w:eastAsia="en-US"/>
    </w:rPr>
  </w:style>
  <w:style w:type="table" w:styleId="TableGrid">
    <w:name w:val="Table Grid"/>
    <w:basedOn w:val="TableNormal"/>
    <w:uiPriority w:val="59"/>
    <w:rsid w:val="00886B4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5">
    <w:name w:val="Light List Accent 5"/>
    <w:basedOn w:val="TableNormal"/>
    <w:uiPriority w:val="61"/>
    <w:rsid w:val="00886B40"/>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Grid2-Accent5">
    <w:name w:val="Medium Grid 2 Accent 5"/>
    <w:basedOn w:val="TableNormal"/>
    <w:uiPriority w:val="68"/>
    <w:rsid w:val="00886B40"/>
    <w:rPr>
      <w:rFonts w:ascii="Cambria" w:eastAsia="Times New Roman" w:hAnsi="Cambria"/>
      <w:color w:val="000000"/>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MediumGrid3-Accent5">
    <w:name w:val="Medium Grid 3 Accent 5"/>
    <w:basedOn w:val="TableNormal"/>
    <w:uiPriority w:val="69"/>
    <w:rsid w:val="00886B40"/>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paragraph" w:styleId="NormalWeb">
    <w:name w:val="Normal (Web)"/>
    <w:basedOn w:val="Normal"/>
    <w:unhideWhenUsed/>
    <w:rsid w:val="00BD24BA"/>
    <w:pPr>
      <w:spacing w:before="100" w:beforeAutospacing="1" w:after="100" w:afterAutospacing="1"/>
    </w:pPr>
    <w:rPr>
      <w:rFonts w:ascii="Times New Roman" w:eastAsia="Times New Roman" w:hAnsi="Times New Roman"/>
      <w:sz w:val="24"/>
      <w:szCs w:val="24"/>
    </w:rPr>
  </w:style>
  <w:style w:type="character" w:styleId="CommentReference">
    <w:name w:val="annotation reference"/>
    <w:uiPriority w:val="99"/>
    <w:semiHidden/>
    <w:unhideWhenUsed/>
    <w:rsid w:val="00692481"/>
    <w:rPr>
      <w:sz w:val="16"/>
      <w:szCs w:val="16"/>
    </w:rPr>
  </w:style>
  <w:style w:type="paragraph" w:styleId="CommentText">
    <w:name w:val="annotation text"/>
    <w:basedOn w:val="Normal"/>
    <w:link w:val="CommentTextChar"/>
    <w:uiPriority w:val="99"/>
    <w:semiHidden/>
    <w:unhideWhenUsed/>
    <w:rsid w:val="00692481"/>
    <w:rPr>
      <w:sz w:val="20"/>
      <w:szCs w:val="20"/>
    </w:rPr>
  </w:style>
  <w:style w:type="character" w:customStyle="1" w:styleId="CommentTextChar">
    <w:name w:val="Comment Text Char"/>
    <w:link w:val="CommentText"/>
    <w:uiPriority w:val="99"/>
    <w:semiHidden/>
    <w:rsid w:val="00692481"/>
    <w:rPr>
      <w:sz w:val="20"/>
      <w:szCs w:val="20"/>
    </w:rPr>
  </w:style>
  <w:style w:type="paragraph" w:styleId="CommentSubject">
    <w:name w:val="annotation subject"/>
    <w:basedOn w:val="CommentText"/>
    <w:next w:val="CommentText"/>
    <w:link w:val="CommentSubjectChar"/>
    <w:uiPriority w:val="99"/>
    <w:semiHidden/>
    <w:unhideWhenUsed/>
    <w:rsid w:val="00692481"/>
    <w:rPr>
      <w:b/>
      <w:bCs/>
    </w:rPr>
  </w:style>
  <w:style w:type="character" w:customStyle="1" w:styleId="CommentSubjectChar">
    <w:name w:val="Comment Subject Char"/>
    <w:link w:val="CommentSubject"/>
    <w:uiPriority w:val="99"/>
    <w:semiHidden/>
    <w:rsid w:val="00692481"/>
    <w:rPr>
      <w:b/>
      <w:bCs/>
      <w:sz w:val="20"/>
      <w:szCs w:val="20"/>
    </w:rPr>
  </w:style>
  <w:style w:type="paragraph" w:styleId="BalloonText">
    <w:name w:val="Balloon Text"/>
    <w:basedOn w:val="Normal"/>
    <w:link w:val="BalloonTextChar"/>
    <w:uiPriority w:val="99"/>
    <w:semiHidden/>
    <w:unhideWhenUsed/>
    <w:rsid w:val="00692481"/>
    <w:pPr>
      <w:spacing w:after="0"/>
    </w:pPr>
    <w:rPr>
      <w:rFonts w:ascii="Tahoma" w:hAnsi="Tahoma" w:cs="Tahoma"/>
      <w:sz w:val="16"/>
      <w:szCs w:val="16"/>
    </w:rPr>
  </w:style>
  <w:style w:type="character" w:customStyle="1" w:styleId="BalloonTextChar">
    <w:name w:val="Balloon Text Char"/>
    <w:link w:val="BalloonText"/>
    <w:uiPriority w:val="99"/>
    <w:semiHidden/>
    <w:rsid w:val="00692481"/>
    <w:rPr>
      <w:rFonts w:ascii="Tahoma" w:hAnsi="Tahoma" w:cs="Tahoma"/>
      <w:sz w:val="16"/>
      <w:szCs w:val="16"/>
    </w:rPr>
  </w:style>
  <w:style w:type="paragraph" w:styleId="TOCHeading">
    <w:name w:val="TOC Heading"/>
    <w:basedOn w:val="Heading1"/>
    <w:next w:val="Normal"/>
    <w:uiPriority w:val="39"/>
    <w:semiHidden/>
    <w:unhideWhenUsed/>
    <w:qFormat/>
    <w:rsid w:val="00C01AEE"/>
    <w:pPr>
      <w:outlineLvl w:val="9"/>
    </w:pPr>
    <w:rPr>
      <w:lang w:eastAsia="ja-JP"/>
    </w:rPr>
  </w:style>
  <w:style w:type="paragraph" w:styleId="TOC1">
    <w:name w:val="toc 1"/>
    <w:basedOn w:val="Normal"/>
    <w:next w:val="Normal"/>
    <w:autoRedefine/>
    <w:uiPriority w:val="39"/>
    <w:unhideWhenUsed/>
    <w:rsid w:val="00C10BBF"/>
    <w:pPr>
      <w:tabs>
        <w:tab w:val="left" w:pos="440"/>
        <w:tab w:val="right" w:leader="dot" w:pos="9350"/>
      </w:tabs>
      <w:spacing w:after="100"/>
    </w:pPr>
  </w:style>
  <w:style w:type="character" w:styleId="Hyperlink">
    <w:name w:val="Hyperlink"/>
    <w:uiPriority w:val="99"/>
    <w:unhideWhenUsed/>
    <w:rsid w:val="00C01AEE"/>
    <w:rPr>
      <w:color w:val="0000FF"/>
      <w:u w:val="single"/>
    </w:rPr>
  </w:style>
  <w:style w:type="character" w:customStyle="1" w:styleId="Heading3Char">
    <w:name w:val="Heading 3 Char"/>
    <w:aliases w:val="Titlu 1 Char"/>
    <w:link w:val="Heading3"/>
    <w:uiPriority w:val="9"/>
    <w:rsid w:val="00474B13"/>
    <w:rPr>
      <w:rFonts w:eastAsia="Times New Roman"/>
      <w:b/>
      <w:bCs/>
      <w:color w:val="4F81BD"/>
      <w:sz w:val="24"/>
      <w:szCs w:val="22"/>
      <w:lang w:val="en-US" w:eastAsia="en-US"/>
    </w:rPr>
  </w:style>
  <w:style w:type="character" w:customStyle="1" w:styleId="Heading4Char">
    <w:name w:val="Heading 4 Char"/>
    <w:aliases w:val="Sub-text tabel Char"/>
    <w:link w:val="Heading4"/>
    <w:rsid w:val="0060464C"/>
    <w:rPr>
      <w:rFonts w:eastAsia="Times New Roman" w:cs="Times New Roman"/>
      <w:bCs/>
      <w:i/>
      <w:iCs/>
      <w:sz w:val="18"/>
    </w:rPr>
  </w:style>
  <w:style w:type="character" w:customStyle="1" w:styleId="Heading5Char">
    <w:name w:val="Heading 5 Char"/>
    <w:aliases w:val="Sub-titlu 1 Char"/>
    <w:link w:val="Heading5"/>
    <w:rsid w:val="00017F4B"/>
    <w:rPr>
      <w:rFonts w:eastAsia="Times New Roman"/>
      <w:b/>
      <w:color w:val="0070C0"/>
      <w:sz w:val="24"/>
      <w:szCs w:val="22"/>
      <w:lang w:val="en-US" w:eastAsia="en-US"/>
    </w:rPr>
  </w:style>
  <w:style w:type="paragraph" w:styleId="FootnoteText">
    <w:name w:val="footnote text"/>
    <w:aliases w:val="Fußnotentextf,single space,Fußnote,-E Fußnotentext,Fußnotentext Ursprung,Podrozdział,Footnote Text Char Char,FOOTNOTES,fn,Sprotna opomba - besedilo Znak1,Sprotna opomba - besedilo Znak Znak2,stile 1,Footnot,Footnote1,Podrozdzia3,Footnote"/>
    <w:basedOn w:val="Normal"/>
    <w:link w:val="FootnoteTextChar"/>
    <w:uiPriority w:val="99"/>
    <w:unhideWhenUsed/>
    <w:qFormat/>
    <w:rsid w:val="00B06992"/>
    <w:pPr>
      <w:spacing w:before="0" w:after="0"/>
    </w:pPr>
    <w:rPr>
      <w:i/>
      <w:sz w:val="18"/>
      <w:szCs w:val="24"/>
    </w:rPr>
  </w:style>
  <w:style w:type="character" w:customStyle="1" w:styleId="FootnoteTextChar">
    <w:name w:val="Footnote Text Char"/>
    <w:aliases w:val="Fußnotentextf Char,single space Char,Fußnote Char,-E Fußnotentext Char,Fußnotentext Ursprung Char,Podrozdział Char,Footnote Text Char Char Char,FOOTNOTES Char,fn Char,Sprotna opomba - besedilo Znak1 Char,stile 1 Char,Footnot Char"/>
    <w:link w:val="FootnoteText"/>
    <w:uiPriority w:val="99"/>
    <w:rsid w:val="00B06992"/>
    <w:rPr>
      <w:i/>
      <w:sz w:val="18"/>
      <w:szCs w:val="24"/>
    </w:rPr>
  </w:style>
  <w:style w:type="character" w:styleId="FootnoteReference">
    <w:name w:val="footnote reference"/>
    <w:aliases w:val="-E Fußnotenzeichen,Heading 6 Char1,Footnote2,Footnote symbol,Fussnota,ftref,Appel note de bas de p,SUPERS,Nota,(NECG) Footnote Reference,Voetnootverwijzing,Footnote Reference Superscript,BVI fnr"/>
    <w:uiPriority w:val="99"/>
    <w:unhideWhenUsed/>
    <w:rsid w:val="005963A4"/>
    <w:rPr>
      <w:vertAlign w:val="superscript"/>
    </w:rPr>
  </w:style>
  <w:style w:type="table" w:customStyle="1" w:styleId="MediumGrid11">
    <w:name w:val="Medium Grid 11"/>
    <w:basedOn w:val="TableNormal"/>
    <w:uiPriority w:val="67"/>
    <w:rsid w:val="003E5A9F"/>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Header">
    <w:name w:val="header"/>
    <w:basedOn w:val="Normal"/>
    <w:link w:val="HeaderChar"/>
    <w:unhideWhenUsed/>
    <w:rsid w:val="00AC609F"/>
    <w:pPr>
      <w:tabs>
        <w:tab w:val="center" w:pos="4153"/>
        <w:tab w:val="right" w:pos="8306"/>
      </w:tabs>
      <w:spacing w:after="0"/>
    </w:pPr>
  </w:style>
  <w:style w:type="character" w:customStyle="1" w:styleId="HeaderChar">
    <w:name w:val="Header Char"/>
    <w:basedOn w:val="DefaultParagraphFont"/>
    <w:link w:val="Header"/>
    <w:rsid w:val="00AC609F"/>
  </w:style>
  <w:style w:type="paragraph" w:styleId="Footer">
    <w:name w:val="footer"/>
    <w:basedOn w:val="Normal"/>
    <w:link w:val="FooterChar"/>
    <w:unhideWhenUsed/>
    <w:rsid w:val="00AC609F"/>
    <w:pPr>
      <w:tabs>
        <w:tab w:val="center" w:pos="4153"/>
        <w:tab w:val="right" w:pos="8306"/>
      </w:tabs>
      <w:spacing w:after="0"/>
    </w:pPr>
  </w:style>
  <w:style w:type="character" w:customStyle="1" w:styleId="FooterChar">
    <w:name w:val="Footer Char"/>
    <w:basedOn w:val="DefaultParagraphFont"/>
    <w:link w:val="Footer"/>
    <w:rsid w:val="00AC609F"/>
  </w:style>
  <w:style w:type="table" w:customStyle="1" w:styleId="TableGrid1">
    <w:name w:val="Table Grid1"/>
    <w:basedOn w:val="TableNormal"/>
    <w:next w:val="TableGrid"/>
    <w:uiPriority w:val="59"/>
    <w:rsid w:val="00A75D1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2">
    <w:name w:val="toc 2"/>
    <w:basedOn w:val="Normal"/>
    <w:next w:val="Normal"/>
    <w:autoRedefine/>
    <w:uiPriority w:val="39"/>
    <w:unhideWhenUsed/>
    <w:rsid w:val="000E1285"/>
    <w:pPr>
      <w:spacing w:after="100"/>
      <w:ind w:left="220"/>
    </w:pPr>
  </w:style>
  <w:style w:type="paragraph" w:styleId="TOC3">
    <w:name w:val="toc 3"/>
    <w:basedOn w:val="Normal"/>
    <w:next w:val="Normal"/>
    <w:autoRedefine/>
    <w:uiPriority w:val="39"/>
    <w:unhideWhenUsed/>
    <w:rsid w:val="000E1285"/>
    <w:pPr>
      <w:spacing w:after="100"/>
      <w:ind w:left="440"/>
    </w:pPr>
  </w:style>
  <w:style w:type="table" w:styleId="MediumGrid3-Accent1">
    <w:name w:val="Medium Grid 3 Accent 1"/>
    <w:basedOn w:val="TableNormal"/>
    <w:uiPriority w:val="69"/>
    <w:rsid w:val="00266B86"/>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styleId="Revision">
    <w:name w:val="Revision"/>
    <w:hidden/>
    <w:uiPriority w:val="99"/>
    <w:semiHidden/>
    <w:rsid w:val="005F137B"/>
    <w:rPr>
      <w:sz w:val="22"/>
      <w:szCs w:val="22"/>
      <w:lang w:val="en-US" w:eastAsia="en-US"/>
    </w:rPr>
  </w:style>
  <w:style w:type="paragraph" w:styleId="BodyText">
    <w:name w:val="Body Text"/>
    <w:basedOn w:val="Normal"/>
    <w:link w:val="BodyTextChar"/>
    <w:semiHidden/>
    <w:rsid w:val="001E7D2C"/>
    <w:pPr>
      <w:suppressAutoHyphens/>
      <w:spacing w:before="0" w:after="0"/>
    </w:pPr>
    <w:rPr>
      <w:rFonts w:ascii="Times New Roman" w:eastAsia="Times New Roman" w:hAnsi="Times New Roman" w:cs="Calibri"/>
      <w:snapToGrid w:val="0"/>
      <w:sz w:val="24"/>
      <w:szCs w:val="24"/>
      <w:lang w:val="ro-RO" w:eastAsia="ro-RO"/>
    </w:rPr>
  </w:style>
  <w:style w:type="character" w:customStyle="1" w:styleId="BodyTextChar">
    <w:name w:val="Body Text Char"/>
    <w:link w:val="BodyText"/>
    <w:semiHidden/>
    <w:rsid w:val="001E7D2C"/>
    <w:rPr>
      <w:rFonts w:ascii="Times New Roman" w:eastAsia="Times New Roman" w:hAnsi="Times New Roman" w:cs="Calibri"/>
      <w:snapToGrid/>
      <w:sz w:val="24"/>
      <w:szCs w:val="24"/>
      <w:lang w:val="ro-RO" w:eastAsia="ro-RO"/>
    </w:rPr>
  </w:style>
  <w:style w:type="character" w:styleId="Strong">
    <w:name w:val="Strong"/>
    <w:qFormat/>
    <w:rsid w:val="001E7D2C"/>
    <w:rPr>
      <w:rFonts w:cs="Times New Roman"/>
      <w:b/>
    </w:rPr>
  </w:style>
  <w:style w:type="paragraph" w:styleId="BodyText2">
    <w:name w:val="Body Text 2"/>
    <w:basedOn w:val="Normal"/>
    <w:link w:val="BodyText2Char"/>
    <w:rsid w:val="001E7D2C"/>
    <w:pPr>
      <w:suppressAutoHyphens/>
      <w:spacing w:before="0"/>
      <w:jc w:val="left"/>
    </w:pPr>
    <w:rPr>
      <w:rFonts w:ascii="Times New Roman" w:eastAsia="Times New Roman" w:hAnsi="Times New Roman" w:cs="Calibri"/>
      <w:b/>
      <w:bCs/>
      <w:snapToGrid w:val="0"/>
      <w:sz w:val="24"/>
      <w:szCs w:val="24"/>
      <w:lang w:val="ro-RO" w:eastAsia="ro-RO"/>
    </w:rPr>
  </w:style>
  <w:style w:type="character" w:customStyle="1" w:styleId="BodyText2Char">
    <w:name w:val="Body Text 2 Char"/>
    <w:link w:val="BodyText2"/>
    <w:rsid w:val="001E7D2C"/>
    <w:rPr>
      <w:rFonts w:ascii="Times New Roman" w:eastAsia="Times New Roman" w:hAnsi="Times New Roman" w:cs="Calibri"/>
      <w:b/>
      <w:bCs/>
      <w:snapToGrid/>
      <w:sz w:val="24"/>
      <w:szCs w:val="24"/>
      <w:lang w:val="ro-RO" w:eastAsia="ro-RO"/>
    </w:rPr>
  </w:style>
  <w:style w:type="character" w:customStyle="1" w:styleId="longtext">
    <w:name w:val="long_text"/>
    <w:rsid w:val="001E7D2C"/>
  </w:style>
  <w:style w:type="character" w:customStyle="1" w:styleId="tw4winMark">
    <w:name w:val="tw4winMark"/>
    <w:rsid w:val="001E7D2C"/>
    <w:rPr>
      <w:rFonts w:ascii="Courier New" w:hAnsi="Courier New"/>
      <w:vanish/>
      <w:color w:val="800080"/>
      <w:sz w:val="24"/>
      <w:vertAlign w:val="subscript"/>
    </w:rPr>
  </w:style>
  <w:style w:type="table" w:styleId="LightGrid-Accent5">
    <w:name w:val="Light Grid Accent 5"/>
    <w:basedOn w:val="TableNormal"/>
    <w:uiPriority w:val="62"/>
    <w:rsid w:val="001E7D2C"/>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styleId="BodyText3">
    <w:name w:val="Body Text 3"/>
    <w:basedOn w:val="Normal"/>
    <w:link w:val="BodyText3Char"/>
    <w:unhideWhenUsed/>
    <w:rsid w:val="001E7D2C"/>
    <w:pPr>
      <w:spacing w:before="0" w:line="276" w:lineRule="auto"/>
      <w:jc w:val="left"/>
    </w:pPr>
    <w:rPr>
      <w:sz w:val="16"/>
      <w:szCs w:val="16"/>
    </w:rPr>
  </w:style>
  <w:style w:type="character" w:customStyle="1" w:styleId="BodyText3Char">
    <w:name w:val="Body Text 3 Char"/>
    <w:link w:val="BodyText3"/>
    <w:rsid w:val="001E7D2C"/>
    <w:rPr>
      <w:sz w:val="16"/>
      <w:szCs w:val="16"/>
    </w:rPr>
  </w:style>
  <w:style w:type="paragraph" w:customStyle="1" w:styleId="Default">
    <w:name w:val="Default"/>
    <w:rsid w:val="00B61C58"/>
    <w:pPr>
      <w:autoSpaceDE w:val="0"/>
      <w:autoSpaceDN w:val="0"/>
      <w:adjustRightInd w:val="0"/>
    </w:pPr>
    <w:rPr>
      <w:rFonts w:eastAsia="Times New Roman" w:cs="Calibri"/>
      <w:snapToGrid w:val="0"/>
      <w:color w:val="000000"/>
      <w:sz w:val="24"/>
      <w:szCs w:val="24"/>
      <w:lang w:val="ro-RO" w:eastAsia="ro-RO"/>
    </w:rPr>
  </w:style>
  <w:style w:type="paragraph" w:styleId="BodyTextIndent">
    <w:name w:val="Body Text Indent"/>
    <w:basedOn w:val="Normal"/>
    <w:link w:val="BodyTextIndentChar"/>
    <w:unhideWhenUsed/>
    <w:rsid w:val="00333CBE"/>
    <w:pPr>
      <w:ind w:left="283"/>
    </w:pPr>
  </w:style>
  <w:style w:type="character" w:customStyle="1" w:styleId="BodyTextIndentChar">
    <w:name w:val="Body Text Indent Char"/>
    <w:basedOn w:val="DefaultParagraphFont"/>
    <w:link w:val="BodyTextIndent"/>
    <w:rsid w:val="00333CBE"/>
  </w:style>
  <w:style w:type="paragraph" w:styleId="Caption">
    <w:name w:val="caption"/>
    <w:basedOn w:val="Normal"/>
    <w:next w:val="Normal"/>
    <w:qFormat/>
    <w:rsid w:val="00947408"/>
    <w:pPr>
      <w:spacing w:before="0" w:after="0"/>
      <w:jc w:val="center"/>
    </w:pPr>
    <w:rPr>
      <w:rFonts w:eastAsia="Times New Roman" w:cs="Calibri"/>
      <w:i/>
      <w:iCs/>
      <w:snapToGrid w:val="0"/>
      <w:color w:val="0070C0"/>
      <w:sz w:val="20"/>
      <w:szCs w:val="24"/>
      <w:lang w:val="ro-RO" w:eastAsia="ro-RO"/>
    </w:rPr>
  </w:style>
  <w:style w:type="character" w:styleId="IntenseEmphasis">
    <w:name w:val="Intense Emphasis"/>
    <w:uiPriority w:val="21"/>
    <w:qFormat/>
    <w:rsid w:val="00EF1781"/>
    <w:rPr>
      <w:b/>
      <w:bCs/>
      <w:i/>
      <w:iCs/>
      <w:color w:val="4F81BD"/>
    </w:rPr>
  </w:style>
  <w:style w:type="character" w:styleId="SubtleEmphasis">
    <w:name w:val="Subtle Emphasis"/>
    <w:uiPriority w:val="19"/>
    <w:qFormat/>
    <w:rsid w:val="00B275E1"/>
    <w:rPr>
      <w:rFonts w:ascii="Calibri" w:hAnsi="Calibri"/>
      <w:i/>
      <w:iCs/>
      <w:color w:val="auto"/>
      <w:sz w:val="18"/>
    </w:rPr>
  </w:style>
  <w:style w:type="character" w:customStyle="1" w:styleId="ds71">
    <w:name w:val="ds71"/>
    <w:rsid w:val="00B275E1"/>
    <w:rPr>
      <w:rFonts w:ascii="Helvetica" w:hAnsi="Helvetica" w:hint="default"/>
      <w:sz w:val="21"/>
      <w:szCs w:val="21"/>
    </w:rPr>
  </w:style>
  <w:style w:type="character" w:styleId="Emphasis">
    <w:name w:val="Emphasis"/>
    <w:qFormat/>
    <w:rsid w:val="0060464C"/>
    <w:rPr>
      <w:i/>
      <w:iCs/>
    </w:rPr>
  </w:style>
  <w:style w:type="character" w:customStyle="1" w:styleId="Heading6Char">
    <w:name w:val="Heading 6 Char"/>
    <w:link w:val="Heading6"/>
    <w:rsid w:val="00385FDB"/>
    <w:rPr>
      <w:rFonts w:ascii="Cambria" w:eastAsia="Times New Roman" w:hAnsi="Cambria" w:cs="Times New Roman"/>
      <w:i/>
      <w:iCs/>
      <w:color w:val="243F60"/>
    </w:rPr>
  </w:style>
  <w:style w:type="paragraph" w:customStyle="1" w:styleId="ListParagraph1">
    <w:name w:val="List Paragraph1"/>
    <w:basedOn w:val="Normal"/>
    <w:rsid w:val="00984963"/>
    <w:pPr>
      <w:spacing w:before="0" w:after="0" w:line="276" w:lineRule="auto"/>
      <w:ind w:left="720"/>
      <w:jc w:val="left"/>
    </w:pPr>
    <w:rPr>
      <w:rFonts w:cs="Arial"/>
      <w:szCs w:val="20"/>
      <w:lang w:val="hu-HU" w:eastAsia="hu-HU"/>
    </w:rPr>
  </w:style>
  <w:style w:type="paragraph" w:customStyle="1" w:styleId="FootnoteText1">
    <w:name w:val="Footnote Text1"/>
    <w:basedOn w:val="Normal"/>
    <w:rsid w:val="00984963"/>
    <w:pPr>
      <w:spacing w:before="0" w:after="0" w:line="240" w:lineRule="atLeast"/>
      <w:jc w:val="left"/>
    </w:pPr>
    <w:rPr>
      <w:rFonts w:ascii="Times New Roman" w:eastAsia="Times New Roman" w:hAnsi="Times New Roman" w:cs="Arial"/>
      <w:sz w:val="20"/>
      <w:szCs w:val="20"/>
      <w:lang w:val="hu-HU" w:eastAsia="hu-HU"/>
    </w:rPr>
  </w:style>
  <w:style w:type="character" w:customStyle="1" w:styleId="FootnoteCharacters">
    <w:name w:val="Footnote Characters"/>
    <w:rsid w:val="00FF2C0B"/>
    <w:rPr>
      <w:vertAlign w:val="superscript"/>
    </w:rPr>
  </w:style>
  <w:style w:type="character" w:customStyle="1" w:styleId="WW-FootnoteCharacters">
    <w:name w:val="WW-Footnote Characters"/>
    <w:rsid w:val="00FF2C0B"/>
    <w:rPr>
      <w:vertAlign w:val="superscript"/>
    </w:rPr>
  </w:style>
  <w:style w:type="paragraph" w:customStyle="1" w:styleId="Index">
    <w:name w:val="Index"/>
    <w:basedOn w:val="Normal"/>
    <w:rsid w:val="00FF2C0B"/>
    <w:pPr>
      <w:suppressLineNumbers/>
      <w:suppressAutoHyphens/>
      <w:spacing w:before="0" w:after="0"/>
      <w:jc w:val="left"/>
    </w:pPr>
    <w:rPr>
      <w:rFonts w:ascii="Times New Roman" w:eastAsia="Times New Roman" w:hAnsi="Times New Roman" w:cs="Calibri"/>
      <w:snapToGrid w:val="0"/>
      <w:sz w:val="24"/>
      <w:szCs w:val="24"/>
      <w:lang w:val="ro-RO" w:eastAsia="ro-RO"/>
    </w:rPr>
  </w:style>
  <w:style w:type="paragraph" w:customStyle="1" w:styleId="WW-Default">
    <w:name w:val="WW-Default"/>
    <w:rsid w:val="00FF2C0B"/>
    <w:pPr>
      <w:suppressAutoHyphens/>
      <w:autoSpaceDE w:val="0"/>
    </w:pPr>
    <w:rPr>
      <w:rFonts w:ascii="Arial" w:eastAsia="Times New Roman" w:hAnsi="Arial" w:cs="Arial"/>
      <w:snapToGrid w:val="0"/>
      <w:color w:val="000000"/>
      <w:sz w:val="24"/>
      <w:szCs w:val="24"/>
      <w:lang w:val="en-US" w:eastAsia="ro-RO"/>
    </w:rPr>
  </w:style>
  <w:style w:type="paragraph" w:customStyle="1" w:styleId="style10">
    <w:name w:val="style10"/>
    <w:basedOn w:val="Normal"/>
    <w:rsid w:val="00FF2C0B"/>
    <w:pPr>
      <w:spacing w:before="280" w:after="280"/>
      <w:jc w:val="left"/>
    </w:pPr>
    <w:rPr>
      <w:rFonts w:ascii="Times New Roman" w:eastAsia="Times New Roman" w:hAnsi="Times New Roman" w:cs="Calibri"/>
      <w:snapToGrid w:val="0"/>
      <w:sz w:val="24"/>
      <w:szCs w:val="24"/>
      <w:lang w:eastAsia="ro-RO"/>
    </w:rPr>
  </w:style>
  <w:style w:type="character" w:customStyle="1" w:styleId="apple-converted-space">
    <w:name w:val="apple-converted-space"/>
    <w:basedOn w:val="DefaultParagraphFont"/>
    <w:rsid w:val="00FF2C0B"/>
  </w:style>
  <w:style w:type="paragraph" w:customStyle="1" w:styleId="Sub-capitol1">
    <w:name w:val="Sub-capitol1"/>
    <w:basedOn w:val="Normal"/>
    <w:next w:val="Normal"/>
    <w:uiPriority w:val="9"/>
    <w:unhideWhenUsed/>
    <w:qFormat/>
    <w:rsid w:val="008E2B43"/>
    <w:pPr>
      <w:keepNext/>
      <w:keepLines/>
      <w:spacing w:before="240" w:after="240"/>
      <w:ind w:left="757" w:hanging="360"/>
      <w:outlineLvl w:val="1"/>
    </w:pPr>
    <w:rPr>
      <w:rFonts w:eastAsia="MS Gothic"/>
      <w:b/>
      <w:bCs/>
      <w:color w:val="365F91"/>
      <w:sz w:val="28"/>
      <w:szCs w:val="26"/>
    </w:rPr>
  </w:style>
  <w:style w:type="paragraph" w:customStyle="1" w:styleId="Titlu11">
    <w:name w:val="Titlu 11"/>
    <w:basedOn w:val="Normal"/>
    <w:next w:val="Normal"/>
    <w:unhideWhenUsed/>
    <w:qFormat/>
    <w:rsid w:val="008E2B43"/>
    <w:pPr>
      <w:keepNext/>
      <w:keepLines/>
      <w:ind w:left="924" w:hanging="357"/>
      <w:outlineLvl w:val="2"/>
    </w:pPr>
    <w:rPr>
      <w:rFonts w:eastAsia="MS Gothic"/>
      <w:b/>
      <w:bCs/>
      <w:color w:val="4F81BD"/>
    </w:rPr>
  </w:style>
  <w:style w:type="table" w:customStyle="1" w:styleId="LightGrid-Accent51">
    <w:name w:val="Light Grid - Accent 51"/>
    <w:basedOn w:val="TableNormal"/>
    <w:next w:val="LightGrid-Accent5"/>
    <w:uiPriority w:val="62"/>
    <w:rsid w:val="008E2B43"/>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MS Gothic"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MS Gothic"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MS Gothic" w:hAnsi="Cambria" w:cs="Times New Roman"/>
        <w:b/>
        <w:bCs/>
      </w:rPr>
    </w:tblStylePr>
    <w:tblStylePr w:type="lastCol">
      <w:rPr>
        <w:rFonts w:ascii="Cambria" w:eastAsia="MS Gothic"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styleId="TableofFigures">
    <w:name w:val="table of figures"/>
    <w:basedOn w:val="Normal"/>
    <w:next w:val="Normal"/>
    <w:uiPriority w:val="99"/>
    <w:unhideWhenUsed/>
    <w:rsid w:val="00AC53A9"/>
    <w:pPr>
      <w:spacing w:after="0"/>
    </w:pPr>
  </w:style>
  <w:style w:type="table" w:customStyle="1" w:styleId="LightGrid-Accent11">
    <w:name w:val="Light Grid - Accent 11"/>
    <w:basedOn w:val="TableNormal"/>
    <w:uiPriority w:val="62"/>
    <w:rsid w:val="00A943EA"/>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TableGrid2">
    <w:name w:val="Table Grid2"/>
    <w:basedOn w:val="TableNormal"/>
    <w:next w:val="TableGrid"/>
    <w:uiPriority w:val="59"/>
    <w:rsid w:val="009C1C08"/>
    <w:rPr>
      <w:rFonts w:eastAsia="MS Mincho"/>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053729"/>
    <w:rPr>
      <w:rFonts w:eastAsia="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rsid w:val="007332E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1CaracterCharChar">
    <w:name w:val="Char Char Char Char Char Char Char Char Char Char Char Char Char Char1 Caracter Char Char"/>
    <w:basedOn w:val="Normal"/>
    <w:rsid w:val="007332EF"/>
    <w:pPr>
      <w:spacing w:before="0" w:after="0"/>
      <w:jc w:val="left"/>
    </w:pPr>
    <w:rPr>
      <w:rFonts w:ascii="Times New Roman" w:eastAsia="Times New Roman" w:hAnsi="Times New Roman"/>
      <w:sz w:val="24"/>
      <w:szCs w:val="24"/>
      <w:lang w:val="pl-PL" w:eastAsia="pl-PL"/>
    </w:rPr>
  </w:style>
  <w:style w:type="numbering" w:customStyle="1" w:styleId="Aucuneliste1">
    <w:name w:val="Aucune liste1"/>
    <w:next w:val="NoList"/>
    <w:uiPriority w:val="99"/>
    <w:semiHidden/>
    <w:unhideWhenUsed/>
    <w:rsid w:val="00043E36"/>
  </w:style>
  <w:style w:type="character" w:customStyle="1" w:styleId="Cmsor1Char">
    <w:name w:val="Címsor 1 Char"/>
    <w:rsid w:val="00043E36"/>
    <w:rPr>
      <w:rFonts w:cs="font228"/>
      <w:b/>
      <w:bCs/>
      <w:color w:val="FFFFFF"/>
      <w:sz w:val="36"/>
      <w:szCs w:val="28"/>
      <w:shd w:val="clear" w:color="auto" w:fill="4F6228"/>
      <w:lang w:val="en-US"/>
    </w:rPr>
  </w:style>
  <w:style w:type="character" w:customStyle="1" w:styleId="Cmsor2Char">
    <w:name w:val="Címsor 2 Char"/>
    <w:rsid w:val="00043E36"/>
    <w:rPr>
      <w:rFonts w:cs="font228"/>
      <w:b/>
      <w:bCs/>
      <w:color w:val="365F91"/>
      <w:sz w:val="28"/>
      <w:szCs w:val="26"/>
      <w:lang w:val="en-US"/>
    </w:rPr>
  </w:style>
  <w:style w:type="character" w:customStyle="1" w:styleId="Cmsor3Char">
    <w:name w:val="Címsor 3 Char"/>
    <w:rsid w:val="00043E36"/>
    <w:rPr>
      <w:rFonts w:cs="font228"/>
      <w:b/>
      <w:bCs/>
      <w:color w:val="4F81BD"/>
      <w:sz w:val="24"/>
      <w:lang w:val="en-US"/>
    </w:rPr>
  </w:style>
  <w:style w:type="character" w:customStyle="1" w:styleId="Cmsor4Char">
    <w:name w:val="Címsor 4 Char"/>
    <w:rsid w:val="00043E36"/>
    <w:rPr>
      <w:rFonts w:cs="font228"/>
      <w:bCs/>
      <w:i/>
      <w:iCs/>
      <w:sz w:val="18"/>
      <w:lang w:val="en-US"/>
    </w:rPr>
  </w:style>
  <w:style w:type="character" w:customStyle="1" w:styleId="Cmsor5Char">
    <w:name w:val="Címsor 5 Char"/>
    <w:rsid w:val="00043E36"/>
    <w:rPr>
      <w:rFonts w:cs="font228"/>
      <w:b/>
      <w:color w:val="0070C0"/>
      <w:sz w:val="24"/>
      <w:lang w:val="en-US"/>
    </w:rPr>
  </w:style>
  <w:style w:type="character" w:customStyle="1" w:styleId="Cmsor6Char">
    <w:name w:val="Címsor 6 Char"/>
    <w:rsid w:val="00043E36"/>
    <w:rPr>
      <w:rFonts w:ascii="Cambria" w:hAnsi="Cambria" w:cs="font228"/>
      <w:i/>
      <w:iCs/>
      <w:color w:val="243F60"/>
      <w:lang w:val="en-US"/>
    </w:rPr>
  </w:style>
  <w:style w:type="character" w:customStyle="1" w:styleId="CmChar">
    <w:name w:val="Cím Char"/>
    <w:rsid w:val="00043E36"/>
    <w:rPr>
      <w:rFonts w:cs="font228"/>
      <w:b/>
      <w:color w:val="365F91"/>
      <w:spacing w:val="5"/>
      <w:kern w:val="1"/>
      <w:sz w:val="72"/>
      <w:szCs w:val="52"/>
      <w:lang w:val="en-US"/>
    </w:rPr>
  </w:style>
  <w:style w:type="character" w:customStyle="1" w:styleId="AlcmChar">
    <w:name w:val="Alcím Char"/>
    <w:rsid w:val="00043E36"/>
    <w:rPr>
      <w:rFonts w:cs="font228"/>
      <w:i/>
      <w:iCs/>
      <w:color w:val="4F81BD"/>
      <w:spacing w:val="15"/>
      <w:sz w:val="44"/>
      <w:szCs w:val="24"/>
      <w:lang w:val="en-US"/>
    </w:rPr>
  </w:style>
  <w:style w:type="character" w:customStyle="1" w:styleId="Marquedecommentaire1">
    <w:name w:val="Marque de commentaire1"/>
    <w:rsid w:val="00043E36"/>
    <w:rPr>
      <w:sz w:val="16"/>
      <w:szCs w:val="16"/>
    </w:rPr>
  </w:style>
  <w:style w:type="character" w:customStyle="1" w:styleId="JegyzetszvegChar">
    <w:name w:val="Jegyzetszöveg Char"/>
    <w:rsid w:val="00043E36"/>
    <w:rPr>
      <w:sz w:val="20"/>
      <w:szCs w:val="20"/>
      <w:lang w:val="en-US"/>
    </w:rPr>
  </w:style>
  <w:style w:type="character" w:customStyle="1" w:styleId="MegjegyzstrgyaChar">
    <w:name w:val="Megjegyzés tárgya Char"/>
    <w:rsid w:val="00043E36"/>
    <w:rPr>
      <w:b/>
      <w:bCs/>
      <w:sz w:val="20"/>
      <w:szCs w:val="20"/>
      <w:lang w:val="en-US"/>
    </w:rPr>
  </w:style>
  <w:style w:type="character" w:customStyle="1" w:styleId="BuborkszvegChar">
    <w:name w:val="Buborékszöveg Char"/>
    <w:rsid w:val="00043E36"/>
    <w:rPr>
      <w:rFonts w:ascii="Tahoma" w:hAnsi="Tahoma" w:cs="Tahoma"/>
      <w:sz w:val="16"/>
      <w:szCs w:val="16"/>
      <w:lang w:val="en-US"/>
    </w:rPr>
  </w:style>
  <w:style w:type="character" w:customStyle="1" w:styleId="LbjegyzetszvegChar">
    <w:name w:val="Lábjegyzetszöveg Char"/>
    <w:rsid w:val="00043E36"/>
    <w:rPr>
      <w:i/>
      <w:sz w:val="18"/>
      <w:szCs w:val="24"/>
      <w:lang w:val="en-US"/>
    </w:rPr>
  </w:style>
  <w:style w:type="character" w:customStyle="1" w:styleId="Appelnotedebasdep1">
    <w:name w:val="Appel note de bas de p.1"/>
    <w:rsid w:val="00043E36"/>
    <w:rPr>
      <w:vertAlign w:val="superscript"/>
    </w:rPr>
  </w:style>
  <w:style w:type="character" w:customStyle="1" w:styleId="lfejChar">
    <w:name w:val="Élőfej Char"/>
    <w:rsid w:val="00043E36"/>
    <w:rPr>
      <w:lang w:val="en-US"/>
    </w:rPr>
  </w:style>
  <w:style w:type="character" w:customStyle="1" w:styleId="llbChar">
    <w:name w:val="Élőláb Char"/>
    <w:rsid w:val="00043E36"/>
    <w:rPr>
      <w:lang w:val="en-US"/>
    </w:rPr>
  </w:style>
  <w:style w:type="character" w:customStyle="1" w:styleId="SzvegtrzsChar">
    <w:name w:val="Szövegtörzs Char"/>
    <w:rsid w:val="00043E36"/>
    <w:rPr>
      <w:rFonts w:ascii="Times New Roman" w:eastAsia="Times New Roman" w:hAnsi="Times New Roman" w:cs="Calibri"/>
      <w:sz w:val="24"/>
      <w:szCs w:val="24"/>
      <w:lang w:val="ro-RO" w:eastAsia="ro-RO"/>
    </w:rPr>
  </w:style>
  <w:style w:type="character" w:customStyle="1" w:styleId="Szvegtrzs2Char">
    <w:name w:val="Szövegtörzs 2 Char"/>
    <w:rsid w:val="00043E36"/>
    <w:rPr>
      <w:rFonts w:ascii="Times New Roman" w:eastAsia="Times New Roman" w:hAnsi="Times New Roman" w:cs="Calibri"/>
      <w:b/>
      <w:bCs/>
      <w:sz w:val="24"/>
      <w:szCs w:val="24"/>
      <w:lang w:val="ro-RO" w:eastAsia="ro-RO"/>
    </w:rPr>
  </w:style>
  <w:style w:type="character" w:customStyle="1" w:styleId="Szvegtrzs3Char">
    <w:name w:val="Szövegtörzs 3 Char"/>
    <w:rsid w:val="00043E36"/>
    <w:rPr>
      <w:sz w:val="16"/>
      <w:szCs w:val="16"/>
      <w:lang w:val="en-US"/>
    </w:rPr>
  </w:style>
  <w:style w:type="character" w:customStyle="1" w:styleId="SzvegtrzsbehzssalChar">
    <w:name w:val="Szövegtörzs behúzással Char"/>
    <w:rsid w:val="00043E36"/>
    <w:rPr>
      <w:lang w:val="en-US"/>
    </w:rPr>
  </w:style>
  <w:style w:type="character" w:customStyle="1" w:styleId="Emphaseintense1">
    <w:name w:val="Emphase intense1"/>
    <w:rsid w:val="00043E36"/>
    <w:rPr>
      <w:b/>
      <w:bCs/>
      <w:i/>
      <w:iCs/>
      <w:color w:val="4F81BD"/>
    </w:rPr>
  </w:style>
  <w:style w:type="character" w:customStyle="1" w:styleId="Emphaseple1">
    <w:name w:val="Emphase pâle1"/>
    <w:rsid w:val="00043E36"/>
    <w:rPr>
      <w:rFonts w:ascii="Calibri" w:hAnsi="Calibri"/>
      <w:i/>
      <w:iCs/>
      <w:color w:val="00000A"/>
      <w:sz w:val="18"/>
    </w:rPr>
  </w:style>
  <w:style w:type="character" w:styleId="FollowedHyperlink">
    <w:name w:val="FollowedHyperlink"/>
    <w:semiHidden/>
    <w:rsid w:val="00043E36"/>
    <w:rPr>
      <w:color w:val="800080"/>
      <w:u w:val="single"/>
    </w:rPr>
  </w:style>
  <w:style w:type="character" w:customStyle="1" w:styleId="ListLabel1">
    <w:name w:val="ListLabel 1"/>
    <w:rsid w:val="00043E36"/>
    <w:rPr>
      <w:b/>
      <w:i w:val="0"/>
      <w:color w:val="FFFFFF"/>
      <w:sz w:val="36"/>
      <w:lang w:val="en-GB"/>
    </w:rPr>
  </w:style>
  <w:style w:type="character" w:customStyle="1" w:styleId="ListLabel2">
    <w:name w:val="ListLabel 2"/>
    <w:rsid w:val="00043E36"/>
    <w:rPr>
      <w:b/>
      <w:i w:val="0"/>
      <w:color w:val="365F91"/>
      <w:sz w:val="28"/>
    </w:rPr>
  </w:style>
  <w:style w:type="character" w:customStyle="1" w:styleId="ListLabel3">
    <w:name w:val="ListLabel 3"/>
    <w:rsid w:val="00043E36"/>
    <w:rPr>
      <w:b/>
      <w:i w:val="0"/>
      <w:color w:val="0070C0"/>
      <w:sz w:val="24"/>
    </w:rPr>
  </w:style>
  <w:style w:type="character" w:customStyle="1" w:styleId="ListLabel4">
    <w:name w:val="ListLabel 4"/>
    <w:rsid w:val="00043E36"/>
    <w:rPr>
      <w:rFonts w:cs="Courier New"/>
    </w:rPr>
  </w:style>
  <w:style w:type="character" w:styleId="EndnoteReference">
    <w:name w:val="endnote reference"/>
    <w:semiHidden/>
    <w:rsid w:val="00043E36"/>
    <w:rPr>
      <w:vertAlign w:val="superscript"/>
    </w:rPr>
  </w:style>
  <w:style w:type="character" w:customStyle="1" w:styleId="EndnoteCharacters">
    <w:name w:val="Endnote Characters"/>
    <w:rsid w:val="00043E36"/>
  </w:style>
  <w:style w:type="paragraph" w:customStyle="1" w:styleId="Heading">
    <w:name w:val="Heading"/>
    <w:basedOn w:val="Normal"/>
    <w:next w:val="BodyText"/>
    <w:rsid w:val="00043E36"/>
    <w:pPr>
      <w:keepNext/>
      <w:suppressAutoHyphens/>
      <w:spacing w:before="240" w:line="100" w:lineRule="atLeast"/>
    </w:pPr>
    <w:rPr>
      <w:rFonts w:ascii="Arial" w:eastAsia="Arial" w:hAnsi="Arial" w:cs="Lohit Hindi"/>
      <w:kern w:val="1"/>
      <w:sz w:val="28"/>
      <w:szCs w:val="28"/>
    </w:rPr>
  </w:style>
  <w:style w:type="paragraph" w:styleId="List">
    <w:name w:val="List"/>
    <w:basedOn w:val="BodyText"/>
    <w:semiHidden/>
    <w:rsid w:val="00043E36"/>
    <w:pPr>
      <w:spacing w:line="100" w:lineRule="atLeast"/>
    </w:pPr>
    <w:rPr>
      <w:rFonts w:cs="Lohit Hindi"/>
      <w:snapToGrid/>
      <w:kern w:val="1"/>
    </w:rPr>
  </w:style>
  <w:style w:type="paragraph" w:customStyle="1" w:styleId="ListParagraph2">
    <w:name w:val="List Paragraph2"/>
    <w:basedOn w:val="Normal"/>
    <w:rsid w:val="00043E36"/>
    <w:pPr>
      <w:numPr>
        <w:numId w:val="14"/>
      </w:numPr>
      <w:suppressAutoHyphens/>
      <w:spacing w:line="100" w:lineRule="atLeast"/>
    </w:pPr>
    <w:rPr>
      <w:rFonts w:eastAsia="Times New Roman"/>
      <w:kern w:val="1"/>
      <w:lang w:val="ro-RO" w:eastAsia="en-GB"/>
    </w:rPr>
  </w:style>
  <w:style w:type="paragraph" w:customStyle="1" w:styleId="Commentaire1">
    <w:name w:val="Commentaire1"/>
    <w:basedOn w:val="Normal"/>
    <w:rsid w:val="00043E36"/>
    <w:pPr>
      <w:suppressAutoHyphens/>
      <w:spacing w:line="100" w:lineRule="atLeast"/>
    </w:pPr>
    <w:rPr>
      <w:rFonts w:eastAsia="Arial" w:cs="Calibri"/>
      <w:kern w:val="1"/>
      <w:sz w:val="20"/>
      <w:szCs w:val="20"/>
    </w:rPr>
  </w:style>
  <w:style w:type="paragraph" w:customStyle="1" w:styleId="Objetducommentaire1">
    <w:name w:val="Objet du commentaire1"/>
    <w:basedOn w:val="Commentaire1"/>
    <w:rsid w:val="00043E36"/>
    <w:rPr>
      <w:b/>
      <w:bCs/>
    </w:rPr>
  </w:style>
  <w:style w:type="paragraph" w:customStyle="1" w:styleId="BalloonText1">
    <w:name w:val="Balloon Text1"/>
    <w:basedOn w:val="Normal"/>
    <w:rsid w:val="00043E36"/>
    <w:pPr>
      <w:suppressAutoHyphens/>
      <w:spacing w:after="0" w:line="100" w:lineRule="atLeast"/>
    </w:pPr>
    <w:rPr>
      <w:rFonts w:ascii="Tahoma" w:eastAsia="Arial" w:hAnsi="Tahoma" w:cs="Tahoma"/>
      <w:kern w:val="1"/>
      <w:sz w:val="16"/>
      <w:szCs w:val="16"/>
    </w:rPr>
  </w:style>
  <w:style w:type="paragraph" w:styleId="TOAHeading">
    <w:name w:val="toa heading"/>
    <w:basedOn w:val="Heading1"/>
    <w:semiHidden/>
    <w:rsid w:val="00043E36"/>
    <w:pPr>
      <w:pBdr>
        <w:top w:val="single" w:sz="4" w:space="1" w:color="808000"/>
        <w:left w:val="single" w:sz="4" w:space="4" w:color="808000"/>
        <w:bottom w:val="single" w:sz="4" w:space="1" w:color="808000"/>
        <w:right w:val="single" w:sz="4" w:space="4" w:color="808000"/>
      </w:pBdr>
      <w:tabs>
        <w:tab w:val="num" w:pos="0"/>
      </w:tabs>
      <w:suppressAutoHyphens/>
      <w:spacing w:line="100" w:lineRule="atLeast"/>
    </w:pPr>
    <w:rPr>
      <w:rFonts w:eastAsia="Arial" w:cs="font228"/>
      <w:kern w:val="1"/>
      <w:lang w:eastAsia="ja-JP"/>
    </w:rPr>
  </w:style>
  <w:style w:type="paragraph" w:customStyle="1" w:styleId="Notedebasdepage1">
    <w:name w:val="Note de bas de page1"/>
    <w:basedOn w:val="Normal"/>
    <w:rsid w:val="00043E36"/>
    <w:pPr>
      <w:suppressAutoHyphens/>
      <w:spacing w:before="0" w:after="0" w:line="100" w:lineRule="atLeast"/>
    </w:pPr>
    <w:rPr>
      <w:rFonts w:eastAsia="Arial" w:cs="Calibri"/>
      <w:i/>
      <w:kern w:val="1"/>
      <w:sz w:val="18"/>
      <w:szCs w:val="24"/>
    </w:rPr>
  </w:style>
  <w:style w:type="paragraph" w:customStyle="1" w:styleId="Revision1">
    <w:name w:val="Revision1"/>
    <w:rsid w:val="00043E36"/>
    <w:pPr>
      <w:suppressAutoHyphens/>
      <w:spacing w:line="100" w:lineRule="atLeast"/>
    </w:pPr>
    <w:rPr>
      <w:rFonts w:eastAsia="Arial" w:cs="Calibri"/>
      <w:kern w:val="1"/>
      <w:sz w:val="22"/>
      <w:szCs w:val="22"/>
      <w:lang w:val="en-US" w:eastAsia="en-US"/>
    </w:rPr>
  </w:style>
  <w:style w:type="paragraph" w:customStyle="1" w:styleId="Lgende1">
    <w:name w:val="Légende1"/>
    <w:basedOn w:val="Normal"/>
    <w:rsid w:val="00043E36"/>
    <w:pPr>
      <w:suppressAutoHyphens/>
      <w:spacing w:before="0" w:after="0" w:line="100" w:lineRule="atLeast"/>
      <w:jc w:val="center"/>
    </w:pPr>
    <w:rPr>
      <w:rFonts w:eastAsia="Times New Roman" w:cs="Calibri"/>
      <w:i/>
      <w:iCs/>
      <w:color w:val="0070C0"/>
      <w:kern w:val="1"/>
      <w:sz w:val="20"/>
      <w:szCs w:val="24"/>
      <w:lang w:val="ro-RO" w:eastAsia="ro-RO"/>
    </w:rPr>
  </w:style>
  <w:style w:type="paragraph" w:customStyle="1" w:styleId="Tabledesillustrations1">
    <w:name w:val="Table des illustrations1"/>
    <w:basedOn w:val="Normal"/>
    <w:rsid w:val="00043E36"/>
    <w:pPr>
      <w:suppressAutoHyphens/>
      <w:spacing w:after="0" w:line="100" w:lineRule="atLeast"/>
    </w:pPr>
    <w:rPr>
      <w:rFonts w:eastAsia="Arial" w:cs="Calibri"/>
      <w:kern w:val="1"/>
    </w:rPr>
  </w:style>
  <w:style w:type="paragraph" w:customStyle="1" w:styleId="FrameContents">
    <w:name w:val="Frame Contents"/>
    <w:basedOn w:val="BodyText"/>
    <w:rsid w:val="00043E36"/>
    <w:pPr>
      <w:spacing w:line="100" w:lineRule="atLeast"/>
    </w:pPr>
    <w:rPr>
      <w:snapToGrid/>
      <w:kern w:val="1"/>
    </w:rPr>
  </w:style>
  <w:style w:type="paragraph" w:styleId="TOC4">
    <w:name w:val="toc 4"/>
    <w:basedOn w:val="Normal"/>
    <w:next w:val="Normal"/>
    <w:autoRedefine/>
    <w:uiPriority w:val="39"/>
    <w:unhideWhenUsed/>
    <w:rsid w:val="00AA4C82"/>
    <w:pPr>
      <w:spacing w:before="0" w:after="100" w:line="276" w:lineRule="auto"/>
      <w:ind w:left="660"/>
      <w:jc w:val="left"/>
    </w:pPr>
    <w:rPr>
      <w:rFonts w:asciiTheme="minorHAnsi" w:eastAsiaTheme="minorEastAsia" w:hAnsiTheme="minorHAnsi" w:cstheme="minorBidi"/>
      <w:lang w:val="fr-FR" w:eastAsia="fr-FR"/>
    </w:rPr>
  </w:style>
  <w:style w:type="paragraph" w:styleId="TOC5">
    <w:name w:val="toc 5"/>
    <w:basedOn w:val="Normal"/>
    <w:next w:val="Normal"/>
    <w:autoRedefine/>
    <w:uiPriority w:val="39"/>
    <w:unhideWhenUsed/>
    <w:rsid w:val="00AA4C82"/>
    <w:pPr>
      <w:spacing w:before="0" w:after="100" w:line="276" w:lineRule="auto"/>
      <w:ind w:left="880"/>
      <w:jc w:val="left"/>
    </w:pPr>
    <w:rPr>
      <w:rFonts w:asciiTheme="minorHAnsi" w:eastAsiaTheme="minorEastAsia" w:hAnsiTheme="minorHAnsi" w:cstheme="minorBidi"/>
      <w:lang w:val="fr-FR" w:eastAsia="fr-FR"/>
    </w:rPr>
  </w:style>
  <w:style w:type="paragraph" w:styleId="TOC6">
    <w:name w:val="toc 6"/>
    <w:basedOn w:val="Normal"/>
    <w:next w:val="Normal"/>
    <w:autoRedefine/>
    <w:uiPriority w:val="39"/>
    <w:unhideWhenUsed/>
    <w:rsid w:val="00AA4C82"/>
    <w:pPr>
      <w:spacing w:before="0" w:after="100" w:line="276" w:lineRule="auto"/>
      <w:ind w:left="1100"/>
      <w:jc w:val="left"/>
    </w:pPr>
    <w:rPr>
      <w:rFonts w:asciiTheme="minorHAnsi" w:eastAsiaTheme="minorEastAsia" w:hAnsiTheme="minorHAnsi" w:cstheme="minorBidi"/>
      <w:lang w:val="fr-FR" w:eastAsia="fr-FR"/>
    </w:rPr>
  </w:style>
  <w:style w:type="paragraph" w:styleId="TOC7">
    <w:name w:val="toc 7"/>
    <w:basedOn w:val="Normal"/>
    <w:next w:val="Normal"/>
    <w:autoRedefine/>
    <w:uiPriority w:val="39"/>
    <w:unhideWhenUsed/>
    <w:rsid w:val="00AA4C82"/>
    <w:pPr>
      <w:spacing w:before="0" w:after="100" w:line="276" w:lineRule="auto"/>
      <w:ind w:left="1320"/>
      <w:jc w:val="left"/>
    </w:pPr>
    <w:rPr>
      <w:rFonts w:asciiTheme="minorHAnsi" w:eastAsiaTheme="minorEastAsia" w:hAnsiTheme="minorHAnsi" w:cstheme="minorBidi"/>
      <w:lang w:val="fr-FR" w:eastAsia="fr-FR"/>
    </w:rPr>
  </w:style>
  <w:style w:type="paragraph" w:styleId="TOC8">
    <w:name w:val="toc 8"/>
    <w:basedOn w:val="Normal"/>
    <w:next w:val="Normal"/>
    <w:autoRedefine/>
    <w:uiPriority w:val="39"/>
    <w:unhideWhenUsed/>
    <w:rsid w:val="00AA4C82"/>
    <w:pPr>
      <w:spacing w:before="0" w:after="100" w:line="276" w:lineRule="auto"/>
      <w:ind w:left="1540"/>
      <w:jc w:val="left"/>
    </w:pPr>
    <w:rPr>
      <w:rFonts w:asciiTheme="minorHAnsi" w:eastAsiaTheme="minorEastAsia" w:hAnsiTheme="minorHAnsi" w:cstheme="minorBidi"/>
      <w:lang w:val="fr-FR" w:eastAsia="fr-FR"/>
    </w:rPr>
  </w:style>
  <w:style w:type="paragraph" w:styleId="TOC9">
    <w:name w:val="toc 9"/>
    <w:basedOn w:val="Normal"/>
    <w:next w:val="Normal"/>
    <w:autoRedefine/>
    <w:uiPriority w:val="39"/>
    <w:unhideWhenUsed/>
    <w:rsid w:val="00AA4C82"/>
    <w:pPr>
      <w:spacing w:before="0" w:after="100" w:line="276" w:lineRule="auto"/>
      <w:ind w:left="1760"/>
      <w:jc w:val="left"/>
    </w:pPr>
    <w:rPr>
      <w:rFonts w:asciiTheme="minorHAnsi" w:eastAsiaTheme="minorEastAsia" w:hAnsiTheme="minorHAnsi" w:cstheme="minorBidi"/>
      <w:lang w:val="fr-FR" w:eastAsia="fr-FR"/>
    </w:rPr>
  </w:style>
  <w:style w:type="paragraph" w:customStyle="1" w:styleId="xl24">
    <w:name w:val="xl24"/>
    <w:basedOn w:val="Normal"/>
    <w:rsid w:val="005D1086"/>
    <w:pPr>
      <w:pBdr>
        <w:left w:val="single" w:sz="12" w:space="0" w:color="auto"/>
        <w:bottom w:val="single" w:sz="4" w:space="0" w:color="auto"/>
        <w:right w:val="single" w:sz="4" w:space="0" w:color="auto"/>
      </w:pBdr>
      <w:spacing w:before="100" w:beforeAutospacing="1" w:after="100" w:afterAutospacing="1"/>
      <w:jc w:val="left"/>
    </w:pPr>
    <w:rPr>
      <w:rFonts w:ascii="Arial" w:eastAsia="Arial Unicode MS" w:hAnsi="Arial" w:cs="Arial"/>
      <w:lang w:val="en-GB"/>
    </w:rPr>
  </w:style>
  <w:style w:type="paragraph" w:styleId="PlainText">
    <w:name w:val="Plain Text"/>
    <w:basedOn w:val="Normal"/>
    <w:link w:val="PlainTextChar"/>
    <w:uiPriority w:val="99"/>
    <w:unhideWhenUsed/>
    <w:rsid w:val="0096607B"/>
    <w:pPr>
      <w:spacing w:before="0" w:after="0"/>
      <w:jc w:val="left"/>
    </w:pPr>
    <w:rPr>
      <w:rFonts w:eastAsiaTheme="minorHAnsi" w:cstheme="minorBidi"/>
      <w:szCs w:val="21"/>
      <w:lang w:val="fr-FR"/>
    </w:rPr>
  </w:style>
  <w:style w:type="character" w:customStyle="1" w:styleId="PlainTextChar">
    <w:name w:val="Plain Text Char"/>
    <w:basedOn w:val="DefaultParagraphFont"/>
    <w:link w:val="PlainText"/>
    <w:uiPriority w:val="99"/>
    <w:rsid w:val="0096607B"/>
    <w:rPr>
      <w:rFonts w:eastAsiaTheme="minorHAnsi" w:cstheme="minorBidi"/>
      <w:sz w:val="22"/>
      <w:szCs w:val="21"/>
      <w:lang w:eastAsia="en-US"/>
    </w:rPr>
  </w:style>
  <w:style w:type="table" w:styleId="MediumGrid1-Accent5">
    <w:name w:val="Medium Grid 1 Accent 5"/>
    <w:basedOn w:val="TableNormal"/>
    <w:uiPriority w:val="67"/>
    <w:rsid w:val="00A570DF"/>
    <w:rPr>
      <w:rFonts w:asciiTheme="minorHAnsi" w:eastAsiaTheme="minorHAnsi" w:hAnsiTheme="minorHAnsi" w:cstheme="minorBidi"/>
      <w:sz w:val="22"/>
      <w:szCs w:val="22"/>
      <w:lang w:val="en-US"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uiPriority="0"/>
    <w:lsdException w:name="footer" w:uiPriority="0"/>
    <w:lsdException w:name="caption" w:uiPriority="0" w:qFormat="1"/>
    <w:lsdException w:name="endnote reference" w:uiPriority="0"/>
    <w:lsdException w:name="toa heading" w:uiPriority="0"/>
    <w:lsdException w:name="List"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FollowedHyperlink" w:uiPriority="0"/>
    <w:lsdException w:name="Strong" w:semiHidden="0" w:uiPriority="0"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B4D8E"/>
    <w:pPr>
      <w:spacing w:before="120" w:after="120"/>
      <w:jc w:val="both"/>
    </w:pPr>
    <w:rPr>
      <w:sz w:val="22"/>
      <w:szCs w:val="22"/>
      <w:lang w:val="en-US" w:eastAsia="en-US"/>
    </w:rPr>
  </w:style>
  <w:style w:type="paragraph" w:styleId="Heading1">
    <w:name w:val="heading 1"/>
    <w:basedOn w:val="Normal"/>
    <w:next w:val="Normal"/>
    <w:link w:val="Heading1Char"/>
    <w:qFormat/>
    <w:rsid w:val="001B4D8E"/>
    <w:pPr>
      <w:keepNext/>
      <w:keepLines/>
      <w:numPr>
        <w:numId w:val="1"/>
      </w:numPr>
      <w:pBdr>
        <w:top w:val="single" w:sz="4" w:space="1" w:color="4F6228"/>
        <w:left w:val="single" w:sz="4" w:space="4" w:color="4F6228"/>
        <w:bottom w:val="single" w:sz="4" w:space="1" w:color="4F6228"/>
        <w:right w:val="single" w:sz="4" w:space="4" w:color="4F6228"/>
      </w:pBdr>
      <w:shd w:val="clear" w:color="auto" w:fill="4F6228"/>
      <w:spacing w:before="240" w:after="360"/>
      <w:outlineLvl w:val="0"/>
    </w:pPr>
    <w:rPr>
      <w:rFonts w:eastAsia="Times New Roman"/>
      <w:b/>
      <w:bCs/>
      <w:color w:val="FFFFFF"/>
      <w:sz w:val="36"/>
      <w:szCs w:val="28"/>
    </w:rPr>
  </w:style>
  <w:style w:type="paragraph" w:styleId="Heading2">
    <w:name w:val="heading 2"/>
    <w:aliases w:val="Sub-capitol"/>
    <w:basedOn w:val="Normal"/>
    <w:next w:val="Normal"/>
    <w:link w:val="Heading2Char"/>
    <w:unhideWhenUsed/>
    <w:qFormat/>
    <w:rsid w:val="003F34AF"/>
    <w:pPr>
      <w:keepNext/>
      <w:keepLines/>
      <w:numPr>
        <w:numId w:val="59"/>
      </w:numPr>
      <w:spacing w:before="240" w:after="240"/>
      <w:outlineLvl w:val="1"/>
    </w:pPr>
    <w:rPr>
      <w:rFonts w:eastAsia="Times New Roman"/>
      <w:b/>
      <w:bCs/>
      <w:color w:val="365F91"/>
      <w:sz w:val="28"/>
      <w:szCs w:val="26"/>
    </w:rPr>
  </w:style>
  <w:style w:type="paragraph" w:styleId="Heading3">
    <w:name w:val="heading 3"/>
    <w:aliases w:val="Titlu 1"/>
    <w:basedOn w:val="Normal"/>
    <w:next w:val="Normal"/>
    <w:link w:val="Heading3Char"/>
    <w:uiPriority w:val="9"/>
    <w:unhideWhenUsed/>
    <w:qFormat/>
    <w:rsid w:val="00474B13"/>
    <w:pPr>
      <w:keepNext/>
      <w:keepLines/>
      <w:numPr>
        <w:numId w:val="3"/>
      </w:numPr>
      <w:outlineLvl w:val="2"/>
    </w:pPr>
    <w:rPr>
      <w:rFonts w:eastAsia="Times New Roman"/>
      <w:b/>
      <w:bCs/>
      <w:color w:val="4F81BD"/>
      <w:sz w:val="24"/>
    </w:rPr>
  </w:style>
  <w:style w:type="paragraph" w:styleId="Heading4">
    <w:name w:val="heading 4"/>
    <w:aliases w:val="Sub-text tabel"/>
    <w:basedOn w:val="Normal"/>
    <w:next w:val="Normal"/>
    <w:link w:val="Heading4Char"/>
    <w:unhideWhenUsed/>
    <w:qFormat/>
    <w:rsid w:val="0060464C"/>
    <w:pPr>
      <w:keepNext/>
      <w:keepLines/>
      <w:spacing w:before="0" w:after="0"/>
      <w:jc w:val="right"/>
      <w:outlineLvl w:val="3"/>
    </w:pPr>
    <w:rPr>
      <w:rFonts w:eastAsia="Times New Roman"/>
      <w:bCs/>
      <w:i/>
      <w:iCs/>
      <w:sz w:val="18"/>
    </w:rPr>
  </w:style>
  <w:style w:type="paragraph" w:styleId="Heading5">
    <w:name w:val="heading 5"/>
    <w:aliases w:val="Sub-titlu 1"/>
    <w:basedOn w:val="Normal"/>
    <w:next w:val="Normal"/>
    <w:link w:val="Heading5Char"/>
    <w:unhideWhenUsed/>
    <w:qFormat/>
    <w:rsid w:val="00017F4B"/>
    <w:pPr>
      <w:keepNext/>
      <w:keepLines/>
      <w:numPr>
        <w:numId w:val="107"/>
      </w:numPr>
      <w:ind w:left="1208" w:hanging="357"/>
      <w:outlineLvl w:val="4"/>
    </w:pPr>
    <w:rPr>
      <w:rFonts w:eastAsia="Times New Roman"/>
      <w:b/>
      <w:color w:val="0070C0"/>
      <w:sz w:val="24"/>
    </w:rPr>
  </w:style>
  <w:style w:type="paragraph" w:styleId="Heading6">
    <w:name w:val="heading 6"/>
    <w:basedOn w:val="Normal"/>
    <w:next w:val="Normal"/>
    <w:link w:val="Heading6Char"/>
    <w:unhideWhenUsed/>
    <w:qFormat/>
    <w:rsid w:val="00385FDB"/>
    <w:pPr>
      <w:keepNext/>
      <w:keepLines/>
      <w:spacing w:before="200" w:after="0"/>
      <w:outlineLvl w:val="5"/>
    </w:pPr>
    <w:rPr>
      <w:rFonts w:ascii="Cambria" w:eastAsia="Times New Roman" w:hAnsi="Cambria"/>
      <w:i/>
      <w:iCs/>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F56B6F"/>
    <w:pPr>
      <w:numPr>
        <w:numId w:val="4"/>
      </w:numPr>
    </w:pPr>
    <w:rPr>
      <w:rFonts w:eastAsia="Times New Roman"/>
      <w:lang w:val="ro-RO" w:eastAsia="en-GB"/>
    </w:rPr>
  </w:style>
  <w:style w:type="paragraph" w:styleId="Title">
    <w:name w:val="Title"/>
    <w:basedOn w:val="Normal"/>
    <w:next w:val="Normal"/>
    <w:link w:val="TitleChar"/>
    <w:qFormat/>
    <w:rsid w:val="00A57DB1"/>
    <w:pPr>
      <w:spacing w:before="480" w:after="480"/>
      <w:jc w:val="center"/>
    </w:pPr>
    <w:rPr>
      <w:rFonts w:eastAsia="Times New Roman"/>
      <w:b/>
      <w:color w:val="365F91"/>
      <w:spacing w:val="5"/>
      <w:kern w:val="28"/>
      <w:sz w:val="72"/>
      <w:szCs w:val="52"/>
    </w:rPr>
  </w:style>
  <w:style w:type="character" w:customStyle="1" w:styleId="TitleChar">
    <w:name w:val="Title Char"/>
    <w:link w:val="Title"/>
    <w:rsid w:val="00A57DB1"/>
    <w:rPr>
      <w:rFonts w:eastAsia="Times New Roman" w:cs="Times New Roman"/>
      <w:b/>
      <w:color w:val="365F91"/>
      <w:spacing w:val="5"/>
      <w:kern w:val="28"/>
      <w:sz w:val="72"/>
      <w:szCs w:val="52"/>
    </w:rPr>
  </w:style>
  <w:style w:type="paragraph" w:styleId="Subtitle">
    <w:name w:val="Subtitle"/>
    <w:basedOn w:val="Normal"/>
    <w:next w:val="Normal"/>
    <w:link w:val="SubtitleChar"/>
    <w:qFormat/>
    <w:rsid w:val="003E54B1"/>
    <w:pPr>
      <w:numPr>
        <w:ilvl w:val="1"/>
      </w:numPr>
      <w:spacing w:before="0" w:after="80"/>
      <w:ind w:left="284"/>
      <w:jc w:val="center"/>
    </w:pPr>
    <w:rPr>
      <w:rFonts w:asciiTheme="minorHAnsi" w:eastAsia="Times New Roman" w:hAnsiTheme="minorHAnsi"/>
      <w:b/>
      <w:i/>
      <w:iCs/>
      <w:color w:val="0070C0"/>
      <w:spacing w:val="15"/>
      <w:szCs w:val="24"/>
    </w:rPr>
  </w:style>
  <w:style w:type="character" w:customStyle="1" w:styleId="SubtitleChar">
    <w:name w:val="Subtitle Char"/>
    <w:link w:val="Subtitle"/>
    <w:rsid w:val="003E54B1"/>
    <w:rPr>
      <w:rFonts w:asciiTheme="minorHAnsi" w:eastAsia="Times New Roman" w:hAnsiTheme="minorHAnsi"/>
      <w:b/>
      <w:i/>
      <w:iCs/>
      <w:color w:val="0070C0"/>
      <w:spacing w:val="15"/>
      <w:sz w:val="22"/>
      <w:szCs w:val="24"/>
      <w:lang w:val="en-US" w:eastAsia="en-US"/>
    </w:rPr>
  </w:style>
  <w:style w:type="character" w:customStyle="1" w:styleId="Heading1Char">
    <w:name w:val="Heading 1 Char"/>
    <w:link w:val="Heading1"/>
    <w:rsid w:val="001B4D8E"/>
    <w:rPr>
      <w:rFonts w:eastAsia="Times New Roman"/>
      <w:b/>
      <w:bCs/>
      <w:color w:val="FFFFFF"/>
      <w:sz w:val="36"/>
      <w:szCs w:val="28"/>
      <w:shd w:val="clear" w:color="auto" w:fill="4F6228"/>
      <w:lang w:val="en-US" w:eastAsia="en-US"/>
    </w:rPr>
  </w:style>
  <w:style w:type="character" w:customStyle="1" w:styleId="Heading2Char">
    <w:name w:val="Heading 2 Char"/>
    <w:aliases w:val="Sub-capitol Char"/>
    <w:link w:val="Heading2"/>
    <w:rsid w:val="003F34AF"/>
    <w:rPr>
      <w:rFonts w:eastAsia="Times New Roman"/>
      <w:b/>
      <w:bCs/>
      <w:color w:val="365F91"/>
      <w:sz w:val="28"/>
      <w:szCs w:val="26"/>
      <w:lang w:val="en-US" w:eastAsia="en-US"/>
    </w:rPr>
  </w:style>
  <w:style w:type="table" w:styleId="TableGrid">
    <w:name w:val="Table Grid"/>
    <w:basedOn w:val="TableNormal"/>
    <w:uiPriority w:val="59"/>
    <w:rsid w:val="00886B4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5">
    <w:name w:val="Light List Accent 5"/>
    <w:basedOn w:val="TableNormal"/>
    <w:uiPriority w:val="61"/>
    <w:rsid w:val="00886B40"/>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MediumGrid2-Accent5">
    <w:name w:val="Medium Grid 2 Accent 5"/>
    <w:basedOn w:val="TableNormal"/>
    <w:uiPriority w:val="68"/>
    <w:rsid w:val="00886B40"/>
    <w:rPr>
      <w:rFonts w:ascii="Cambria" w:eastAsia="Times New Roman" w:hAnsi="Cambria"/>
      <w:color w:val="000000"/>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cPr>
      <w:shd w:val="clear" w:color="auto" w:fill="D2EAF1"/>
    </w:tcPr>
    <w:tblStylePr w:type="firstRow">
      <w:rPr>
        <w:b/>
        <w:bCs/>
        <w:color w:val="000000"/>
      </w:rPr>
      <w:tblPr/>
      <w:tcPr>
        <w:shd w:val="clear" w:color="auto" w:fill="EDF6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AEEF3"/>
      </w:tcPr>
    </w:tblStylePr>
    <w:tblStylePr w:type="band1Vert">
      <w:tblPr/>
      <w:tcPr>
        <w:shd w:val="clear" w:color="auto" w:fill="A5D5E2"/>
      </w:tcPr>
    </w:tblStylePr>
    <w:tblStylePr w:type="band1Horz">
      <w:tblPr/>
      <w:tcPr>
        <w:tcBorders>
          <w:insideH w:val="single" w:sz="6" w:space="0" w:color="4BACC6"/>
          <w:insideV w:val="single" w:sz="6" w:space="0" w:color="4BACC6"/>
        </w:tcBorders>
        <w:shd w:val="clear" w:color="auto" w:fill="A5D5E2"/>
      </w:tcPr>
    </w:tblStylePr>
    <w:tblStylePr w:type="nwCell">
      <w:tblPr/>
      <w:tcPr>
        <w:shd w:val="clear" w:color="auto" w:fill="FFFFFF"/>
      </w:tcPr>
    </w:tblStylePr>
  </w:style>
  <w:style w:type="table" w:styleId="MediumGrid3-Accent5">
    <w:name w:val="Medium Grid 3 Accent 5"/>
    <w:basedOn w:val="TableNormal"/>
    <w:uiPriority w:val="69"/>
    <w:rsid w:val="00886B40"/>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paragraph" w:styleId="NormalWeb">
    <w:name w:val="Normal (Web)"/>
    <w:basedOn w:val="Normal"/>
    <w:unhideWhenUsed/>
    <w:rsid w:val="00BD24BA"/>
    <w:pPr>
      <w:spacing w:before="100" w:beforeAutospacing="1" w:after="100" w:afterAutospacing="1"/>
    </w:pPr>
    <w:rPr>
      <w:rFonts w:ascii="Times New Roman" w:eastAsia="Times New Roman" w:hAnsi="Times New Roman"/>
      <w:sz w:val="24"/>
      <w:szCs w:val="24"/>
    </w:rPr>
  </w:style>
  <w:style w:type="character" w:styleId="CommentReference">
    <w:name w:val="annotation reference"/>
    <w:uiPriority w:val="99"/>
    <w:semiHidden/>
    <w:unhideWhenUsed/>
    <w:rsid w:val="00692481"/>
    <w:rPr>
      <w:sz w:val="16"/>
      <w:szCs w:val="16"/>
    </w:rPr>
  </w:style>
  <w:style w:type="paragraph" w:styleId="CommentText">
    <w:name w:val="annotation text"/>
    <w:basedOn w:val="Normal"/>
    <w:link w:val="CommentTextChar"/>
    <w:uiPriority w:val="99"/>
    <w:semiHidden/>
    <w:unhideWhenUsed/>
    <w:rsid w:val="00692481"/>
    <w:rPr>
      <w:sz w:val="20"/>
      <w:szCs w:val="20"/>
    </w:rPr>
  </w:style>
  <w:style w:type="character" w:customStyle="1" w:styleId="CommentTextChar">
    <w:name w:val="Comment Text Char"/>
    <w:link w:val="CommentText"/>
    <w:uiPriority w:val="99"/>
    <w:semiHidden/>
    <w:rsid w:val="00692481"/>
    <w:rPr>
      <w:sz w:val="20"/>
      <w:szCs w:val="20"/>
    </w:rPr>
  </w:style>
  <w:style w:type="paragraph" w:styleId="CommentSubject">
    <w:name w:val="annotation subject"/>
    <w:basedOn w:val="CommentText"/>
    <w:next w:val="CommentText"/>
    <w:link w:val="CommentSubjectChar"/>
    <w:uiPriority w:val="99"/>
    <w:semiHidden/>
    <w:unhideWhenUsed/>
    <w:rsid w:val="00692481"/>
    <w:rPr>
      <w:b/>
      <w:bCs/>
    </w:rPr>
  </w:style>
  <w:style w:type="character" w:customStyle="1" w:styleId="CommentSubjectChar">
    <w:name w:val="Comment Subject Char"/>
    <w:link w:val="CommentSubject"/>
    <w:uiPriority w:val="99"/>
    <w:semiHidden/>
    <w:rsid w:val="00692481"/>
    <w:rPr>
      <w:b/>
      <w:bCs/>
      <w:sz w:val="20"/>
      <w:szCs w:val="20"/>
    </w:rPr>
  </w:style>
  <w:style w:type="paragraph" w:styleId="BalloonText">
    <w:name w:val="Balloon Text"/>
    <w:basedOn w:val="Normal"/>
    <w:link w:val="BalloonTextChar"/>
    <w:uiPriority w:val="99"/>
    <w:semiHidden/>
    <w:unhideWhenUsed/>
    <w:rsid w:val="00692481"/>
    <w:pPr>
      <w:spacing w:after="0"/>
    </w:pPr>
    <w:rPr>
      <w:rFonts w:ascii="Tahoma" w:hAnsi="Tahoma" w:cs="Tahoma"/>
      <w:sz w:val="16"/>
      <w:szCs w:val="16"/>
    </w:rPr>
  </w:style>
  <w:style w:type="character" w:customStyle="1" w:styleId="BalloonTextChar">
    <w:name w:val="Balloon Text Char"/>
    <w:link w:val="BalloonText"/>
    <w:uiPriority w:val="99"/>
    <w:semiHidden/>
    <w:rsid w:val="00692481"/>
    <w:rPr>
      <w:rFonts w:ascii="Tahoma" w:hAnsi="Tahoma" w:cs="Tahoma"/>
      <w:sz w:val="16"/>
      <w:szCs w:val="16"/>
    </w:rPr>
  </w:style>
  <w:style w:type="paragraph" w:styleId="TOCHeading">
    <w:name w:val="TOC Heading"/>
    <w:basedOn w:val="Heading1"/>
    <w:next w:val="Normal"/>
    <w:uiPriority w:val="39"/>
    <w:semiHidden/>
    <w:unhideWhenUsed/>
    <w:qFormat/>
    <w:rsid w:val="00C01AEE"/>
    <w:pPr>
      <w:outlineLvl w:val="9"/>
    </w:pPr>
    <w:rPr>
      <w:lang w:eastAsia="ja-JP"/>
    </w:rPr>
  </w:style>
  <w:style w:type="paragraph" w:styleId="TOC1">
    <w:name w:val="toc 1"/>
    <w:basedOn w:val="Normal"/>
    <w:next w:val="Normal"/>
    <w:autoRedefine/>
    <w:uiPriority w:val="39"/>
    <w:unhideWhenUsed/>
    <w:rsid w:val="00C10BBF"/>
    <w:pPr>
      <w:tabs>
        <w:tab w:val="left" w:pos="440"/>
        <w:tab w:val="right" w:leader="dot" w:pos="9350"/>
      </w:tabs>
      <w:spacing w:after="100"/>
    </w:pPr>
  </w:style>
  <w:style w:type="character" w:styleId="Hyperlink">
    <w:name w:val="Hyperlink"/>
    <w:uiPriority w:val="99"/>
    <w:unhideWhenUsed/>
    <w:rsid w:val="00C01AEE"/>
    <w:rPr>
      <w:color w:val="0000FF"/>
      <w:u w:val="single"/>
    </w:rPr>
  </w:style>
  <w:style w:type="character" w:customStyle="1" w:styleId="Heading3Char">
    <w:name w:val="Heading 3 Char"/>
    <w:aliases w:val="Titlu 1 Char"/>
    <w:link w:val="Heading3"/>
    <w:uiPriority w:val="9"/>
    <w:rsid w:val="00474B13"/>
    <w:rPr>
      <w:rFonts w:eastAsia="Times New Roman"/>
      <w:b/>
      <w:bCs/>
      <w:color w:val="4F81BD"/>
      <w:sz w:val="24"/>
      <w:szCs w:val="22"/>
      <w:lang w:val="en-US" w:eastAsia="en-US"/>
    </w:rPr>
  </w:style>
  <w:style w:type="character" w:customStyle="1" w:styleId="Heading4Char">
    <w:name w:val="Heading 4 Char"/>
    <w:aliases w:val="Sub-text tabel Char"/>
    <w:link w:val="Heading4"/>
    <w:rsid w:val="0060464C"/>
    <w:rPr>
      <w:rFonts w:eastAsia="Times New Roman" w:cs="Times New Roman"/>
      <w:bCs/>
      <w:i/>
      <w:iCs/>
      <w:sz w:val="18"/>
    </w:rPr>
  </w:style>
  <w:style w:type="character" w:customStyle="1" w:styleId="Heading5Char">
    <w:name w:val="Heading 5 Char"/>
    <w:aliases w:val="Sub-titlu 1 Char"/>
    <w:link w:val="Heading5"/>
    <w:rsid w:val="00017F4B"/>
    <w:rPr>
      <w:rFonts w:eastAsia="Times New Roman"/>
      <w:b/>
      <w:color w:val="0070C0"/>
      <w:sz w:val="24"/>
      <w:szCs w:val="22"/>
      <w:lang w:val="en-US" w:eastAsia="en-US"/>
    </w:rPr>
  </w:style>
  <w:style w:type="paragraph" w:styleId="FootnoteText">
    <w:name w:val="footnote text"/>
    <w:aliases w:val="Fußnotentextf,single space,Fußnote,-E Fußnotentext,Fußnotentext Ursprung,Podrozdział,Footnote Text Char Char,FOOTNOTES,fn,Sprotna opomba - besedilo Znak1,Sprotna opomba - besedilo Znak Znak2,stile 1,Footnot,Footnote1,Podrozdzia3,Footnote"/>
    <w:basedOn w:val="Normal"/>
    <w:link w:val="FootnoteTextChar"/>
    <w:uiPriority w:val="99"/>
    <w:unhideWhenUsed/>
    <w:qFormat/>
    <w:rsid w:val="00B06992"/>
    <w:pPr>
      <w:spacing w:before="0" w:after="0"/>
    </w:pPr>
    <w:rPr>
      <w:i/>
      <w:sz w:val="18"/>
      <w:szCs w:val="24"/>
    </w:rPr>
  </w:style>
  <w:style w:type="character" w:customStyle="1" w:styleId="FootnoteTextChar">
    <w:name w:val="Footnote Text Char"/>
    <w:aliases w:val="Fußnotentextf Char,single space Char,Fußnote Char,-E Fußnotentext Char,Fußnotentext Ursprung Char,Podrozdział Char,Footnote Text Char Char Char,FOOTNOTES Char,fn Char,Sprotna opomba - besedilo Znak1 Char,stile 1 Char,Footnot Char"/>
    <w:link w:val="FootnoteText"/>
    <w:uiPriority w:val="99"/>
    <w:rsid w:val="00B06992"/>
    <w:rPr>
      <w:i/>
      <w:sz w:val="18"/>
      <w:szCs w:val="24"/>
    </w:rPr>
  </w:style>
  <w:style w:type="character" w:styleId="FootnoteReference">
    <w:name w:val="footnote reference"/>
    <w:aliases w:val="-E Fußnotenzeichen,Heading 6 Char1,Footnote2,Footnote symbol,Fussnota,ftref,Appel note de bas de p,SUPERS,Nota,(NECG) Footnote Reference,Voetnootverwijzing,Footnote Reference Superscript,BVI fnr"/>
    <w:uiPriority w:val="99"/>
    <w:unhideWhenUsed/>
    <w:rsid w:val="005963A4"/>
    <w:rPr>
      <w:vertAlign w:val="superscript"/>
    </w:rPr>
  </w:style>
  <w:style w:type="table" w:customStyle="1" w:styleId="MediumGrid11">
    <w:name w:val="Medium Grid 11"/>
    <w:basedOn w:val="TableNormal"/>
    <w:uiPriority w:val="67"/>
    <w:rsid w:val="003E5A9F"/>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styleId="Header">
    <w:name w:val="header"/>
    <w:basedOn w:val="Normal"/>
    <w:link w:val="HeaderChar"/>
    <w:unhideWhenUsed/>
    <w:rsid w:val="00AC609F"/>
    <w:pPr>
      <w:tabs>
        <w:tab w:val="center" w:pos="4153"/>
        <w:tab w:val="right" w:pos="8306"/>
      </w:tabs>
      <w:spacing w:after="0"/>
    </w:pPr>
  </w:style>
  <w:style w:type="character" w:customStyle="1" w:styleId="HeaderChar">
    <w:name w:val="Header Char"/>
    <w:basedOn w:val="DefaultParagraphFont"/>
    <w:link w:val="Header"/>
    <w:rsid w:val="00AC609F"/>
  </w:style>
  <w:style w:type="paragraph" w:styleId="Footer">
    <w:name w:val="footer"/>
    <w:basedOn w:val="Normal"/>
    <w:link w:val="FooterChar"/>
    <w:unhideWhenUsed/>
    <w:rsid w:val="00AC609F"/>
    <w:pPr>
      <w:tabs>
        <w:tab w:val="center" w:pos="4153"/>
        <w:tab w:val="right" w:pos="8306"/>
      </w:tabs>
      <w:spacing w:after="0"/>
    </w:pPr>
  </w:style>
  <w:style w:type="character" w:customStyle="1" w:styleId="FooterChar">
    <w:name w:val="Footer Char"/>
    <w:basedOn w:val="DefaultParagraphFont"/>
    <w:link w:val="Footer"/>
    <w:rsid w:val="00AC609F"/>
  </w:style>
  <w:style w:type="table" w:customStyle="1" w:styleId="TableGrid1">
    <w:name w:val="Table Grid1"/>
    <w:basedOn w:val="TableNormal"/>
    <w:next w:val="TableGrid"/>
    <w:uiPriority w:val="59"/>
    <w:rsid w:val="00A75D1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2">
    <w:name w:val="toc 2"/>
    <w:basedOn w:val="Normal"/>
    <w:next w:val="Normal"/>
    <w:autoRedefine/>
    <w:uiPriority w:val="39"/>
    <w:unhideWhenUsed/>
    <w:rsid w:val="000E1285"/>
    <w:pPr>
      <w:spacing w:after="100"/>
      <w:ind w:left="220"/>
    </w:pPr>
  </w:style>
  <w:style w:type="paragraph" w:styleId="TOC3">
    <w:name w:val="toc 3"/>
    <w:basedOn w:val="Normal"/>
    <w:next w:val="Normal"/>
    <w:autoRedefine/>
    <w:uiPriority w:val="39"/>
    <w:unhideWhenUsed/>
    <w:rsid w:val="000E1285"/>
    <w:pPr>
      <w:spacing w:after="100"/>
      <w:ind w:left="440"/>
    </w:pPr>
  </w:style>
  <w:style w:type="table" w:styleId="MediumGrid3-Accent1">
    <w:name w:val="Medium Grid 3 Accent 1"/>
    <w:basedOn w:val="TableNormal"/>
    <w:uiPriority w:val="69"/>
    <w:rsid w:val="00266B86"/>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styleId="Revision">
    <w:name w:val="Revision"/>
    <w:hidden/>
    <w:uiPriority w:val="99"/>
    <w:semiHidden/>
    <w:rsid w:val="005F137B"/>
    <w:rPr>
      <w:sz w:val="22"/>
      <w:szCs w:val="22"/>
      <w:lang w:val="en-US" w:eastAsia="en-US"/>
    </w:rPr>
  </w:style>
  <w:style w:type="paragraph" w:styleId="BodyText">
    <w:name w:val="Body Text"/>
    <w:basedOn w:val="Normal"/>
    <w:link w:val="BodyTextChar"/>
    <w:semiHidden/>
    <w:rsid w:val="001E7D2C"/>
    <w:pPr>
      <w:suppressAutoHyphens/>
      <w:spacing w:before="0" w:after="0"/>
    </w:pPr>
    <w:rPr>
      <w:rFonts w:ascii="Times New Roman" w:eastAsia="Times New Roman" w:hAnsi="Times New Roman" w:cs="Calibri"/>
      <w:snapToGrid w:val="0"/>
      <w:sz w:val="24"/>
      <w:szCs w:val="24"/>
      <w:lang w:val="ro-RO" w:eastAsia="ro-RO"/>
    </w:rPr>
  </w:style>
  <w:style w:type="character" w:customStyle="1" w:styleId="BodyTextChar">
    <w:name w:val="Body Text Char"/>
    <w:link w:val="BodyText"/>
    <w:semiHidden/>
    <w:rsid w:val="001E7D2C"/>
    <w:rPr>
      <w:rFonts w:ascii="Times New Roman" w:eastAsia="Times New Roman" w:hAnsi="Times New Roman" w:cs="Calibri"/>
      <w:snapToGrid/>
      <w:sz w:val="24"/>
      <w:szCs w:val="24"/>
      <w:lang w:val="ro-RO" w:eastAsia="ro-RO"/>
    </w:rPr>
  </w:style>
  <w:style w:type="character" w:styleId="Strong">
    <w:name w:val="Strong"/>
    <w:qFormat/>
    <w:rsid w:val="001E7D2C"/>
    <w:rPr>
      <w:rFonts w:cs="Times New Roman"/>
      <w:b/>
    </w:rPr>
  </w:style>
  <w:style w:type="paragraph" w:styleId="BodyText2">
    <w:name w:val="Body Text 2"/>
    <w:basedOn w:val="Normal"/>
    <w:link w:val="BodyText2Char"/>
    <w:rsid w:val="001E7D2C"/>
    <w:pPr>
      <w:suppressAutoHyphens/>
      <w:spacing w:before="0"/>
      <w:jc w:val="left"/>
    </w:pPr>
    <w:rPr>
      <w:rFonts w:ascii="Times New Roman" w:eastAsia="Times New Roman" w:hAnsi="Times New Roman" w:cs="Calibri"/>
      <w:b/>
      <w:bCs/>
      <w:snapToGrid w:val="0"/>
      <w:sz w:val="24"/>
      <w:szCs w:val="24"/>
      <w:lang w:val="ro-RO" w:eastAsia="ro-RO"/>
    </w:rPr>
  </w:style>
  <w:style w:type="character" w:customStyle="1" w:styleId="BodyText2Char">
    <w:name w:val="Body Text 2 Char"/>
    <w:link w:val="BodyText2"/>
    <w:rsid w:val="001E7D2C"/>
    <w:rPr>
      <w:rFonts w:ascii="Times New Roman" w:eastAsia="Times New Roman" w:hAnsi="Times New Roman" w:cs="Calibri"/>
      <w:b/>
      <w:bCs/>
      <w:snapToGrid/>
      <w:sz w:val="24"/>
      <w:szCs w:val="24"/>
      <w:lang w:val="ro-RO" w:eastAsia="ro-RO"/>
    </w:rPr>
  </w:style>
  <w:style w:type="character" w:customStyle="1" w:styleId="longtext">
    <w:name w:val="long_text"/>
    <w:rsid w:val="001E7D2C"/>
  </w:style>
  <w:style w:type="character" w:customStyle="1" w:styleId="tw4winMark">
    <w:name w:val="tw4winMark"/>
    <w:rsid w:val="001E7D2C"/>
    <w:rPr>
      <w:rFonts w:ascii="Courier New" w:hAnsi="Courier New"/>
      <w:vanish/>
      <w:color w:val="800080"/>
      <w:sz w:val="24"/>
      <w:vertAlign w:val="subscript"/>
    </w:rPr>
  </w:style>
  <w:style w:type="table" w:styleId="LightGrid-Accent5">
    <w:name w:val="Light Grid Accent 5"/>
    <w:basedOn w:val="TableNormal"/>
    <w:uiPriority w:val="62"/>
    <w:rsid w:val="001E7D2C"/>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styleId="BodyText3">
    <w:name w:val="Body Text 3"/>
    <w:basedOn w:val="Normal"/>
    <w:link w:val="BodyText3Char"/>
    <w:unhideWhenUsed/>
    <w:rsid w:val="001E7D2C"/>
    <w:pPr>
      <w:spacing w:before="0" w:line="276" w:lineRule="auto"/>
      <w:jc w:val="left"/>
    </w:pPr>
    <w:rPr>
      <w:sz w:val="16"/>
      <w:szCs w:val="16"/>
    </w:rPr>
  </w:style>
  <w:style w:type="character" w:customStyle="1" w:styleId="BodyText3Char">
    <w:name w:val="Body Text 3 Char"/>
    <w:link w:val="BodyText3"/>
    <w:rsid w:val="001E7D2C"/>
    <w:rPr>
      <w:sz w:val="16"/>
      <w:szCs w:val="16"/>
    </w:rPr>
  </w:style>
  <w:style w:type="paragraph" w:customStyle="1" w:styleId="Default">
    <w:name w:val="Default"/>
    <w:rsid w:val="00B61C58"/>
    <w:pPr>
      <w:autoSpaceDE w:val="0"/>
      <w:autoSpaceDN w:val="0"/>
      <w:adjustRightInd w:val="0"/>
    </w:pPr>
    <w:rPr>
      <w:rFonts w:eastAsia="Times New Roman" w:cs="Calibri"/>
      <w:snapToGrid w:val="0"/>
      <w:color w:val="000000"/>
      <w:sz w:val="24"/>
      <w:szCs w:val="24"/>
      <w:lang w:val="ro-RO" w:eastAsia="ro-RO"/>
    </w:rPr>
  </w:style>
  <w:style w:type="paragraph" w:styleId="BodyTextIndent">
    <w:name w:val="Body Text Indent"/>
    <w:basedOn w:val="Normal"/>
    <w:link w:val="BodyTextIndentChar"/>
    <w:unhideWhenUsed/>
    <w:rsid w:val="00333CBE"/>
    <w:pPr>
      <w:ind w:left="283"/>
    </w:pPr>
  </w:style>
  <w:style w:type="character" w:customStyle="1" w:styleId="BodyTextIndentChar">
    <w:name w:val="Body Text Indent Char"/>
    <w:basedOn w:val="DefaultParagraphFont"/>
    <w:link w:val="BodyTextIndent"/>
    <w:rsid w:val="00333CBE"/>
  </w:style>
  <w:style w:type="paragraph" w:styleId="Caption">
    <w:name w:val="caption"/>
    <w:basedOn w:val="Normal"/>
    <w:next w:val="Normal"/>
    <w:qFormat/>
    <w:rsid w:val="00947408"/>
    <w:pPr>
      <w:spacing w:before="0" w:after="0"/>
      <w:jc w:val="center"/>
    </w:pPr>
    <w:rPr>
      <w:rFonts w:eastAsia="Times New Roman" w:cs="Calibri"/>
      <w:i/>
      <w:iCs/>
      <w:snapToGrid w:val="0"/>
      <w:color w:val="0070C0"/>
      <w:sz w:val="20"/>
      <w:szCs w:val="24"/>
      <w:lang w:val="ro-RO" w:eastAsia="ro-RO"/>
    </w:rPr>
  </w:style>
  <w:style w:type="character" w:styleId="IntenseEmphasis">
    <w:name w:val="Intense Emphasis"/>
    <w:uiPriority w:val="21"/>
    <w:qFormat/>
    <w:rsid w:val="00EF1781"/>
    <w:rPr>
      <w:b/>
      <w:bCs/>
      <w:i/>
      <w:iCs/>
      <w:color w:val="4F81BD"/>
    </w:rPr>
  </w:style>
  <w:style w:type="character" w:styleId="SubtleEmphasis">
    <w:name w:val="Subtle Emphasis"/>
    <w:uiPriority w:val="19"/>
    <w:qFormat/>
    <w:rsid w:val="00B275E1"/>
    <w:rPr>
      <w:rFonts w:ascii="Calibri" w:hAnsi="Calibri"/>
      <w:i/>
      <w:iCs/>
      <w:color w:val="auto"/>
      <w:sz w:val="18"/>
    </w:rPr>
  </w:style>
  <w:style w:type="character" w:customStyle="1" w:styleId="ds71">
    <w:name w:val="ds71"/>
    <w:rsid w:val="00B275E1"/>
    <w:rPr>
      <w:rFonts w:ascii="Helvetica" w:hAnsi="Helvetica" w:hint="default"/>
      <w:sz w:val="21"/>
      <w:szCs w:val="21"/>
    </w:rPr>
  </w:style>
  <w:style w:type="character" w:styleId="Emphasis">
    <w:name w:val="Emphasis"/>
    <w:qFormat/>
    <w:rsid w:val="0060464C"/>
    <w:rPr>
      <w:i/>
      <w:iCs/>
    </w:rPr>
  </w:style>
  <w:style w:type="character" w:customStyle="1" w:styleId="Heading6Char">
    <w:name w:val="Heading 6 Char"/>
    <w:link w:val="Heading6"/>
    <w:rsid w:val="00385FDB"/>
    <w:rPr>
      <w:rFonts w:ascii="Cambria" w:eastAsia="Times New Roman" w:hAnsi="Cambria" w:cs="Times New Roman"/>
      <w:i/>
      <w:iCs/>
      <w:color w:val="243F60"/>
    </w:rPr>
  </w:style>
  <w:style w:type="paragraph" w:customStyle="1" w:styleId="ListParagraph1">
    <w:name w:val="List Paragraph1"/>
    <w:basedOn w:val="Normal"/>
    <w:rsid w:val="00984963"/>
    <w:pPr>
      <w:spacing w:before="0" w:after="0" w:line="276" w:lineRule="auto"/>
      <w:ind w:left="720"/>
      <w:jc w:val="left"/>
    </w:pPr>
    <w:rPr>
      <w:rFonts w:cs="Arial"/>
      <w:szCs w:val="20"/>
      <w:lang w:val="hu-HU" w:eastAsia="hu-HU"/>
    </w:rPr>
  </w:style>
  <w:style w:type="paragraph" w:customStyle="1" w:styleId="FootnoteText1">
    <w:name w:val="Footnote Text1"/>
    <w:basedOn w:val="Normal"/>
    <w:rsid w:val="00984963"/>
    <w:pPr>
      <w:spacing w:before="0" w:after="0" w:line="240" w:lineRule="atLeast"/>
      <w:jc w:val="left"/>
    </w:pPr>
    <w:rPr>
      <w:rFonts w:ascii="Times New Roman" w:eastAsia="Times New Roman" w:hAnsi="Times New Roman" w:cs="Arial"/>
      <w:sz w:val="20"/>
      <w:szCs w:val="20"/>
      <w:lang w:val="hu-HU" w:eastAsia="hu-HU"/>
    </w:rPr>
  </w:style>
  <w:style w:type="character" w:customStyle="1" w:styleId="FootnoteCharacters">
    <w:name w:val="Footnote Characters"/>
    <w:rsid w:val="00FF2C0B"/>
    <w:rPr>
      <w:vertAlign w:val="superscript"/>
    </w:rPr>
  </w:style>
  <w:style w:type="character" w:customStyle="1" w:styleId="WW-FootnoteCharacters">
    <w:name w:val="WW-Footnote Characters"/>
    <w:rsid w:val="00FF2C0B"/>
    <w:rPr>
      <w:vertAlign w:val="superscript"/>
    </w:rPr>
  </w:style>
  <w:style w:type="paragraph" w:customStyle="1" w:styleId="Index">
    <w:name w:val="Index"/>
    <w:basedOn w:val="Normal"/>
    <w:rsid w:val="00FF2C0B"/>
    <w:pPr>
      <w:suppressLineNumbers/>
      <w:suppressAutoHyphens/>
      <w:spacing w:before="0" w:after="0"/>
      <w:jc w:val="left"/>
    </w:pPr>
    <w:rPr>
      <w:rFonts w:ascii="Times New Roman" w:eastAsia="Times New Roman" w:hAnsi="Times New Roman" w:cs="Calibri"/>
      <w:snapToGrid w:val="0"/>
      <w:sz w:val="24"/>
      <w:szCs w:val="24"/>
      <w:lang w:val="ro-RO" w:eastAsia="ro-RO"/>
    </w:rPr>
  </w:style>
  <w:style w:type="paragraph" w:customStyle="1" w:styleId="WW-Default">
    <w:name w:val="WW-Default"/>
    <w:rsid w:val="00FF2C0B"/>
    <w:pPr>
      <w:suppressAutoHyphens/>
      <w:autoSpaceDE w:val="0"/>
    </w:pPr>
    <w:rPr>
      <w:rFonts w:ascii="Arial" w:eastAsia="Times New Roman" w:hAnsi="Arial" w:cs="Arial"/>
      <w:snapToGrid w:val="0"/>
      <w:color w:val="000000"/>
      <w:sz w:val="24"/>
      <w:szCs w:val="24"/>
      <w:lang w:val="en-US" w:eastAsia="ro-RO"/>
    </w:rPr>
  </w:style>
  <w:style w:type="paragraph" w:customStyle="1" w:styleId="style10">
    <w:name w:val="style10"/>
    <w:basedOn w:val="Normal"/>
    <w:rsid w:val="00FF2C0B"/>
    <w:pPr>
      <w:spacing w:before="280" w:after="280"/>
      <w:jc w:val="left"/>
    </w:pPr>
    <w:rPr>
      <w:rFonts w:ascii="Times New Roman" w:eastAsia="Times New Roman" w:hAnsi="Times New Roman" w:cs="Calibri"/>
      <w:snapToGrid w:val="0"/>
      <w:sz w:val="24"/>
      <w:szCs w:val="24"/>
      <w:lang w:eastAsia="ro-RO"/>
    </w:rPr>
  </w:style>
  <w:style w:type="character" w:customStyle="1" w:styleId="apple-converted-space">
    <w:name w:val="apple-converted-space"/>
    <w:basedOn w:val="DefaultParagraphFont"/>
    <w:rsid w:val="00FF2C0B"/>
  </w:style>
  <w:style w:type="paragraph" w:customStyle="1" w:styleId="Sub-capitol1">
    <w:name w:val="Sub-capitol1"/>
    <w:basedOn w:val="Normal"/>
    <w:next w:val="Normal"/>
    <w:uiPriority w:val="9"/>
    <w:unhideWhenUsed/>
    <w:qFormat/>
    <w:rsid w:val="008E2B43"/>
    <w:pPr>
      <w:keepNext/>
      <w:keepLines/>
      <w:spacing w:before="240" w:after="240"/>
      <w:ind w:left="757" w:hanging="360"/>
      <w:outlineLvl w:val="1"/>
    </w:pPr>
    <w:rPr>
      <w:rFonts w:eastAsia="MS Gothic"/>
      <w:b/>
      <w:bCs/>
      <w:color w:val="365F91"/>
      <w:sz w:val="28"/>
      <w:szCs w:val="26"/>
    </w:rPr>
  </w:style>
  <w:style w:type="paragraph" w:customStyle="1" w:styleId="Titlu11">
    <w:name w:val="Titlu 11"/>
    <w:basedOn w:val="Normal"/>
    <w:next w:val="Normal"/>
    <w:unhideWhenUsed/>
    <w:qFormat/>
    <w:rsid w:val="008E2B43"/>
    <w:pPr>
      <w:keepNext/>
      <w:keepLines/>
      <w:ind w:left="924" w:hanging="357"/>
      <w:outlineLvl w:val="2"/>
    </w:pPr>
    <w:rPr>
      <w:rFonts w:eastAsia="MS Gothic"/>
      <w:b/>
      <w:bCs/>
      <w:color w:val="4F81BD"/>
    </w:rPr>
  </w:style>
  <w:style w:type="table" w:customStyle="1" w:styleId="LightGrid-Accent51">
    <w:name w:val="Light Grid - Accent 51"/>
    <w:basedOn w:val="TableNormal"/>
    <w:next w:val="LightGrid-Accent5"/>
    <w:uiPriority w:val="62"/>
    <w:rsid w:val="008E2B43"/>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Cambria" w:eastAsia="MS Gothic"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Cambria" w:eastAsia="MS Gothic"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MS Gothic" w:hAnsi="Cambria" w:cs="Times New Roman"/>
        <w:b/>
        <w:bCs/>
      </w:rPr>
    </w:tblStylePr>
    <w:tblStylePr w:type="lastCol">
      <w:rPr>
        <w:rFonts w:ascii="Cambria" w:eastAsia="MS Gothic"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styleId="TableofFigures">
    <w:name w:val="table of figures"/>
    <w:basedOn w:val="Normal"/>
    <w:next w:val="Normal"/>
    <w:uiPriority w:val="99"/>
    <w:unhideWhenUsed/>
    <w:rsid w:val="00AC53A9"/>
    <w:pPr>
      <w:spacing w:after="0"/>
    </w:pPr>
  </w:style>
  <w:style w:type="table" w:customStyle="1" w:styleId="LightGrid-Accent11">
    <w:name w:val="Light Grid - Accent 11"/>
    <w:basedOn w:val="TableNormal"/>
    <w:uiPriority w:val="62"/>
    <w:rsid w:val="00A943EA"/>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TableGrid2">
    <w:name w:val="Table Grid2"/>
    <w:basedOn w:val="TableNormal"/>
    <w:next w:val="TableGrid"/>
    <w:uiPriority w:val="59"/>
    <w:rsid w:val="009C1C08"/>
    <w:rPr>
      <w:rFonts w:eastAsia="MS Mincho"/>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053729"/>
    <w:rPr>
      <w:rFonts w:eastAsia="Times New Roman"/>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rsid w:val="007332E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1CaracterCharChar">
    <w:name w:val="Char Char Char Char Char Char Char Char Char Char Char Char Char Char1 Caracter Char Char"/>
    <w:basedOn w:val="Normal"/>
    <w:rsid w:val="007332EF"/>
    <w:pPr>
      <w:spacing w:before="0" w:after="0"/>
      <w:jc w:val="left"/>
    </w:pPr>
    <w:rPr>
      <w:rFonts w:ascii="Times New Roman" w:eastAsia="Times New Roman" w:hAnsi="Times New Roman"/>
      <w:sz w:val="24"/>
      <w:szCs w:val="24"/>
      <w:lang w:val="pl-PL" w:eastAsia="pl-PL"/>
    </w:rPr>
  </w:style>
  <w:style w:type="numbering" w:customStyle="1" w:styleId="Aucuneliste1">
    <w:name w:val="Aucune liste1"/>
    <w:next w:val="NoList"/>
    <w:uiPriority w:val="99"/>
    <w:semiHidden/>
    <w:unhideWhenUsed/>
    <w:rsid w:val="00043E36"/>
  </w:style>
  <w:style w:type="character" w:customStyle="1" w:styleId="Cmsor1Char">
    <w:name w:val="Címsor 1 Char"/>
    <w:rsid w:val="00043E36"/>
    <w:rPr>
      <w:rFonts w:cs="font228"/>
      <w:b/>
      <w:bCs/>
      <w:color w:val="FFFFFF"/>
      <w:sz w:val="36"/>
      <w:szCs w:val="28"/>
      <w:shd w:val="clear" w:color="auto" w:fill="4F6228"/>
      <w:lang w:val="en-US"/>
    </w:rPr>
  </w:style>
  <w:style w:type="character" w:customStyle="1" w:styleId="Cmsor2Char">
    <w:name w:val="Címsor 2 Char"/>
    <w:rsid w:val="00043E36"/>
    <w:rPr>
      <w:rFonts w:cs="font228"/>
      <w:b/>
      <w:bCs/>
      <w:color w:val="365F91"/>
      <w:sz w:val="28"/>
      <w:szCs w:val="26"/>
      <w:lang w:val="en-US"/>
    </w:rPr>
  </w:style>
  <w:style w:type="character" w:customStyle="1" w:styleId="Cmsor3Char">
    <w:name w:val="Címsor 3 Char"/>
    <w:rsid w:val="00043E36"/>
    <w:rPr>
      <w:rFonts w:cs="font228"/>
      <w:b/>
      <w:bCs/>
      <w:color w:val="4F81BD"/>
      <w:sz w:val="24"/>
      <w:lang w:val="en-US"/>
    </w:rPr>
  </w:style>
  <w:style w:type="character" w:customStyle="1" w:styleId="Cmsor4Char">
    <w:name w:val="Címsor 4 Char"/>
    <w:rsid w:val="00043E36"/>
    <w:rPr>
      <w:rFonts w:cs="font228"/>
      <w:bCs/>
      <w:i/>
      <w:iCs/>
      <w:sz w:val="18"/>
      <w:lang w:val="en-US"/>
    </w:rPr>
  </w:style>
  <w:style w:type="character" w:customStyle="1" w:styleId="Cmsor5Char">
    <w:name w:val="Címsor 5 Char"/>
    <w:rsid w:val="00043E36"/>
    <w:rPr>
      <w:rFonts w:cs="font228"/>
      <w:b/>
      <w:color w:val="0070C0"/>
      <w:sz w:val="24"/>
      <w:lang w:val="en-US"/>
    </w:rPr>
  </w:style>
  <w:style w:type="character" w:customStyle="1" w:styleId="Cmsor6Char">
    <w:name w:val="Címsor 6 Char"/>
    <w:rsid w:val="00043E36"/>
    <w:rPr>
      <w:rFonts w:ascii="Cambria" w:hAnsi="Cambria" w:cs="font228"/>
      <w:i/>
      <w:iCs/>
      <w:color w:val="243F60"/>
      <w:lang w:val="en-US"/>
    </w:rPr>
  </w:style>
  <w:style w:type="character" w:customStyle="1" w:styleId="CmChar">
    <w:name w:val="Cím Char"/>
    <w:rsid w:val="00043E36"/>
    <w:rPr>
      <w:rFonts w:cs="font228"/>
      <w:b/>
      <w:color w:val="365F91"/>
      <w:spacing w:val="5"/>
      <w:kern w:val="1"/>
      <w:sz w:val="72"/>
      <w:szCs w:val="52"/>
      <w:lang w:val="en-US"/>
    </w:rPr>
  </w:style>
  <w:style w:type="character" w:customStyle="1" w:styleId="AlcmChar">
    <w:name w:val="Alcím Char"/>
    <w:rsid w:val="00043E36"/>
    <w:rPr>
      <w:rFonts w:cs="font228"/>
      <w:i/>
      <w:iCs/>
      <w:color w:val="4F81BD"/>
      <w:spacing w:val="15"/>
      <w:sz w:val="44"/>
      <w:szCs w:val="24"/>
      <w:lang w:val="en-US"/>
    </w:rPr>
  </w:style>
  <w:style w:type="character" w:customStyle="1" w:styleId="Marquedecommentaire1">
    <w:name w:val="Marque de commentaire1"/>
    <w:rsid w:val="00043E36"/>
    <w:rPr>
      <w:sz w:val="16"/>
      <w:szCs w:val="16"/>
    </w:rPr>
  </w:style>
  <w:style w:type="character" w:customStyle="1" w:styleId="JegyzetszvegChar">
    <w:name w:val="Jegyzetszöveg Char"/>
    <w:rsid w:val="00043E36"/>
    <w:rPr>
      <w:sz w:val="20"/>
      <w:szCs w:val="20"/>
      <w:lang w:val="en-US"/>
    </w:rPr>
  </w:style>
  <w:style w:type="character" w:customStyle="1" w:styleId="MegjegyzstrgyaChar">
    <w:name w:val="Megjegyzés tárgya Char"/>
    <w:rsid w:val="00043E36"/>
    <w:rPr>
      <w:b/>
      <w:bCs/>
      <w:sz w:val="20"/>
      <w:szCs w:val="20"/>
      <w:lang w:val="en-US"/>
    </w:rPr>
  </w:style>
  <w:style w:type="character" w:customStyle="1" w:styleId="BuborkszvegChar">
    <w:name w:val="Buborékszöveg Char"/>
    <w:rsid w:val="00043E36"/>
    <w:rPr>
      <w:rFonts w:ascii="Tahoma" w:hAnsi="Tahoma" w:cs="Tahoma"/>
      <w:sz w:val="16"/>
      <w:szCs w:val="16"/>
      <w:lang w:val="en-US"/>
    </w:rPr>
  </w:style>
  <w:style w:type="character" w:customStyle="1" w:styleId="LbjegyzetszvegChar">
    <w:name w:val="Lábjegyzetszöveg Char"/>
    <w:rsid w:val="00043E36"/>
    <w:rPr>
      <w:i/>
      <w:sz w:val="18"/>
      <w:szCs w:val="24"/>
      <w:lang w:val="en-US"/>
    </w:rPr>
  </w:style>
  <w:style w:type="character" w:customStyle="1" w:styleId="Appelnotedebasdep1">
    <w:name w:val="Appel note de bas de p.1"/>
    <w:rsid w:val="00043E36"/>
    <w:rPr>
      <w:vertAlign w:val="superscript"/>
    </w:rPr>
  </w:style>
  <w:style w:type="character" w:customStyle="1" w:styleId="lfejChar">
    <w:name w:val="Élőfej Char"/>
    <w:rsid w:val="00043E36"/>
    <w:rPr>
      <w:lang w:val="en-US"/>
    </w:rPr>
  </w:style>
  <w:style w:type="character" w:customStyle="1" w:styleId="llbChar">
    <w:name w:val="Élőláb Char"/>
    <w:rsid w:val="00043E36"/>
    <w:rPr>
      <w:lang w:val="en-US"/>
    </w:rPr>
  </w:style>
  <w:style w:type="character" w:customStyle="1" w:styleId="SzvegtrzsChar">
    <w:name w:val="Szövegtörzs Char"/>
    <w:rsid w:val="00043E36"/>
    <w:rPr>
      <w:rFonts w:ascii="Times New Roman" w:eastAsia="Times New Roman" w:hAnsi="Times New Roman" w:cs="Calibri"/>
      <w:sz w:val="24"/>
      <w:szCs w:val="24"/>
      <w:lang w:val="ro-RO" w:eastAsia="ro-RO"/>
    </w:rPr>
  </w:style>
  <w:style w:type="character" w:customStyle="1" w:styleId="Szvegtrzs2Char">
    <w:name w:val="Szövegtörzs 2 Char"/>
    <w:rsid w:val="00043E36"/>
    <w:rPr>
      <w:rFonts w:ascii="Times New Roman" w:eastAsia="Times New Roman" w:hAnsi="Times New Roman" w:cs="Calibri"/>
      <w:b/>
      <w:bCs/>
      <w:sz w:val="24"/>
      <w:szCs w:val="24"/>
      <w:lang w:val="ro-RO" w:eastAsia="ro-RO"/>
    </w:rPr>
  </w:style>
  <w:style w:type="character" w:customStyle="1" w:styleId="Szvegtrzs3Char">
    <w:name w:val="Szövegtörzs 3 Char"/>
    <w:rsid w:val="00043E36"/>
    <w:rPr>
      <w:sz w:val="16"/>
      <w:szCs w:val="16"/>
      <w:lang w:val="en-US"/>
    </w:rPr>
  </w:style>
  <w:style w:type="character" w:customStyle="1" w:styleId="SzvegtrzsbehzssalChar">
    <w:name w:val="Szövegtörzs behúzással Char"/>
    <w:rsid w:val="00043E36"/>
    <w:rPr>
      <w:lang w:val="en-US"/>
    </w:rPr>
  </w:style>
  <w:style w:type="character" w:customStyle="1" w:styleId="Emphaseintense1">
    <w:name w:val="Emphase intense1"/>
    <w:rsid w:val="00043E36"/>
    <w:rPr>
      <w:b/>
      <w:bCs/>
      <w:i/>
      <w:iCs/>
      <w:color w:val="4F81BD"/>
    </w:rPr>
  </w:style>
  <w:style w:type="character" w:customStyle="1" w:styleId="Emphaseple1">
    <w:name w:val="Emphase pâle1"/>
    <w:rsid w:val="00043E36"/>
    <w:rPr>
      <w:rFonts w:ascii="Calibri" w:hAnsi="Calibri"/>
      <w:i/>
      <w:iCs/>
      <w:color w:val="00000A"/>
      <w:sz w:val="18"/>
    </w:rPr>
  </w:style>
  <w:style w:type="character" w:styleId="FollowedHyperlink">
    <w:name w:val="FollowedHyperlink"/>
    <w:semiHidden/>
    <w:rsid w:val="00043E36"/>
    <w:rPr>
      <w:color w:val="800080"/>
      <w:u w:val="single"/>
    </w:rPr>
  </w:style>
  <w:style w:type="character" w:customStyle="1" w:styleId="ListLabel1">
    <w:name w:val="ListLabel 1"/>
    <w:rsid w:val="00043E36"/>
    <w:rPr>
      <w:b/>
      <w:i w:val="0"/>
      <w:color w:val="FFFFFF"/>
      <w:sz w:val="36"/>
      <w:lang w:val="en-GB"/>
    </w:rPr>
  </w:style>
  <w:style w:type="character" w:customStyle="1" w:styleId="ListLabel2">
    <w:name w:val="ListLabel 2"/>
    <w:rsid w:val="00043E36"/>
    <w:rPr>
      <w:b/>
      <w:i w:val="0"/>
      <w:color w:val="365F91"/>
      <w:sz w:val="28"/>
    </w:rPr>
  </w:style>
  <w:style w:type="character" w:customStyle="1" w:styleId="ListLabel3">
    <w:name w:val="ListLabel 3"/>
    <w:rsid w:val="00043E36"/>
    <w:rPr>
      <w:b/>
      <w:i w:val="0"/>
      <w:color w:val="0070C0"/>
      <w:sz w:val="24"/>
    </w:rPr>
  </w:style>
  <w:style w:type="character" w:customStyle="1" w:styleId="ListLabel4">
    <w:name w:val="ListLabel 4"/>
    <w:rsid w:val="00043E36"/>
    <w:rPr>
      <w:rFonts w:cs="Courier New"/>
    </w:rPr>
  </w:style>
  <w:style w:type="character" w:styleId="EndnoteReference">
    <w:name w:val="endnote reference"/>
    <w:semiHidden/>
    <w:rsid w:val="00043E36"/>
    <w:rPr>
      <w:vertAlign w:val="superscript"/>
    </w:rPr>
  </w:style>
  <w:style w:type="character" w:customStyle="1" w:styleId="EndnoteCharacters">
    <w:name w:val="Endnote Characters"/>
    <w:rsid w:val="00043E36"/>
  </w:style>
  <w:style w:type="paragraph" w:customStyle="1" w:styleId="Heading">
    <w:name w:val="Heading"/>
    <w:basedOn w:val="Normal"/>
    <w:next w:val="BodyText"/>
    <w:rsid w:val="00043E36"/>
    <w:pPr>
      <w:keepNext/>
      <w:suppressAutoHyphens/>
      <w:spacing w:before="240" w:line="100" w:lineRule="atLeast"/>
    </w:pPr>
    <w:rPr>
      <w:rFonts w:ascii="Arial" w:eastAsia="Arial" w:hAnsi="Arial" w:cs="Lohit Hindi"/>
      <w:kern w:val="1"/>
      <w:sz w:val="28"/>
      <w:szCs w:val="28"/>
    </w:rPr>
  </w:style>
  <w:style w:type="paragraph" w:styleId="List">
    <w:name w:val="List"/>
    <w:basedOn w:val="BodyText"/>
    <w:semiHidden/>
    <w:rsid w:val="00043E36"/>
    <w:pPr>
      <w:spacing w:line="100" w:lineRule="atLeast"/>
    </w:pPr>
    <w:rPr>
      <w:rFonts w:cs="Lohit Hindi"/>
      <w:snapToGrid/>
      <w:kern w:val="1"/>
    </w:rPr>
  </w:style>
  <w:style w:type="paragraph" w:customStyle="1" w:styleId="ListParagraph2">
    <w:name w:val="List Paragraph2"/>
    <w:basedOn w:val="Normal"/>
    <w:rsid w:val="00043E36"/>
    <w:pPr>
      <w:numPr>
        <w:numId w:val="14"/>
      </w:numPr>
      <w:suppressAutoHyphens/>
      <w:spacing w:line="100" w:lineRule="atLeast"/>
    </w:pPr>
    <w:rPr>
      <w:rFonts w:eastAsia="Times New Roman"/>
      <w:kern w:val="1"/>
      <w:lang w:val="ro-RO" w:eastAsia="en-GB"/>
    </w:rPr>
  </w:style>
  <w:style w:type="paragraph" w:customStyle="1" w:styleId="Commentaire1">
    <w:name w:val="Commentaire1"/>
    <w:basedOn w:val="Normal"/>
    <w:rsid w:val="00043E36"/>
    <w:pPr>
      <w:suppressAutoHyphens/>
      <w:spacing w:line="100" w:lineRule="atLeast"/>
    </w:pPr>
    <w:rPr>
      <w:rFonts w:eastAsia="Arial" w:cs="Calibri"/>
      <w:kern w:val="1"/>
      <w:sz w:val="20"/>
      <w:szCs w:val="20"/>
    </w:rPr>
  </w:style>
  <w:style w:type="paragraph" w:customStyle="1" w:styleId="Objetducommentaire1">
    <w:name w:val="Objet du commentaire1"/>
    <w:basedOn w:val="Commentaire1"/>
    <w:rsid w:val="00043E36"/>
    <w:rPr>
      <w:b/>
      <w:bCs/>
    </w:rPr>
  </w:style>
  <w:style w:type="paragraph" w:customStyle="1" w:styleId="BalloonText1">
    <w:name w:val="Balloon Text1"/>
    <w:basedOn w:val="Normal"/>
    <w:rsid w:val="00043E36"/>
    <w:pPr>
      <w:suppressAutoHyphens/>
      <w:spacing w:after="0" w:line="100" w:lineRule="atLeast"/>
    </w:pPr>
    <w:rPr>
      <w:rFonts w:ascii="Tahoma" w:eastAsia="Arial" w:hAnsi="Tahoma" w:cs="Tahoma"/>
      <w:kern w:val="1"/>
      <w:sz w:val="16"/>
      <w:szCs w:val="16"/>
    </w:rPr>
  </w:style>
  <w:style w:type="paragraph" w:styleId="TOAHeading">
    <w:name w:val="toa heading"/>
    <w:basedOn w:val="Heading1"/>
    <w:semiHidden/>
    <w:rsid w:val="00043E36"/>
    <w:pPr>
      <w:pBdr>
        <w:top w:val="single" w:sz="4" w:space="1" w:color="808000"/>
        <w:left w:val="single" w:sz="4" w:space="4" w:color="808000"/>
        <w:bottom w:val="single" w:sz="4" w:space="1" w:color="808000"/>
        <w:right w:val="single" w:sz="4" w:space="4" w:color="808000"/>
      </w:pBdr>
      <w:tabs>
        <w:tab w:val="num" w:pos="0"/>
      </w:tabs>
      <w:suppressAutoHyphens/>
      <w:spacing w:line="100" w:lineRule="atLeast"/>
    </w:pPr>
    <w:rPr>
      <w:rFonts w:eastAsia="Arial" w:cs="font228"/>
      <w:kern w:val="1"/>
      <w:lang w:eastAsia="ja-JP"/>
    </w:rPr>
  </w:style>
  <w:style w:type="paragraph" w:customStyle="1" w:styleId="Notedebasdepage1">
    <w:name w:val="Note de bas de page1"/>
    <w:basedOn w:val="Normal"/>
    <w:rsid w:val="00043E36"/>
    <w:pPr>
      <w:suppressAutoHyphens/>
      <w:spacing w:before="0" w:after="0" w:line="100" w:lineRule="atLeast"/>
    </w:pPr>
    <w:rPr>
      <w:rFonts w:eastAsia="Arial" w:cs="Calibri"/>
      <w:i/>
      <w:kern w:val="1"/>
      <w:sz w:val="18"/>
      <w:szCs w:val="24"/>
    </w:rPr>
  </w:style>
  <w:style w:type="paragraph" w:customStyle="1" w:styleId="Revision1">
    <w:name w:val="Revision1"/>
    <w:rsid w:val="00043E36"/>
    <w:pPr>
      <w:suppressAutoHyphens/>
      <w:spacing w:line="100" w:lineRule="atLeast"/>
    </w:pPr>
    <w:rPr>
      <w:rFonts w:eastAsia="Arial" w:cs="Calibri"/>
      <w:kern w:val="1"/>
      <w:sz w:val="22"/>
      <w:szCs w:val="22"/>
      <w:lang w:val="en-US" w:eastAsia="en-US"/>
    </w:rPr>
  </w:style>
  <w:style w:type="paragraph" w:customStyle="1" w:styleId="Lgende1">
    <w:name w:val="Légende1"/>
    <w:basedOn w:val="Normal"/>
    <w:rsid w:val="00043E36"/>
    <w:pPr>
      <w:suppressAutoHyphens/>
      <w:spacing w:before="0" w:after="0" w:line="100" w:lineRule="atLeast"/>
      <w:jc w:val="center"/>
    </w:pPr>
    <w:rPr>
      <w:rFonts w:eastAsia="Times New Roman" w:cs="Calibri"/>
      <w:i/>
      <w:iCs/>
      <w:color w:val="0070C0"/>
      <w:kern w:val="1"/>
      <w:sz w:val="20"/>
      <w:szCs w:val="24"/>
      <w:lang w:val="ro-RO" w:eastAsia="ro-RO"/>
    </w:rPr>
  </w:style>
  <w:style w:type="paragraph" w:customStyle="1" w:styleId="Tabledesillustrations1">
    <w:name w:val="Table des illustrations1"/>
    <w:basedOn w:val="Normal"/>
    <w:rsid w:val="00043E36"/>
    <w:pPr>
      <w:suppressAutoHyphens/>
      <w:spacing w:after="0" w:line="100" w:lineRule="atLeast"/>
    </w:pPr>
    <w:rPr>
      <w:rFonts w:eastAsia="Arial" w:cs="Calibri"/>
      <w:kern w:val="1"/>
    </w:rPr>
  </w:style>
  <w:style w:type="paragraph" w:customStyle="1" w:styleId="FrameContents">
    <w:name w:val="Frame Contents"/>
    <w:basedOn w:val="BodyText"/>
    <w:rsid w:val="00043E36"/>
    <w:pPr>
      <w:spacing w:line="100" w:lineRule="atLeast"/>
    </w:pPr>
    <w:rPr>
      <w:snapToGrid/>
      <w:kern w:val="1"/>
    </w:rPr>
  </w:style>
  <w:style w:type="paragraph" w:styleId="TOC4">
    <w:name w:val="toc 4"/>
    <w:basedOn w:val="Normal"/>
    <w:next w:val="Normal"/>
    <w:autoRedefine/>
    <w:uiPriority w:val="39"/>
    <w:unhideWhenUsed/>
    <w:rsid w:val="00AA4C82"/>
    <w:pPr>
      <w:spacing w:before="0" w:after="100" w:line="276" w:lineRule="auto"/>
      <w:ind w:left="660"/>
      <w:jc w:val="left"/>
    </w:pPr>
    <w:rPr>
      <w:rFonts w:asciiTheme="minorHAnsi" w:eastAsiaTheme="minorEastAsia" w:hAnsiTheme="minorHAnsi" w:cstheme="minorBidi"/>
      <w:lang w:val="fr-FR" w:eastAsia="fr-FR"/>
    </w:rPr>
  </w:style>
  <w:style w:type="paragraph" w:styleId="TOC5">
    <w:name w:val="toc 5"/>
    <w:basedOn w:val="Normal"/>
    <w:next w:val="Normal"/>
    <w:autoRedefine/>
    <w:uiPriority w:val="39"/>
    <w:unhideWhenUsed/>
    <w:rsid w:val="00AA4C82"/>
    <w:pPr>
      <w:spacing w:before="0" w:after="100" w:line="276" w:lineRule="auto"/>
      <w:ind w:left="880"/>
      <w:jc w:val="left"/>
    </w:pPr>
    <w:rPr>
      <w:rFonts w:asciiTheme="minorHAnsi" w:eastAsiaTheme="minorEastAsia" w:hAnsiTheme="minorHAnsi" w:cstheme="minorBidi"/>
      <w:lang w:val="fr-FR" w:eastAsia="fr-FR"/>
    </w:rPr>
  </w:style>
  <w:style w:type="paragraph" w:styleId="TOC6">
    <w:name w:val="toc 6"/>
    <w:basedOn w:val="Normal"/>
    <w:next w:val="Normal"/>
    <w:autoRedefine/>
    <w:uiPriority w:val="39"/>
    <w:unhideWhenUsed/>
    <w:rsid w:val="00AA4C82"/>
    <w:pPr>
      <w:spacing w:before="0" w:after="100" w:line="276" w:lineRule="auto"/>
      <w:ind w:left="1100"/>
      <w:jc w:val="left"/>
    </w:pPr>
    <w:rPr>
      <w:rFonts w:asciiTheme="minorHAnsi" w:eastAsiaTheme="minorEastAsia" w:hAnsiTheme="minorHAnsi" w:cstheme="minorBidi"/>
      <w:lang w:val="fr-FR" w:eastAsia="fr-FR"/>
    </w:rPr>
  </w:style>
  <w:style w:type="paragraph" w:styleId="TOC7">
    <w:name w:val="toc 7"/>
    <w:basedOn w:val="Normal"/>
    <w:next w:val="Normal"/>
    <w:autoRedefine/>
    <w:uiPriority w:val="39"/>
    <w:unhideWhenUsed/>
    <w:rsid w:val="00AA4C82"/>
    <w:pPr>
      <w:spacing w:before="0" w:after="100" w:line="276" w:lineRule="auto"/>
      <w:ind w:left="1320"/>
      <w:jc w:val="left"/>
    </w:pPr>
    <w:rPr>
      <w:rFonts w:asciiTheme="minorHAnsi" w:eastAsiaTheme="minorEastAsia" w:hAnsiTheme="minorHAnsi" w:cstheme="minorBidi"/>
      <w:lang w:val="fr-FR" w:eastAsia="fr-FR"/>
    </w:rPr>
  </w:style>
  <w:style w:type="paragraph" w:styleId="TOC8">
    <w:name w:val="toc 8"/>
    <w:basedOn w:val="Normal"/>
    <w:next w:val="Normal"/>
    <w:autoRedefine/>
    <w:uiPriority w:val="39"/>
    <w:unhideWhenUsed/>
    <w:rsid w:val="00AA4C82"/>
    <w:pPr>
      <w:spacing w:before="0" w:after="100" w:line="276" w:lineRule="auto"/>
      <w:ind w:left="1540"/>
      <w:jc w:val="left"/>
    </w:pPr>
    <w:rPr>
      <w:rFonts w:asciiTheme="minorHAnsi" w:eastAsiaTheme="minorEastAsia" w:hAnsiTheme="minorHAnsi" w:cstheme="minorBidi"/>
      <w:lang w:val="fr-FR" w:eastAsia="fr-FR"/>
    </w:rPr>
  </w:style>
  <w:style w:type="paragraph" w:styleId="TOC9">
    <w:name w:val="toc 9"/>
    <w:basedOn w:val="Normal"/>
    <w:next w:val="Normal"/>
    <w:autoRedefine/>
    <w:uiPriority w:val="39"/>
    <w:unhideWhenUsed/>
    <w:rsid w:val="00AA4C82"/>
    <w:pPr>
      <w:spacing w:before="0" w:after="100" w:line="276" w:lineRule="auto"/>
      <w:ind w:left="1760"/>
      <w:jc w:val="left"/>
    </w:pPr>
    <w:rPr>
      <w:rFonts w:asciiTheme="minorHAnsi" w:eastAsiaTheme="minorEastAsia" w:hAnsiTheme="minorHAnsi" w:cstheme="minorBidi"/>
      <w:lang w:val="fr-FR" w:eastAsia="fr-FR"/>
    </w:rPr>
  </w:style>
  <w:style w:type="paragraph" w:customStyle="1" w:styleId="xl24">
    <w:name w:val="xl24"/>
    <w:basedOn w:val="Normal"/>
    <w:rsid w:val="005D1086"/>
    <w:pPr>
      <w:pBdr>
        <w:left w:val="single" w:sz="12" w:space="0" w:color="auto"/>
        <w:bottom w:val="single" w:sz="4" w:space="0" w:color="auto"/>
        <w:right w:val="single" w:sz="4" w:space="0" w:color="auto"/>
      </w:pBdr>
      <w:spacing w:before="100" w:beforeAutospacing="1" w:after="100" w:afterAutospacing="1"/>
      <w:jc w:val="left"/>
    </w:pPr>
    <w:rPr>
      <w:rFonts w:ascii="Arial" w:eastAsia="Arial Unicode MS" w:hAnsi="Arial" w:cs="Arial"/>
      <w:lang w:val="en-GB"/>
    </w:rPr>
  </w:style>
  <w:style w:type="paragraph" w:styleId="PlainText">
    <w:name w:val="Plain Text"/>
    <w:basedOn w:val="Normal"/>
    <w:link w:val="PlainTextChar"/>
    <w:uiPriority w:val="99"/>
    <w:unhideWhenUsed/>
    <w:rsid w:val="0096607B"/>
    <w:pPr>
      <w:spacing w:before="0" w:after="0"/>
      <w:jc w:val="left"/>
    </w:pPr>
    <w:rPr>
      <w:rFonts w:eastAsiaTheme="minorHAnsi" w:cstheme="minorBidi"/>
      <w:szCs w:val="21"/>
      <w:lang w:val="fr-FR"/>
    </w:rPr>
  </w:style>
  <w:style w:type="character" w:customStyle="1" w:styleId="PlainTextChar">
    <w:name w:val="Plain Text Char"/>
    <w:basedOn w:val="DefaultParagraphFont"/>
    <w:link w:val="PlainText"/>
    <w:uiPriority w:val="99"/>
    <w:rsid w:val="0096607B"/>
    <w:rPr>
      <w:rFonts w:eastAsiaTheme="minorHAnsi" w:cstheme="minorBidi"/>
      <w:sz w:val="22"/>
      <w:szCs w:val="21"/>
      <w:lang w:eastAsia="en-US"/>
    </w:rPr>
  </w:style>
  <w:style w:type="table" w:styleId="MediumGrid1-Accent5">
    <w:name w:val="Medium Grid 1 Accent 5"/>
    <w:basedOn w:val="TableNormal"/>
    <w:uiPriority w:val="67"/>
    <w:rsid w:val="00A570DF"/>
    <w:rPr>
      <w:rFonts w:asciiTheme="minorHAnsi" w:eastAsiaTheme="minorHAnsi" w:hAnsiTheme="minorHAnsi" w:cstheme="minorBidi"/>
      <w:sz w:val="22"/>
      <w:szCs w:val="22"/>
      <w:lang w:val="en-US"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377620">
      <w:bodyDiv w:val="1"/>
      <w:marLeft w:val="0"/>
      <w:marRight w:val="0"/>
      <w:marTop w:val="0"/>
      <w:marBottom w:val="0"/>
      <w:divBdr>
        <w:top w:val="none" w:sz="0" w:space="0" w:color="auto"/>
        <w:left w:val="none" w:sz="0" w:space="0" w:color="auto"/>
        <w:bottom w:val="none" w:sz="0" w:space="0" w:color="auto"/>
        <w:right w:val="none" w:sz="0" w:space="0" w:color="auto"/>
      </w:divBdr>
    </w:div>
    <w:div w:id="194513096">
      <w:bodyDiv w:val="1"/>
      <w:marLeft w:val="0"/>
      <w:marRight w:val="0"/>
      <w:marTop w:val="0"/>
      <w:marBottom w:val="0"/>
      <w:divBdr>
        <w:top w:val="none" w:sz="0" w:space="0" w:color="auto"/>
        <w:left w:val="none" w:sz="0" w:space="0" w:color="auto"/>
        <w:bottom w:val="none" w:sz="0" w:space="0" w:color="auto"/>
        <w:right w:val="none" w:sz="0" w:space="0" w:color="auto"/>
      </w:divBdr>
    </w:div>
    <w:div w:id="271937123">
      <w:bodyDiv w:val="1"/>
      <w:marLeft w:val="0"/>
      <w:marRight w:val="0"/>
      <w:marTop w:val="0"/>
      <w:marBottom w:val="0"/>
      <w:divBdr>
        <w:top w:val="none" w:sz="0" w:space="0" w:color="auto"/>
        <w:left w:val="none" w:sz="0" w:space="0" w:color="auto"/>
        <w:bottom w:val="none" w:sz="0" w:space="0" w:color="auto"/>
        <w:right w:val="none" w:sz="0" w:space="0" w:color="auto"/>
      </w:divBdr>
    </w:div>
    <w:div w:id="286278837">
      <w:bodyDiv w:val="1"/>
      <w:marLeft w:val="0"/>
      <w:marRight w:val="0"/>
      <w:marTop w:val="0"/>
      <w:marBottom w:val="0"/>
      <w:divBdr>
        <w:top w:val="none" w:sz="0" w:space="0" w:color="auto"/>
        <w:left w:val="none" w:sz="0" w:space="0" w:color="auto"/>
        <w:bottom w:val="none" w:sz="0" w:space="0" w:color="auto"/>
        <w:right w:val="none" w:sz="0" w:space="0" w:color="auto"/>
      </w:divBdr>
    </w:div>
    <w:div w:id="337120650">
      <w:bodyDiv w:val="1"/>
      <w:marLeft w:val="0"/>
      <w:marRight w:val="0"/>
      <w:marTop w:val="0"/>
      <w:marBottom w:val="0"/>
      <w:divBdr>
        <w:top w:val="none" w:sz="0" w:space="0" w:color="auto"/>
        <w:left w:val="none" w:sz="0" w:space="0" w:color="auto"/>
        <w:bottom w:val="none" w:sz="0" w:space="0" w:color="auto"/>
        <w:right w:val="none" w:sz="0" w:space="0" w:color="auto"/>
      </w:divBdr>
    </w:div>
    <w:div w:id="348651667">
      <w:bodyDiv w:val="1"/>
      <w:marLeft w:val="0"/>
      <w:marRight w:val="0"/>
      <w:marTop w:val="0"/>
      <w:marBottom w:val="0"/>
      <w:divBdr>
        <w:top w:val="none" w:sz="0" w:space="0" w:color="auto"/>
        <w:left w:val="none" w:sz="0" w:space="0" w:color="auto"/>
        <w:bottom w:val="none" w:sz="0" w:space="0" w:color="auto"/>
        <w:right w:val="none" w:sz="0" w:space="0" w:color="auto"/>
      </w:divBdr>
      <w:divsChild>
        <w:div w:id="227419467">
          <w:marLeft w:val="274"/>
          <w:marRight w:val="0"/>
          <w:marTop w:val="0"/>
          <w:marBottom w:val="0"/>
          <w:divBdr>
            <w:top w:val="none" w:sz="0" w:space="0" w:color="auto"/>
            <w:left w:val="none" w:sz="0" w:space="0" w:color="auto"/>
            <w:bottom w:val="none" w:sz="0" w:space="0" w:color="auto"/>
            <w:right w:val="none" w:sz="0" w:space="0" w:color="auto"/>
          </w:divBdr>
        </w:div>
        <w:div w:id="269314765">
          <w:marLeft w:val="274"/>
          <w:marRight w:val="0"/>
          <w:marTop w:val="0"/>
          <w:marBottom w:val="0"/>
          <w:divBdr>
            <w:top w:val="none" w:sz="0" w:space="0" w:color="auto"/>
            <w:left w:val="none" w:sz="0" w:space="0" w:color="auto"/>
            <w:bottom w:val="none" w:sz="0" w:space="0" w:color="auto"/>
            <w:right w:val="none" w:sz="0" w:space="0" w:color="auto"/>
          </w:divBdr>
        </w:div>
        <w:div w:id="367996800">
          <w:marLeft w:val="274"/>
          <w:marRight w:val="0"/>
          <w:marTop w:val="0"/>
          <w:marBottom w:val="0"/>
          <w:divBdr>
            <w:top w:val="none" w:sz="0" w:space="0" w:color="auto"/>
            <w:left w:val="none" w:sz="0" w:space="0" w:color="auto"/>
            <w:bottom w:val="none" w:sz="0" w:space="0" w:color="auto"/>
            <w:right w:val="none" w:sz="0" w:space="0" w:color="auto"/>
          </w:divBdr>
        </w:div>
        <w:div w:id="469708713">
          <w:marLeft w:val="274"/>
          <w:marRight w:val="0"/>
          <w:marTop w:val="0"/>
          <w:marBottom w:val="0"/>
          <w:divBdr>
            <w:top w:val="none" w:sz="0" w:space="0" w:color="auto"/>
            <w:left w:val="none" w:sz="0" w:space="0" w:color="auto"/>
            <w:bottom w:val="none" w:sz="0" w:space="0" w:color="auto"/>
            <w:right w:val="none" w:sz="0" w:space="0" w:color="auto"/>
          </w:divBdr>
        </w:div>
        <w:div w:id="669066313">
          <w:marLeft w:val="274"/>
          <w:marRight w:val="0"/>
          <w:marTop w:val="0"/>
          <w:marBottom w:val="0"/>
          <w:divBdr>
            <w:top w:val="none" w:sz="0" w:space="0" w:color="auto"/>
            <w:left w:val="none" w:sz="0" w:space="0" w:color="auto"/>
            <w:bottom w:val="none" w:sz="0" w:space="0" w:color="auto"/>
            <w:right w:val="none" w:sz="0" w:space="0" w:color="auto"/>
          </w:divBdr>
        </w:div>
        <w:div w:id="690498369">
          <w:marLeft w:val="274"/>
          <w:marRight w:val="0"/>
          <w:marTop w:val="0"/>
          <w:marBottom w:val="0"/>
          <w:divBdr>
            <w:top w:val="none" w:sz="0" w:space="0" w:color="auto"/>
            <w:left w:val="none" w:sz="0" w:space="0" w:color="auto"/>
            <w:bottom w:val="none" w:sz="0" w:space="0" w:color="auto"/>
            <w:right w:val="none" w:sz="0" w:space="0" w:color="auto"/>
          </w:divBdr>
        </w:div>
        <w:div w:id="773205598">
          <w:marLeft w:val="274"/>
          <w:marRight w:val="0"/>
          <w:marTop w:val="0"/>
          <w:marBottom w:val="0"/>
          <w:divBdr>
            <w:top w:val="none" w:sz="0" w:space="0" w:color="auto"/>
            <w:left w:val="none" w:sz="0" w:space="0" w:color="auto"/>
            <w:bottom w:val="none" w:sz="0" w:space="0" w:color="auto"/>
            <w:right w:val="none" w:sz="0" w:space="0" w:color="auto"/>
          </w:divBdr>
        </w:div>
        <w:div w:id="797339775">
          <w:marLeft w:val="274"/>
          <w:marRight w:val="0"/>
          <w:marTop w:val="0"/>
          <w:marBottom w:val="0"/>
          <w:divBdr>
            <w:top w:val="none" w:sz="0" w:space="0" w:color="auto"/>
            <w:left w:val="none" w:sz="0" w:space="0" w:color="auto"/>
            <w:bottom w:val="none" w:sz="0" w:space="0" w:color="auto"/>
            <w:right w:val="none" w:sz="0" w:space="0" w:color="auto"/>
          </w:divBdr>
        </w:div>
        <w:div w:id="826749789">
          <w:marLeft w:val="274"/>
          <w:marRight w:val="0"/>
          <w:marTop w:val="0"/>
          <w:marBottom w:val="0"/>
          <w:divBdr>
            <w:top w:val="none" w:sz="0" w:space="0" w:color="auto"/>
            <w:left w:val="none" w:sz="0" w:space="0" w:color="auto"/>
            <w:bottom w:val="none" w:sz="0" w:space="0" w:color="auto"/>
            <w:right w:val="none" w:sz="0" w:space="0" w:color="auto"/>
          </w:divBdr>
        </w:div>
        <w:div w:id="865748874">
          <w:marLeft w:val="274"/>
          <w:marRight w:val="0"/>
          <w:marTop w:val="0"/>
          <w:marBottom w:val="0"/>
          <w:divBdr>
            <w:top w:val="none" w:sz="0" w:space="0" w:color="auto"/>
            <w:left w:val="none" w:sz="0" w:space="0" w:color="auto"/>
            <w:bottom w:val="none" w:sz="0" w:space="0" w:color="auto"/>
            <w:right w:val="none" w:sz="0" w:space="0" w:color="auto"/>
          </w:divBdr>
        </w:div>
        <w:div w:id="1008093180">
          <w:marLeft w:val="274"/>
          <w:marRight w:val="0"/>
          <w:marTop w:val="0"/>
          <w:marBottom w:val="0"/>
          <w:divBdr>
            <w:top w:val="none" w:sz="0" w:space="0" w:color="auto"/>
            <w:left w:val="none" w:sz="0" w:space="0" w:color="auto"/>
            <w:bottom w:val="none" w:sz="0" w:space="0" w:color="auto"/>
            <w:right w:val="none" w:sz="0" w:space="0" w:color="auto"/>
          </w:divBdr>
        </w:div>
        <w:div w:id="1075057491">
          <w:marLeft w:val="274"/>
          <w:marRight w:val="0"/>
          <w:marTop w:val="0"/>
          <w:marBottom w:val="0"/>
          <w:divBdr>
            <w:top w:val="none" w:sz="0" w:space="0" w:color="auto"/>
            <w:left w:val="none" w:sz="0" w:space="0" w:color="auto"/>
            <w:bottom w:val="none" w:sz="0" w:space="0" w:color="auto"/>
            <w:right w:val="none" w:sz="0" w:space="0" w:color="auto"/>
          </w:divBdr>
        </w:div>
        <w:div w:id="1154106603">
          <w:marLeft w:val="274"/>
          <w:marRight w:val="0"/>
          <w:marTop w:val="0"/>
          <w:marBottom w:val="0"/>
          <w:divBdr>
            <w:top w:val="none" w:sz="0" w:space="0" w:color="auto"/>
            <w:left w:val="none" w:sz="0" w:space="0" w:color="auto"/>
            <w:bottom w:val="none" w:sz="0" w:space="0" w:color="auto"/>
            <w:right w:val="none" w:sz="0" w:space="0" w:color="auto"/>
          </w:divBdr>
        </w:div>
        <w:div w:id="1236432465">
          <w:marLeft w:val="274"/>
          <w:marRight w:val="0"/>
          <w:marTop w:val="0"/>
          <w:marBottom w:val="0"/>
          <w:divBdr>
            <w:top w:val="none" w:sz="0" w:space="0" w:color="auto"/>
            <w:left w:val="none" w:sz="0" w:space="0" w:color="auto"/>
            <w:bottom w:val="none" w:sz="0" w:space="0" w:color="auto"/>
            <w:right w:val="none" w:sz="0" w:space="0" w:color="auto"/>
          </w:divBdr>
        </w:div>
        <w:div w:id="1264848979">
          <w:marLeft w:val="274"/>
          <w:marRight w:val="0"/>
          <w:marTop w:val="0"/>
          <w:marBottom w:val="0"/>
          <w:divBdr>
            <w:top w:val="none" w:sz="0" w:space="0" w:color="auto"/>
            <w:left w:val="none" w:sz="0" w:space="0" w:color="auto"/>
            <w:bottom w:val="none" w:sz="0" w:space="0" w:color="auto"/>
            <w:right w:val="none" w:sz="0" w:space="0" w:color="auto"/>
          </w:divBdr>
        </w:div>
        <w:div w:id="1285693015">
          <w:marLeft w:val="274"/>
          <w:marRight w:val="0"/>
          <w:marTop w:val="0"/>
          <w:marBottom w:val="0"/>
          <w:divBdr>
            <w:top w:val="none" w:sz="0" w:space="0" w:color="auto"/>
            <w:left w:val="none" w:sz="0" w:space="0" w:color="auto"/>
            <w:bottom w:val="none" w:sz="0" w:space="0" w:color="auto"/>
            <w:right w:val="none" w:sz="0" w:space="0" w:color="auto"/>
          </w:divBdr>
        </w:div>
        <w:div w:id="1505777882">
          <w:marLeft w:val="274"/>
          <w:marRight w:val="0"/>
          <w:marTop w:val="0"/>
          <w:marBottom w:val="0"/>
          <w:divBdr>
            <w:top w:val="none" w:sz="0" w:space="0" w:color="auto"/>
            <w:left w:val="none" w:sz="0" w:space="0" w:color="auto"/>
            <w:bottom w:val="none" w:sz="0" w:space="0" w:color="auto"/>
            <w:right w:val="none" w:sz="0" w:space="0" w:color="auto"/>
          </w:divBdr>
        </w:div>
        <w:div w:id="1585846314">
          <w:marLeft w:val="274"/>
          <w:marRight w:val="0"/>
          <w:marTop w:val="0"/>
          <w:marBottom w:val="0"/>
          <w:divBdr>
            <w:top w:val="none" w:sz="0" w:space="0" w:color="auto"/>
            <w:left w:val="none" w:sz="0" w:space="0" w:color="auto"/>
            <w:bottom w:val="none" w:sz="0" w:space="0" w:color="auto"/>
            <w:right w:val="none" w:sz="0" w:space="0" w:color="auto"/>
          </w:divBdr>
        </w:div>
        <w:div w:id="1654530777">
          <w:marLeft w:val="274"/>
          <w:marRight w:val="0"/>
          <w:marTop w:val="0"/>
          <w:marBottom w:val="0"/>
          <w:divBdr>
            <w:top w:val="none" w:sz="0" w:space="0" w:color="auto"/>
            <w:left w:val="none" w:sz="0" w:space="0" w:color="auto"/>
            <w:bottom w:val="none" w:sz="0" w:space="0" w:color="auto"/>
            <w:right w:val="none" w:sz="0" w:space="0" w:color="auto"/>
          </w:divBdr>
        </w:div>
        <w:div w:id="1680545115">
          <w:marLeft w:val="274"/>
          <w:marRight w:val="0"/>
          <w:marTop w:val="0"/>
          <w:marBottom w:val="0"/>
          <w:divBdr>
            <w:top w:val="none" w:sz="0" w:space="0" w:color="auto"/>
            <w:left w:val="none" w:sz="0" w:space="0" w:color="auto"/>
            <w:bottom w:val="none" w:sz="0" w:space="0" w:color="auto"/>
            <w:right w:val="none" w:sz="0" w:space="0" w:color="auto"/>
          </w:divBdr>
        </w:div>
        <w:div w:id="1743063386">
          <w:marLeft w:val="274"/>
          <w:marRight w:val="0"/>
          <w:marTop w:val="0"/>
          <w:marBottom w:val="0"/>
          <w:divBdr>
            <w:top w:val="none" w:sz="0" w:space="0" w:color="auto"/>
            <w:left w:val="none" w:sz="0" w:space="0" w:color="auto"/>
            <w:bottom w:val="none" w:sz="0" w:space="0" w:color="auto"/>
            <w:right w:val="none" w:sz="0" w:space="0" w:color="auto"/>
          </w:divBdr>
        </w:div>
        <w:div w:id="1753772516">
          <w:marLeft w:val="274"/>
          <w:marRight w:val="0"/>
          <w:marTop w:val="0"/>
          <w:marBottom w:val="0"/>
          <w:divBdr>
            <w:top w:val="none" w:sz="0" w:space="0" w:color="auto"/>
            <w:left w:val="none" w:sz="0" w:space="0" w:color="auto"/>
            <w:bottom w:val="none" w:sz="0" w:space="0" w:color="auto"/>
            <w:right w:val="none" w:sz="0" w:space="0" w:color="auto"/>
          </w:divBdr>
        </w:div>
        <w:div w:id="1807815453">
          <w:marLeft w:val="274"/>
          <w:marRight w:val="0"/>
          <w:marTop w:val="0"/>
          <w:marBottom w:val="0"/>
          <w:divBdr>
            <w:top w:val="none" w:sz="0" w:space="0" w:color="auto"/>
            <w:left w:val="none" w:sz="0" w:space="0" w:color="auto"/>
            <w:bottom w:val="none" w:sz="0" w:space="0" w:color="auto"/>
            <w:right w:val="none" w:sz="0" w:space="0" w:color="auto"/>
          </w:divBdr>
        </w:div>
        <w:div w:id="1940597537">
          <w:marLeft w:val="274"/>
          <w:marRight w:val="0"/>
          <w:marTop w:val="0"/>
          <w:marBottom w:val="0"/>
          <w:divBdr>
            <w:top w:val="none" w:sz="0" w:space="0" w:color="auto"/>
            <w:left w:val="none" w:sz="0" w:space="0" w:color="auto"/>
            <w:bottom w:val="none" w:sz="0" w:space="0" w:color="auto"/>
            <w:right w:val="none" w:sz="0" w:space="0" w:color="auto"/>
          </w:divBdr>
        </w:div>
        <w:div w:id="2018143984">
          <w:marLeft w:val="274"/>
          <w:marRight w:val="0"/>
          <w:marTop w:val="0"/>
          <w:marBottom w:val="0"/>
          <w:divBdr>
            <w:top w:val="none" w:sz="0" w:space="0" w:color="auto"/>
            <w:left w:val="none" w:sz="0" w:space="0" w:color="auto"/>
            <w:bottom w:val="none" w:sz="0" w:space="0" w:color="auto"/>
            <w:right w:val="none" w:sz="0" w:space="0" w:color="auto"/>
          </w:divBdr>
        </w:div>
        <w:div w:id="2042436357">
          <w:marLeft w:val="274"/>
          <w:marRight w:val="0"/>
          <w:marTop w:val="0"/>
          <w:marBottom w:val="0"/>
          <w:divBdr>
            <w:top w:val="none" w:sz="0" w:space="0" w:color="auto"/>
            <w:left w:val="none" w:sz="0" w:space="0" w:color="auto"/>
            <w:bottom w:val="none" w:sz="0" w:space="0" w:color="auto"/>
            <w:right w:val="none" w:sz="0" w:space="0" w:color="auto"/>
          </w:divBdr>
        </w:div>
        <w:div w:id="2090347647">
          <w:marLeft w:val="274"/>
          <w:marRight w:val="0"/>
          <w:marTop w:val="0"/>
          <w:marBottom w:val="0"/>
          <w:divBdr>
            <w:top w:val="none" w:sz="0" w:space="0" w:color="auto"/>
            <w:left w:val="none" w:sz="0" w:space="0" w:color="auto"/>
            <w:bottom w:val="none" w:sz="0" w:space="0" w:color="auto"/>
            <w:right w:val="none" w:sz="0" w:space="0" w:color="auto"/>
          </w:divBdr>
        </w:div>
      </w:divsChild>
    </w:div>
    <w:div w:id="395052382">
      <w:bodyDiv w:val="1"/>
      <w:marLeft w:val="0"/>
      <w:marRight w:val="0"/>
      <w:marTop w:val="0"/>
      <w:marBottom w:val="0"/>
      <w:divBdr>
        <w:top w:val="none" w:sz="0" w:space="0" w:color="auto"/>
        <w:left w:val="none" w:sz="0" w:space="0" w:color="auto"/>
        <w:bottom w:val="none" w:sz="0" w:space="0" w:color="auto"/>
        <w:right w:val="none" w:sz="0" w:space="0" w:color="auto"/>
      </w:divBdr>
    </w:div>
    <w:div w:id="427622965">
      <w:bodyDiv w:val="1"/>
      <w:marLeft w:val="0"/>
      <w:marRight w:val="0"/>
      <w:marTop w:val="0"/>
      <w:marBottom w:val="0"/>
      <w:divBdr>
        <w:top w:val="none" w:sz="0" w:space="0" w:color="auto"/>
        <w:left w:val="none" w:sz="0" w:space="0" w:color="auto"/>
        <w:bottom w:val="none" w:sz="0" w:space="0" w:color="auto"/>
        <w:right w:val="none" w:sz="0" w:space="0" w:color="auto"/>
      </w:divBdr>
    </w:div>
    <w:div w:id="442458734">
      <w:bodyDiv w:val="1"/>
      <w:marLeft w:val="0"/>
      <w:marRight w:val="0"/>
      <w:marTop w:val="0"/>
      <w:marBottom w:val="0"/>
      <w:divBdr>
        <w:top w:val="none" w:sz="0" w:space="0" w:color="auto"/>
        <w:left w:val="none" w:sz="0" w:space="0" w:color="auto"/>
        <w:bottom w:val="none" w:sz="0" w:space="0" w:color="auto"/>
        <w:right w:val="none" w:sz="0" w:space="0" w:color="auto"/>
      </w:divBdr>
      <w:divsChild>
        <w:div w:id="72750805">
          <w:marLeft w:val="274"/>
          <w:marRight w:val="0"/>
          <w:marTop w:val="0"/>
          <w:marBottom w:val="0"/>
          <w:divBdr>
            <w:top w:val="none" w:sz="0" w:space="0" w:color="auto"/>
            <w:left w:val="none" w:sz="0" w:space="0" w:color="auto"/>
            <w:bottom w:val="none" w:sz="0" w:space="0" w:color="auto"/>
            <w:right w:val="none" w:sz="0" w:space="0" w:color="auto"/>
          </w:divBdr>
        </w:div>
        <w:div w:id="177888593">
          <w:marLeft w:val="274"/>
          <w:marRight w:val="0"/>
          <w:marTop w:val="0"/>
          <w:marBottom w:val="0"/>
          <w:divBdr>
            <w:top w:val="none" w:sz="0" w:space="0" w:color="auto"/>
            <w:left w:val="none" w:sz="0" w:space="0" w:color="auto"/>
            <w:bottom w:val="none" w:sz="0" w:space="0" w:color="auto"/>
            <w:right w:val="none" w:sz="0" w:space="0" w:color="auto"/>
          </w:divBdr>
        </w:div>
        <w:div w:id="496504923">
          <w:marLeft w:val="274"/>
          <w:marRight w:val="0"/>
          <w:marTop w:val="0"/>
          <w:marBottom w:val="0"/>
          <w:divBdr>
            <w:top w:val="none" w:sz="0" w:space="0" w:color="auto"/>
            <w:left w:val="none" w:sz="0" w:space="0" w:color="auto"/>
            <w:bottom w:val="none" w:sz="0" w:space="0" w:color="auto"/>
            <w:right w:val="none" w:sz="0" w:space="0" w:color="auto"/>
          </w:divBdr>
        </w:div>
        <w:div w:id="496846392">
          <w:marLeft w:val="274"/>
          <w:marRight w:val="0"/>
          <w:marTop w:val="0"/>
          <w:marBottom w:val="0"/>
          <w:divBdr>
            <w:top w:val="none" w:sz="0" w:space="0" w:color="auto"/>
            <w:left w:val="none" w:sz="0" w:space="0" w:color="auto"/>
            <w:bottom w:val="none" w:sz="0" w:space="0" w:color="auto"/>
            <w:right w:val="none" w:sz="0" w:space="0" w:color="auto"/>
          </w:divBdr>
        </w:div>
        <w:div w:id="602615078">
          <w:marLeft w:val="274"/>
          <w:marRight w:val="0"/>
          <w:marTop w:val="0"/>
          <w:marBottom w:val="0"/>
          <w:divBdr>
            <w:top w:val="none" w:sz="0" w:space="0" w:color="auto"/>
            <w:left w:val="none" w:sz="0" w:space="0" w:color="auto"/>
            <w:bottom w:val="none" w:sz="0" w:space="0" w:color="auto"/>
            <w:right w:val="none" w:sz="0" w:space="0" w:color="auto"/>
          </w:divBdr>
        </w:div>
        <w:div w:id="626014174">
          <w:marLeft w:val="274"/>
          <w:marRight w:val="0"/>
          <w:marTop w:val="0"/>
          <w:marBottom w:val="0"/>
          <w:divBdr>
            <w:top w:val="none" w:sz="0" w:space="0" w:color="auto"/>
            <w:left w:val="none" w:sz="0" w:space="0" w:color="auto"/>
            <w:bottom w:val="none" w:sz="0" w:space="0" w:color="auto"/>
            <w:right w:val="none" w:sz="0" w:space="0" w:color="auto"/>
          </w:divBdr>
        </w:div>
        <w:div w:id="755135092">
          <w:marLeft w:val="274"/>
          <w:marRight w:val="0"/>
          <w:marTop w:val="0"/>
          <w:marBottom w:val="0"/>
          <w:divBdr>
            <w:top w:val="none" w:sz="0" w:space="0" w:color="auto"/>
            <w:left w:val="none" w:sz="0" w:space="0" w:color="auto"/>
            <w:bottom w:val="none" w:sz="0" w:space="0" w:color="auto"/>
            <w:right w:val="none" w:sz="0" w:space="0" w:color="auto"/>
          </w:divBdr>
        </w:div>
        <w:div w:id="784347539">
          <w:marLeft w:val="274"/>
          <w:marRight w:val="0"/>
          <w:marTop w:val="0"/>
          <w:marBottom w:val="0"/>
          <w:divBdr>
            <w:top w:val="none" w:sz="0" w:space="0" w:color="auto"/>
            <w:left w:val="none" w:sz="0" w:space="0" w:color="auto"/>
            <w:bottom w:val="none" w:sz="0" w:space="0" w:color="auto"/>
            <w:right w:val="none" w:sz="0" w:space="0" w:color="auto"/>
          </w:divBdr>
        </w:div>
        <w:div w:id="1117984881">
          <w:marLeft w:val="274"/>
          <w:marRight w:val="0"/>
          <w:marTop w:val="0"/>
          <w:marBottom w:val="0"/>
          <w:divBdr>
            <w:top w:val="none" w:sz="0" w:space="0" w:color="auto"/>
            <w:left w:val="none" w:sz="0" w:space="0" w:color="auto"/>
            <w:bottom w:val="none" w:sz="0" w:space="0" w:color="auto"/>
            <w:right w:val="none" w:sz="0" w:space="0" w:color="auto"/>
          </w:divBdr>
        </w:div>
        <w:div w:id="1196233409">
          <w:marLeft w:val="274"/>
          <w:marRight w:val="0"/>
          <w:marTop w:val="0"/>
          <w:marBottom w:val="0"/>
          <w:divBdr>
            <w:top w:val="none" w:sz="0" w:space="0" w:color="auto"/>
            <w:left w:val="none" w:sz="0" w:space="0" w:color="auto"/>
            <w:bottom w:val="none" w:sz="0" w:space="0" w:color="auto"/>
            <w:right w:val="none" w:sz="0" w:space="0" w:color="auto"/>
          </w:divBdr>
        </w:div>
        <w:div w:id="1357464866">
          <w:marLeft w:val="274"/>
          <w:marRight w:val="0"/>
          <w:marTop w:val="0"/>
          <w:marBottom w:val="0"/>
          <w:divBdr>
            <w:top w:val="none" w:sz="0" w:space="0" w:color="auto"/>
            <w:left w:val="none" w:sz="0" w:space="0" w:color="auto"/>
            <w:bottom w:val="none" w:sz="0" w:space="0" w:color="auto"/>
            <w:right w:val="none" w:sz="0" w:space="0" w:color="auto"/>
          </w:divBdr>
        </w:div>
        <w:div w:id="1367675881">
          <w:marLeft w:val="274"/>
          <w:marRight w:val="0"/>
          <w:marTop w:val="0"/>
          <w:marBottom w:val="0"/>
          <w:divBdr>
            <w:top w:val="none" w:sz="0" w:space="0" w:color="auto"/>
            <w:left w:val="none" w:sz="0" w:space="0" w:color="auto"/>
            <w:bottom w:val="none" w:sz="0" w:space="0" w:color="auto"/>
            <w:right w:val="none" w:sz="0" w:space="0" w:color="auto"/>
          </w:divBdr>
        </w:div>
        <w:div w:id="1492286441">
          <w:marLeft w:val="274"/>
          <w:marRight w:val="0"/>
          <w:marTop w:val="0"/>
          <w:marBottom w:val="0"/>
          <w:divBdr>
            <w:top w:val="none" w:sz="0" w:space="0" w:color="auto"/>
            <w:left w:val="none" w:sz="0" w:space="0" w:color="auto"/>
            <w:bottom w:val="none" w:sz="0" w:space="0" w:color="auto"/>
            <w:right w:val="none" w:sz="0" w:space="0" w:color="auto"/>
          </w:divBdr>
        </w:div>
        <w:div w:id="1606497101">
          <w:marLeft w:val="274"/>
          <w:marRight w:val="0"/>
          <w:marTop w:val="0"/>
          <w:marBottom w:val="0"/>
          <w:divBdr>
            <w:top w:val="none" w:sz="0" w:space="0" w:color="auto"/>
            <w:left w:val="none" w:sz="0" w:space="0" w:color="auto"/>
            <w:bottom w:val="none" w:sz="0" w:space="0" w:color="auto"/>
            <w:right w:val="none" w:sz="0" w:space="0" w:color="auto"/>
          </w:divBdr>
        </w:div>
        <w:div w:id="1685015141">
          <w:marLeft w:val="274"/>
          <w:marRight w:val="0"/>
          <w:marTop w:val="0"/>
          <w:marBottom w:val="0"/>
          <w:divBdr>
            <w:top w:val="none" w:sz="0" w:space="0" w:color="auto"/>
            <w:left w:val="none" w:sz="0" w:space="0" w:color="auto"/>
            <w:bottom w:val="none" w:sz="0" w:space="0" w:color="auto"/>
            <w:right w:val="none" w:sz="0" w:space="0" w:color="auto"/>
          </w:divBdr>
        </w:div>
        <w:div w:id="1741323286">
          <w:marLeft w:val="274"/>
          <w:marRight w:val="0"/>
          <w:marTop w:val="0"/>
          <w:marBottom w:val="0"/>
          <w:divBdr>
            <w:top w:val="none" w:sz="0" w:space="0" w:color="auto"/>
            <w:left w:val="none" w:sz="0" w:space="0" w:color="auto"/>
            <w:bottom w:val="none" w:sz="0" w:space="0" w:color="auto"/>
            <w:right w:val="none" w:sz="0" w:space="0" w:color="auto"/>
          </w:divBdr>
        </w:div>
        <w:div w:id="1760056757">
          <w:marLeft w:val="274"/>
          <w:marRight w:val="0"/>
          <w:marTop w:val="0"/>
          <w:marBottom w:val="0"/>
          <w:divBdr>
            <w:top w:val="none" w:sz="0" w:space="0" w:color="auto"/>
            <w:left w:val="none" w:sz="0" w:space="0" w:color="auto"/>
            <w:bottom w:val="none" w:sz="0" w:space="0" w:color="auto"/>
            <w:right w:val="none" w:sz="0" w:space="0" w:color="auto"/>
          </w:divBdr>
        </w:div>
        <w:div w:id="1795710091">
          <w:marLeft w:val="274"/>
          <w:marRight w:val="0"/>
          <w:marTop w:val="0"/>
          <w:marBottom w:val="0"/>
          <w:divBdr>
            <w:top w:val="none" w:sz="0" w:space="0" w:color="auto"/>
            <w:left w:val="none" w:sz="0" w:space="0" w:color="auto"/>
            <w:bottom w:val="none" w:sz="0" w:space="0" w:color="auto"/>
            <w:right w:val="none" w:sz="0" w:space="0" w:color="auto"/>
          </w:divBdr>
        </w:div>
        <w:div w:id="1807162270">
          <w:marLeft w:val="274"/>
          <w:marRight w:val="0"/>
          <w:marTop w:val="0"/>
          <w:marBottom w:val="0"/>
          <w:divBdr>
            <w:top w:val="none" w:sz="0" w:space="0" w:color="auto"/>
            <w:left w:val="none" w:sz="0" w:space="0" w:color="auto"/>
            <w:bottom w:val="none" w:sz="0" w:space="0" w:color="auto"/>
            <w:right w:val="none" w:sz="0" w:space="0" w:color="auto"/>
          </w:divBdr>
        </w:div>
        <w:div w:id="1886984712">
          <w:marLeft w:val="274"/>
          <w:marRight w:val="0"/>
          <w:marTop w:val="0"/>
          <w:marBottom w:val="0"/>
          <w:divBdr>
            <w:top w:val="none" w:sz="0" w:space="0" w:color="auto"/>
            <w:left w:val="none" w:sz="0" w:space="0" w:color="auto"/>
            <w:bottom w:val="none" w:sz="0" w:space="0" w:color="auto"/>
            <w:right w:val="none" w:sz="0" w:space="0" w:color="auto"/>
          </w:divBdr>
        </w:div>
      </w:divsChild>
    </w:div>
    <w:div w:id="448167686">
      <w:bodyDiv w:val="1"/>
      <w:marLeft w:val="0"/>
      <w:marRight w:val="0"/>
      <w:marTop w:val="0"/>
      <w:marBottom w:val="0"/>
      <w:divBdr>
        <w:top w:val="none" w:sz="0" w:space="0" w:color="auto"/>
        <w:left w:val="none" w:sz="0" w:space="0" w:color="auto"/>
        <w:bottom w:val="none" w:sz="0" w:space="0" w:color="auto"/>
        <w:right w:val="none" w:sz="0" w:space="0" w:color="auto"/>
      </w:divBdr>
    </w:div>
    <w:div w:id="468279073">
      <w:bodyDiv w:val="1"/>
      <w:marLeft w:val="0"/>
      <w:marRight w:val="0"/>
      <w:marTop w:val="0"/>
      <w:marBottom w:val="0"/>
      <w:divBdr>
        <w:top w:val="none" w:sz="0" w:space="0" w:color="auto"/>
        <w:left w:val="none" w:sz="0" w:space="0" w:color="auto"/>
        <w:bottom w:val="none" w:sz="0" w:space="0" w:color="auto"/>
        <w:right w:val="none" w:sz="0" w:space="0" w:color="auto"/>
      </w:divBdr>
    </w:div>
    <w:div w:id="478961421">
      <w:bodyDiv w:val="1"/>
      <w:marLeft w:val="0"/>
      <w:marRight w:val="0"/>
      <w:marTop w:val="0"/>
      <w:marBottom w:val="0"/>
      <w:divBdr>
        <w:top w:val="none" w:sz="0" w:space="0" w:color="auto"/>
        <w:left w:val="none" w:sz="0" w:space="0" w:color="auto"/>
        <w:bottom w:val="none" w:sz="0" w:space="0" w:color="auto"/>
        <w:right w:val="none" w:sz="0" w:space="0" w:color="auto"/>
      </w:divBdr>
    </w:div>
    <w:div w:id="514348336">
      <w:bodyDiv w:val="1"/>
      <w:marLeft w:val="0"/>
      <w:marRight w:val="0"/>
      <w:marTop w:val="0"/>
      <w:marBottom w:val="0"/>
      <w:divBdr>
        <w:top w:val="none" w:sz="0" w:space="0" w:color="auto"/>
        <w:left w:val="none" w:sz="0" w:space="0" w:color="auto"/>
        <w:bottom w:val="none" w:sz="0" w:space="0" w:color="auto"/>
        <w:right w:val="none" w:sz="0" w:space="0" w:color="auto"/>
      </w:divBdr>
      <w:divsChild>
        <w:div w:id="64647116">
          <w:marLeft w:val="288"/>
          <w:marRight w:val="0"/>
          <w:marTop w:val="0"/>
          <w:marBottom w:val="0"/>
          <w:divBdr>
            <w:top w:val="none" w:sz="0" w:space="0" w:color="auto"/>
            <w:left w:val="none" w:sz="0" w:space="0" w:color="auto"/>
            <w:bottom w:val="none" w:sz="0" w:space="0" w:color="auto"/>
            <w:right w:val="none" w:sz="0" w:space="0" w:color="auto"/>
          </w:divBdr>
        </w:div>
        <w:div w:id="355884884">
          <w:marLeft w:val="288"/>
          <w:marRight w:val="0"/>
          <w:marTop w:val="0"/>
          <w:marBottom w:val="0"/>
          <w:divBdr>
            <w:top w:val="none" w:sz="0" w:space="0" w:color="auto"/>
            <w:left w:val="none" w:sz="0" w:space="0" w:color="auto"/>
            <w:bottom w:val="none" w:sz="0" w:space="0" w:color="auto"/>
            <w:right w:val="none" w:sz="0" w:space="0" w:color="auto"/>
          </w:divBdr>
        </w:div>
        <w:div w:id="472678017">
          <w:marLeft w:val="288"/>
          <w:marRight w:val="0"/>
          <w:marTop w:val="0"/>
          <w:marBottom w:val="0"/>
          <w:divBdr>
            <w:top w:val="none" w:sz="0" w:space="0" w:color="auto"/>
            <w:left w:val="none" w:sz="0" w:space="0" w:color="auto"/>
            <w:bottom w:val="none" w:sz="0" w:space="0" w:color="auto"/>
            <w:right w:val="none" w:sz="0" w:space="0" w:color="auto"/>
          </w:divBdr>
        </w:div>
        <w:div w:id="526216477">
          <w:marLeft w:val="288"/>
          <w:marRight w:val="0"/>
          <w:marTop w:val="0"/>
          <w:marBottom w:val="0"/>
          <w:divBdr>
            <w:top w:val="none" w:sz="0" w:space="0" w:color="auto"/>
            <w:left w:val="none" w:sz="0" w:space="0" w:color="auto"/>
            <w:bottom w:val="none" w:sz="0" w:space="0" w:color="auto"/>
            <w:right w:val="none" w:sz="0" w:space="0" w:color="auto"/>
          </w:divBdr>
        </w:div>
        <w:div w:id="552892005">
          <w:marLeft w:val="288"/>
          <w:marRight w:val="0"/>
          <w:marTop w:val="0"/>
          <w:marBottom w:val="0"/>
          <w:divBdr>
            <w:top w:val="none" w:sz="0" w:space="0" w:color="auto"/>
            <w:left w:val="none" w:sz="0" w:space="0" w:color="auto"/>
            <w:bottom w:val="none" w:sz="0" w:space="0" w:color="auto"/>
            <w:right w:val="none" w:sz="0" w:space="0" w:color="auto"/>
          </w:divBdr>
        </w:div>
        <w:div w:id="553584925">
          <w:marLeft w:val="288"/>
          <w:marRight w:val="0"/>
          <w:marTop w:val="0"/>
          <w:marBottom w:val="0"/>
          <w:divBdr>
            <w:top w:val="none" w:sz="0" w:space="0" w:color="auto"/>
            <w:left w:val="none" w:sz="0" w:space="0" w:color="auto"/>
            <w:bottom w:val="none" w:sz="0" w:space="0" w:color="auto"/>
            <w:right w:val="none" w:sz="0" w:space="0" w:color="auto"/>
          </w:divBdr>
        </w:div>
        <w:div w:id="610404301">
          <w:marLeft w:val="288"/>
          <w:marRight w:val="0"/>
          <w:marTop w:val="0"/>
          <w:marBottom w:val="0"/>
          <w:divBdr>
            <w:top w:val="none" w:sz="0" w:space="0" w:color="auto"/>
            <w:left w:val="none" w:sz="0" w:space="0" w:color="auto"/>
            <w:bottom w:val="none" w:sz="0" w:space="0" w:color="auto"/>
            <w:right w:val="none" w:sz="0" w:space="0" w:color="auto"/>
          </w:divBdr>
        </w:div>
        <w:div w:id="637102847">
          <w:marLeft w:val="288"/>
          <w:marRight w:val="0"/>
          <w:marTop w:val="0"/>
          <w:marBottom w:val="0"/>
          <w:divBdr>
            <w:top w:val="none" w:sz="0" w:space="0" w:color="auto"/>
            <w:left w:val="none" w:sz="0" w:space="0" w:color="auto"/>
            <w:bottom w:val="none" w:sz="0" w:space="0" w:color="auto"/>
            <w:right w:val="none" w:sz="0" w:space="0" w:color="auto"/>
          </w:divBdr>
        </w:div>
        <w:div w:id="668094899">
          <w:marLeft w:val="288"/>
          <w:marRight w:val="0"/>
          <w:marTop w:val="0"/>
          <w:marBottom w:val="0"/>
          <w:divBdr>
            <w:top w:val="none" w:sz="0" w:space="0" w:color="auto"/>
            <w:left w:val="none" w:sz="0" w:space="0" w:color="auto"/>
            <w:bottom w:val="none" w:sz="0" w:space="0" w:color="auto"/>
            <w:right w:val="none" w:sz="0" w:space="0" w:color="auto"/>
          </w:divBdr>
        </w:div>
        <w:div w:id="836383996">
          <w:marLeft w:val="288"/>
          <w:marRight w:val="0"/>
          <w:marTop w:val="0"/>
          <w:marBottom w:val="0"/>
          <w:divBdr>
            <w:top w:val="none" w:sz="0" w:space="0" w:color="auto"/>
            <w:left w:val="none" w:sz="0" w:space="0" w:color="auto"/>
            <w:bottom w:val="none" w:sz="0" w:space="0" w:color="auto"/>
            <w:right w:val="none" w:sz="0" w:space="0" w:color="auto"/>
          </w:divBdr>
        </w:div>
        <w:div w:id="1176460342">
          <w:marLeft w:val="288"/>
          <w:marRight w:val="0"/>
          <w:marTop w:val="0"/>
          <w:marBottom w:val="0"/>
          <w:divBdr>
            <w:top w:val="none" w:sz="0" w:space="0" w:color="auto"/>
            <w:left w:val="none" w:sz="0" w:space="0" w:color="auto"/>
            <w:bottom w:val="none" w:sz="0" w:space="0" w:color="auto"/>
            <w:right w:val="none" w:sz="0" w:space="0" w:color="auto"/>
          </w:divBdr>
        </w:div>
        <w:div w:id="1220291199">
          <w:marLeft w:val="288"/>
          <w:marRight w:val="0"/>
          <w:marTop w:val="0"/>
          <w:marBottom w:val="0"/>
          <w:divBdr>
            <w:top w:val="none" w:sz="0" w:space="0" w:color="auto"/>
            <w:left w:val="none" w:sz="0" w:space="0" w:color="auto"/>
            <w:bottom w:val="none" w:sz="0" w:space="0" w:color="auto"/>
            <w:right w:val="none" w:sz="0" w:space="0" w:color="auto"/>
          </w:divBdr>
        </w:div>
        <w:div w:id="1289093561">
          <w:marLeft w:val="288"/>
          <w:marRight w:val="0"/>
          <w:marTop w:val="0"/>
          <w:marBottom w:val="0"/>
          <w:divBdr>
            <w:top w:val="none" w:sz="0" w:space="0" w:color="auto"/>
            <w:left w:val="none" w:sz="0" w:space="0" w:color="auto"/>
            <w:bottom w:val="none" w:sz="0" w:space="0" w:color="auto"/>
            <w:right w:val="none" w:sz="0" w:space="0" w:color="auto"/>
          </w:divBdr>
        </w:div>
        <w:div w:id="1376542588">
          <w:marLeft w:val="288"/>
          <w:marRight w:val="0"/>
          <w:marTop w:val="0"/>
          <w:marBottom w:val="0"/>
          <w:divBdr>
            <w:top w:val="none" w:sz="0" w:space="0" w:color="auto"/>
            <w:left w:val="none" w:sz="0" w:space="0" w:color="auto"/>
            <w:bottom w:val="none" w:sz="0" w:space="0" w:color="auto"/>
            <w:right w:val="none" w:sz="0" w:space="0" w:color="auto"/>
          </w:divBdr>
        </w:div>
        <w:div w:id="1693415548">
          <w:marLeft w:val="288"/>
          <w:marRight w:val="0"/>
          <w:marTop w:val="0"/>
          <w:marBottom w:val="0"/>
          <w:divBdr>
            <w:top w:val="none" w:sz="0" w:space="0" w:color="auto"/>
            <w:left w:val="none" w:sz="0" w:space="0" w:color="auto"/>
            <w:bottom w:val="none" w:sz="0" w:space="0" w:color="auto"/>
            <w:right w:val="none" w:sz="0" w:space="0" w:color="auto"/>
          </w:divBdr>
        </w:div>
        <w:div w:id="1712147743">
          <w:marLeft w:val="288"/>
          <w:marRight w:val="0"/>
          <w:marTop w:val="0"/>
          <w:marBottom w:val="0"/>
          <w:divBdr>
            <w:top w:val="none" w:sz="0" w:space="0" w:color="auto"/>
            <w:left w:val="none" w:sz="0" w:space="0" w:color="auto"/>
            <w:bottom w:val="none" w:sz="0" w:space="0" w:color="auto"/>
            <w:right w:val="none" w:sz="0" w:space="0" w:color="auto"/>
          </w:divBdr>
        </w:div>
      </w:divsChild>
    </w:div>
    <w:div w:id="545801081">
      <w:bodyDiv w:val="1"/>
      <w:marLeft w:val="0"/>
      <w:marRight w:val="0"/>
      <w:marTop w:val="0"/>
      <w:marBottom w:val="0"/>
      <w:divBdr>
        <w:top w:val="none" w:sz="0" w:space="0" w:color="auto"/>
        <w:left w:val="none" w:sz="0" w:space="0" w:color="auto"/>
        <w:bottom w:val="none" w:sz="0" w:space="0" w:color="auto"/>
        <w:right w:val="none" w:sz="0" w:space="0" w:color="auto"/>
      </w:divBdr>
      <w:divsChild>
        <w:div w:id="511771861">
          <w:marLeft w:val="360"/>
          <w:marRight w:val="0"/>
          <w:marTop w:val="120"/>
          <w:marBottom w:val="0"/>
          <w:divBdr>
            <w:top w:val="none" w:sz="0" w:space="0" w:color="auto"/>
            <w:left w:val="none" w:sz="0" w:space="0" w:color="auto"/>
            <w:bottom w:val="none" w:sz="0" w:space="0" w:color="auto"/>
            <w:right w:val="none" w:sz="0" w:space="0" w:color="auto"/>
          </w:divBdr>
        </w:div>
        <w:div w:id="1331837490">
          <w:marLeft w:val="360"/>
          <w:marRight w:val="0"/>
          <w:marTop w:val="120"/>
          <w:marBottom w:val="0"/>
          <w:divBdr>
            <w:top w:val="none" w:sz="0" w:space="0" w:color="auto"/>
            <w:left w:val="none" w:sz="0" w:space="0" w:color="auto"/>
            <w:bottom w:val="none" w:sz="0" w:space="0" w:color="auto"/>
            <w:right w:val="none" w:sz="0" w:space="0" w:color="auto"/>
          </w:divBdr>
        </w:div>
        <w:div w:id="1948779579">
          <w:marLeft w:val="360"/>
          <w:marRight w:val="0"/>
          <w:marTop w:val="120"/>
          <w:marBottom w:val="0"/>
          <w:divBdr>
            <w:top w:val="none" w:sz="0" w:space="0" w:color="auto"/>
            <w:left w:val="none" w:sz="0" w:space="0" w:color="auto"/>
            <w:bottom w:val="none" w:sz="0" w:space="0" w:color="auto"/>
            <w:right w:val="none" w:sz="0" w:space="0" w:color="auto"/>
          </w:divBdr>
        </w:div>
      </w:divsChild>
    </w:div>
    <w:div w:id="555238275">
      <w:bodyDiv w:val="1"/>
      <w:marLeft w:val="0"/>
      <w:marRight w:val="0"/>
      <w:marTop w:val="0"/>
      <w:marBottom w:val="0"/>
      <w:divBdr>
        <w:top w:val="none" w:sz="0" w:space="0" w:color="auto"/>
        <w:left w:val="none" w:sz="0" w:space="0" w:color="auto"/>
        <w:bottom w:val="none" w:sz="0" w:space="0" w:color="auto"/>
        <w:right w:val="none" w:sz="0" w:space="0" w:color="auto"/>
      </w:divBdr>
    </w:div>
    <w:div w:id="564993510">
      <w:bodyDiv w:val="1"/>
      <w:marLeft w:val="0"/>
      <w:marRight w:val="0"/>
      <w:marTop w:val="0"/>
      <w:marBottom w:val="0"/>
      <w:divBdr>
        <w:top w:val="none" w:sz="0" w:space="0" w:color="auto"/>
        <w:left w:val="none" w:sz="0" w:space="0" w:color="auto"/>
        <w:bottom w:val="none" w:sz="0" w:space="0" w:color="auto"/>
        <w:right w:val="none" w:sz="0" w:space="0" w:color="auto"/>
      </w:divBdr>
    </w:div>
    <w:div w:id="611476049">
      <w:bodyDiv w:val="1"/>
      <w:marLeft w:val="0"/>
      <w:marRight w:val="0"/>
      <w:marTop w:val="0"/>
      <w:marBottom w:val="0"/>
      <w:divBdr>
        <w:top w:val="none" w:sz="0" w:space="0" w:color="auto"/>
        <w:left w:val="none" w:sz="0" w:space="0" w:color="auto"/>
        <w:bottom w:val="none" w:sz="0" w:space="0" w:color="auto"/>
        <w:right w:val="none" w:sz="0" w:space="0" w:color="auto"/>
      </w:divBdr>
    </w:div>
    <w:div w:id="718012845">
      <w:bodyDiv w:val="1"/>
      <w:marLeft w:val="0"/>
      <w:marRight w:val="0"/>
      <w:marTop w:val="0"/>
      <w:marBottom w:val="0"/>
      <w:divBdr>
        <w:top w:val="none" w:sz="0" w:space="0" w:color="auto"/>
        <w:left w:val="none" w:sz="0" w:space="0" w:color="auto"/>
        <w:bottom w:val="none" w:sz="0" w:space="0" w:color="auto"/>
        <w:right w:val="none" w:sz="0" w:space="0" w:color="auto"/>
      </w:divBdr>
    </w:div>
    <w:div w:id="720132085">
      <w:bodyDiv w:val="1"/>
      <w:marLeft w:val="0"/>
      <w:marRight w:val="0"/>
      <w:marTop w:val="0"/>
      <w:marBottom w:val="0"/>
      <w:divBdr>
        <w:top w:val="none" w:sz="0" w:space="0" w:color="auto"/>
        <w:left w:val="none" w:sz="0" w:space="0" w:color="auto"/>
        <w:bottom w:val="none" w:sz="0" w:space="0" w:color="auto"/>
        <w:right w:val="none" w:sz="0" w:space="0" w:color="auto"/>
      </w:divBdr>
    </w:div>
    <w:div w:id="761531911">
      <w:bodyDiv w:val="1"/>
      <w:marLeft w:val="0"/>
      <w:marRight w:val="0"/>
      <w:marTop w:val="0"/>
      <w:marBottom w:val="0"/>
      <w:divBdr>
        <w:top w:val="none" w:sz="0" w:space="0" w:color="auto"/>
        <w:left w:val="none" w:sz="0" w:space="0" w:color="auto"/>
        <w:bottom w:val="none" w:sz="0" w:space="0" w:color="auto"/>
        <w:right w:val="none" w:sz="0" w:space="0" w:color="auto"/>
      </w:divBdr>
    </w:div>
    <w:div w:id="859898896">
      <w:bodyDiv w:val="1"/>
      <w:marLeft w:val="0"/>
      <w:marRight w:val="0"/>
      <w:marTop w:val="0"/>
      <w:marBottom w:val="0"/>
      <w:divBdr>
        <w:top w:val="none" w:sz="0" w:space="0" w:color="auto"/>
        <w:left w:val="none" w:sz="0" w:space="0" w:color="auto"/>
        <w:bottom w:val="none" w:sz="0" w:space="0" w:color="auto"/>
        <w:right w:val="none" w:sz="0" w:space="0" w:color="auto"/>
      </w:divBdr>
    </w:div>
    <w:div w:id="929316084">
      <w:bodyDiv w:val="1"/>
      <w:marLeft w:val="0"/>
      <w:marRight w:val="0"/>
      <w:marTop w:val="0"/>
      <w:marBottom w:val="0"/>
      <w:divBdr>
        <w:top w:val="none" w:sz="0" w:space="0" w:color="auto"/>
        <w:left w:val="none" w:sz="0" w:space="0" w:color="auto"/>
        <w:bottom w:val="none" w:sz="0" w:space="0" w:color="auto"/>
        <w:right w:val="none" w:sz="0" w:space="0" w:color="auto"/>
      </w:divBdr>
    </w:div>
    <w:div w:id="1077702189">
      <w:bodyDiv w:val="1"/>
      <w:marLeft w:val="0"/>
      <w:marRight w:val="0"/>
      <w:marTop w:val="0"/>
      <w:marBottom w:val="0"/>
      <w:divBdr>
        <w:top w:val="none" w:sz="0" w:space="0" w:color="auto"/>
        <w:left w:val="none" w:sz="0" w:space="0" w:color="auto"/>
        <w:bottom w:val="none" w:sz="0" w:space="0" w:color="auto"/>
        <w:right w:val="none" w:sz="0" w:space="0" w:color="auto"/>
      </w:divBdr>
    </w:div>
    <w:div w:id="1195079482">
      <w:bodyDiv w:val="1"/>
      <w:marLeft w:val="0"/>
      <w:marRight w:val="0"/>
      <w:marTop w:val="0"/>
      <w:marBottom w:val="0"/>
      <w:divBdr>
        <w:top w:val="none" w:sz="0" w:space="0" w:color="auto"/>
        <w:left w:val="none" w:sz="0" w:space="0" w:color="auto"/>
        <w:bottom w:val="none" w:sz="0" w:space="0" w:color="auto"/>
        <w:right w:val="none" w:sz="0" w:space="0" w:color="auto"/>
      </w:divBdr>
      <w:divsChild>
        <w:div w:id="158886129">
          <w:marLeft w:val="274"/>
          <w:marRight w:val="0"/>
          <w:marTop w:val="0"/>
          <w:marBottom w:val="0"/>
          <w:divBdr>
            <w:top w:val="none" w:sz="0" w:space="0" w:color="auto"/>
            <w:left w:val="none" w:sz="0" w:space="0" w:color="auto"/>
            <w:bottom w:val="none" w:sz="0" w:space="0" w:color="auto"/>
            <w:right w:val="none" w:sz="0" w:space="0" w:color="auto"/>
          </w:divBdr>
        </w:div>
        <w:div w:id="235215016">
          <w:marLeft w:val="274"/>
          <w:marRight w:val="0"/>
          <w:marTop w:val="0"/>
          <w:marBottom w:val="0"/>
          <w:divBdr>
            <w:top w:val="none" w:sz="0" w:space="0" w:color="auto"/>
            <w:left w:val="none" w:sz="0" w:space="0" w:color="auto"/>
            <w:bottom w:val="none" w:sz="0" w:space="0" w:color="auto"/>
            <w:right w:val="none" w:sz="0" w:space="0" w:color="auto"/>
          </w:divBdr>
        </w:div>
        <w:div w:id="343288260">
          <w:marLeft w:val="274"/>
          <w:marRight w:val="0"/>
          <w:marTop w:val="0"/>
          <w:marBottom w:val="0"/>
          <w:divBdr>
            <w:top w:val="none" w:sz="0" w:space="0" w:color="auto"/>
            <w:left w:val="none" w:sz="0" w:space="0" w:color="auto"/>
            <w:bottom w:val="none" w:sz="0" w:space="0" w:color="auto"/>
            <w:right w:val="none" w:sz="0" w:space="0" w:color="auto"/>
          </w:divBdr>
        </w:div>
        <w:div w:id="363946984">
          <w:marLeft w:val="274"/>
          <w:marRight w:val="0"/>
          <w:marTop w:val="0"/>
          <w:marBottom w:val="0"/>
          <w:divBdr>
            <w:top w:val="none" w:sz="0" w:space="0" w:color="auto"/>
            <w:left w:val="none" w:sz="0" w:space="0" w:color="auto"/>
            <w:bottom w:val="none" w:sz="0" w:space="0" w:color="auto"/>
            <w:right w:val="none" w:sz="0" w:space="0" w:color="auto"/>
          </w:divBdr>
        </w:div>
        <w:div w:id="405996616">
          <w:marLeft w:val="274"/>
          <w:marRight w:val="0"/>
          <w:marTop w:val="0"/>
          <w:marBottom w:val="0"/>
          <w:divBdr>
            <w:top w:val="none" w:sz="0" w:space="0" w:color="auto"/>
            <w:left w:val="none" w:sz="0" w:space="0" w:color="auto"/>
            <w:bottom w:val="none" w:sz="0" w:space="0" w:color="auto"/>
            <w:right w:val="none" w:sz="0" w:space="0" w:color="auto"/>
          </w:divBdr>
        </w:div>
        <w:div w:id="471950735">
          <w:marLeft w:val="274"/>
          <w:marRight w:val="0"/>
          <w:marTop w:val="0"/>
          <w:marBottom w:val="0"/>
          <w:divBdr>
            <w:top w:val="none" w:sz="0" w:space="0" w:color="auto"/>
            <w:left w:val="none" w:sz="0" w:space="0" w:color="auto"/>
            <w:bottom w:val="none" w:sz="0" w:space="0" w:color="auto"/>
            <w:right w:val="none" w:sz="0" w:space="0" w:color="auto"/>
          </w:divBdr>
        </w:div>
        <w:div w:id="546185925">
          <w:marLeft w:val="274"/>
          <w:marRight w:val="0"/>
          <w:marTop w:val="0"/>
          <w:marBottom w:val="0"/>
          <w:divBdr>
            <w:top w:val="none" w:sz="0" w:space="0" w:color="auto"/>
            <w:left w:val="none" w:sz="0" w:space="0" w:color="auto"/>
            <w:bottom w:val="none" w:sz="0" w:space="0" w:color="auto"/>
            <w:right w:val="none" w:sz="0" w:space="0" w:color="auto"/>
          </w:divBdr>
        </w:div>
        <w:div w:id="573858552">
          <w:marLeft w:val="274"/>
          <w:marRight w:val="0"/>
          <w:marTop w:val="0"/>
          <w:marBottom w:val="0"/>
          <w:divBdr>
            <w:top w:val="none" w:sz="0" w:space="0" w:color="auto"/>
            <w:left w:val="none" w:sz="0" w:space="0" w:color="auto"/>
            <w:bottom w:val="none" w:sz="0" w:space="0" w:color="auto"/>
            <w:right w:val="none" w:sz="0" w:space="0" w:color="auto"/>
          </w:divBdr>
        </w:div>
        <w:div w:id="631405770">
          <w:marLeft w:val="274"/>
          <w:marRight w:val="0"/>
          <w:marTop w:val="0"/>
          <w:marBottom w:val="0"/>
          <w:divBdr>
            <w:top w:val="none" w:sz="0" w:space="0" w:color="auto"/>
            <w:left w:val="none" w:sz="0" w:space="0" w:color="auto"/>
            <w:bottom w:val="none" w:sz="0" w:space="0" w:color="auto"/>
            <w:right w:val="none" w:sz="0" w:space="0" w:color="auto"/>
          </w:divBdr>
        </w:div>
        <w:div w:id="686567916">
          <w:marLeft w:val="274"/>
          <w:marRight w:val="0"/>
          <w:marTop w:val="0"/>
          <w:marBottom w:val="0"/>
          <w:divBdr>
            <w:top w:val="none" w:sz="0" w:space="0" w:color="auto"/>
            <w:left w:val="none" w:sz="0" w:space="0" w:color="auto"/>
            <w:bottom w:val="none" w:sz="0" w:space="0" w:color="auto"/>
            <w:right w:val="none" w:sz="0" w:space="0" w:color="auto"/>
          </w:divBdr>
        </w:div>
        <w:div w:id="717360565">
          <w:marLeft w:val="274"/>
          <w:marRight w:val="0"/>
          <w:marTop w:val="0"/>
          <w:marBottom w:val="0"/>
          <w:divBdr>
            <w:top w:val="none" w:sz="0" w:space="0" w:color="auto"/>
            <w:left w:val="none" w:sz="0" w:space="0" w:color="auto"/>
            <w:bottom w:val="none" w:sz="0" w:space="0" w:color="auto"/>
            <w:right w:val="none" w:sz="0" w:space="0" w:color="auto"/>
          </w:divBdr>
        </w:div>
        <w:div w:id="822552625">
          <w:marLeft w:val="274"/>
          <w:marRight w:val="0"/>
          <w:marTop w:val="0"/>
          <w:marBottom w:val="0"/>
          <w:divBdr>
            <w:top w:val="none" w:sz="0" w:space="0" w:color="auto"/>
            <w:left w:val="none" w:sz="0" w:space="0" w:color="auto"/>
            <w:bottom w:val="none" w:sz="0" w:space="0" w:color="auto"/>
            <w:right w:val="none" w:sz="0" w:space="0" w:color="auto"/>
          </w:divBdr>
        </w:div>
        <w:div w:id="833183076">
          <w:marLeft w:val="274"/>
          <w:marRight w:val="0"/>
          <w:marTop w:val="0"/>
          <w:marBottom w:val="0"/>
          <w:divBdr>
            <w:top w:val="none" w:sz="0" w:space="0" w:color="auto"/>
            <w:left w:val="none" w:sz="0" w:space="0" w:color="auto"/>
            <w:bottom w:val="none" w:sz="0" w:space="0" w:color="auto"/>
            <w:right w:val="none" w:sz="0" w:space="0" w:color="auto"/>
          </w:divBdr>
        </w:div>
        <w:div w:id="1160778273">
          <w:marLeft w:val="274"/>
          <w:marRight w:val="0"/>
          <w:marTop w:val="0"/>
          <w:marBottom w:val="0"/>
          <w:divBdr>
            <w:top w:val="none" w:sz="0" w:space="0" w:color="auto"/>
            <w:left w:val="none" w:sz="0" w:space="0" w:color="auto"/>
            <w:bottom w:val="none" w:sz="0" w:space="0" w:color="auto"/>
            <w:right w:val="none" w:sz="0" w:space="0" w:color="auto"/>
          </w:divBdr>
        </w:div>
        <w:div w:id="1220748760">
          <w:marLeft w:val="274"/>
          <w:marRight w:val="0"/>
          <w:marTop w:val="0"/>
          <w:marBottom w:val="0"/>
          <w:divBdr>
            <w:top w:val="none" w:sz="0" w:space="0" w:color="auto"/>
            <w:left w:val="none" w:sz="0" w:space="0" w:color="auto"/>
            <w:bottom w:val="none" w:sz="0" w:space="0" w:color="auto"/>
            <w:right w:val="none" w:sz="0" w:space="0" w:color="auto"/>
          </w:divBdr>
        </w:div>
        <w:div w:id="1302689067">
          <w:marLeft w:val="274"/>
          <w:marRight w:val="0"/>
          <w:marTop w:val="0"/>
          <w:marBottom w:val="0"/>
          <w:divBdr>
            <w:top w:val="none" w:sz="0" w:space="0" w:color="auto"/>
            <w:left w:val="none" w:sz="0" w:space="0" w:color="auto"/>
            <w:bottom w:val="none" w:sz="0" w:space="0" w:color="auto"/>
            <w:right w:val="none" w:sz="0" w:space="0" w:color="auto"/>
          </w:divBdr>
        </w:div>
        <w:div w:id="1384985102">
          <w:marLeft w:val="274"/>
          <w:marRight w:val="0"/>
          <w:marTop w:val="0"/>
          <w:marBottom w:val="0"/>
          <w:divBdr>
            <w:top w:val="none" w:sz="0" w:space="0" w:color="auto"/>
            <w:left w:val="none" w:sz="0" w:space="0" w:color="auto"/>
            <w:bottom w:val="none" w:sz="0" w:space="0" w:color="auto"/>
            <w:right w:val="none" w:sz="0" w:space="0" w:color="auto"/>
          </w:divBdr>
        </w:div>
        <w:div w:id="1484001786">
          <w:marLeft w:val="274"/>
          <w:marRight w:val="0"/>
          <w:marTop w:val="0"/>
          <w:marBottom w:val="0"/>
          <w:divBdr>
            <w:top w:val="none" w:sz="0" w:space="0" w:color="auto"/>
            <w:left w:val="none" w:sz="0" w:space="0" w:color="auto"/>
            <w:bottom w:val="none" w:sz="0" w:space="0" w:color="auto"/>
            <w:right w:val="none" w:sz="0" w:space="0" w:color="auto"/>
          </w:divBdr>
        </w:div>
        <w:div w:id="1507135130">
          <w:marLeft w:val="274"/>
          <w:marRight w:val="0"/>
          <w:marTop w:val="0"/>
          <w:marBottom w:val="0"/>
          <w:divBdr>
            <w:top w:val="none" w:sz="0" w:space="0" w:color="auto"/>
            <w:left w:val="none" w:sz="0" w:space="0" w:color="auto"/>
            <w:bottom w:val="none" w:sz="0" w:space="0" w:color="auto"/>
            <w:right w:val="none" w:sz="0" w:space="0" w:color="auto"/>
          </w:divBdr>
        </w:div>
        <w:div w:id="1540900386">
          <w:marLeft w:val="274"/>
          <w:marRight w:val="0"/>
          <w:marTop w:val="0"/>
          <w:marBottom w:val="0"/>
          <w:divBdr>
            <w:top w:val="none" w:sz="0" w:space="0" w:color="auto"/>
            <w:left w:val="none" w:sz="0" w:space="0" w:color="auto"/>
            <w:bottom w:val="none" w:sz="0" w:space="0" w:color="auto"/>
            <w:right w:val="none" w:sz="0" w:space="0" w:color="auto"/>
          </w:divBdr>
        </w:div>
        <w:div w:id="1565606674">
          <w:marLeft w:val="274"/>
          <w:marRight w:val="0"/>
          <w:marTop w:val="0"/>
          <w:marBottom w:val="0"/>
          <w:divBdr>
            <w:top w:val="none" w:sz="0" w:space="0" w:color="auto"/>
            <w:left w:val="none" w:sz="0" w:space="0" w:color="auto"/>
            <w:bottom w:val="none" w:sz="0" w:space="0" w:color="auto"/>
            <w:right w:val="none" w:sz="0" w:space="0" w:color="auto"/>
          </w:divBdr>
        </w:div>
        <w:div w:id="1567643378">
          <w:marLeft w:val="274"/>
          <w:marRight w:val="0"/>
          <w:marTop w:val="0"/>
          <w:marBottom w:val="0"/>
          <w:divBdr>
            <w:top w:val="none" w:sz="0" w:space="0" w:color="auto"/>
            <w:left w:val="none" w:sz="0" w:space="0" w:color="auto"/>
            <w:bottom w:val="none" w:sz="0" w:space="0" w:color="auto"/>
            <w:right w:val="none" w:sz="0" w:space="0" w:color="auto"/>
          </w:divBdr>
        </w:div>
        <w:div w:id="1643577820">
          <w:marLeft w:val="274"/>
          <w:marRight w:val="0"/>
          <w:marTop w:val="0"/>
          <w:marBottom w:val="0"/>
          <w:divBdr>
            <w:top w:val="none" w:sz="0" w:space="0" w:color="auto"/>
            <w:left w:val="none" w:sz="0" w:space="0" w:color="auto"/>
            <w:bottom w:val="none" w:sz="0" w:space="0" w:color="auto"/>
            <w:right w:val="none" w:sz="0" w:space="0" w:color="auto"/>
          </w:divBdr>
        </w:div>
        <w:div w:id="1922369929">
          <w:marLeft w:val="274"/>
          <w:marRight w:val="0"/>
          <w:marTop w:val="0"/>
          <w:marBottom w:val="0"/>
          <w:divBdr>
            <w:top w:val="none" w:sz="0" w:space="0" w:color="auto"/>
            <w:left w:val="none" w:sz="0" w:space="0" w:color="auto"/>
            <w:bottom w:val="none" w:sz="0" w:space="0" w:color="auto"/>
            <w:right w:val="none" w:sz="0" w:space="0" w:color="auto"/>
          </w:divBdr>
        </w:div>
        <w:div w:id="1940016236">
          <w:marLeft w:val="274"/>
          <w:marRight w:val="0"/>
          <w:marTop w:val="0"/>
          <w:marBottom w:val="0"/>
          <w:divBdr>
            <w:top w:val="none" w:sz="0" w:space="0" w:color="auto"/>
            <w:left w:val="none" w:sz="0" w:space="0" w:color="auto"/>
            <w:bottom w:val="none" w:sz="0" w:space="0" w:color="auto"/>
            <w:right w:val="none" w:sz="0" w:space="0" w:color="auto"/>
          </w:divBdr>
        </w:div>
        <w:div w:id="2064718080">
          <w:marLeft w:val="274"/>
          <w:marRight w:val="0"/>
          <w:marTop w:val="0"/>
          <w:marBottom w:val="0"/>
          <w:divBdr>
            <w:top w:val="none" w:sz="0" w:space="0" w:color="auto"/>
            <w:left w:val="none" w:sz="0" w:space="0" w:color="auto"/>
            <w:bottom w:val="none" w:sz="0" w:space="0" w:color="auto"/>
            <w:right w:val="none" w:sz="0" w:space="0" w:color="auto"/>
          </w:divBdr>
        </w:div>
      </w:divsChild>
    </w:div>
    <w:div w:id="1239485933">
      <w:bodyDiv w:val="1"/>
      <w:marLeft w:val="0"/>
      <w:marRight w:val="0"/>
      <w:marTop w:val="0"/>
      <w:marBottom w:val="0"/>
      <w:divBdr>
        <w:top w:val="none" w:sz="0" w:space="0" w:color="auto"/>
        <w:left w:val="none" w:sz="0" w:space="0" w:color="auto"/>
        <w:bottom w:val="none" w:sz="0" w:space="0" w:color="auto"/>
        <w:right w:val="none" w:sz="0" w:space="0" w:color="auto"/>
      </w:divBdr>
    </w:div>
    <w:div w:id="1270821471">
      <w:bodyDiv w:val="1"/>
      <w:marLeft w:val="0"/>
      <w:marRight w:val="0"/>
      <w:marTop w:val="0"/>
      <w:marBottom w:val="0"/>
      <w:divBdr>
        <w:top w:val="none" w:sz="0" w:space="0" w:color="auto"/>
        <w:left w:val="none" w:sz="0" w:space="0" w:color="auto"/>
        <w:bottom w:val="none" w:sz="0" w:space="0" w:color="auto"/>
        <w:right w:val="none" w:sz="0" w:space="0" w:color="auto"/>
      </w:divBdr>
    </w:div>
    <w:div w:id="1273561442">
      <w:bodyDiv w:val="1"/>
      <w:marLeft w:val="0"/>
      <w:marRight w:val="0"/>
      <w:marTop w:val="0"/>
      <w:marBottom w:val="0"/>
      <w:divBdr>
        <w:top w:val="none" w:sz="0" w:space="0" w:color="auto"/>
        <w:left w:val="none" w:sz="0" w:space="0" w:color="auto"/>
        <w:bottom w:val="none" w:sz="0" w:space="0" w:color="auto"/>
        <w:right w:val="none" w:sz="0" w:space="0" w:color="auto"/>
      </w:divBdr>
    </w:div>
    <w:div w:id="1366829367">
      <w:bodyDiv w:val="1"/>
      <w:marLeft w:val="0"/>
      <w:marRight w:val="0"/>
      <w:marTop w:val="0"/>
      <w:marBottom w:val="0"/>
      <w:divBdr>
        <w:top w:val="none" w:sz="0" w:space="0" w:color="auto"/>
        <w:left w:val="none" w:sz="0" w:space="0" w:color="auto"/>
        <w:bottom w:val="none" w:sz="0" w:space="0" w:color="auto"/>
        <w:right w:val="none" w:sz="0" w:space="0" w:color="auto"/>
      </w:divBdr>
      <w:divsChild>
        <w:div w:id="11291">
          <w:marLeft w:val="274"/>
          <w:marRight w:val="0"/>
          <w:marTop w:val="120"/>
          <w:marBottom w:val="0"/>
          <w:divBdr>
            <w:top w:val="none" w:sz="0" w:space="0" w:color="auto"/>
            <w:left w:val="none" w:sz="0" w:space="0" w:color="auto"/>
            <w:bottom w:val="none" w:sz="0" w:space="0" w:color="auto"/>
            <w:right w:val="none" w:sz="0" w:space="0" w:color="auto"/>
          </w:divBdr>
        </w:div>
        <w:div w:id="84040565">
          <w:marLeft w:val="1238"/>
          <w:marRight w:val="0"/>
          <w:marTop w:val="120"/>
          <w:marBottom w:val="0"/>
          <w:divBdr>
            <w:top w:val="none" w:sz="0" w:space="0" w:color="auto"/>
            <w:left w:val="none" w:sz="0" w:space="0" w:color="auto"/>
            <w:bottom w:val="none" w:sz="0" w:space="0" w:color="auto"/>
            <w:right w:val="none" w:sz="0" w:space="0" w:color="auto"/>
          </w:divBdr>
        </w:div>
        <w:div w:id="91978487">
          <w:marLeft w:val="1238"/>
          <w:marRight w:val="0"/>
          <w:marTop w:val="120"/>
          <w:marBottom w:val="0"/>
          <w:divBdr>
            <w:top w:val="none" w:sz="0" w:space="0" w:color="auto"/>
            <w:left w:val="none" w:sz="0" w:space="0" w:color="auto"/>
            <w:bottom w:val="none" w:sz="0" w:space="0" w:color="auto"/>
            <w:right w:val="none" w:sz="0" w:space="0" w:color="auto"/>
          </w:divBdr>
        </w:div>
        <w:div w:id="189028580">
          <w:marLeft w:val="1238"/>
          <w:marRight w:val="0"/>
          <w:marTop w:val="120"/>
          <w:marBottom w:val="0"/>
          <w:divBdr>
            <w:top w:val="none" w:sz="0" w:space="0" w:color="auto"/>
            <w:left w:val="none" w:sz="0" w:space="0" w:color="auto"/>
            <w:bottom w:val="none" w:sz="0" w:space="0" w:color="auto"/>
            <w:right w:val="none" w:sz="0" w:space="0" w:color="auto"/>
          </w:divBdr>
        </w:div>
        <w:div w:id="477459528">
          <w:marLeft w:val="1238"/>
          <w:marRight w:val="0"/>
          <w:marTop w:val="120"/>
          <w:marBottom w:val="0"/>
          <w:divBdr>
            <w:top w:val="none" w:sz="0" w:space="0" w:color="auto"/>
            <w:left w:val="none" w:sz="0" w:space="0" w:color="auto"/>
            <w:bottom w:val="none" w:sz="0" w:space="0" w:color="auto"/>
            <w:right w:val="none" w:sz="0" w:space="0" w:color="auto"/>
          </w:divBdr>
        </w:div>
        <w:div w:id="592781647">
          <w:marLeft w:val="1238"/>
          <w:marRight w:val="0"/>
          <w:marTop w:val="120"/>
          <w:marBottom w:val="0"/>
          <w:divBdr>
            <w:top w:val="none" w:sz="0" w:space="0" w:color="auto"/>
            <w:left w:val="none" w:sz="0" w:space="0" w:color="auto"/>
            <w:bottom w:val="none" w:sz="0" w:space="0" w:color="auto"/>
            <w:right w:val="none" w:sz="0" w:space="0" w:color="auto"/>
          </w:divBdr>
        </w:div>
        <w:div w:id="658313411">
          <w:marLeft w:val="1238"/>
          <w:marRight w:val="0"/>
          <w:marTop w:val="120"/>
          <w:marBottom w:val="0"/>
          <w:divBdr>
            <w:top w:val="none" w:sz="0" w:space="0" w:color="auto"/>
            <w:left w:val="none" w:sz="0" w:space="0" w:color="auto"/>
            <w:bottom w:val="none" w:sz="0" w:space="0" w:color="auto"/>
            <w:right w:val="none" w:sz="0" w:space="0" w:color="auto"/>
          </w:divBdr>
        </w:div>
        <w:div w:id="825824972">
          <w:marLeft w:val="1238"/>
          <w:marRight w:val="0"/>
          <w:marTop w:val="120"/>
          <w:marBottom w:val="0"/>
          <w:divBdr>
            <w:top w:val="none" w:sz="0" w:space="0" w:color="auto"/>
            <w:left w:val="none" w:sz="0" w:space="0" w:color="auto"/>
            <w:bottom w:val="none" w:sz="0" w:space="0" w:color="auto"/>
            <w:right w:val="none" w:sz="0" w:space="0" w:color="auto"/>
          </w:divBdr>
        </w:div>
        <w:div w:id="1046683428">
          <w:marLeft w:val="1238"/>
          <w:marRight w:val="0"/>
          <w:marTop w:val="120"/>
          <w:marBottom w:val="0"/>
          <w:divBdr>
            <w:top w:val="none" w:sz="0" w:space="0" w:color="auto"/>
            <w:left w:val="none" w:sz="0" w:space="0" w:color="auto"/>
            <w:bottom w:val="none" w:sz="0" w:space="0" w:color="auto"/>
            <w:right w:val="none" w:sz="0" w:space="0" w:color="auto"/>
          </w:divBdr>
        </w:div>
        <w:div w:id="1172181365">
          <w:marLeft w:val="274"/>
          <w:marRight w:val="0"/>
          <w:marTop w:val="120"/>
          <w:marBottom w:val="0"/>
          <w:divBdr>
            <w:top w:val="none" w:sz="0" w:space="0" w:color="auto"/>
            <w:left w:val="none" w:sz="0" w:space="0" w:color="auto"/>
            <w:bottom w:val="none" w:sz="0" w:space="0" w:color="auto"/>
            <w:right w:val="none" w:sz="0" w:space="0" w:color="auto"/>
          </w:divBdr>
        </w:div>
        <w:div w:id="1398556694">
          <w:marLeft w:val="1238"/>
          <w:marRight w:val="0"/>
          <w:marTop w:val="120"/>
          <w:marBottom w:val="0"/>
          <w:divBdr>
            <w:top w:val="none" w:sz="0" w:space="0" w:color="auto"/>
            <w:left w:val="none" w:sz="0" w:space="0" w:color="auto"/>
            <w:bottom w:val="none" w:sz="0" w:space="0" w:color="auto"/>
            <w:right w:val="none" w:sz="0" w:space="0" w:color="auto"/>
          </w:divBdr>
        </w:div>
        <w:div w:id="1596284055">
          <w:marLeft w:val="1238"/>
          <w:marRight w:val="0"/>
          <w:marTop w:val="120"/>
          <w:marBottom w:val="0"/>
          <w:divBdr>
            <w:top w:val="none" w:sz="0" w:space="0" w:color="auto"/>
            <w:left w:val="none" w:sz="0" w:space="0" w:color="auto"/>
            <w:bottom w:val="none" w:sz="0" w:space="0" w:color="auto"/>
            <w:right w:val="none" w:sz="0" w:space="0" w:color="auto"/>
          </w:divBdr>
        </w:div>
        <w:div w:id="1894002070">
          <w:marLeft w:val="1238"/>
          <w:marRight w:val="0"/>
          <w:marTop w:val="120"/>
          <w:marBottom w:val="0"/>
          <w:divBdr>
            <w:top w:val="none" w:sz="0" w:space="0" w:color="auto"/>
            <w:left w:val="none" w:sz="0" w:space="0" w:color="auto"/>
            <w:bottom w:val="none" w:sz="0" w:space="0" w:color="auto"/>
            <w:right w:val="none" w:sz="0" w:space="0" w:color="auto"/>
          </w:divBdr>
        </w:div>
        <w:div w:id="1931742245">
          <w:marLeft w:val="1238"/>
          <w:marRight w:val="0"/>
          <w:marTop w:val="120"/>
          <w:marBottom w:val="0"/>
          <w:divBdr>
            <w:top w:val="none" w:sz="0" w:space="0" w:color="auto"/>
            <w:left w:val="none" w:sz="0" w:space="0" w:color="auto"/>
            <w:bottom w:val="none" w:sz="0" w:space="0" w:color="auto"/>
            <w:right w:val="none" w:sz="0" w:space="0" w:color="auto"/>
          </w:divBdr>
        </w:div>
        <w:div w:id="2028092103">
          <w:marLeft w:val="1238"/>
          <w:marRight w:val="0"/>
          <w:marTop w:val="120"/>
          <w:marBottom w:val="0"/>
          <w:divBdr>
            <w:top w:val="none" w:sz="0" w:space="0" w:color="auto"/>
            <w:left w:val="none" w:sz="0" w:space="0" w:color="auto"/>
            <w:bottom w:val="none" w:sz="0" w:space="0" w:color="auto"/>
            <w:right w:val="none" w:sz="0" w:space="0" w:color="auto"/>
          </w:divBdr>
        </w:div>
        <w:div w:id="2092892721">
          <w:marLeft w:val="1238"/>
          <w:marRight w:val="0"/>
          <w:marTop w:val="120"/>
          <w:marBottom w:val="0"/>
          <w:divBdr>
            <w:top w:val="none" w:sz="0" w:space="0" w:color="auto"/>
            <w:left w:val="none" w:sz="0" w:space="0" w:color="auto"/>
            <w:bottom w:val="none" w:sz="0" w:space="0" w:color="auto"/>
            <w:right w:val="none" w:sz="0" w:space="0" w:color="auto"/>
          </w:divBdr>
        </w:div>
      </w:divsChild>
    </w:div>
    <w:div w:id="1372610519">
      <w:bodyDiv w:val="1"/>
      <w:marLeft w:val="0"/>
      <w:marRight w:val="0"/>
      <w:marTop w:val="0"/>
      <w:marBottom w:val="0"/>
      <w:divBdr>
        <w:top w:val="none" w:sz="0" w:space="0" w:color="auto"/>
        <w:left w:val="none" w:sz="0" w:space="0" w:color="auto"/>
        <w:bottom w:val="none" w:sz="0" w:space="0" w:color="auto"/>
        <w:right w:val="none" w:sz="0" w:space="0" w:color="auto"/>
      </w:divBdr>
    </w:div>
    <w:div w:id="1454011270">
      <w:bodyDiv w:val="1"/>
      <w:marLeft w:val="0"/>
      <w:marRight w:val="0"/>
      <w:marTop w:val="0"/>
      <w:marBottom w:val="0"/>
      <w:divBdr>
        <w:top w:val="none" w:sz="0" w:space="0" w:color="auto"/>
        <w:left w:val="none" w:sz="0" w:space="0" w:color="auto"/>
        <w:bottom w:val="none" w:sz="0" w:space="0" w:color="auto"/>
        <w:right w:val="none" w:sz="0" w:space="0" w:color="auto"/>
      </w:divBdr>
      <w:divsChild>
        <w:div w:id="1140460484">
          <w:marLeft w:val="562"/>
          <w:marRight w:val="0"/>
          <w:marTop w:val="120"/>
          <w:marBottom w:val="0"/>
          <w:divBdr>
            <w:top w:val="none" w:sz="0" w:space="0" w:color="auto"/>
            <w:left w:val="none" w:sz="0" w:space="0" w:color="auto"/>
            <w:bottom w:val="none" w:sz="0" w:space="0" w:color="auto"/>
            <w:right w:val="none" w:sz="0" w:space="0" w:color="auto"/>
          </w:divBdr>
        </w:div>
      </w:divsChild>
    </w:div>
    <w:div w:id="1480227803">
      <w:bodyDiv w:val="1"/>
      <w:marLeft w:val="0"/>
      <w:marRight w:val="0"/>
      <w:marTop w:val="0"/>
      <w:marBottom w:val="0"/>
      <w:divBdr>
        <w:top w:val="none" w:sz="0" w:space="0" w:color="auto"/>
        <w:left w:val="none" w:sz="0" w:space="0" w:color="auto"/>
        <w:bottom w:val="none" w:sz="0" w:space="0" w:color="auto"/>
        <w:right w:val="none" w:sz="0" w:space="0" w:color="auto"/>
      </w:divBdr>
      <w:divsChild>
        <w:div w:id="95907257">
          <w:marLeft w:val="274"/>
          <w:marRight w:val="0"/>
          <w:marTop w:val="0"/>
          <w:marBottom w:val="0"/>
          <w:divBdr>
            <w:top w:val="none" w:sz="0" w:space="0" w:color="auto"/>
            <w:left w:val="none" w:sz="0" w:space="0" w:color="auto"/>
            <w:bottom w:val="none" w:sz="0" w:space="0" w:color="auto"/>
            <w:right w:val="none" w:sz="0" w:space="0" w:color="auto"/>
          </w:divBdr>
        </w:div>
        <w:div w:id="102772178">
          <w:marLeft w:val="274"/>
          <w:marRight w:val="0"/>
          <w:marTop w:val="0"/>
          <w:marBottom w:val="0"/>
          <w:divBdr>
            <w:top w:val="none" w:sz="0" w:space="0" w:color="auto"/>
            <w:left w:val="none" w:sz="0" w:space="0" w:color="auto"/>
            <w:bottom w:val="none" w:sz="0" w:space="0" w:color="auto"/>
            <w:right w:val="none" w:sz="0" w:space="0" w:color="auto"/>
          </w:divBdr>
        </w:div>
        <w:div w:id="152573727">
          <w:marLeft w:val="274"/>
          <w:marRight w:val="0"/>
          <w:marTop w:val="0"/>
          <w:marBottom w:val="0"/>
          <w:divBdr>
            <w:top w:val="none" w:sz="0" w:space="0" w:color="auto"/>
            <w:left w:val="none" w:sz="0" w:space="0" w:color="auto"/>
            <w:bottom w:val="none" w:sz="0" w:space="0" w:color="auto"/>
            <w:right w:val="none" w:sz="0" w:space="0" w:color="auto"/>
          </w:divBdr>
        </w:div>
        <w:div w:id="196893458">
          <w:marLeft w:val="274"/>
          <w:marRight w:val="0"/>
          <w:marTop w:val="0"/>
          <w:marBottom w:val="0"/>
          <w:divBdr>
            <w:top w:val="none" w:sz="0" w:space="0" w:color="auto"/>
            <w:left w:val="none" w:sz="0" w:space="0" w:color="auto"/>
            <w:bottom w:val="none" w:sz="0" w:space="0" w:color="auto"/>
            <w:right w:val="none" w:sz="0" w:space="0" w:color="auto"/>
          </w:divBdr>
        </w:div>
        <w:div w:id="260458260">
          <w:marLeft w:val="274"/>
          <w:marRight w:val="0"/>
          <w:marTop w:val="0"/>
          <w:marBottom w:val="0"/>
          <w:divBdr>
            <w:top w:val="none" w:sz="0" w:space="0" w:color="auto"/>
            <w:left w:val="none" w:sz="0" w:space="0" w:color="auto"/>
            <w:bottom w:val="none" w:sz="0" w:space="0" w:color="auto"/>
            <w:right w:val="none" w:sz="0" w:space="0" w:color="auto"/>
          </w:divBdr>
        </w:div>
        <w:div w:id="312638718">
          <w:marLeft w:val="274"/>
          <w:marRight w:val="0"/>
          <w:marTop w:val="0"/>
          <w:marBottom w:val="0"/>
          <w:divBdr>
            <w:top w:val="none" w:sz="0" w:space="0" w:color="auto"/>
            <w:left w:val="none" w:sz="0" w:space="0" w:color="auto"/>
            <w:bottom w:val="none" w:sz="0" w:space="0" w:color="auto"/>
            <w:right w:val="none" w:sz="0" w:space="0" w:color="auto"/>
          </w:divBdr>
        </w:div>
        <w:div w:id="352191349">
          <w:marLeft w:val="274"/>
          <w:marRight w:val="0"/>
          <w:marTop w:val="0"/>
          <w:marBottom w:val="0"/>
          <w:divBdr>
            <w:top w:val="none" w:sz="0" w:space="0" w:color="auto"/>
            <w:left w:val="none" w:sz="0" w:space="0" w:color="auto"/>
            <w:bottom w:val="none" w:sz="0" w:space="0" w:color="auto"/>
            <w:right w:val="none" w:sz="0" w:space="0" w:color="auto"/>
          </w:divBdr>
        </w:div>
        <w:div w:id="380519516">
          <w:marLeft w:val="274"/>
          <w:marRight w:val="0"/>
          <w:marTop w:val="0"/>
          <w:marBottom w:val="0"/>
          <w:divBdr>
            <w:top w:val="none" w:sz="0" w:space="0" w:color="auto"/>
            <w:left w:val="none" w:sz="0" w:space="0" w:color="auto"/>
            <w:bottom w:val="none" w:sz="0" w:space="0" w:color="auto"/>
            <w:right w:val="none" w:sz="0" w:space="0" w:color="auto"/>
          </w:divBdr>
        </w:div>
        <w:div w:id="530920989">
          <w:marLeft w:val="274"/>
          <w:marRight w:val="0"/>
          <w:marTop w:val="0"/>
          <w:marBottom w:val="0"/>
          <w:divBdr>
            <w:top w:val="none" w:sz="0" w:space="0" w:color="auto"/>
            <w:left w:val="none" w:sz="0" w:space="0" w:color="auto"/>
            <w:bottom w:val="none" w:sz="0" w:space="0" w:color="auto"/>
            <w:right w:val="none" w:sz="0" w:space="0" w:color="auto"/>
          </w:divBdr>
        </w:div>
        <w:div w:id="588346770">
          <w:marLeft w:val="274"/>
          <w:marRight w:val="0"/>
          <w:marTop w:val="0"/>
          <w:marBottom w:val="0"/>
          <w:divBdr>
            <w:top w:val="none" w:sz="0" w:space="0" w:color="auto"/>
            <w:left w:val="none" w:sz="0" w:space="0" w:color="auto"/>
            <w:bottom w:val="none" w:sz="0" w:space="0" w:color="auto"/>
            <w:right w:val="none" w:sz="0" w:space="0" w:color="auto"/>
          </w:divBdr>
        </w:div>
        <w:div w:id="621231072">
          <w:marLeft w:val="274"/>
          <w:marRight w:val="0"/>
          <w:marTop w:val="0"/>
          <w:marBottom w:val="0"/>
          <w:divBdr>
            <w:top w:val="none" w:sz="0" w:space="0" w:color="auto"/>
            <w:left w:val="none" w:sz="0" w:space="0" w:color="auto"/>
            <w:bottom w:val="none" w:sz="0" w:space="0" w:color="auto"/>
            <w:right w:val="none" w:sz="0" w:space="0" w:color="auto"/>
          </w:divBdr>
        </w:div>
        <w:div w:id="625309833">
          <w:marLeft w:val="274"/>
          <w:marRight w:val="0"/>
          <w:marTop w:val="0"/>
          <w:marBottom w:val="0"/>
          <w:divBdr>
            <w:top w:val="none" w:sz="0" w:space="0" w:color="auto"/>
            <w:left w:val="none" w:sz="0" w:space="0" w:color="auto"/>
            <w:bottom w:val="none" w:sz="0" w:space="0" w:color="auto"/>
            <w:right w:val="none" w:sz="0" w:space="0" w:color="auto"/>
          </w:divBdr>
        </w:div>
        <w:div w:id="695808215">
          <w:marLeft w:val="274"/>
          <w:marRight w:val="0"/>
          <w:marTop w:val="0"/>
          <w:marBottom w:val="0"/>
          <w:divBdr>
            <w:top w:val="none" w:sz="0" w:space="0" w:color="auto"/>
            <w:left w:val="none" w:sz="0" w:space="0" w:color="auto"/>
            <w:bottom w:val="none" w:sz="0" w:space="0" w:color="auto"/>
            <w:right w:val="none" w:sz="0" w:space="0" w:color="auto"/>
          </w:divBdr>
        </w:div>
        <w:div w:id="772476716">
          <w:marLeft w:val="274"/>
          <w:marRight w:val="0"/>
          <w:marTop w:val="0"/>
          <w:marBottom w:val="0"/>
          <w:divBdr>
            <w:top w:val="none" w:sz="0" w:space="0" w:color="auto"/>
            <w:left w:val="none" w:sz="0" w:space="0" w:color="auto"/>
            <w:bottom w:val="none" w:sz="0" w:space="0" w:color="auto"/>
            <w:right w:val="none" w:sz="0" w:space="0" w:color="auto"/>
          </w:divBdr>
        </w:div>
        <w:div w:id="886529337">
          <w:marLeft w:val="274"/>
          <w:marRight w:val="0"/>
          <w:marTop w:val="0"/>
          <w:marBottom w:val="0"/>
          <w:divBdr>
            <w:top w:val="none" w:sz="0" w:space="0" w:color="auto"/>
            <w:left w:val="none" w:sz="0" w:space="0" w:color="auto"/>
            <w:bottom w:val="none" w:sz="0" w:space="0" w:color="auto"/>
            <w:right w:val="none" w:sz="0" w:space="0" w:color="auto"/>
          </w:divBdr>
        </w:div>
        <w:div w:id="921573218">
          <w:marLeft w:val="274"/>
          <w:marRight w:val="0"/>
          <w:marTop w:val="0"/>
          <w:marBottom w:val="0"/>
          <w:divBdr>
            <w:top w:val="none" w:sz="0" w:space="0" w:color="auto"/>
            <w:left w:val="none" w:sz="0" w:space="0" w:color="auto"/>
            <w:bottom w:val="none" w:sz="0" w:space="0" w:color="auto"/>
            <w:right w:val="none" w:sz="0" w:space="0" w:color="auto"/>
          </w:divBdr>
        </w:div>
        <w:div w:id="1085565570">
          <w:marLeft w:val="274"/>
          <w:marRight w:val="0"/>
          <w:marTop w:val="0"/>
          <w:marBottom w:val="0"/>
          <w:divBdr>
            <w:top w:val="none" w:sz="0" w:space="0" w:color="auto"/>
            <w:left w:val="none" w:sz="0" w:space="0" w:color="auto"/>
            <w:bottom w:val="none" w:sz="0" w:space="0" w:color="auto"/>
            <w:right w:val="none" w:sz="0" w:space="0" w:color="auto"/>
          </w:divBdr>
        </w:div>
        <w:div w:id="1089422630">
          <w:marLeft w:val="274"/>
          <w:marRight w:val="0"/>
          <w:marTop w:val="0"/>
          <w:marBottom w:val="0"/>
          <w:divBdr>
            <w:top w:val="none" w:sz="0" w:space="0" w:color="auto"/>
            <w:left w:val="none" w:sz="0" w:space="0" w:color="auto"/>
            <w:bottom w:val="none" w:sz="0" w:space="0" w:color="auto"/>
            <w:right w:val="none" w:sz="0" w:space="0" w:color="auto"/>
          </w:divBdr>
        </w:div>
        <w:div w:id="1253389267">
          <w:marLeft w:val="274"/>
          <w:marRight w:val="0"/>
          <w:marTop w:val="0"/>
          <w:marBottom w:val="0"/>
          <w:divBdr>
            <w:top w:val="none" w:sz="0" w:space="0" w:color="auto"/>
            <w:left w:val="none" w:sz="0" w:space="0" w:color="auto"/>
            <w:bottom w:val="none" w:sz="0" w:space="0" w:color="auto"/>
            <w:right w:val="none" w:sz="0" w:space="0" w:color="auto"/>
          </w:divBdr>
        </w:div>
        <w:div w:id="1340236116">
          <w:marLeft w:val="274"/>
          <w:marRight w:val="0"/>
          <w:marTop w:val="0"/>
          <w:marBottom w:val="0"/>
          <w:divBdr>
            <w:top w:val="none" w:sz="0" w:space="0" w:color="auto"/>
            <w:left w:val="none" w:sz="0" w:space="0" w:color="auto"/>
            <w:bottom w:val="none" w:sz="0" w:space="0" w:color="auto"/>
            <w:right w:val="none" w:sz="0" w:space="0" w:color="auto"/>
          </w:divBdr>
        </w:div>
        <w:div w:id="1350596751">
          <w:marLeft w:val="274"/>
          <w:marRight w:val="0"/>
          <w:marTop w:val="0"/>
          <w:marBottom w:val="0"/>
          <w:divBdr>
            <w:top w:val="none" w:sz="0" w:space="0" w:color="auto"/>
            <w:left w:val="none" w:sz="0" w:space="0" w:color="auto"/>
            <w:bottom w:val="none" w:sz="0" w:space="0" w:color="auto"/>
            <w:right w:val="none" w:sz="0" w:space="0" w:color="auto"/>
          </w:divBdr>
        </w:div>
        <w:div w:id="1410687311">
          <w:marLeft w:val="274"/>
          <w:marRight w:val="0"/>
          <w:marTop w:val="0"/>
          <w:marBottom w:val="0"/>
          <w:divBdr>
            <w:top w:val="none" w:sz="0" w:space="0" w:color="auto"/>
            <w:left w:val="none" w:sz="0" w:space="0" w:color="auto"/>
            <w:bottom w:val="none" w:sz="0" w:space="0" w:color="auto"/>
            <w:right w:val="none" w:sz="0" w:space="0" w:color="auto"/>
          </w:divBdr>
        </w:div>
        <w:div w:id="1611890079">
          <w:marLeft w:val="274"/>
          <w:marRight w:val="0"/>
          <w:marTop w:val="0"/>
          <w:marBottom w:val="0"/>
          <w:divBdr>
            <w:top w:val="none" w:sz="0" w:space="0" w:color="auto"/>
            <w:left w:val="none" w:sz="0" w:space="0" w:color="auto"/>
            <w:bottom w:val="none" w:sz="0" w:space="0" w:color="auto"/>
            <w:right w:val="none" w:sz="0" w:space="0" w:color="auto"/>
          </w:divBdr>
        </w:div>
        <w:div w:id="1881429448">
          <w:marLeft w:val="274"/>
          <w:marRight w:val="0"/>
          <w:marTop w:val="0"/>
          <w:marBottom w:val="0"/>
          <w:divBdr>
            <w:top w:val="none" w:sz="0" w:space="0" w:color="auto"/>
            <w:left w:val="none" w:sz="0" w:space="0" w:color="auto"/>
            <w:bottom w:val="none" w:sz="0" w:space="0" w:color="auto"/>
            <w:right w:val="none" w:sz="0" w:space="0" w:color="auto"/>
          </w:divBdr>
        </w:div>
        <w:div w:id="2017728094">
          <w:marLeft w:val="274"/>
          <w:marRight w:val="0"/>
          <w:marTop w:val="0"/>
          <w:marBottom w:val="0"/>
          <w:divBdr>
            <w:top w:val="none" w:sz="0" w:space="0" w:color="auto"/>
            <w:left w:val="none" w:sz="0" w:space="0" w:color="auto"/>
            <w:bottom w:val="none" w:sz="0" w:space="0" w:color="auto"/>
            <w:right w:val="none" w:sz="0" w:space="0" w:color="auto"/>
          </w:divBdr>
        </w:div>
        <w:div w:id="2075160731">
          <w:marLeft w:val="274"/>
          <w:marRight w:val="0"/>
          <w:marTop w:val="0"/>
          <w:marBottom w:val="0"/>
          <w:divBdr>
            <w:top w:val="none" w:sz="0" w:space="0" w:color="auto"/>
            <w:left w:val="none" w:sz="0" w:space="0" w:color="auto"/>
            <w:bottom w:val="none" w:sz="0" w:space="0" w:color="auto"/>
            <w:right w:val="none" w:sz="0" w:space="0" w:color="auto"/>
          </w:divBdr>
        </w:div>
      </w:divsChild>
    </w:div>
    <w:div w:id="1732999772">
      <w:bodyDiv w:val="1"/>
      <w:marLeft w:val="0"/>
      <w:marRight w:val="0"/>
      <w:marTop w:val="0"/>
      <w:marBottom w:val="0"/>
      <w:divBdr>
        <w:top w:val="none" w:sz="0" w:space="0" w:color="auto"/>
        <w:left w:val="none" w:sz="0" w:space="0" w:color="auto"/>
        <w:bottom w:val="none" w:sz="0" w:space="0" w:color="auto"/>
        <w:right w:val="none" w:sz="0" w:space="0" w:color="auto"/>
      </w:divBdr>
      <w:divsChild>
        <w:div w:id="144665398">
          <w:marLeft w:val="288"/>
          <w:marRight w:val="0"/>
          <w:marTop w:val="0"/>
          <w:marBottom w:val="0"/>
          <w:divBdr>
            <w:top w:val="none" w:sz="0" w:space="0" w:color="auto"/>
            <w:left w:val="none" w:sz="0" w:space="0" w:color="auto"/>
            <w:bottom w:val="none" w:sz="0" w:space="0" w:color="auto"/>
            <w:right w:val="none" w:sz="0" w:space="0" w:color="auto"/>
          </w:divBdr>
        </w:div>
        <w:div w:id="260258292">
          <w:marLeft w:val="288"/>
          <w:marRight w:val="0"/>
          <w:marTop w:val="0"/>
          <w:marBottom w:val="0"/>
          <w:divBdr>
            <w:top w:val="none" w:sz="0" w:space="0" w:color="auto"/>
            <w:left w:val="none" w:sz="0" w:space="0" w:color="auto"/>
            <w:bottom w:val="none" w:sz="0" w:space="0" w:color="auto"/>
            <w:right w:val="none" w:sz="0" w:space="0" w:color="auto"/>
          </w:divBdr>
        </w:div>
        <w:div w:id="377121013">
          <w:marLeft w:val="288"/>
          <w:marRight w:val="0"/>
          <w:marTop w:val="0"/>
          <w:marBottom w:val="0"/>
          <w:divBdr>
            <w:top w:val="none" w:sz="0" w:space="0" w:color="auto"/>
            <w:left w:val="none" w:sz="0" w:space="0" w:color="auto"/>
            <w:bottom w:val="none" w:sz="0" w:space="0" w:color="auto"/>
            <w:right w:val="none" w:sz="0" w:space="0" w:color="auto"/>
          </w:divBdr>
        </w:div>
        <w:div w:id="650522878">
          <w:marLeft w:val="288"/>
          <w:marRight w:val="0"/>
          <w:marTop w:val="0"/>
          <w:marBottom w:val="0"/>
          <w:divBdr>
            <w:top w:val="none" w:sz="0" w:space="0" w:color="auto"/>
            <w:left w:val="none" w:sz="0" w:space="0" w:color="auto"/>
            <w:bottom w:val="none" w:sz="0" w:space="0" w:color="auto"/>
            <w:right w:val="none" w:sz="0" w:space="0" w:color="auto"/>
          </w:divBdr>
        </w:div>
        <w:div w:id="726337999">
          <w:marLeft w:val="288"/>
          <w:marRight w:val="0"/>
          <w:marTop w:val="0"/>
          <w:marBottom w:val="0"/>
          <w:divBdr>
            <w:top w:val="none" w:sz="0" w:space="0" w:color="auto"/>
            <w:left w:val="none" w:sz="0" w:space="0" w:color="auto"/>
            <w:bottom w:val="none" w:sz="0" w:space="0" w:color="auto"/>
            <w:right w:val="none" w:sz="0" w:space="0" w:color="auto"/>
          </w:divBdr>
        </w:div>
        <w:div w:id="891233057">
          <w:marLeft w:val="288"/>
          <w:marRight w:val="0"/>
          <w:marTop w:val="0"/>
          <w:marBottom w:val="0"/>
          <w:divBdr>
            <w:top w:val="none" w:sz="0" w:space="0" w:color="auto"/>
            <w:left w:val="none" w:sz="0" w:space="0" w:color="auto"/>
            <w:bottom w:val="none" w:sz="0" w:space="0" w:color="auto"/>
            <w:right w:val="none" w:sz="0" w:space="0" w:color="auto"/>
          </w:divBdr>
        </w:div>
        <w:div w:id="1122768979">
          <w:marLeft w:val="288"/>
          <w:marRight w:val="0"/>
          <w:marTop w:val="0"/>
          <w:marBottom w:val="0"/>
          <w:divBdr>
            <w:top w:val="none" w:sz="0" w:space="0" w:color="auto"/>
            <w:left w:val="none" w:sz="0" w:space="0" w:color="auto"/>
            <w:bottom w:val="none" w:sz="0" w:space="0" w:color="auto"/>
            <w:right w:val="none" w:sz="0" w:space="0" w:color="auto"/>
          </w:divBdr>
        </w:div>
        <w:div w:id="1249928044">
          <w:marLeft w:val="288"/>
          <w:marRight w:val="0"/>
          <w:marTop w:val="0"/>
          <w:marBottom w:val="0"/>
          <w:divBdr>
            <w:top w:val="none" w:sz="0" w:space="0" w:color="auto"/>
            <w:left w:val="none" w:sz="0" w:space="0" w:color="auto"/>
            <w:bottom w:val="none" w:sz="0" w:space="0" w:color="auto"/>
            <w:right w:val="none" w:sz="0" w:space="0" w:color="auto"/>
          </w:divBdr>
        </w:div>
        <w:div w:id="1348092401">
          <w:marLeft w:val="288"/>
          <w:marRight w:val="0"/>
          <w:marTop w:val="0"/>
          <w:marBottom w:val="0"/>
          <w:divBdr>
            <w:top w:val="none" w:sz="0" w:space="0" w:color="auto"/>
            <w:left w:val="none" w:sz="0" w:space="0" w:color="auto"/>
            <w:bottom w:val="none" w:sz="0" w:space="0" w:color="auto"/>
            <w:right w:val="none" w:sz="0" w:space="0" w:color="auto"/>
          </w:divBdr>
        </w:div>
        <w:div w:id="1447583440">
          <w:marLeft w:val="288"/>
          <w:marRight w:val="0"/>
          <w:marTop w:val="0"/>
          <w:marBottom w:val="0"/>
          <w:divBdr>
            <w:top w:val="none" w:sz="0" w:space="0" w:color="auto"/>
            <w:left w:val="none" w:sz="0" w:space="0" w:color="auto"/>
            <w:bottom w:val="none" w:sz="0" w:space="0" w:color="auto"/>
            <w:right w:val="none" w:sz="0" w:space="0" w:color="auto"/>
          </w:divBdr>
        </w:div>
        <w:div w:id="1460100848">
          <w:marLeft w:val="288"/>
          <w:marRight w:val="0"/>
          <w:marTop w:val="0"/>
          <w:marBottom w:val="0"/>
          <w:divBdr>
            <w:top w:val="none" w:sz="0" w:space="0" w:color="auto"/>
            <w:left w:val="none" w:sz="0" w:space="0" w:color="auto"/>
            <w:bottom w:val="none" w:sz="0" w:space="0" w:color="auto"/>
            <w:right w:val="none" w:sz="0" w:space="0" w:color="auto"/>
          </w:divBdr>
        </w:div>
        <w:div w:id="1539582108">
          <w:marLeft w:val="288"/>
          <w:marRight w:val="0"/>
          <w:marTop w:val="0"/>
          <w:marBottom w:val="0"/>
          <w:divBdr>
            <w:top w:val="none" w:sz="0" w:space="0" w:color="auto"/>
            <w:left w:val="none" w:sz="0" w:space="0" w:color="auto"/>
            <w:bottom w:val="none" w:sz="0" w:space="0" w:color="auto"/>
            <w:right w:val="none" w:sz="0" w:space="0" w:color="auto"/>
          </w:divBdr>
        </w:div>
        <w:div w:id="1579905504">
          <w:marLeft w:val="288"/>
          <w:marRight w:val="0"/>
          <w:marTop w:val="0"/>
          <w:marBottom w:val="0"/>
          <w:divBdr>
            <w:top w:val="none" w:sz="0" w:space="0" w:color="auto"/>
            <w:left w:val="none" w:sz="0" w:space="0" w:color="auto"/>
            <w:bottom w:val="none" w:sz="0" w:space="0" w:color="auto"/>
            <w:right w:val="none" w:sz="0" w:space="0" w:color="auto"/>
          </w:divBdr>
        </w:div>
        <w:div w:id="1582443029">
          <w:marLeft w:val="288"/>
          <w:marRight w:val="0"/>
          <w:marTop w:val="0"/>
          <w:marBottom w:val="0"/>
          <w:divBdr>
            <w:top w:val="none" w:sz="0" w:space="0" w:color="auto"/>
            <w:left w:val="none" w:sz="0" w:space="0" w:color="auto"/>
            <w:bottom w:val="none" w:sz="0" w:space="0" w:color="auto"/>
            <w:right w:val="none" w:sz="0" w:space="0" w:color="auto"/>
          </w:divBdr>
        </w:div>
        <w:div w:id="1758137678">
          <w:marLeft w:val="288"/>
          <w:marRight w:val="0"/>
          <w:marTop w:val="0"/>
          <w:marBottom w:val="0"/>
          <w:divBdr>
            <w:top w:val="none" w:sz="0" w:space="0" w:color="auto"/>
            <w:left w:val="none" w:sz="0" w:space="0" w:color="auto"/>
            <w:bottom w:val="none" w:sz="0" w:space="0" w:color="auto"/>
            <w:right w:val="none" w:sz="0" w:space="0" w:color="auto"/>
          </w:divBdr>
        </w:div>
        <w:div w:id="1866360800">
          <w:marLeft w:val="288"/>
          <w:marRight w:val="0"/>
          <w:marTop w:val="0"/>
          <w:marBottom w:val="0"/>
          <w:divBdr>
            <w:top w:val="none" w:sz="0" w:space="0" w:color="auto"/>
            <w:left w:val="none" w:sz="0" w:space="0" w:color="auto"/>
            <w:bottom w:val="none" w:sz="0" w:space="0" w:color="auto"/>
            <w:right w:val="none" w:sz="0" w:space="0" w:color="auto"/>
          </w:divBdr>
        </w:div>
      </w:divsChild>
    </w:div>
    <w:div w:id="1831099185">
      <w:bodyDiv w:val="1"/>
      <w:marLeft w:val="0"/>
      <w:marRight w:val="0"/>
      <w:marTop w:val="0"/>
      <w:marBottom w:val="0"/>
      <w:divBdr>
        <w:top w:val="none" w:sz="0" w:space="0" w:color="auto"/>
        <w:left w:val="none" w:sz="0" w:space="0" w:color="auto"/>
        <w:bottom w:val="none" w:sz="0" w:space="0" w:color="auto"/>
        <w:right w:val="none" w:sz="0" w:space="0" w:color="auto"/>
      </w:divBdr>
    </w:div>
    <w:div w:id="1942838920">
      <w:bodyDiv w:val="1"/>
      <w:marLeft w:val="0"/>
      <w:marRight w:val="0"/>
      <w:marTop w:val="0"/>
      <w:marBottom w:val="0"/>
      <w:divBdr>
        <w:top w:val="none" w:sz="0" w:space="0" w:color="auto"/>
        <w:left w:val="none" w:sz="0" w:space="0" w:color="auto"/>
        <w:bottom w:val="none" w:sz="0" w:space="0" w:color="auto"/>
        <w:right w:val="none" w:sz="0" w:space="0" w:color="auto"/>
      </w:divBdr>
    </w:div>
    <w:div w:id="1944992911">
      <w:bodyDiv w:val="1"/>
      <w:marLeft w:val="0"/>
      <w:marRight w:val="0"/>
      <w:marTop w:val="0"/>
      <w:marBottom w:val="0"/>
      <w:divBdr>
        <w:top w:val="none" w:sz="0" w:space="0" w:color="auto"/>
        <w:left w:val="none" w:sz="0" w:space="0" w:color="auto"/>
        <w:bottom w:val="none" w:sz="0" w:space="0" w:color="auto"/>
        <w:right w:val="none" w:sz="0" w:space="0" w:color="auto"/>
      </w:divBdr>
    </w:div>
    <w:div w:id="2033720033">
      <w:bodyDiv w:val="1"/>
      <w:marLeft w:val="0"/>
      <w:marRight w:val="0"/>
      <w:marTop w:val="0"/>
      <w:marBottom w:val="0"/>
      <w:divBdr>
        <w:top w:val="none" w:sz="0" w:space="0" w:color="auto"/>
        <w:left w:val="none" w:sz="0" w:space="0" w:color="auto"/>
        <w:bottom w:val="none" w:sz="0" w:space="0" w:color="auto"/>
        <w:right w:val="none" w:sz="0" w:space="0" w:color="auto"/>
      </w:divBdr>
    </w:div>
    <w:div w:id="2062093408">
      <w:bodyDiv w:val="1"/>
      <w:marLeft w:val="0"/>
      <w:marRight w:val="0"/>
      <w:marTop w:val="0"/>
      <w:marBottom w:val="0"/>
      <w:divBdr>
        <w:top w:val="none" w:sz="0" w:space="0" w:color="auto"/>
        <w:left w:val="none" w:sz="0" w:space="0" w:color="auto"/>
        <w:bottom w:val="none" w:sz="0" w:space="0" w:color="auto"/>
        <w:right w:val="none" w:sz="0" w:space="0" w:color="auto"/>
      </w:divBdr>
    </w:div>
    <w:div w:id="2095318559">
      <w:bodyDiv w:val="1"/>
      <w:marLeft w:val="0"/>
      <w:marRight w:val="0"/>
      <w:marTop w:val="0"/>
      <w:marBottom w:val="0"/>
      <w:divBdr>
        <w:top w:val="none" w:sz="0" w:space="0" w:color="auto"/>
        <w:left w:val="none" w:sz="0" w:space="0" w:color="auto"/>
        <w:bottom w:val="none" w:sz="0" w:space="0" w:color="auto"/>
        <w:right w:val="none" w:sz="0" w:space="0" w:color="auto"/>
      </w:divBdr>
      <w:divsChild>
        <w:div w:id="10648892">
          <w:marLeft w:val="274"/>
          <w:marRight w:val="0"/>
          <w:marTop w:val="0"/>
          <w:marBottom w:val="0"/>
          <w:divBdr>
            <w:top w:val="none" w:sz="0" w:space="0" w:color="auto"/>
            <w:left w:val="none" w:sz="0" w:space="0" w:color="auto"/>
            <w:bottom w:val="none" w:sz="0" w:space="0" w:color="auto"/>
            <w:right w:val="none" w:sz="0" w:space="0" w:color="auto"/>
          </w:divBdr>
        </w:div>
        <w:div w:id="68894712">
          <w:marLeft w:val="274"/>
          <w:marRight w:val="0"/>
          <w:marTop w:val="0"/>
          <w:marBottom w:val="0"/>
          <w:divBdr>
            <w:top w:val="none" w:sz="0" w:space="0" w:color="auto"/>
            <w:left w:val="none" w:sz="0" w:space="0" w:color="auto"/>
            <w:bottom w:val="none" w:sz="0" w:space="0" w:color="auto"/>
            <w:right w:val="none" w:sz="0" w:space="0" w:color="auto"/>
          </w:divBdr>
        </w:div>
        <w:div w:id="296180350">
          <w:marLeft w:val="274"/>
          <w:marRight w:val="0"/>
          <w:marTop w:val="0"/>
          <w:marBottom w:val="0"/>
          <w:divBdr>
            <w:top w:val="none" w:sz="0" w:space="0" w:color="auto"/>
            <w:left w:val="none" w:sz="0" w:space="0" w:color="auto"/>
            <w:bottom w:val="none" w:sz="0" w:space="0" w:color="auto"/>
            <w:right w:val="none" w:sz="0" w:space="0" w:color="auto"/>
          </w:divBdr>
        </w:div>
        <w:div w:id="402915399">
          <w:marLeft w:val="274"/>
          <w:marRight w:val="0"/>
          <w:marTop w:val="0"/>
          <w:marBottom w:val="0"/>
          <w:divBdr>
            <w:top w:val="none" w:sz="0" w:space="0" w:color="auto"/>
            <w:left w:val="none" w:sz="0" w:space="0" w:color="auto"/>
            <w:bottom w:val="none" w:sz="0" w:space="0" w:color="auto"/>
            <w:right w:val="none" w:sz="0" w:space="0" w:color="auto"/>
          </w:divBdr>
        </w:div>
        <w:div w:id="526718642">
          <w:marLeft w:val="274"/>
          <w:marRight w:val="0"/>
          <w:marTop w:val="0"/>
          <w:marBottom w:val="0"/>
          <w:divBdr>
            <w:top w:val="none" w:sz="0" w:space="0" w:color="auto"/>
            <w:left w:val="none" w:sz="0" w:space="0" w:color="auto"/>
            <w:bottom w:val="none" w:sz="0" w:space="0" w:color="auto"/>
            <w:right w:val="none" w:sz="0" w:space="0" w:color="auto"/>
          </w:divBdr>
        </w:div>
        <w:div w:id="536745290">
          <w:marLeft w:val="274"/>
          <w:marRight w:val="0"/>
          <w:marTop w:val="0"/>
          <w:marBottom w:val="0"/>
          <w:divBdr>
            <w:top w:val="none" w:sz="0" w:space="0" w:color="auto"/>
            <w:left w:val="none" w:sz="0" w:space="0" w:color="auto"/>
            <w:bottom w:val="none" w:sz="0" w:space="0" w:color="auto"/>
            <w:right w:val="none" w:sz="0" w:space="0" w:color="auto"/>
          </w:divBdr>
        </w:div>
        <w:div w:id="573857952">
          <w:marLeft w:val="274"/>
          <w:marRight w:val="0"/>
          <w:marTop w:val="0"/>
          <w:marBottom w:val="0"/>
          <w:divBdr>
            <w:top w:val="none" w:sz="0" w:space="0" w:color="auto"/>
            <w:left w:val="none" w:sz="0" w:space="0" w:color="auto"/>
            <w:bottom w:val="none" w:sz="0" w:space="0" w:color="auto"/>
            <w:right w:val="none" w:sz="0" w:space="0" w:color="auto"/>
          </w:divBdr>
        </w:div>
        <w:div w:id="636228598">
          <w:marLeft w:val="274"/>
          <w:marRight w:val="0"/>
          <w:marTop w:val="0"/>
          <w:marBottom w:val="0"/>
          <w:divBdr>
            <w:top w:val="none" w:sz="0" w:space="0" w:color="auto"/>
            <w:left w:val="none" w:sz="0" w:space="0" w:color="auto"/>
            <w:bottom w:val="none" w:sz="0" w:space="0" w:color="auto"/>
            <w:right w:val="none" w:sz="0" w:space="0" w:color="auto"/>
          </w:divBdr>
        </w:div>
        <w:div w:id="883911973">
          <w:marLeft w:val="274"/>
          <w:marRight w:val="0"/>
          <w:marTop w:val="0"/>
          <w:marBottom w:val="0"/>
          <w:divBdr>
            <w:top w:val="none" w:sz="0" w:space="0" w:color="auto"/>
            <w:left w:val="none" w:sz="0" w:space="0" w:color="auto"/>
            <w:bottom w:val="none" w:sz="0" w:space="0" w:color="auto"/>
            <w:right w:val="none" w:sz="0" w:space="0" w:color="auto"/>
          </w:divBdr>
        </w:div>
        <w:div w:id="895504498">
          <w:marLeft w:val="274"/>
          <w:marRight w:val="0"/>
          <w:marTop w:val="0"/>
          <w:marBottom w:val="0"/>
          <w:divBdr>
            <w:top w:val="none" w:sz="0" w:space="0" w:color="auto"/>
            <w:left w:val="none" w:sz="0" w:space="0" w:color="auto"/>
            <w:bottom w:val="none" w:sz="0" w:space="0" w:color="auto"/>
            <w:right w:val="none" w:sz="0" w:space="0" w:color="auto"/>
          </w:divBdr>
        </w:div>
        <w:div w:id="978075447">
          <w:marLeft w:val="274"/>
          <w:marRight w:val="0"/>
          <w:marTop w:val="0"/>
          <w:marBottom w:val="0"/>
          <w:divBdr>
            <w:top w:val="none" w:sz="0" w:space="0" w:color="auto"/>
            <w:left w:val="none" w:sz="0" w:space="0" w:color="auto"/>
            <w:bottom w:val="none" w:sz="0" w:space="0" w:color="auto"/>
            <w:right w:val="none" w:sz="0" w:space="0" w:color="auto"/>
          </w:divBdr>
        </w:div>
        <w:div w:id="1073620952">
          <w:marLeft w:val="274"/>
          <w:marRight w:val="0"/>
          <w:marTop w:val="0"/>
          <w:marBottom w:val="0"/>
          <w:divBdr>
            <w:top w:val="none" w:sz="0" w:space="0" w:color="auto"/>
            <w:left w:val="none" w:sz="0" w:space="0" w:color="auto"/>
            <w:bottom w:val="none" w:sz="0" w:space="0" w:color="auto"/>
            <w:right w:val="none" w:sz="0" w:space="0" w:color="auto"/>
          </w:divBdr>
        </w:div>
        <w:div w:id="1186402172">
          <w:marLeft w:val="274"/>
          <w:marRight w:val="0"/>
          <w:marTop w:val="0"/>
          <w:marBottom w:val="0"/>
          <w:divBdr>
            <w:top w:val="none" w:sz="0" w:space="0" w:color="auto"/>
            <w:left w:val="none" w:sz="0" w:space="0" w:color="auto"/>
            <w:bottom w:val="none" w:sz="0" w:space="0" w:color="auto"/>
            <w:right w:val="none" w:sz="0" w:space="0" w:color="auto"/>
          </w:divBdr>
        </w:div>
        <w:div w:id="1216820744">
          <w:marLeft w:val="274"/>
          <w:marRight w:val="0"/>
          <w:marTop w:val="0"/>
          <w:marBottom w:val="0"/>
          <w:divBdr>
            <w:top w:val="none" w:sz="0" w:space="0" w:color="auto"/>
            <w:left w:val="none" w:sz="0" w:space="0" w:color="auto"/>
            <w:bottom w:val="none" w:sz="0" w:space="0" w:color="auto"/>
            <w:right w:val="none" w:sz="0" w:space="0" w:color="auto"/>
          </w:divBdr>
        </w:div>
        <w:div w:id="1221088058">
          <w:marLeft w:val="274"/>
          <w:marRight w:val="0"/>
          <w:marTop w:val="0"/>
          <w:marBottom w:val="0"/>
          <w:divBdr>
            <w:top w:val="none" w:sz="0" w:space="0" w:color="auto"/>
            <w:left w:val="none" w:sz="0" w:space="0" w:color="auto"/>
            <w:bottom w:val="none" w:sz="0" w:space="0" w:color="auto"/>
            <w:right w:val="none" w:sz="0" w:space="0" w:color="auto"/>
          </w:divBdr>
        </w:div>
        <w:div w:id="1299609885">
          <w:marLeft w:val="274"/>
          <w:marRight w:val="0"/>
          <w:marTop w:val="0"/>
          <w:marBottom w:val="0"/>
          <w:divBdr>
            <w:top w:val="none" w:sz="0" w:space="0" w:color="auto"/>
            <w:left w:val="none" w:sz="0" w:space="0" w:color="auto"/>
            <w:bottom w:val="none" w:sz="0" w:space="0" w:color="auto"/>
            <w:right w:val="none" w:sz="0" w:space="0" w:color="auto"/>
          </w:divBdr>
        </w:div>
        <w:div w:id="1318682307">
          <w:marLeft w:val="274"/>
          <w:marRight w:val="0"/>
          <w:marTop w:val="0"/>
          <w:marBottom w:val="0"/>
          <w:divBdr>
            <w:top w:val="none" w:sz="0" w:space="0" w:color="auto"/>
            <w:left w:val="none" w:sz="0" w:space="0" w:color="auto"/>
            <w:bottom w:val="none" w:sz="0" w:space="0" w:color="auto"/>
            <w:right w:val="none" w:sz="0" w:space="0" w:color="auto"/>
          </w:divBdr>
        </w:div>
        <w:div w:id="1389652052">
          <w:marLeft w:val="274"/>
          <w:marRight w:val="0"/>
          <w:marTop w:val="0"/>
          <w:marBottom w:val="0"/>
          <w:divBdr>
            <w:top w:val="none" w:sz="0" w:space="0" w:color="auto"/>
            <w:left w:val="none" w:sz="0" w:space="0" w:color="auto"/>
            <w:bottom w:val="none" w:sz="0" w:space="0" w:color="auto"/>
            <w:right w:val="none" w:sz="0" w:space="0" w:color="auto"/>
          </w:divBdr>
        </w:div>
        <w:div w:id="1401247632">
          <w:marLeft w:val="274"/>
          <w:marRight w:val="0"/>
          <w:marTop w:val="0"/>
          <w:marBottom w:val="0"/>
          <w:divBdr>
            <w:top w:val="none" w:sz="0" w:space="0" w:color="auto"/>
            <w:left w:val="none" w:sz="0" w:space="0" w:color="auto"/>
            <w:bottom w:val="none" w:sz="0" w:space="0" w:color="auto"/>
            <w:right w:val="none" w:sz="0" w:space="0" w:color="auto"/>
          </w:divBdr>
        </w:div>
        <w:div w:id="1523666202">
          <w:marLeft w:val="274"/>
          <w:marRight w:val="0"/>
          <w:marTop w:val="0"/>
          <w:marBottom w:val="0"/>
          <w:divBdr>
            <w:top w:val="none" w:sz="0" w:space="0" w:color="auto"/>
            <w:left w:val="none" w:sz="0" w:space="0" w:color="auto"/>
            <w:bottom w:val="none" w:sz="0" w:space="0" w:color="auto"/>
            <w:right w:val="none" w:sz="0" w:space="0" w:color="auto"/>
          </w:divBdr>
        </w:div>
        <w:div w:id="1541430158">
          <w:marLeft w:val="274"/>
          <w:marRight w:val="0"/>
          <w:marTop w:val="0"/>
          <w:marBottom w:val="0"/>
          <w:divBdr>
            <w:top w:val="none" w:sz="0" w:space="0" w:color="auto"/>
            <w:left w:val="none" w:sz="0" w:space="0" w:color="auto"/>
            <w:bottom w:val="none" w:sz="0" w:space="0" w:color="auto"/>
            <w:right w:val="none" w:sz="0" w:space="0" w:color="auto"/>
          </w:divBdr>
        </w:div>
        <w:div w:id="1558932100">
          <w:marLeft w:val="274"/>
          <w:marRight w:val="0"/>
          <w:marTop w:val="0"/>
          <w:marBottom w:val="0"/>
          <w:divBdr>
            <w:top w:val="none" w:sz="0" w:space="0" w:color="auto"/>
            <w:left w:val="none" w:sz="0" w:space="0" w:color="auto"/>
            <w:bottom w:val="none" w:sz="0" w:space="0" w:color="auto"/>
            <w:right w:val="none" w:sz="0" w:space="0" w:color="auto"/>
          </w:divBdr>
        </w:div>
        <w:div w:id="1561820014">
          <w:marLeft w:val="274"/>
          <w:marRight w:val="0"/>
          <w:marTop w:val="0"/>
          <w:marBottom w:val="0"/>
          <w:divBdr>
            <w:top w:val="none" w:sz="0" w:space="0" w:color="auto"/>
            <w:left w:val="none" w:sz="0" w:space="0" w:color="auto"/>
            <w:bottom w:val="none" w:sz="0" w:space="0" w:color="auto"/>
            <w:right w:val="none" w:sz="0" w:space="0" w:color="auto"/>
          </w:divBdr>
        </w:div>
        <w:div w:id="1603949512">
          <w:marLeft w:val="274"/>
          <w:marRight w:val="0"/>
          <w:marTop w:val="0"/>
          <w:marBottom w:val="0"/>
          <w:divBdr>
            <w:top w:val="none" w:sz="0" w:space="0" w:color="auto"/>
            <w:left w:val="none" w:sz="0" w:space="0" w:color="auto"/>
            <w:bottom w:val="none" w:sz="0" w:space="0" w:color="auto"/>
            <w:right w:val="none" w:sz="0" w:space="0" w:color="auto"/>
          </w:divBdr>
        </w:div>
        <w:div w:id="1644847370">
          <w:marLeft w:val="274"/>
          <w:marRight w:val="0"/>
          <w:marTop w:val="0"/>
          <w:marBottom w:val="0"/>
          <w:divBdr>
            <w:top w:val="none" w:sz="0" w:space="0" w:color="auto"/>
            <w:left w:val="none" w:sz="0" w:space="0" w:color="auto"/>
            <w:bottom w:val="none" w:sz="0" w:space="0" w:color="auto"/>
            <w:right w:val="none" w:sz="0" w:space="0" w:color="auto"/>
          </w:divBdr>
        </w:div>
        <w:div w:id="1837723096">
          <w:marLeft w:val="274"/>
          <w:marRight w:val="0"/>
          <w:marTop w:val="0"/>
          <w:marBottom w:val="0"/>
          <w:divBdr>
            <w:top w:val="none" w:sz="0" w:space="0" w:color="auto"/>
            <w:left w:val="none" w:sz="0" w:space="0" w:color="auto"/>
            <w:bottom w:val="none" w:sz="0" w:space="0" w:color="auto"/>
            <w:right w:val="none" w:sz="0" w:space="0" w:color="auto"/>
          </w:divBdr>
        </w:div>
        <w:div w:id="2118527461">
          <w:marLeft w:val="274"/>
          <w:marRight w:val="0"/>
          <w:marTop w:val="0"/>
          <w:marBottom w:val="0"/>
          <w:divBdr>
            <w:top w:val="none" w:sz="0" w:space="0" w:color="auto"/>
            <w:left w:val="none" w:sz="0" w:space="0" w:color="auto"/>
            <w:bottom w:val="none" w:sz="0" w:space="0" w:color="auto"/>
            <w:right w:val="none" w:sz="0" w:space="0" w:color="auto"/>
          </w:divBdr>
        </w:div>
      </w:divsChild>
    </w:div>
    <w:div w:id="2096438644">
      <w:bodyDiv w:val="1"/>
      <w:marLeft w:val="0"/>
      <w:marRight w:val="0"/>
      <w:marTop w:val="0"/>
      <w:marBottom w:val="0"/>
      <w:divBdr>
        <w:top w:val="none" w:sz="0" w:space="0" w:color="auto"/>
        <w:left w:val="none" w:sz="0" w:space="0" w:color="auto"/>
        <w:bottom w:val="none" w:sz="0" w:space="0" w:color="auto"/>
        <w:right w:val="none" w:sz="0" w:space="0" w:color="auto"/>
      </w:divBdr>
    </w:div>
    <w:div w:id="2145392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Colors" Target="diagrams/colors1.xml"/><Relationship Id="rId117" Type="http://schemas.openxmlformats.org/officeDocument/2006/relationships/image" Target="media/image49.jpeg"/><Relationship Id="rId21" Type="http://schemas.openxmlformats.org/officeDocument/2006/relationships/footer" Target="footer1.xml"/><Relationship Id="rId42" Type="http://schemas.openxmlformats.org/officeDocument/2006/relationships/image" Target="media/image9.png"/><Relationship Id="rId47" Type="http://schemas.openxmlformats.org/officeDocument/2006/relationships/chart" Target="charts/chart13.xml"/><Relationship Id="rId63" Type="http://schemas.openxmlformats.org/officeDocument/2006/relationships/footer" Target="footer4.xml"/><Relationship Id="rId68" Type="http://schemas.openxmlformats.org/officeDocument/2006/relationships/image" Target="media/image15.png"/><Relationship Id="rId84" Type="http://schemas.openxmlformats.org/officeDocument/2006/relationships/image" Target="media/image29.png"/><Relationship Id="rId89" Type="http://schemas.openxmlformats.org/officeDocument/2006/relationships/image" Target="media/image33.jpeg"/><Relationship Id="rId112" Type="http://schemas.openxmlformats.org/officeDocument/2006/relationships/footer" Target="footer5.xml"/><Relationship Id="rId133" Type="http://schemas.openxmlformats.org/officeDocument/2006/relationships/hyperlink" Target="http://preview.grid.unep.ch" TargetMode="External"/><Relationship Id="rId138" Type="http://schemas.openxmlformats.org/officeDocument/2006/relationships/header" Target="header6.xml"/><Relationship Id="rId154" Type="http://schemas.openxmlformats.org/officeDocument/2006/relationships/image" Target="media/image74.png"/><Relationship Id="rId159" Type="http://schemas.openxmlformats.org/officeDocument/2006/relationships/image" Target="media/image79.jpeg"/><Relationship Id="rId170" Type="http://schemas.openxmlformats.org/officeDocument/2006/relationships/diagramQuickStyle" Target="diagrams/quickStyle3.xml"/><Relationship Id="rId16" Type="http://schemas.openxmlformats.org/officeDocument/2006/relationships/settings" Target="settings.xml"/><Relationship Id="rId107" Type="http://schemas.openxmlformats.org/officeDocument/2006/relationships/image" Target="media/image41.png"/><Relationship Id="rId11" Type="http://schemas.openxmlformats.org/officeDocument/2006/relationships/customXml" Target="../customXml/item11.xml"/><Relationship Id="rId32" Type="http://schemas.openxmlformats.org/officeDocument/2006/relationships/chart" Target="charts/chart1.xml"/><Relationship Id="rId37" Type="http://schemas.openxmlformats.org/officeDocument/2006/relationships/chart" Target="charts/chart6.xml"/><Relationship Id="rId53" Type="http://schemas.openxmlformats.org/officeDocument/2006/relationships/chart" Target="charts/chart19.xml"/><Relationship Id="rId58" Type="http://schemas.openxmlformats.org/officeDocument/2006/relationships/chart" Target="charts/chart24.xml"/><Relationship Id="rId74" Type="http://schemas.openxmlformats.org/officeDocument/2006/relationships/image" Target="media/image21.jpeg"/><Relationship Id="rId79" Type="http://schemas.openxmlformats.org/officeDocument/2006/relationships/image" Target="media/image25.jpeg"/><Relationship Id="rId102" Type="http://schemas.openxmlformats.org/officeDocument/2006/relationships/chart" Target="charts/chart35.xml"/><Relationship Id="rId123" Type="http://schemas.openxmlformats.org/officeDocument/2006/relationships/hyperlink" Target="http://www.odyssee-indicators.org/" TargetMode="External"/><Relationship Id="rId128" Type="http://schemas.openxmlformats.org/officeDocument/2006/relationships/hyperlink" Target="http://en.wikipedia.org/w/index.php?title=The_Eastern_Plain&amp;action=edit&amp;redlink=1" TargetMode="External"/><Relationship Id="rId144" Type="http://schemas.openxmlformats.org/officeDocument/2006/relationships/header" Target="header7.xml"/><Relationship Id="rId149" Type="http://schemas.openxmlformats.org/officeDocument/2006/relationships/image" Target="media/image69.jpeg"/><Relationship Id="rId5" Type="http://schemas.openxmlformats.org/officeDocument/2006/relationships/customXml" Target="../customXml/item5.xml"/><Relationship Id="rId90" Type="http://schemas.openxmlformats.org/officeDocument/2006/relationships/image" Target="media/image34.png"/><Relationship Id="rId95" Type="http://schemas.openxmlformats.org/officeDocument/2006/relationships/chart" Target="charts/chart29.xml"/><Relationship Id="rId160" Type="http://schemas.openxmlformats.org/officeDocument/2006/relationships/image" Target="media/image80.png"/><Relationship Id="rId165" Type="http://schemas.openxmlformats.org/officeDocument/2006/relationships/diagramQuickStyle" Target="diagrams/quickStyle2.xml"/><Relationship Id="rId22" Type="http://schemas.openxmlformats.org/officeDocument/2006/relationships/image" Target="media/image4.jpeg"/><Relationship Id="rId27" Type="http://schemas.microsoft.com/office/2007/relationships/diagramDrawing" Target="diagrams/drawing1.xml"/><Relationship Id="rId43" Type="http://schemas.openxmlformats.org/officeDocument/2006/relationships/chart" Target="charts/chart9.xml"/><Relationship Id="rId48" Type="http://schemas.openxmlformats.org/officeDocument/2006/relationships/chart" Target="charts/chart14.xml"/><Relationship Id="rId64" Type="http://schemas.openxmlformats.org/officeDocument/2006/relationships/image" Target="media/image11.png"/><Relationship Id="rId69" Type="http://schemas.openxmlformats.org/officeDocument/2006/relationships/image" Target="media/image16.jpeg"/><Relationship Id="rId113" Type="http://schemas.openxmlformats.org/officeDocument/2006/relationships/image" Target="media/image45.png"/><Relationship Id="rId118" Type="http://schemas.openxmlformats.org/officeDocument/2006/relationships/image" Target="media/image50.png"/><Relationship Id="rId134" Type="http://schemas.openxmlformats.org/officeDocument/2006/relationships/image" Target="media/image58.jpeg"/><Relationship Id="rId139" Type="http://schemas.openxmlformats.org/officeDocument/2006/relationships/footer" Target="footer6.xml"/><Relationship Id="rId80" Type="http://schemas.openxmlformats.org/officeDocument/2006/relationships/image" Target="media/image26.jpeg"/><Relationship Id="rId85" Type="http://schemas.openxmlformats.org/officeDocument/2006/relationships/image" Target="media/image30.jpeg"/><Relationship Id="rId150" Type="http://schemas.openxmlformats.org/officeDocument/2006/relationships/image" Target="media/image70.jpeg"/><Relationship Id="rId155" Type="http://schemas.openxmlformats.org/officeDocument/2006/relationships/image" Target="media/image75.png"/><Relationship Id="rId171" Type="http://schemas.openxmlformats.org/officeDocument/2006/relationships/diagramColors" Target="diagrams/colors3.xml"/><Relationship Id="rId12" Type="http://schemas.openxmlformats.org/officeDocument/2006/relationships/customXml" Target="../customXml/item12.xml"/><Relationship Id="rId17" Type="http://schemas.openxmlformats.org/officeDocument/2006/relationships/webSettings" Target="webSettings.xml"/><Relationship Id="rId33" Type="http://schemas.openxmlformats.org/officeDocument/2006/relationships/chart" Target="charts/chart2.xml"/><Relationship Id="rId38" Type="http://schemas.openxmlformats.org/officeDocument/2006/relationships/chart" Target="charts/chart7.xml"/><Relationship Id="rId59" Type="http://schemas.openxmlformats.org/officeDocument/2006/relationships/header" Target="header3.xml"/><Relationship Id="rId103" Type="http://schemas.openxmlformats.org/officeDocument/2006/relationships/chart" Target="charts/chart36.xml"/><Relationship Id="rId108" Type="http://schemas.openxmlformats.org/officeDocument/2006/relationships/image" Target="media/image42.jpeg"/><Relationship Id="rId124" Type="http://schemas.openxmlformats.org/officeDocument/2006/relationships/hyperlink" Target="http://www.odyssee-indicators.org/" TargetMode="External"/><Relationship Id="rId129" Type="http://schemas.openxmlformats.org/officeDocument/2006/relationships/image" Target="media/image54.png"/><Relationship Id="rId54" Type="http://schemas.openxmlformats.org/officeDocument/2006/relationships/chart" Target="charts/chart20.xml"/><Relationship Id="rId70" Type="http://schemas.openxmlformats.org/officeDocument/2006/relationships/image" Target="media/image17.jpeg"/><Relationship Id="rId75" Type="http://schemas.microsoft.com/office/2007/relationships/hdphoto" Target="media/hdphoto1.wdp"/><Relationship Id="rId91" Type="http://schemas.openxmlformats.org/officeDocument/2006/relationships/chart" Target="charts/chart27.xml"/><Relationship Id="rId96" Type="http://schemas.openxmlformats.org/officeDocument/2006/relationships/chart" Target="charts/chart30.xml"/><Relationship Id="rId140" Type="http://schemas.openxmlformats.org/officeDocument/2006/relationships/image" Target="media/image62.png"/><Relationship Id="rId145" Type="http://schemas.openxmlformats.org/officeDocument/2006/relationships/footer" Target="footer7.xml"/><Relationship Id="rId161" Type="http://schemas.openxmlformats.org/officeDocument/2006/relationships/image" Target="media/image81.png"/><Relationship Id="rId166" Type="http://schemas.openxmlformats.org/officeDocument/2006/relationships/diagramColors" Target="diagrams/colors2.xml"/><Relationship Id="rId1" Type="http://schemas.openxmlformats.org/officeDocument/2006/relationships/customXml" Target="../customXml/item1.xml"/><Relationship Id="rId6" Type="http://schemas.openxmlformats.org/officeDocument/2006/relationships/customXml" Target="../customXml/item6.xml"/><Relationship Id="rId15" Type="http://schemas.microsoft.com/office/2007/relationships/stylesWithEffects" Target="stylesWithEffects.xml"/><Relationship Id="rId23" Type="http://schemas.openxmlformats.org/officeDocument/2006/relationships/diagramData" Target="diagrams/data1.xml"/><Relationship Id="rId28" Type="http://schemas.openxmlformats.org/officeDocument/2006/relationships/header" Target="header2.xml"/><Relationship Id="rId36" Type="http://schemas.openxmlformats.org/officeDocument/2006/relationships/chart" Target="charts/chart5.xml"/><Relationship Id="rId49" Type="http://schemas.openxmlformats.org/officeDocument/2006/relationships/chart" Target="charts/chart15.xml"/><Relationship Id="rId57" Type="http://schemas.openxmlformats.org/officeDocument/2006/relationships/chart" Target="charts/chart23.xml"/><Relationship Id="rId106" Type="http://schemas.openxmlformats.org/officeDocument/2006/relationships/image" Target="media/image40.png"/><Relationship Id="rId114" Type="http://schemas.openxmlformats.org/officeDocument/2006/relationships/image" Target="media/image46.jpeg"/><Relationship Id="rId119" Type="http://schemas.openxmlformats.org/officeDocument/2006/relationships/hyperlink" Target="http://en.wikipedia.org/w/index.php?title=Electricity_sector_in_Romania&amp;action=edit&amp;redlink=1" TargetMode="External"/><Relationship Id="rId127" Type="http://schemas.openxmlformats.org/officeDocument/2006/relationships/hyperlink" Target="http://en.wikipedia.org/w/index.php?title=Olt-Arge%C5%9F_Plain&amp;action=edit&amp;redlink=1" TargetMode="External"/><Relationship Id="rId10" Type="http://schemas.openxmlformats.org/officeDocument/2006/relationships/customXml" Target="../customXml/item10.xml"/><Relationship Id="rId31" Type="http://schemas.openxmlformats.org/officeDocument/2006/relationships/image" Target="media/image6.png"/><Relationship Id="rId44" Type="http://schemas.openxmlformats.org/officeDocument/2006/relationships/chart" Target="charts/chart10.xml"/><Relationship Id="rId52" Type="http://schemas.openxmlformats.org/officeDocument/2006/relationships/chart" Target="charts/chart18.xml"/><Relationship Id="rId60" Type="http://schemas.openxmlformats.org/officeDocument/2006/relationships/footer" Target="footer3.xml"/><Relationship Id="rId65" Type="http://schemas.openxmlformats.org/officeDocument/2006/relationships/image" Target="media/image12.jpeg"/><Relationship Id="rId73" Type="http://schemas.openxmlformats.org/officeDocument/2006/relationships/image" Target="media/image20.emf"/><Relationship Id="rId78" Type="http://schemas.openxmlformats.org/officeDocument/2006/relationships/image" Target="media/image24.jpeg"/><Relationship Id="rId81" Type="http://schemas.openxmlformats.org/officeDocument/2006/relationships/image" Target="media/image27.jpeg"/><Relationship Id="rId86" Type="http://schemas.openxmlformats.org/officeDocument/2006/relationships/image" Target="media/image31.jpeg"/><Relationship Id="rId94" Type="http://schemas.openxmlformats.org/officeDocument/2006/relationships/chart" Target="charts/chart28.xml"/><Relationship Id="rId99" Type="http://schemas.openxmlformats.org/officeDocument/2006/relationships/image" Target="media/image37.jpeg"/><Relationship Id="rId101" Type="http://schemas.openxmlformats.org/officeDocument/2006/relationships/chart" Target="charts/chart34.xml"/><Relationship Id="rId122" Type="http://schemas.openxmlformats.org/officeDocument/2006/relationships/hyperlink" Target="http://en.wikipedia.org/wiki/Energy" TargetMode="External"/><Relationship Id="rId130" Type="http://schemas.openxmlformats.org/officeDocument/2006/relationships/image" Target="media/image55.jpeg"/><Relationship Id="rId135" Type="http://schemas.openxmlformats.org/officeDocument/2006/relationships/image" Target="media/image59.jpeg"/><Relationship Id="rId143" Type="http://schemas.openxmlformats.org/officeDocument/2006/relationships/image" Target="media/image65.png"/><Relationship Id="rId148" Type="http://schemas.openxmlformats.org/officeDocument/2006/relationships/image" Target="media/image68.jpeg"/><Relationship Id="rId151" Type="http://schemas.openxmlformats.org/officeDocument/2006/relationships/image" Target="media/image71.jpeg"/><Relationship Id="rId156" Type="http://schemas.openxmlformats.org/officeDocument/2006/relationships/image" Target="media/image76.png"/><Relationship Id="rId164" Type="http://schemas.openxmlformats.org/officeDocument/2006/relationships/diagramLayout" Target="diagrams/layout2.xml"/><Relationship Id="rId169" Type="http://schemas.openxmlformats.org/officeDocument/2006/relationships/diagramLayout" Target="diagrams/layout3.xml"/><Relationship Id="rId4" Type="http://schemas.openxmlformats.org/officeDocument/2006/relationships/customXml" Target="../customXml/item4.xml"/><Relationship Id="rId9" Type="http://schemas.openxmlformats.org/officeDocument/2006/relationships/customXml" Target="../customXml/item9.xml"/><Relationship Id="rId172" Type="http://schemas.microsoft.com/office/2007/relationships/diagramDrawing" Target="diagrams/drawing3.xml"/><Relationship Id="rId13" Type="http://schemas.openxmlformats.org/officeDocument/2006/relationships/numbering" Target="numbering.xml"/><Relationship Id="rId18" Type="http://schemas.openxmlformats.org/officeDocument/2006/relationships/footnotes" Target="footnotes.xml"/><Relationship Id="rId39" Type="http://schemas.openxmlformats.org/officeDocument/2006/relationships/chart" Target="charts/chart8.xml"/><Relationship Id="rId109" Type="http://schemas.openxmlformats.org/officeDocument/2006/relationships/image" Target="media/image43.png"/><Relationship Id="rId34" Type="http://schemas.openxmlformats.org/officeDocument/2006/relationships/chart" Target="charts/chart3.xml"/><Relationship Id="rId50" Type="http://schemas.openxmlformats.org/officeDocument/2006/relationships/chart" Target="charts/chart16.xml"/><Relationship Id="rId55" Type="http://schemas.openxmlformats.org/officeDocument/2006/relationships/chart" Target="charts/chart21.xml"/><Relationship Id="rId76" Type="http://schemas.openxmlformats.org/officeDocument/2006/relationships/image" Target="media/image22.jpeg"/><Relationship Id="rId97" Type="http://schemas.openxmlformats.org/officeDocument/2006/relationships/chart" Target="charts/chart31.xml"/><Relationship Id="rId104" Type="http://schemas.openxmlformats.org/officeDocument/2006/relationships/image" Target="media/image38.png"/><Relationship Id="rId120" Type="http://schemas.openxmlformats.org/officeDocument/2006/relationships/hyperlink" Target="http://en.wikipedia.org/wiki/Energy_in_Russia" TargetMode="External"/><Relationship Id="rId125" Type="http://schemas.openxmlformats.org/officeDocument/2006/relationships/image" Target="media/image52.png"/><Relationship Id="rId141" Type="http://schemas.openxmlformats.org/officeDocument/2006/relationships/image" Target="media/image63.png"/><Relationship Id="rId146" Type="http://schemas.openxmlformats.org/officeDocument/2006/relationships/image" Target="media/image66.jpeg"/><Relationship Id="rId167" Type="http://schemas.microsoft.com/office/2007/relationships/diagramDrawing" Target="diagrams/drawing2.xml"/><Relationship Id="rId7" Type="http://schemas.openxmlformats.org/officeDocument/2006/relationships/customXml" Target="../customXml/item7.xml"/><Relationship Id="rId71" Type="http://schemas.openxmlformats.org/officeDocument/2006/relationships/image" Target="media/image18.png"/><Relationship Id="rId92" Type="http://schemas.openxmlformats.org/officeDocument/2006/relationships/image" Target="media/image35.png"/><Relationship Id="rId162" Type="http://schemas.openxmlformats.org/officeDocument/2006/relationships/image" Target="media/image82.png"/><Relationship Id="rId2" Type="http://schemas.openxmlformats.org/officeDocument/2006/relationships/customXml" Target="../customXml/item2.xml"/><Relationship Id="rId29" Type="http://schemas.openxmlformats.org/officeDocument/2006/relationships/footer" Target="footer2.xml"/><Relationship Id="rId24" Type="http://schemas.openxmlformats.org/officeDocument/2006/relationships/diagramLayout" Target="diagrams/layout1.xml"/><Relationship Id="rId40" Type="http://schemas.openxmlformats.org/officeDocument/2006/relationships/image" Target="media/image7.png"/><Relationship Id="rId45" Type="http://schemas.openxmlformats.org/officeDocument/2006/relationships/chart" Target="charts/chart11.xml"/><Relationship Id="rId66" Type="http://schemas.openxmlformats.org/officeDocument/2006/relationships/image" Target="media/image13.png"/><Relationship Id="rId87" Type="http://schemas.openxmlformats.org/officeDocument/2006/relationships/chart" Target="charts/chart26.xml"/><Relationship Id="rId110" Type="http://schemas.openxmlformats.org/officeDocument/2006/relationships/image" Target="media/image44.png"/><Relationship Id="rId115" Type="http://schemas.openxmlformats.org/officeDocument/2006/relationships/image" Target="media/image47.jpeg"/><Relationship Id="rId131" Type="http://schemas.openxmlformats.org/officeDocument/2006/relationships/image" Target="media/image56.jpeg"/><Relationship Id="rId136" Type="http://schemas.openxmlformats.org/officeDocument/2006/relationships/image" Target="media/image60.jpeg"/><Relationship Id="rId157" Type="http://schemas.openxmlformats.org/officeDocument/2006/relationships/image" Target="media/image77.png"/><Relationship Id="rId61" Type="http://schemas.openxmlformats.org/officeDocument/2006/relationships/image" Target="media/image10.png"/><Relationship Id="rId82" Type="http://schemas.openxmlformats.org/officeDocument/2006/relationships/chart" Target="charts/chart25.xml"/><Relationship Id="rId152" Type="http://schemas.openxmlformats.org/officeDocument/2006/relationships/image" Target="media/image72.jpeg"/><Relationship Id="rId173" Type="http://schemas.openxmlformats.org/officeDocument/2006/relationships/fontTable" Target="fontTable.xml"/><Relationship Id="rId19" Type="http://schemas.openxmlformats.org/officeDocument/2006/relationships/endnotes" Target="endnotes.xml"/><Relationship Id="rId14" Type="http://schemas.openxmlformats.org/officeDocument/2006/relationships/styles" Target="styles.xml"/><Relationship Id="rId30" Type="http://schemas.openxmlformats.org/officeDocument/2006/relationships/image" Target="media/image5.jpeg"/><Relationship Id="rId35" Type="http://schemas.openxmlformats.org/officeDocument/2006/relationships/chart" Target="charts/chart4.xml"/><Relationship Id="rId56" Type="http://schemas.openxmlformats.org/officeDocument/2006/relationships/chart" Target="charts/chart22.xml"/><Relationship Id="rId77" Type="http://schemas.openxmlformats.org/officeDocument/2006/relationships/image" Target="media/image23.png"/><Relationship Id="rId100" Type="http://schemas.openxmlformats.org/officeDocument/2006/relationships/chart" Target="charts/chart33.xml"/><Relationship Id="rId105" Type="http://schemas.openxmlformats.org/officeDocument/2006/relationships/image" Target="media/image39.png"/><Relationship Id="rId126" Type="http://schemas.openxmlformats.org/officeDocument/2006/relationships/image" Target="media/image53.png"/><Relationship Id="rId147" Type="http://schemas.openxmlformats.org/officeDocument/2006/relationships/image" Target="media/image67.jpeg"/><Relationship Id="rId168" Type="http://schemas.openxmlformats.org/officeDocument/2006/relationships/diagramData" Target="diagrams/data3.xml"/><Relationship Id="rId8" Type="http://schemas.openxmlformats.org/officeDocument/2006/relationships/customXml" Target="../customXml/item8.xml"/><Relationship Id="rId51" Type="http://schemas.openxmlformats.org/officeDocument/2006/relationships/chart" Target="charts/chart17.xml"/><Relationship Id="rId72" Type="http://schemas.openxmlformats.org/officeDocument/2006/relationships/image" Target="media/image19.jpeg"/><Relationship Id="rId93" Type="http://schemas.openxmlformats.org/officeDocument/2006/relationships/image" Target="media/image36.wmf"/><Relationship Id="rId98" Type="http://schemas.openxmlformats.org/officeDocument/2006/relationships/chart" Target="charts/chart32.xml"/><Relationship Id="rId121" Type="http://schemas.openxmlformats.org/officeDocument/2006/relationships/image" Target="media/image51.png"/><Relationship Id="rId142" Type="http://schemas.openxmlformats.org/officeDocument/2006/relationships/image" Target="media/image64.png"/><Relationship Id="rId163" Type="http://schemas.openxmlformats.org/officeDocument/2006/relationships/diagramData" Target="diagrams/data2.xml"/><Relationship Id="rId3" Type="http://schemas.openxmlformats.org/officeDocument/2006/relationships/customXml" Target="../customXml/item3.xml"/><Relationship Id="rId25" Type="http://schemas.openxmlformats.org/officeDocument/2006/relationships/diagramQuickStyle" Target="diagrams/quickStyle1.xml"/><Relationship Id="rId46" Type="http://schemas.openxmlformats.org/officeDocument/2006/relationships/chart" Target="charts/chart12.xml"/><Relationship Id="rId67" Type="http://schemas.openxmlformats.org/officeDocument/2006/relationships/image" Target="media/image14.png"/><Relationship Id="rId116" Type="http://schemas.openxmlformats.org/officeDocument/2006/relationships/image" Target="media/image48.png"/><Relationship Id="rId137" Type="http://schemas.openxmlformats.org/officeDocument/2006/relationships/image" Target="media/image61.png"/><Relationship Id="rId158" Type="http://schemas.openxmlformats.org/officeDocument/2006/relationships/image" Target="media/image78.png"/><Relationship Id="rId20" Type="http://schemas.openxmlformats.org/officeDocument/2006/relationships/header" Target="header1.xml"/><Relationship Id="rId41" Type="http://schemas.openxmlformats.org/officeDocument/2006/relationships/image" Target="media/image8.png"/><Relationship Id="rId62" Type="http://schemas.openxmlformats.org/officeDocument/2006/relationships/header" Target="header4.xml"/><Relationship Id="rId83" Type="http://schemas.openxmlformats.org/officeDocument/2006/relationships/image" Target="media/image28.jpeg"/><Relationship Id="rId88" Type="http://schemas.openxmlformats.org/officeDocument/2006/relationships/image" Target="media/image32.jpeg"/><Relationship Id="rId111" Type="http://schemas.openxmlformats.org/officeDocument/2006/relationships/header" Target="header5.xml"/><Relationship Id="rId132" Type="http://schemas.openxmlformats.org/officeDocument/2006/relationships/image" Target="media/image57.jpeg"/><Relationship Id="rId153" Type="http://schemas.openxmlformats.org/officeDocument/2006/relationships/image" Target="media/image73.png"/><Relationship Id="rId174"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footer7.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8" Type="http://schemas.openxmlformats.org/officeDocument/2006/relationships/hyperlink" Target="http://ec.europa.eu/maritimeaffairs/documentation/studies/documents/romania_climate_change_en.pdf" TargetMode="External"/><Relationship Id="rId3" Type="http://schemas.openxmlformats.org/officeDocument/2006/relationships/hyperlink" Target="http://ec.europa.eu/transport/themes/strategies/2011_white_paper_en.htm" TargetMode="External"/><Relationship Id="rId7" Type="http://schemas.openxmlformats.org/officeDocument/2006/relationships/hyperlink" Target="http://ec.europa.eu/maritimeaffairs/documentation/studies/documents/romania_climate_change_en.pdf" TargetMode="External"/><Relationship Id="rId2" Type="http://schemas.openxmlformats.org/officeDocument/2006/relationships/hyperlink" Target="http://www.un.org/esa/dsd/dsd_aofw_ni/ni_pdfs/NationalReports/romania/Romania.pdf" TargetMode="External"/><Relationship Id="rId1" Type="http://schemas.openxmlformats.org/officeDocument/2006/relationships/hyperlink" Target="http://www.un.org/esa/dsd/dsd_aofw_ni/ni_pdfs/NationalReports/romania/Romania.pdf" TargetMode="External"/><Relationship Id="rId6" Type="http://schemas.openxmlformats.org/officeDocument/2006/relationships/hyperlink" Target="http://www.ecologic.eu/sites/files/publication/2013/Country-report-Bulgaria-Assessment-of-climate-change-policies-in-the-context-of-the-European-semester_2013_en.pdf" TargetMode="External"/><Relationship Id="rId11" Type="http://schemas.openxmlformats.org/officeDocument/2006/relationships/hyperlink" Target="http://ec.europa.eu/environment/water/water-urbanwaste/legislation/pdf/transitional_periods_eu10_eu2.pdf" TargetMode="External"/><Relationship Id="rId5" Type="http://schemas.openxmlformats.org/officeDocument/2006/relationships/hyperlink" Target="http://www.mmediu.ro/beta/wp-content/uploads/2012/10/2012-10-05-Strategia_NR-SC.pdf" TargetMode="External"/><Relationship Id="rId10" Type="http://schemas.openxmlformats.org/officeDocument/2006/relationships/hyperlink" Target="http://ec.europa.eu/environment/nature/natura2000/management/guidance_en.htm" TargetMode="External"/><Relationship Id="rId4" Type="http://schemas.openxmlformats.org/officeDocument/2006/relationships/hyperlink" Target="http://www3.moew.government.bg/files/file/Climate/Climate_Change_Policy_Directorate/THIRD_NATIONAL_ACTION_PLAN.pdf" TargetMode="External"/><Relationship Id="rId9" Type="http://schemas.openxmlformats.org/officeDocument/2006/relationships/hyperlink" Target="http://epp.eurostat.ec.europa.eu/tgm/refreshTableAction.do?tab=table&amp;plugin=1&amp;pcode=tsdcc310&amp;language=e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C:\Users\Sabin\Downloads\nama_aux_lp.xls" TargetMode="External"/><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21.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22.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23.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24.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5.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6.xml"/></Relationships>
</file>

<file path=word/charts/_rels/chart27.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27.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28.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9.xml"/></Relationships>
</file>

<file path=word/charts/_rels/chart3.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30.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31.xml"/></Relationships>
</file>

<file path=word/charts/_rels/chart32.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32.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33.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34.xml"/></Relationships>
</file>

<file path=word/charts/_rels/chart35.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35.xml"/></Relationships>
</file>

<file path=word/charts/_rels/chart36.xml.rels><?xml version="1.0" encoding="UTF-8" standalone="yes"?>
<Relationships xmlns="http://schemas.openxmlformats.org/package/2006/relationships"><Relationship Id="rId2" Type="http://schemas.openxmlformats.org/officeDocument/2006/relationships/package" Target="../embeddings/Microsoft_Excel_Worksheet31.xlsx"/><Relationship Id="rId1" Type="http://schemas.openxmlformats.org/officeDocument/2006/relationships/themeOverride" Target="../theme/themeOverride36.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Chart%20in%20Microsoft%20Word"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oleObject" Target="file:///C:\Users\Sabin\Downloads\nama_aux_lp.xls"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99"/>
            </a:pPr>
            <a:r>
              <a:rPr lang="en-US" sz="1199" b="1" i="0" u="none" strike="noStrike" baseline="0">
                <a:effectLst/>
              </a:rPr>
              <a:t>Evolution of the GDP of cross-boder counties/districts, 2008-2010 (millions of EUR)</a:t>
            </a:r>
            <a:endParaRPr lang="en-US" sz="1200"/>
          </a:p>
        </c:rich>
      </c:tx>
      <c:overlay val="0"/>
    </c:title>
    <c:autoTitleDeleted val="0"/>
    <c:plotArea>
      <c:layout/>
      <c:barChart>
        <c:barDir val="col"/>
        <c:grouping val="clustered"/>
        <c:varyColors val="0"/>
        <c:ser>
          <c:idx val="0"/>
          <c:order val="0"/>
          <c:tx>
            <c:strRef>
              <c:f>Sheet1!$B$1</c:f>
              <c:strCache>
                <c:ptCount val="1"/>
                <c:pt idx="0">
                  <c:v>2008</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Vidin</c:v>
                </c:pt>
                <c:pt idx="8">
                  <c:v>Montana</c:v>
                </c:pt>
                <c:pt idx="9">
                  <c:v>Vratsa</c:v>
                </c:pt>
                <c:pt idx="10">
                  <c:v>Pleven</c:v>
                </c:pt>
                <c:pt idx="11">
                  <c:v>Veliko Tarnovo</c:v>
                </c:pt>
                <c:pt idx="12">
                  <c:v>Ruse</c:v>
                </c:pt>
                <c:pt idx="13">
                  <c:v>Silistra</c:v>
                </c:pt>
                <c:pt idx="14">
                  <c:v>Dobrich</c:v>
                </c:pt>
              </c:strCache>
            </c:strRef>
          </c:cat>
          <c:val>
            <c:numRef>
              <c:f>Sheet1!$B$2:$B$16</c:f>
              <c:numCache>
                <c:formatCode>General</c:formatCode>
                <c:ptCount val="15"/>
                <c:pt idx="0">
                  <c:v>5230</c:v>
                </c:pt>
                <c:pt idx="1">
                  <c:v>1264.4565217391323</c:v>
                </c:pt>
                <c:pt idx="2">
                  <c:v>989.21195652173913</c:v>
                </c:pt>
                <c:pt idx="3">
                  <c:v>1573.695652173913</c:v>
                </c:pt>
                <c:pt idx="4">
                  <c:v>3643.9130434782669</c:v>
                </c:pt>
                <c:pt idx="5">
                  <c:v>1194.1304347826078</c:v>
                </c:pt>
                <c:pt idx="6">
                  <c:v>1806.739130434783</c:v>
                </c:pt>
                <c:pt idx="7">
                  <c:v>289</c:v>
                </c:pt>
                <c:pt idx="8">
                  <c:v>442</c:v>
                </c:pt>
                <c:pt idx="9">
                  <c:v>756</c:v>
                </c:pt>
                <c:pt idx="10">
                  <c:v>806</c:v>
                </c:pt>
                <c:pt idx="11">
                  <c:v>808</c:v>
                </c:pt>
                <c:pt idx="12">
                  <c:v>952</c:v>
                </c:pt>
                <c:pt idx="13">
                  <c:v>332</c:v>
                </c:pt>
                <c:pt idx="14">
                  <c:v>600</c:v>
                </c:pt>
              </c:numCache>
            </c:numRef>
          </c:val>
        </c:ser>
        <c:ser>
          <c:idx val="1"/>
          <c:order val="1"/>
          <c:tx>
            <c:strRef>
              <c:f>Sheet1!$C$1</c:f>
              <c:strCache>
                <c:ptCount val="1"/>
                <c:pt idx="0">
                  <c:v>2009</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Vidin</c:v>
                </c:pt>
                <c:pt idx="8">
                  <c:v>Montana</c:v>
                </c:pt>
                <c:pt idx="9">
                  <c:v>Vratsa</c:v>
                </c:pt>
                <c:pt idx="10">
                  <c:v>Pleven</c:v>
                </c:pt>
                <c:pt idx="11">
                  <c:v>Veliko Tarnovo</c:v>
                </c:pt>
                <c:pt idx="12">
                  <c:v>Ruse</c:v>
                </c:pt>
                <c:pt idx="13">
                  <c:v>Silistra</c:v>
                </c:pt>
                <c:pt idx="14">
                  <c:v>Dobrich</c:v>
                </c:pt>
              </c:strCache>
            </c:strRef>
          </c:cat>
          <c:val>
            <c:numRef>
              <c:f>Sheet1!$C$2:$C$16</c:f>
              <c:numCache>
                <c:formatCode>General</c:formatCode>
                <c:ptCount val="15"/>
                <c:pt idx="0">
                  <c:v>4622.4822695035709</c:v>
                </c:pt>
                <c:pt idx="1">
                  <c:v>1006.028368794326</c:v>
                </c:pt>
                <c:pt idx="2">
                  <c:v>923.30969267139471</c:v>
                </c:pt>
                <c:pt idx="3">
                  <c:v>1340.0472813238771</c:v>
                </c:pt>
                <c:pt idx="4">
                  <c:v>3157.2576832151299</c:v>
                </c:pt>
                <c:pt idx="5">
                  <c:v>1030.6855791962214</c:v>
                </c:pt>
                <c:pt idx="6">
                  <c:v>1439.1725768321508</c:v>
                </c:pt>
                <c:pt idx="7">
                  <c:v>272</c:v>
                </c:pt>
                <c:pt idx="8">
                  <c:v>402</c:v>
                </c:pt>
                <c:pt idx="9">
                  <c:v>707</c:v>
                </c:pt>
                <c:pt idx="10">
                  <c:v>769</c:v>
                </c:pt>
                <c:pt idx="11">
                  <c:v>808</c:v>
                </c:pt>
                <c:pt idx="12">
                  <c:v>894</c:v>
                </c:pt>
                <c:pt idx="13">
                  <c:v>296</c:v>
                </c:pt>
                <c:pt idx="14">
                  <c:v>552</c:v>
                </c:pt>
              </c:numCache>
            </c:numRef>
          </c:val>
        </c:ser>
        <c:ser>
          <c:idx val="2"/>
          <c:order val="2"/>
          <c:tx>
            <c:strRef>
              <c:f>Sheet1!$D$1</c:f>
              <c:strCache>
                <c:ptCount val="1"/>
                <c:pt idx="0">
                  <c:v>2010</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Vidin</c:v>
                </c:pt>
                <c:pt idx="8">
                  <c:v>Montana</c:v>
                </c:pt>
                <c:pt idx="9">
                  <c:v>Vratsa</c:v>
                </c:pt>
                <c:pt idx="10">
                  <c:v>Pleven</c:v>
                </c:pt>
                <c:pt idx="11">
                  <c:v>Veliko Tarnovo</c:v>
                </c:pt>
                <c:pt idx="12">
                  <c:v>Ruse</c:v>
                </c:pt>
                <c:pt idx="13">
                  <c:v>Silistra</c:v>
                </c:pt>
                <c:pt idx="14">
                  <c:v>Dobrich</c:v>
                </c:pt>
              </c:strCache>
            </c:strRef>
          </c:cat>
          <c:val>
            <c:numRef>
              <c:f>Sheet1!$D$2:$D$16</c:f>
              <c:numCache>
                <c:formatCode>General</c:formatCode>
                <c:ptCount val="15"/>
                <c:pt idx="0">
                  <c:v>5031.8059811396943</c:v>
                </c:pt>
                <c:pt idx="1">
                  <c:v>1278.4626713223611</c:v>
                </c:pt>
                <c:pt idx="2">
                  <c:v>1252.8088553172281</c:v>
                </c:pt>
                <c:pt idx="3">
                  <c:v>1326.7773581320221</c:v>
                </c:pt>
                <c:pt idx="4">
                  <c:v>3202.6413929072</c:v>
                </c:pt>
                <c:pt idx="5">
                  <c:v>1018.4089883370157</c:v>
                </c:pt>
                <c:pt idx="6">
                  <c:v>1681.1800755362358</c:v>
                </c:pt>
                <c:pt idx="7">
                  <c:v>256</c:v>
                </c:pt>
                <c:pt idx="8">
                  <c:v>383</c:v>
                </c:pt>
                <c:pt idx="9">
                  <c:v>772</c:v>
                </c:pt>
                <c:pt idx="10">
                  <c:v>745</c:v>
                </c:pt>
                <c:pt idx="11">
                  <c:v>858</c:v>
                </c:pt>
                <c:pt idx="12">
                  <c:v>842</c:v>
                </c:pt>
                <c:pt idx="13">
                  <c:v>291</c:v>
                </c:pt>
                <c:pt idx="14">
                  <c:v>654</c:v>
                </c:pt>
              </c:numCache>
            </c:numRef>
          </c:val>
        </c:ser>
        <c:dLbls>
          <c:showLegendKey val="0"/>
          <c:showVal val="0"/>
          <c:showCatName val="0"/>
          <c:showSerName val="0"/>
          <c:showPercent val="0"/>
          <c:showBubbleSize val="0"/>
        </c:dLbls>
        <c:gapWidth val="150"/>
        <c:axId val="50167808"/>
        <c:axId val="50169344"/>
      </c:barChart>
      <c:catAx>
        <c:axId val="50167808"/>
        <c:scaling>
          <c:orientation val="minMax"/>
        </c:scaling>
        <c:delete val="0"/>
        <c:axPos val="b"/>
        <c:numFmt formatCode="General" sourceLinked="1"/>
        <c:majorTickMark val="out"/>
        <c:minorTickMark val="none"/>
        <c:tickLblPos val="nextTo"/>
        <c:crossAx val="50169344"/>
        <c:crosses val="autoZero"/>
        <c:auto val="1"/>
        <c:lblAlgn val="ctr"/>
        <c:lblOffset val="100"/>
        <c:noMultiLvlLbl val="0"/>
      </c:catAx>
      <c:valAx>
        <c:axId val="50169344"/>
        <c:scaling>
          <c:orientation val="minMax"/>
        </c:scaling>
        <c:delete val="0"/>
        <c:axPos val="l"/>
        <c:majorGridlines/>
        <c:numFmt formatCode="General" sourceLinked="1"/>
        <c:majorTickMark val="out"/>
        <c:minorTickMark val="none"/>
        <c:tickLblPos val="nextTo"/>
        <c:crossAx val="50167808"/>
        <c:crosses val="autoZero"/>
        <c:crossBetween val="between"/>
      </c:valAx>
    </c:plotArea>
    <c:legend>
      <c:legendPos val="r"/>
      <c:overlay val="0"/>
    </c:legend>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a:pPr>
            <a:r>
              <a:rPr lang="en-US" sz="1000"/>
              <a:t>Labor productivity per person</a:t>
            </a:r>
            <a:r>
              <a:rPr lang="en-US" sz="1000" baseline="0"/>
              <a:t> employed - EUR, % change vs. previous year</a:t>
            </a:r>
            <a:endParaRPr lang="en-US" sz="1000"/>
          </a:p>
        </c:rich>
      </c:tx>
      <c:overlay val="0"/>
    </c:title>
    <c:autoTitleDeleted val="0"/>
    <c:plotArea>
      <c:layout/>
      <c:lineChart>
        <c:grouping val="standard"/>
        <c:varyColors val="0"/>
        <c:ser>
          <c:idx val="0"/>
          <c:order val="0"/>
          <c:tx>
            <c:strRef>
              <c:f>Data!$A$66</c:f>
              <c:strCache>
                <c:ptCount val="1"/>
                <c:pt idx="0">
                  <c:v>Bulgaria</c:v>
                </c:pt>
              </c:strCache>
            </c:strRef>
          </c:tx>
          <c:cat>
            <c:strRef>
              <c:f>Data!$B$65:$L$65</c:f>
              <c:strCache>
                <c:ptCount val="11"/>
                <c:pt idx="0">
                  <c:v>2002</c:v>
                </c:pt>
                <c:pt idx="1">
                  <c:v>2003</c:v>
                </c:pt>
                <c:pt idx="2">
                  <c:v>2004</c:v>
                </c:pt>
                <c:pt idx="3">
                  <c:v>2005</c:v>
                </c:pt>
                <c:pt idx="4">
                  <c:v>2006</c:v>
                </c:pt>
                <c:pt idx="5">
                  <c:v>2007</c:v>
                </c:pt>
                <c:pt idx="6">
                  <c:v>2008</c:v>
                </c:pt>
                <c:pt idx="7">
                  <c:v>2009</c:v>
                </c:pt>
                <c:pt idx="8">
                  <c:v>2010</c:v>
                </c:pt>
                <c:pt idx="9">
                  <c:v>2011</c:v>
                </c:pt>
                <c:pt idx="10">
                  <c:v>2012</c:v>
                </c:pt>
              </c:strCache>
            </c:strRef>
          </c:cat>
          <c:val>
            <c:numRef>
              <c:f>Data!$B$66:$L$66</c:f>
              <c:numCache>
                <c:formatCode>#,##0.0</c:formatCode>
                <c:ptCount val="11"/>
                <c:pt idx="0">
                  <c:v>4.4000000000000004</c:v>
                </c:pt>
                <c:pt idx="1">
                  <c:v>2.5</c:v>
                </c:pt>
                <c:pt idx="2">
                  <c:v>4.0999999999999996</c:v>
                </c:pt>
                <c:pt idx="3">
                  <c:v>3.6</c:v>
                </c:pt>
                <c:pt idx="4">
                  <c:v>3.1</c:v>
                </c:pt>
                <c:pt idx="5">
                  <c:v>3.2</c:v>
                </c:pt>
                <c:pt idx="6">
                  <c:v>3.7</c:v>
                </c:pt>
                <c:pt idx="7">
                  <c:v>-3.8</c:v>
                </c:pt>
                <c:pt idx="8">
                  <c:v>4.4000000000000004</c:v>
                </c:pt>
                <c:pt idx="9">
                  <c:v>4.0999999999999996</c:v>
                </c:pt>
                <c:pt idx="10">
                  <c:v>3.4</c:v>
                </c:pt>
              </c:numCache>
            </c:numRef>
          </c:val>
          <c:smooth val="0"/>
        </c:ser>
        <c:ser>
          <c:idx val="1"/>
          <c:order val="1"/>
          <c:tx>
            <c:strRef>
              <c:f>Data!$A$67</c:f>
              <c:strCache>
                <c:ptCount val="1"/>
                <c:pt idx="0">
                  <c:v>Romania</c:v>
                </c:pt>
              </c:strCache>
            </c:strRef>
          </c:tx>
          <c:cat>
            <c:strRef>
              <c:f>Data!$B$65:$L$65</c:f>
              <c:strCache>
                <c:ptCount val="11"/>
                <c:pt idx="0">
                  <c:v>2002</c:v>
                </c:pt>
                <c:pt idx="1">
                  <c:v>2003</c:v>
                </c:pt>
                <c:pt idx="2">
                  <c:v>2004</c:v>
                </c:pt>
                <c:pt idx="3">
                  <c:v>2005</c:v>
                </c:pt>
                <c:pt idx="4">
                  <c:v>2006</c:v>
                </c:pt>
                <c:pt idx="5">
                  <c:v>2007</c:v>
                </c:pt>
                <c:pt idx="6">
                  <c:v>2008</c:v>
                </c:pt>
                <c:pt idx="7">
                  <c:v>2009</c:v>
                </c:pt>
                <c:pt idx="8">
                  <c:v>2010</c:v>
                </c:pt>
                <c:pt idx="9">
                  <c:v>2011</c:v>
                </c:pt>
                <c:pt idx="10">
                  <c:v>2012</c:v>
                </c:pt>
              </c:strCache>
            </c:strRef>
          </c:cat>
          <c:val>
            <c:numRef>
              <c:f>Data!$B$67:$L$67</c:f>
              <c:numCache>
                <c:formatCode>#,##0.0</c:formatCode>
                <c:ptCount val="11"/>
                <c:pt idx="0">
                  <c:v>17</c:v>
                </c:pt>
                <c:pt idx="1">
                  <c:v>5.3</c:v>
                </c:pt>
                <c:pt idx="2">
                  <c:v>10.3</c:v>
                </c:pt>
                <c:pt idx="3">
                  <c:v>5.8</c:v>
                </c:pt>
                <c:pt idx="4">
                  <c:v>7.1</c:v>
                </c:pt>
                <c:pt idx="5">
                  <c:v>5.9</c:v>
                </c:pt>
                <c:pt idx="6">
                  <c:v>7.3</c:v>
                </c:pt>
                <c:pt idx="7">
                  <c:v>-4.7</c:v>
                </c:pt>
                <c:pt idx="8">
                  <c:v>-0.9</c:v>
                </c:pt>
                <c:pt idx="9">
                  <c:v>3.3</c:v>
                </c:pt>
                <c:pt idx="10">
                  <c:v>-0.8</c:v>
                </c:pt>
              </c:numCache>
            </c:numRef>
          </c:val>
          <c:smooth val="0"/>
        </c:ser>
        <c:dLbls>
          <c:showLegendKey val="0"/>
          <c:showVal val="0"/>
          <c:showCatName val="0"/>
          <c:showSerName val="0"/>
          <c:showPercent val="0"/>
          <c:showBubbleSize val="0"/>
        </c:dLbls>
        <c:marker val="1"/>
        <c:smooth val="0"/>
        <c:axId val="121611392"/>
        <c:axId val="121612928"/>
      </c:lineChart>
      <c:catAx>
        <c:axId val="121611392"/>
        <c:scaling>
          <c:orientation val="minMax"/>
        </c:scaling>
        <c:delete val="0"/>
        <c:axPos val="b"/>
        <c:numFmt formatCode="General" sourceLinked="0"/>
        <c:majorTickMark val="out"/>
        <c:minorTickMark val="none"/>
        <c:tickLblPos val="nextTo"/>
        <c:crossAx val="121612928"/>
        <c:crosses val="autoZero"/>
        <c:auto val="1"/>
        <c:lblAlgn val="ctr"/>
        <c:lblOffset val="100"/>
        <c:noMultiLvlLbl val="0"/>
      </c:catAx>
      <c:valAx>
        <c:axId val="121612928"/>
        <c:scaling>
          <c:orientation val="minMax"/>
        </c:scaling>
        <c:delete val="0"/>
        <c:axPos val="l"/>
        <c:majorGridlines/>
        <c:numFmt formatCode="#,##0.0" sourceLinked="1"/>
        <c:majorTickMark val="out"/>
        <c:minorTickMark val="none"/>
        <c:tickLblPos val="nextTo"/>
        <c:crossAx val="121611392"/>
        <c:crosses val="autoZero"/>
        <c:crossBetween val="between"/>
      </c:valAx>
    </c:plotArea>
    <c:legend>
      <c:legendPos val="r"/>
      <c:overlay val="0"/>
    </c:legend>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Sheet1!$A$2</c:f>
              <c:strCache>
                <c:ptCount val="1"/>
                <c:pt idx="0">
                  <c:v>Romania</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Sheet1!$B$2:$J$2</c:f>
              <c:numCache>
                <c:formatCode>General</c:formatCode>
                <c:ptCount val="9"/>
                <c:pt idx="0">
                  <c:v>201.89713784947361</c:v>
                </c:pt>
                <c:pt idx="1">
                  <c:v>267.15239829993931</c:v>
                </c:pt>
                <c:pt idx="2">
                  <c:v>325.15250390126249</c:v>
                </c:pt>
                <c:pt idx="3">
                  <c:v>418.30222035777427</c:v>
                </c:pt>
                <c:pt idx="4">
                  <c:v>478.181768810927</c:v>
                </c:pt>
                <c:pt idx="5">
                  <c:v>435.41878082741368</c:v>
                </c:pt>
                <c:pt idx="6">
                  <c:v>451.79220409035872</c:v>
                </c:pt>
                <c:pt idx="7">
                  <c:v>467.21253451001667</c:v>
                </c:pt>
                <c:pt idx="8">
                  <c:v>462.97127468581681</c:v>
                </c:pt>
              </c:numCache>
            </c:numRef>
          </c:val>
          <c:smooth val="0"/>
        </c:ser>
        <c:ser>
          <c:idx val="1"/>
          <c:order val="1"/>
          <c:tx>
            <c:strRef>
              <c:f>Sheet1!$A$3</c:f>
              <c:strCache>
                <c:ptCount val="1"/>
                <c:pt idx="0">
                  <c:v>Constanta</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Sheet1!$B$3:$J$3</c:f>
              <c:numCache>
                <c:formatCode>General</c:formatCode>
                <c:ptCount val="9"/>
                <c:pt idx="0">
                  <c:v>211.97652922584035</c:v>
                </c:pt>
                <c:pt idx="1">
                  <c:v>280.67560854446162</c:v>
                </c:pt>
                <c:pt idx="2">
                  <c:v>345.29720527734395</c:v>
                </c:pt>
                <c:pt idx="3">
                  <c:v>427.89080993617529</c:v>
                </c:pt>
                <c:pt idx="4">
                  <c:v>471.39327124120717</c:v>
                </c:pt>
                <c:pt idx="5">
                  <c:v>446.98274844830246</c:v>
                </c:pt>
                <c:pt idx="6">
                  <c:v>432.55184208651042</c:v>
                </c:pt>
                <c:pt idx="7">
                  <c:v>455.88617003704667</c:v>
                </c:pt>
                <c:pt idx="8">
                  <c:v>438.95870736086181</c:v>
                </c:pt>
              </c:numCache>
            </c:numRef>
          </c:val>
          <c:smooth val="0"/>
        </c:ser>
        <c:ser>
          <c:idx val="2"/>
          <c:order val="2"/>
          <c:tx>
            <c:strRef>
              <c:f>Sheet1!$A$4</c:f>
              <c:strCache>
                <c:ptCount val="1"/>
                <c:pt idx="0">
                  <c:v>Calarasi</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Sheet1!$B$4:$J$4</c:f>
              <c:numCache>
                <c:formatCode>General</c:formatCode>
                <c:ptCount val="9"/>
                <c:pt idx="0">
                  <c:v>154.42299944414441</c:v>
                </c:pt>
                <c:pt idx="1">
                  <c:v>202.84815366782578</c:v>
                </c:pt>
                <c:pt idx="2">
                  <c:v>251.95063129521921</c:v>
                </c:pt>
                <c:pt idx="3">
                  <c:v>333.80277469810926</c:v>
                </c:pt>
                <c:pt idx="4">
                  <c:v>382.32818312651051</c:v>
                </c:pt>
                <c:pt idx="5">
                  <c:v>356.12300285559189</c:v>
                </c:pt>
                <c:pt idx="6">
                  <c:v>344.18869806883765</c:v>
                </c:pt>
                <c:pt idx="7">
                  <c:v>361.0278675759223</c:v>
                </c:pt>
                <c:pt idx="8">
                  <c:v>360.86175942549329</c:v>
                </c:pt>
              </c:numCache>
            </c:numRef>
          </c:val>
          <c:smooth val="0"/>
        </c:ser>
        <c:ser>
          <c:idx val="3"/>
          <c:order val="3"/>
          <c:tx>
            <c:strRef>
              <c:f>Sheet1!$A$5</c:f>
              <c:strCache>
                <c:ptCount val="1"/>
                <c:pt idx="0">
                  <c:v>Giurgiu</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Sheet1!$B$5:$J$5</c:f>
              <c:numCache>
                <c:formatCode>General</c:formatCode>
                <c:ptCount val="9"/>
                <c:pt idx="0">
                  <c:v>179.174239880431</c:v>
                </c:pt>
                <c:pt idx="1">
                  <c:v>224.65088038858556</c:v>
                </c:pt>
                <c:pt idx="2">
                  <c:v>286.28174209107624</c:v>
                </c:pt>
                <c:pt idx="3">
                  <c:v>373.35570670901632</c:v>
                </c:pt>
                <c:pt idx="4">
                  <c:v>422.78762864202889</c:v>
                </c:pt>
                <c:pt idx="5">
                  <c:v>405.2108654095768</c:v>
                </c:pt>
                <c:pt idx="6">
                  <c:v>406.66049074799867</c:v>
                </c:pt>
                <c:pt idx="7">
                  <c:v>399.96224545175681</c:v>
                </c:pt>
                <c:pt idx="8">
                  <c:v>381.95691202872513</c:v>
                </c:pt>
              </c:numCache>
            </c:numRef>
          </c:val>
          <c:smooth val="0"/>
        </c:ser>
        <c:ser>
          <c:idx val="4"/>
          <c:order val="4"/>
          <c:tx>
            <c:strRef>
              <c:f>Sheet1!$A$6</c:f>
              <c:strCache>
                <c:ptCount val="1"/>
                <c:pt idx="0">
                  <c:v>Teleorman</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Sheet1!$B$6:$J$6</c:f>
              <c:numCache>
                <c:formatCode>General</c:formatCode>
                <c:ptCount val="9"/>
                <c:pt idx="0">
                  <c:v>183.39728674376968</c:v>
                </c:pt>
                <c:pt idx="1">
                  <c:v>237.07015510294156</c:v>
                </c:pt>
                <c:pt idx="2">
                  <c:v>281.74209107674915</c:v>
                </c:pt>
                <c:pt idx="3">
                  <c:v>335.00134839540925</c:v>
                </c:pt>
                <c:pt idx="4">
                  <c:v>398.89211719662183</c:v>
                </c:pt>
                <c:pt idx="5">
                  <c:v>358.48299624760858</c:v>
                </c:pt>
                <c:pt idx="6">
                  <c:v>365.56687807311334</c:v>
                </c:pt>
                <c:pt idx="7">
                  <c:v>370.46650463673052</c:v>
                </c:pt>
                <c:pt idx="8">
                  <c:v>361.08617594254673</c:v>
                </c:pt>
              </c:numCache>
            </c:numRef>
          </c:val>
          <c:smooth val="0"/>
        </c:ser>
        <c:ser>
          <c:idx val="5"/>
          <c:order val="5"/>
          <c:tx>
            <c:strRef>
              <c:f>Sheet1!$A$7</c:f>
              <c:strCache>
                <c:ptCount val="1"/>
                <c:pt idx="0">
                  <c:v>Dolj</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Sheet1!$B$7:$J$7</c:f>
              <c:numCache>
                <c:formatCode>General</c:formatCode>
                <c:ptCount val="9"/>
                <c:pt idx="0">
                  <c:v>200.72885423433394</c:v>
                </c:pt>
                <c:pt idx="1">
                  <c:v>260.52878511894897</c:v>
                </c:pt>
                <c:pt idx="2">
                  <c:v>324.86877571286698</c:v>
                </c:pt>
                <c:pt idx="3">
                  <c:v>397.62682407934648</c:v>
                </c:pt>
                <c:pt idx="4">
                  <c:v>446.41160018464711</c:v>
                </c:pt>
                <c:pt idx="5">
                  <c:v>419.37082576168729</c:v>
                </c:pt>
                <c:pt idx="6">
                  <c:v>412.59887408251899</c:v>
                </c:pt>
                <c:pt idx="7">
                  <c:v>434.17730479718665</c:v>
                </c:pt>
                <c:pt idx="8">
                  <c:v>423.92280071813229</c:v>
                </c:pt>
              </c:numCache>
            </c:numRef>
          </c:val>
          <c:smooth val="0"/>
        </c:ser>
        <c:ser>
          <c:idx val="6"/>
          <c:order val="6"/>
          <c:tx>
            <c:strRef>
              <c:f>Sheet1!$A$8</c:f>
              <c:strCache>
                <c:ptCount val="1"/>
                <c:pt idx="0">
                  <c:v>Mehedinti</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Sheet1!$B$8:$J$8</c:f>
              <c:numCache>
                <c:formatCode>General</c:formatCode>
                <c:ptCount val="9"/>
                <c:pt idx="0">
                  <c:v>215.79648826572321</c:v>
                </c:pt>
                <c:pt idx="1">
                  <c:v>264.66854335706802</c:v>
                </c:pt>
                <c:pt idx="2">
                  <c:v>326.00368846644909</c:v>
                </c:pt>
                <c:pt idx="3">
                  <c:v>411.11077817397302</c:v>
                </c:pt>
                <c:pt idx="4">
                  <c:v>460.26013522687123</c:v>
                </c:pt>
                <c:pt idx="5">
                  <c:v>414.65083897765066</c:v>
                </c:pt>
                <c:pt idx="6">
                  <c:v>426.37592341860778</c:v>
                </c:pt>
                <c:pt idx="7">
                  <c:v>418.60355364685341</c:v>
                </c:pt>
                <c:pt idx="8">
                  <c:v>397.4416517055655</c:v>
                </c:pt>
              </c:numCache>
            </c:numRef>
          </c:val>
          <c:smooth val="0"/>
        </c:ser>
        <c:ser>
          <c:idx val="7"/>
          <c:order val="7"/>
          <c:tx>
            <c:strRef>
              <c:f>Sheet1!$A$9</c:f>
              <c:strCache>
                <c:ptCount val="1"/>
                <c:pt idx="0">
                  <c:v>Olt</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Sheet1!$B$9:$J$9</c:f>
              <c:numCache>
                <c:formatCode>General</c:formatCode>
                <c:ptCount val="9"/>
                <c:pt idx="0">
                  <c:v>194.43653439211531</c:v>
                </c:pt>
                <c:pt idx="1">
                  <c:v>253.90517193795878</c:v>
                </c:pt>
                <c:pt idx="2">
                  <c:v>302.45424882962192</c:v>
                </c:pt>
                <c:pt idx="3">
                  <c:v>383.24393971174311</c:v>
                </c:pt>
                <c:pt idx="4">
                  <c:v>436.6361636842534</c:v>
                </c:pt>
                <c:pt idx="5">
                  <c:v>404.26686805276933</c:v>
                </c:pt>
                <c:pt idx="6">
                  <c:v>394.30865341219362</c:v>
                </c:pt>
                <c:pt idx="7">
                  <c:v>394.06309728875152</c:v>
                </c:pt>
                <c:pt idx="8">
                  <c:v>405.96947935368019</c:v>
                </c:pt>
              </c:numCache>
            </c:numRef>
          </c:val>
          <c:smooth val="0"/>
        </c:ser>
        <c:ser>
          <c:idx val="8"/>
          <c:order val="8"/>
          <c:tx>
            <c:strRef>
              <c:f>Sheet1!$A$10</c:f>
              <c:strCache>
                <c:ptCount val="1"/>
                <c:pt idx="0">
                  <c:v>Bulgaria</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Sheet1!$B$10:$J$10</c:f>
              <c:numCache>
                <c:formatCode>General</c:formatCode>
                <c:ptCount val="9"/>
                <c:pt idx="4">
                  <c:v>279.40170940170827</c:v>
                </c:pt>
                <c:pt idx="5">
                  <c:v>312.35042735042742</c:v>
                </c:pt>
                <c:pt idx="6">
                  <c:v>332.35042735042742</c:v>
                </c:pt>
                <c:pt idx="7">
                  <c:v>351.70940170940202</c:v>
                </c:pt>
              </c:numCache>
            </c:numRef>
          </c:val>
          <c:smooth val="0"/>
        </c:ser>
        <c:ser>
          <c:idx val="9"/>
          <c:order val="9"/>
          <c:tx>
            <c:strRef>
              <c:f>Sheet1!$A$11</c:f>
              <c:strCache>
                <c:ptCount val="1"/>
                <c:pt idx="0">
                  <c:v>Vidin</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Sheet1!$B$11:$J$11</c:f>
              <c:numCache>
                <c:formatCode>General</c:formatCode>
                <c:ptCount val="9"/>
                <c:pt idx="4">
                  <c:v>204.5</c:v>
                </c:pt>
                <c:pt idx="5">
                  <c:v>223.75</c:v>
                </c:pt>
                <c:pt idx="6">
                  <c:v>231</c:v>
                </c:pt>
                <c:pt idx="7">
                  <c:v>235.75</c:v>
                </c:pt>
              </c:numCache>
            </c:numRef>
          </c:val>
          <c:smooth val="0"/>
        </c:ser>
        <c:ser>
          <c:idx val="10"/>
          <c:order val="10"/>
          <c:tx>
            <c:strRef>
              <c:f>Sheet1!$A$12</c:f>
              <c:strCache>
                <c:ptCount val="1"/>
                <c:pt idx="0">
                  <c:v>Vratsa</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Sheet1!$B$12:$J$12</c:f>
              <c:numCache>
                <c:formatCode>General</c:formatCode>
                <c:ptCount val="9"/>
                <c:pt idx="4">
                  <c:v>282.5</c:v>
                </c:pt>
                <c:pt idx="5">
                  <c:v>327.91666666666674</c:v>
                </c:pt>
                <c:pt idx="6">
                  <c:v>362.58333333333331</c:v>
                </c:pt>
                <c:pt idx="7">
                  <c:v>368.83333333333331</c:v>
                </c:pt>
              </c:numCache>
            </c:numRef>
          </c:val>
          <c:smooth val="0"/>
        </c:ser>
        <c:ser>
          <c:idx val="11"/>
          <c:order val="11"/>
          <c:tx>
            <c:strRef>
              <c:f>Sheet1!$A$13</c:f>
              <c:strCache>
                <c:ptCount val="1"/>
                <c:pt idx="0">
                  <c:v>Montana</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Sheet1!$B$13:$J$13</c:f>
              <c:numCache>
                <c:formatCode>General</c:formatCode>
                <c:ptCount val="9"/>
                <c:pt idx="4">
                  <c:v>218.91666666666632</c:v>
                </c:pt>
                <c:pt idx="5">
                  <c:v>240.33333333333377</c:v>
                </c:pt>
                <c:pt idx="6">
                  <c:v>256.83333333333331</c:v>
                </c:pt>
                <c:pt idx="7">
                  <c:v>268</c:v>
                </c:pt>
              </c:numCache>
            </c:numRef>
          </c:val>
          <c:smooth val="0"/>
        </c:ser>
        <c:ser>
          <c:idx val="12"/>
          <c:order val="12"/>
          <c:tx>
            <c:strRef>
              <c:f>Sheet1!$A$14</c:f>
              <c:strCache>
                <c:ptCount val="1"/>
                <c:pt idx="0">
                  <c:v>Pleven</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Sheet1!$B$14:$J$14</c:f>
              <c:numCache>
                <c:formatCode>General</c:formatCode>
                <c:ptCount val="9"/>
                <c:pt idx="4">
                  <c:v>224.5</c:v>
                </c:pt>
                <c:pt idx="5">
                  <c:v>251</c:v>
                </c:pt>
                <c:pt idx="6">
                  <c:v>259.58333333333331</c:v>
                </c:pt>
                <c:pt idx="7">
                  <c:v>268.75</c:v>
                </c:pt>
              </c:numCache>
            </c:numRef>
          </c:val>
          <c:smooth val="0"/>
        </c:ser>
        <c:ser>
          <c:idx val="13"/>
          <c:order val="13"/>
          <c:tx>
            <c:strRef>
              <c:f>Sheet1!$A$15</c:f>
              <c:strCache>
                <c:ptCount val="1"/>
                <c:pt idx="0">
                  <c:v>Veliko Tarnovo</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Sheet1!$B$15:$J$15</c:f>
              <c:numCache>
                <c:formatCode>General</c:formatCode>
                <c:ptCount val="9"/>
                <c:pt idx="4">
                  <c:v>219.16666666666632</c:v>
                </c:pt>
                <c:pt idx="5">
                  <c:v>245.66666666666632</c:v>
                </c:pt>
                <c:pt idx="6">
                  <c:v>260.75</c:v>
                </c:pt>
                <c:pt idx="7">
                  <c:v>276.41666666666674</c:v>
                </c:pt>
              </c:numCache>
            </c:numRef>
          </c:val>
          <c:smooth val="0"/>
        </c:ser>
        <c:ser>
          <c:idx val="14"/>
          <c:order val="14"/>
          <c:tx>
            <c:strRef>
              <c:f>Sheet1!$A$16</c:f>
              <c:strCache>
                <c:ptCount val="1"/>
                <c:pt idx="0">
                  <c:v>Ruse</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Sheet1!$B$16:$J$16</c:f>
              <c:numCache>
                <c:formatCode>General</c:formatCode>
                <c:ptCount val="9"/>
                <c:pt idx="4">
                  <c:v>232.83333333333377</c:v>
                </c:pt>
                <c:pt idx="5">
                  <c:v>260.41666666666674</c:v>
                </c:pt>
                <c:pt idx="6">
                  <c:v>270.75</c:v>
                </c:pt>
                <c:pt idx="7">
                  <c:v>289</c:v>
                </c:pt>
              </c:numCache>
            </c:numRef>
          </c:val>
          <c:smooth val="0"/>
        </c:ser>
        <c:ser>
          <c:idx val="15"/>
          <c:order val="15"/>
          <c:tx>
            <c:strRef>
              <c:f>Sheet1!$A$17</c:f>
              <c:strCache>
                <c:ptCount val="1"/>
                <c:pt idx="0">
                  <c:v>Silistra</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Sheet1!$B$17:$J$17</c:f>
              <c:numCache>
                <c:formatCode>General</c:formatCode>
                <c:ptCount val="9"/>
                <c:pt idx="4">
                  <c:v>209.41666666666632</c:v>
                </c:pt>
                <c:pt idx="5">
                  <c:v>227.91666666666632</c:v>
                </c:pt>
                <c:pt idx="6">
                  <c:v>245.91666666666632</c:v>
                </c:pt>
                <c:pt idx="7">
                  <c:v>258.16666666666708</c:v>
                </c:pt>
              </c:numCache>
            </c:numRef>
          </c:val>
          <c:smooth val="0"/>
        </c:ser>
        <c:ser>
          <c:idx val="16"/>
          <c:order val="16"/>
          <c:tx>
            <c:strRef>
              <c:f>Sheet1!$A$18</c:f>
              <c:strCache>
                <c:ptCount val="1"/>
                <c:pt idx="0">
                  <c:v>Dobrich</c:v>
                </c:pt>
              </c:strCache>
            </c:strRef>
          </c:tx>
          <c:cat>
            <c:strRef>
              <c:f>Sheet1!$B$1:$J$1</c:f>
              <c:strCache>
                <c:ptCount val="9"/>
                <c:pt idx="0">
                  <c:v>2004</c:v>
                </c:pt>
                <c:pt idx="1">
                  <c:v>2005</c:v>
                </c:pt>
                <c:pt idx="2">
                  <c:v>2006</c:v>
                </c:pt>
                <c:pt idx="3">
                  <c:v>2007</c:v>
                </c:pt>
                <c:pt idx="4">
                  <c:v>2008</c:v>
                </c:pt>
                <c:pt idx="5">
                  <c:v>2009</c:v>
                </c:pt>
                <c:pt idx="6">
                  <c:v>2010</c:v>
                </c:pt>
                <c:pt idx="7">
                  <c:v>2011</c:v>
                </c:pt>
                <c:pt idx="8">
                  <c:v>2012</c:v>
                </c:pt>
              </c:strCache>
            </c:strRef>
          </c:cat>
          <c:val>
            <c:numRef>
              <c:f>Sheet1!$B$18:$J$18</c:f>
              <c:numCache>
                <c:formatCode>General</c:formatCode>
                <c:ptCount val="9"/>
                <c:pt idx="4">
                  <c:v>228.08333333333377</c:v>
                </c:pt>
                <c:pt idx="5">
                  <c:v>245.91666666666632</c:v>
                </c:pt>
                <c:pt idx="6">
                  <c:v>261.16666666666708</c:v>
                </c:pt>
                <c:pt idx="7">
                  <c:v>272.41666666666674</c:v>
                </c:pt>
              </c:numCache>
            </c:numRef>
          </c:val>
          <c:smooth val="0"/>
        </c:ser>
        <c:dLbls>
          <c:showLegendKey val="0"/>
          <c:showVal val="0"/>
          <c:showCatName val="0"/>
          <c:showSerName val="0"/>
          <c:showPercent val="0"/>
          <c:showBubbleSize val="0"/>
        </c:dLbls>
        <c:marker val="1"/>
        <c:smooth val="0"/>
        <c:axId val="121970048"/>
        <c:axId val="121975936"/>
      </c:lineChart>
      <c:catAx>
        <c:axId val="121970048"/>
        <c:scaling>
          <c:orientation val="minMax"/>
        </c:scaling>
        <c:delete val="0"/>
        <c:axPos val="b"/>
        <c:numFmt formatCode="General" sourceLinked="1"/>
        <c:majorTickMark val="out"/>
        <c:minorTickMark val="none"/>
        <c:tickLblPos val="nextTo"/>
        <c:crossAx val="121975936"/>
        <c:crosses val="autoZero"/>
        <c:auto val="1"/>
        <c:lblAlgn val="ctr"/>
        <c:lblOffset val="100"/>
        <c:noMultiLvlLbl val="0"/>
      </c:catAx>
      <c:valAx>
        <c:axId val="121975936"/>
        <c:scaling>
          <c:orientation val="minMax"/>
        </c:scaling>
        <c:delete val="0"/>
        <c:axPos val="l"/>
        <c:majorGridlines/>
        <c:numFmt formatCode="General" sourceLinked="1"/>
        <c:majorTickMark val="out"/>
        <c:minorTickMark val="none"/>
        <c:tickLblPos val="nextTo"/>
        <c:crossAx val="121970048"/>
        <c:crosses val="autoZero"/>
        <c:crossBetween val="between"/>
      </c:valAx>
    </c:plotArea>
    <c:legend>
      <c:legendPos val="r"/>
      <c:overlay val="0"/>
    </c:legend>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2008</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Vidin</c:v>
                </c:pt>
                <c:pt idx="8">
                  <c:v>Montana</c:v>
                </c:pt>
                <c:pt idx="9">
                  <c:v>Vratsa</c:v>
                </c:pt>
                <c:pt idx="10">
                  <c:v>Pleven</c:v>
                </c:pt>
                <c:pt idx="11">
                  <c:v>Veliko Tarnovo</c:v>
                </c:pt>
                <c:pt idx="12">
                  <c:v>Ruse</c:v>
                </c:pt>
                <c:pt idx="13">
                  <c:v>Silistra</c:v>
                </c:pt>
                <c:pt idx="14">
                  <c:v>Dobrich</c:v>
                </c:pt>
              </c:strCache>
            </c:strRef>
          </c:cat>
          <c:val>
            <c:numRef>
              <c:f>Sheet1!$B$2:$B$16</c:f>
              <c:numCache>
                <c:formatCode>General</c:formatCode>
                <c:ptCount val="15"/>
                <c:pt idx="0">
                  <c:v>23561</c:v>
                </c:pt>
                <c:pt idx="1">
                  <c:v>5005</c:v>
                </c:pt>
                <c:pt idx="2">
                  <c:v>4228</c:v>
                </c:pt>
                <c:pt idx="3">
                  <c:v>5268</c:v>
                </c:pt>
                <c:pt idx="4">
                  <c:v>14407</c:v>
                </c:pt>
                <c:pt idx="5">
                  <c:v>4163</c:v>
                </c:pt>
                <c:pt idx="6">
                  <c:v>6531</c:v>
                </c:pt>
                <c:pt idx="7">
                  <c:v>3009.3390000000022</c:v>
                </c:pt>
                <c:pt idx="8">
                  <c:v>4312.6020000000044</c:v>
                </c:pt>
                <c:pt idx="9">
                  <c:v>5030.1500000000024</c:v>
                </c:pt>
                <c:pt idx="10">
                  <c:v>9475.263999999981</c:v>
                </c:pt>
                <c:pt idx="11">
                  <c:v>10013.111999999985</c:v>
                </c:pt>
                <c:pt idx="12">
                  <c:v>10589.124000000014</c:v>
                </c:pt>
                <c:pt idx="13">
                  <c:v>3640.2799999999997</c:v>
                </c:pt>
                <c:pt idx="14">
                  <c:v>6271.8890000000001</c:v>
                </c:pt>
              </c:numCache>
            </c:numRef>
          </c:val>
        </c:ser>
        <c:ser>
          <c:idx val="1"/>
          <c:order val="1"/>
          <c:tx>
            <c:strRef>
              <c:f>Sheet1!$C$1</c:f>
              <c:strCache>
                <c:ptCount val="1"/>
                <c:pt idx="0">
                  <c:v>2009</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Vidin</c:v>
                </c:pt>
                <c:pt idx="8">
                  <c:v>Montana</c:v>
                </c:pt>
                <c:pt idx="9">
                  <c:v>Vratsa</c:v>
                </c:pt>
                <c:pt idx="10">
                  <c:v>Pleven</c:v>
                </c:pt>
                <c:pt idx="11">
                  <c:v>Veliko Tarnovo</c:v>
                </c:pt>
                <c:pt idx="12">
                  <c:v>Ruse</c:v>
                </c:pt>
                <c:pt idx="13">
                  <c:v>Silistra</c:v>
                </c:pt>
                <c:pt idx="14">
                  <c:v>Dobrich</c:v>
                </c:pt>
              </c:strCache>
            </c:strRef>
          </c:cat>
          <c:val>
            <c:numRef>
              <c:f>Sheet1!$C$2:$C$16</c:f>
              <c:numCache>
                <c:formatCode>General</c:formatCode>
                <c:ptCount val="15"/>
                <c:pt idx="0">
                  <c:v>23127</c:v>
                </c:pt>
                <c:pt idx="1">
                  <c:v>4847</c:v>
                </c:pt>
                <c:pt idx="2">
                  <c:v>4226</c:v>
                </c:pt>
                <c:pt idx="3">
                  <c:v>5245</c:v>
                </c:pt>
                <c:pt idx="4">
                  <c:v>14086</c:v>
                </c:pt>
                <c:pt idx="5">
                  <c:v>3996</c:v>
                </c:pt>
                <c:pt idx="6">
                  <c:v>6556</c:v>
                </c:pt>
                <c:pt idx="7">
                  <c:v>3712.3920000000012</c:v>
                </c:pt>
                <c:pt idx="8">
                  <c:v>5027.04</c:v>
                </c:pt>
                <c:pt idx="9">
                  <c:v>6344.48</c:v>
                </c:pt>
                <c:pt idx="10">
                  <c:v>10235.154999999981</c:v>
                </c:pt>
                <c:pt idx="11">
                  <c:v>11058.32</c:v>
                </c:pt>
                <c:pt idx="12">
                  <c:v>11508.740000000014</c:v>
                </c:pt>
                <c:pt idx="13">
                  <c:v>4108.4800000000005</c:v>
                </c:pt>
                <c:pt idx="14">
                  <c:v>9428.293999999989</c:v>
                </c:pt>
              </c:numCache>
            </c:numRef>
          </c:val>
        </c:ser>
        <c:ser>
          <c:idx val="2"/>
          <c:order val="2"/>
          <c:tx>
            <c:strRef>
              <c:f>Sheet1!$D$1</c:f>
              <c:strCache>
                <c:ptCount val="1"/>
                <c:pt idx="0">
                  <c:v>2010</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Vidin</c:v>
                </c:pt>
                <c:pt idx="8">
                  <c:v>Montana</c:v>
                </c:pt>
                <c:pt idx="9">
                  <c:v>Vratsa</c:v>
                </c:pt>
                <c:pt idx="10">
                  <c:v>Pleven</c:v>
                </c:pt>
                <c:pt idx="11">
                  <c:v>Veliko Tarnovo</c:v>
                </c:pt>
                <c:pt idx="12">
                  <c:v>Ruse</c:v>
                </c:pt>
                <c:pt idx="13">
                  <c:v>Silistra</c:v>
                </c:pt>
                <c:pt idx="14">
                  <c:v>Dobrich</c:v>
                </c:pt>
              </c:strCache>
            </c:strRef>
          </c:cat>
          <c:val>
            <c:numRef>
              <c:f>Sheet1!$D$2:$D$16</c:f>
              <c:numCache>
                <c:formatCode>General</c:formatCode>
                <c:ptCount val="15"/>
                <c:pt idx="0">
                  <c:v>20922</c:v>
                </c:pt>
                <c:pt idx="1">
                  <c:v>4512</c:v>
                </c:pt>
                <c:pt idx="2">
                  <c:v>4015</c:v>
                </c:pt>
                <c:pt idx="3">
                  <c:v>5042</c:v>
                </c:pt>
                <c:pt idx="4">
                  <c:v>13128</c:v>
                </c:pt>
                <c:pt idx="5">
                  <c:v>3627</c:v>
                </c:pt>
                <c:pt idx="6">
                  <c:v>6111</c:v>
                </c:pt>
                <c:pt idx="7">
                  <c:v>3529.4160000000002</c:v>
                </c:pt>
                <c:pt idx="8">
                  <c:v>4943.424</c:v>
                </c:pt>
                <c:pt idx="9">
                  <c:v>6441.3360000000002</c:v>
                </c:pt>
                <c:pt idx="10">
                  <c:v>10099.004999999988</c:v>
                </c:pt>
                <c:pt idx="11">
                  <c:v>10935.88</c:v>
                </c:pt>
                <c:pt idx="12">
                  <c:v>11651.629000000004</c:v>
                </c:pt>
                <c:pt idx="13">
                  <c:v>4055.7759999999998</c:v>
                </c:pt>
                <c:pt idx="14">
                  <c:v>9332.5079999999525</c:v>
                </c:pt>
              </c:numCache>
            </c:numRef>
          </c:val>
        </c:ser>
        <c:dLbls>
          <c:showLegendKey val="0"/>
          <c:showVal val="0"/>
          <c:showCatName val="0"/>
          <c:showSerName val="0"/>
          <c:showPercent val="0"/>
          <c:showBubbleSize val="0"/>
        </c:dLbls>
        <c:gapWidth val="150"/>
        <c:axId val="122010240"/>
        <c:axId val="121770368"/>
      </c:barChart>
      <c:catAx>
        <c:axId val="122010240"/>
        <c:scaling>
          <c:orientation val="minMax"/>
        </c:scaling>
        <c:delete val="0"/>
        <c:axPos val="b"/>
        <c:numFmt formatCode="General" sourceLinked="1"/>
        <c:majorTickMark val="out"/>
        <c:minorTickMark val="none"/>
        <c:tickLblPos val="nextTo"/>
        <c:crossAx val="121770368"/>
        <c:crosses val="autoZero"/>
        <c:auto val="1"/>
        <c:lblAlgn val="ctr"/>
        <c:lblOffset val="100"/>
        <c:noMultiLvlLbl val="0"/>
      </c:catAx>
      <c:valAx>
        <c:axId val="121770368"/>
        <c:scaling>
          <c:orientation val="minMax"/>
        </c:scaling>
        <c:delete val="0"/>
        <c:axPos val="l"/>
        <c:majorGridlines/>
        <c:numFmt formatCode="General" sourceLinked="1"/>
        <c:majorTickMark val="out"/>
        <c:minorTickMark val="none"/>
        <c:tickLblPos val="nextTo"/>
        <c:crossAx val="122010240"/>
        <c:crosses val="autoZero"/>
        <c:crossBetween val="between"/>
      </c:valAx>
    </c:plotArea>
    <c:legend>
      <c:legendPos val="r"/>
      <c:overlay val="0"/>
    </c:legend>
    <c:plotVisOnly val="1"/>
    <c:dispBlanksAs val="gap"/>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99"/>
            </a:pPr>
            <a:r>
              <a:rPr lang="en-US" sz="1199"/>
              <a:t>Evolution of the number of R&amp;D personnel</a:t>
            </a:r>
            <a:r>
              <a:rPr lang="en-US" sz="1199" baseline="0"/>
              <a:t> per country</a:t>
            </a:r>
            <a:endParaRPr lang="en-US" sz="1200"/>
          </a:p>
        </c:rich>
      </c:tx>
      <c:overlay val="0"/>
    </c:title>
    <c:autoTitleDeleted val="0"/>
    <c:plotArea>
      <c:layout/>
      <c:lineChart>
        <c:grouping val="standard"/>
        <c:varyColors val="0"/>
        <c:ser>
          <c:idx val="0"/>
          <c:order val="0"/>
          <c:tx>
            <c:strRef>
              <c:f>Sheet1!$A$2</c:f>
              <c:strCache>
                <c:ptCount val="1"/>
                <c:pt idx="0">
                  <c:v>Cross-border area overall number of R&amp;D personnel</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Sheet1!$B$2:$M$2</c:f>
              <c:numCache>
                <c:formatCode>General</c:formatCode>
                <c:ptCount val="12"/>
                <c:pt idx="0">
                  <c:v>5876</c:v>
                </c:pt>
                <c:pt idx="1">
                  <c:v>5918</c:v>
                </c:pt>
                <c:pt idx="2">
                  <c:v>6031</c:v>
                </c:pt>
                <c:pt idx="3">
                  <c:v>6203</c:v>
                </c:pt>
                <c:pt idx="4">
                  <c:v>6352</c:v>
                </c:pt>
                <c:pt idx="5">
                  <c:v>6560</c:v>
                </c:pt>
                <c:pt idx="6">
                  <c:v>6685</c:v>
                </c:pt>
                <c:pt idx="7">
                  <c:v>6848</c:v>
                </c:pt>
                <c:pt idx="8">
                  <c:v>6939</c:v>
                </c:pt>
                <c:pt idx="9">
                  <c:v>7155</c:v>
                </c:pt>
                <c:pt idx="10">
                  <c:v>7212</c:v>
                </c:pt>
                <c:pt idx="11">
                  <c:v>7295</c:v>
                </c:pt>
              </c:numCache>
            </c:numRef>
          </c:val>
          <c:smooth val="0"/>
        </c:ser>
        <c:ser>
          <c:idx val="1"/>
          <c:order val="1"/>
          <c:tx>
            <c:strRef>
              <c:f>Sheet1!$A$3</c:f>
              <c:strCache>
                <c:ptCount val="1"/>
                <c:pt idx="0">
                  <c:v>BG area</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Sheet1!$B$3:$M$3</c:f>
              <c:numCache>
                <c:formatCode>General</c:formatCode>
                <c:ptCount val="12"/>
                <c:pt idx="0">
                  <c:v>3408</c:v>
                </c:pt>
                <c:pt idx="1">
                  <c:v>3426</c:v>
                </c:pt>
                <c:pt idx="2">
                  <c:v>3503</c:v>
                </c:pt>
                <c:pt idx="3">
                  <c:v>3433</c:v>
                </c:pt>
                <c:pt idx="4">
                  <c:v>3329</c:v>
                </c:pt>
                <c:pt idx="5">
                  <c:v>3126</c:v>
                </c:pt>
                <c:pt idx="6">
                  <c:v>3124</c:v>
                </c:pt>
                <c:pt idx="7">
                  <c:v>3039</c:v>
                </c:pt>
                <c:pt idx="8">
                  <c:v>2891</c:v>
                </c:pt>
                <c:pt idx="9">
                  <c:v>2934</c:v>
                </c:pt>
                <c:pt idx="10">
                  <c:v>2937</c:v>
                </c:pt>
                <c:pt idx="11">
                  <c:v>3138</c:v>
                </c:pt>
              </c:numCache>
            </c:numRef>
          </c:val>
          <c:smooth val="0"/>
        </c:ser>
        <c:ser>
          <c:idx val="2"/>
          <c:order val="2"/>
          <c:tx>
            <c:strRef>
              <c:f>Sheet1!$A$4</c:f>
              <c:strCache>
                <c:ptCount val="1"/>
                <c:pt idx="0">
                  <c:v>Ro area</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Sheet1!$B$4:$M$4</c:f>
              <c:numCache>
                <c:formatCode>General</c:formatCode>
                <c:ptCount val="12"/>
                <c:pt idx="0">
                  <c:v>2468</c:v>
                </c:pt>
                <c:pt idx="1">
                  <c:v>2492</c:v>
                </c:pt>
                <c:pt idx="2">
                  <c:v>2528</c:v>
                </c:pt>
                <c:pt idx="3">
                  <c:v>2770</c:v>
                </c:pt>
                <c:pt idx="4">
                  <c:v>3023</c:v>
                </c:pt>
                <c:pt idx="5">
                  <c:v>3434</c:v>
                </c:pt>
                <c:pt idx="6">
                  <c:v>3561</c:v>
                </c:pt>
                <c:pt idx="7">
                  <c:v>3809</c:v>
                </c:pt>
                <c:pt idx="8">
                  <c:v>4048</c:v>
                </c:pt>
                <c:pt idx="9">
                  <c:v>4221</c:v>
                </c:pt>
                <c:pt idx="10">
                  <c:v>4275</c:v>
                </c:pt>
                <c:pt idx="11">
                  <c:v>4157</c:v>
                </c:pt>
              </c:numCache>
            </c:numRef>
          </c:val>
          <c:smooth val="0"/>
        </c:ser>
        <c:dLbls>
          <c:showLegendKey val="0"/>
          <c:showVal val="0"/>
          <c:showCatName val="0"/>
          <c:showSerName val="0"/>
          <c:showPercent val="0"/>
          <c:showBubbleSize val="0"/>
        </c:dLbls>
        <c:marker val="1"/>
        <c:smooth val="0"/>
        <c:axId val="121832576"/>
        <c:axId val="121834112"/>
      </c:lineChart>
      <c:catAx>
        <c:axId val="121832576"/>
        <c:scaling>
          <c:orientation val="minMax"/>
        </c:scaling>
        <c:delete val="0"/>
        <c:axPos val="b"/>
        <c:numFmt formatCode="General" sourceLinked="1"/>
        <c:majorTickMark val="out"/>
        <c:minorTickMark val="none"/>
        <c:tickLblPos val="nextTo"/>
        <c:crossAx val="121834112"/>
        <c:crosses val="autoZero"/>
        <c:auto val="1"/>
        <c:lblAlgn val="ctr"/>
        <c:lblOffset val="100"/>
        <c:noMultiLvlLbl val="0"/>
      </c:catAx>
      <c:valAx>
        <c:axId val="121834112"/>
        <c:scaling>
          <c:orientation val="minMax"/>
        </c:scaling>
        <c:delete val="0"/>
        <c:axPos val="l"/>
        <c:majorGridlines/>
        <c:numFmt formatCode="General" sourceLinked="1"/>
        <c:majorTickMark val="out"/>
        <c:minorTickMark val="none"/>
        <c:tickLblPos val="nextTo"/>
        <c:crossAx val="121832576"/>
        <c:crosses val="autoZero"/>
        <c:crossBetween val="between"/>
      </c:valAx>
    </c:plotArea>
    <c:legend>
      <c:legendPos val="r"/>
      <c:overlay val="0"/>
    </c:legend>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99"/>
            </a:pPr>
            <a:r>
              <a:rPr lang="en-US" sz="1199"/>
              <a:t>Research</a:t>
            </a:r>
            <a:r>
              <a:rPr lang="en-US" sz="1199" baseline="0"/>
              <a:t> personnel numbers in the cross-border area - evolution</a:t>
            </a:r>
            <a:endParaRPr lang="en-US" sz="1200"/>
          </a:p>
        </c:rich>
      </c:tx>
      <c:overlay val="0"/>
    </c:title>
    <c:autoTitleDeleted val="0"/>
    <c:plotArea>
      <c:layout/>
      <c:lineChart>
        <c:grouping val="standard"/>
        <c:varyColors val="0"/>
        <c:ser>
          <c:idx val="0"/>
          <c:order val="0"/>
          <c:tx>
            <c:strRef>
              <c:f>Sheet1!$A$2</c:f>
              <c:strCache>
                <c:ptCount val="1"/>
                <c:pt idx="0">
                  <c:v>Constanta</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Sheet1!$B$2:$M$2</c:f>
              <c:numCache>
                <c:formatCode>General</c:formatCode>
                <c:ptCount val="12"/>
                <c:pt idx="0">
                  <c:v>315</c:v>
                </c:pt>
                <c:pt idx="1">
                  <c:v>310</c:v>
                </c:pt>
                <c:pt idx="2">
                  <c:v>389</c:v>
                </c:pt>
                <c:pt idx="3">
                  <c:v>407</c:v>
                </c:pt>
                <c:pt idx="4">
                  <c:v>392</c:v>
                </c:pt>
                <c:pt idx="5">
                  <c:v>454</c:v>
                </c:pt>
                <c:pt idx="6">
                  <c:v>600</c:v>
                </c:pt>
                <c:pt idx="7">
                  <c:v>620</c:v>
                </c:pt>
                <c:pt idx="8">
                  <c:v>672</c:v>
                </c:pt>
                <c:pt idx="9">
                  <c:v>735</c:v>
                </c:pt>
                <c:pt idx="10">
                  <c:v>663</c:v>
                </c:pt>
                <c:pt idx="11">
                  <c:v>787</c:v>
                </c:pt>
              </c:numCache>
            </c:numRef>
          </c:val>
          <c:smooth val="0"/>
        </c:ser>
        <c:ser>
          <c:idx val="1"/>
          <c:order val="1"/>
          <c:tx>
            <c:strRef>
              <c:f>Sheet1!$A$3</c:f>
              <c:strCache>
                <c:ptCount val="1"/>
                <c:pt idx="0">
                  <c:v>Calarasi</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Sheet1!$B$3:$M$3</c:f>
              <c:numCache>
                <c:formatCode>General</c:formatCode>
                <c:ptCount val="12"/>
                <c:pt idx="0">
                  <c:v>639</c:v>
                </c:pt>
                <c:pt idx="1">
                  <c:v>609</c:v>
                </c:pt>
                <c:pt idx="2">
                  <c:v>605</c:v>
                </c:pt>
                <c:pt idx="3">
                  <c:v>563</c:v>
                </c:pt>
                <c:pt idx="4">
                  <c:v>558</c:v>
                </c:pt>
                <c:pt idx="5">
                  <c:v>477</c:v>
                </c:pt>
                <c:pt idx="6">
                  <c:v>408</c:v>
                </c:pt>
                <c:pt idx="7">
                  <c:v>331</c:v>
                </c:pt>
                <c:pt idx="8">
                  <c:v>326</c:v>
                </c:pt>
                <c:pt idx="9">
                  <c:v>302</c:v>
                </c:pt>
                <c:pt idx="10">
                  <c:v>304</c:v>
                </c:pt>
                <c:pt idx="11">
                  <c:v>420</c:v>
                </c:pt>
              </c:numCache>
            </c:numRef>
          </c:val>
          <c:smooth val="0"/>
        </c:ser>
        <c:ser>
          <c:idx val="2"/>
          <c:order val="2"/>
          <c:tx>
            <c:strRef>
              <c:f>Sheet1!$A$4</c:f>
              <c:strCache>
                <c:ptCount val="1"/>
                <c:pt idx="0">
                  <c:v>Giurgiu</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Sheet1!$B$4:$M$4</c:f>
              <c:numCache>
                <c:formatCode>General</c:formatCode>
                <c:ptCount val="12"/>
                <c:pt idx="0">
                  <c:v>48</c:v>
                </c:pt>
                <c:pt idx="1">
                  <c:v>41</c:v>
                </c:pt>
                <c:pt idx="2">
                  <c:v>35</c:v>
                </c:pt>
                <c:pt idx="3">
                  <c:v>41</c:v>
                </c:pt>
                <c:pt idx="4">
                  <c:v>36</c:v>
                </c:pt>
                <c:pt idx="5">
                  <c:v>33</c:v>
                </c:pt>
                <c:pt idx="6">
                  <c:v>34</c:v>
                </c:pt>
                <c:pt idx="7">
                  <c:v>7</c:v>
                </c:pt>
                <c:pt idx="8">
                  <c:v>6</c:v>
                </c:pt>
                <c:pt idx="9">
                  <c:v>1</c:v>
                </c:pt>
                <c:pt idx="10">
                  <c:v>0</c:v>
                </c:pt>
                <c:pt idx="11">
                  <c:v>0</c:v>
                </c:pt>
              </c:numCache>
            </c:numRef>
          </c:val>
          <c:smooth val="0"/>
        </c:ser>
        <c:ser>
          <c:idx val="3"/>
          <c:order val="3"/>
          <c:tx>
            <c:strRef>
              <c:f>Sheet1!$A$5</c:f>
              <c:strCache>
                <c:ptCount val="1"/>
                <c:pt idx="0">
                  <c:v>Teleorman</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Sheet1!$B$5:$M$5</c:f>
              <c:numCache>
                <c:formatCode>General</c:formatCode>
                <c:ptCount val="12"/>
                <c:pt idx="0">
                  <c:v>43</c:v>
                </c:pt>
                <c:pt idx="1">
                  <c:v>43</c:v>
                </c:pt>
                <c:pt idx="2">
                  <c:v>52</c:v>
                </c:pt>
                <c:pt idx="3">
                  <c:v>16</c:v>
                </c:pt>
                <c:pt idx="4">
                  <c:v>19</c:v>
                </c:pt>
                <c:pt idx="5">
                  <c:v>19</c:v>
                </c:pt>
                <c:pt idx="6">
                  <c:v>15</c:v>
                </c:pt>
                <c:pt idx="7">
                  <c:v>23</c:v>
                </c:pt>
                <c:pt idx="8">
                  <c:v>22</c:v>
                </c:pt>
                <c:pt idx="9">
                  <c:v>20</c:v>
                </c:pt>
                <c:pt idx="10">
                  <c:v>20</c:v>
                </c:pt>
                <c:pt idx="11">
                  <c:v>23</c:v>
                </c:pt>
              </c:numCache>
            </c:numRef>
          </c:val>
          <c:smooth val="0"/>
        </c:ser>
        <c:ser>
          <c:idx val="4"/>
          <c:order val="4"/>
          <c:tx>
            <c:strRef>
              <c:f>Sheet1!$A$6</c:f>
              <c:strCache>
                <c:ptCount val="1"/>
                <c:pt idx="0">
                  <c:v>Dolj</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Sheet1!$B$6:$M$6</c:f>
              <c:numCache>
                <c:formatCode>General</c:formatCode>
                <c:ptCount val="12"/>
                <c:pt idx="0">
                  <c:v>2226</c:v>
                </c:pt>
                <c:pt idx="1">
                  <c:v>2234</c:v>
                </c:pt>
                <c:pt idx="2">
                  <c:v>2237</c:v>
                </c:pt>
                <c:pt idx="3">
                  <c:v>2229</c:v>
                </c:pt>
                <c:pt idx="4">
                  <c:v>2073</c:v>
                </c:pt>
                <c:pt idx="5">
                  <c:v>2037</c:v>
                </c:pt>
                <c:pt idx="6">
                  <c:v>1988</c:v>
                </c:pt>
                <c:pt idx="7">
                  <c:v>1979</c:v>
                </c:pt>
                <c:pt idx="8">
                  <c:v>1845</c:v>
                </c:pt>
                <c:pt idx="9">
                  <c:v>1861</c:v>
                </c:pt>
                <c:pt idx="10">
                  <c:v>1934</c:v>
                </c:pt>
                <c:pt idx="11">
                  <c:v>1889</c:v>
                </c:pt>
              </c:numCache>
            </c:numRef>
          </c:val>
          <c:smooth val="0"/>
        </c:ser>
        <c:ser>
          <c:idx val="5"/>
          <c:order val="5"/>
          <c:tx>
            <c:strRef>
              <c:f>Sheet1!$A$7</c:f>
              <c:strCache>
                <c:ptCount val="1"/>
                <c:pt idx="0">
                  <c:v>Mehedinti</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Sheet1!$B$7:$M$7</c:f>
              <c:numCache>
                <c:formatCode>General</c:formatCode>
                <c:ptCount val="12"/>
                <c:pt idx="0">
                  <c:v>78</c:v>
                </c:pt>
                <c:pt idx="1">
                  <c:v>127</c:v>
                </c:pt>
                <c:pt idx="2">
                  <c:v>80</c:v>
                </c:pt>
                <c:pt idx="3">
                  <c:v>76</c:v>
                </c:pt>
                <c:pt idx="4">
                  <c:v>69</c:v>
                </c:pt>
                <c:pt idx="5">
                  <c:v>63</c:v>
                </c:pt>
                <c:pt idx="6">
                  <c:v>66</c:v>
                </c:pt>
                <c:pt idx="7">
                  <c:v>60</c:v>
                </c:pt>
                <c:pt idx="8">
                  <c:v>2</c:v>
                </c:pt>
                <c:pt idx="9">
                  <c:v>2</c:v>
                </c:pt>
                <c:pt idx="10">
                  <c:v>0</c:v>
                </c:pt>
                <c:pt idx="11">
                  <c:v>0</c:v>
                </c:pt>
              </c:numCache>
            </c:numRef>
          </c:val>
          <c:smooth val="0"/>
        </c:ser>
        <c:ser>
          <c:idx val="6"/>
          <c:order val="6"/>
          <c:tx>
            <c:strRef>
              <c:f>Sheet1!$A$8</c:f>
              <c:strCache>
                <c:ptCount val="1"/>
                <c:pt idx="0">
                  <c:v>Olt</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Sheet1!$B$8:$M$8</c:f>
              <c:numCache>
                <c:formatCode>General</c:formatCode>
                <c:ptCount val="12"/>
                <c:pt idx="0">
                  <c:v>59</c:v>
                </c:pt>
                <c:pt idx="1">
                  <c:v>62</c:v>
                </c:pt>
                <c:pt idx="2">
                  <c:v>105</c:v>
                </c:pt>
                <c:pt idx="3">
                  <c:v>101</c:v>
                </c:pt>
                <c:pt idx="4">
                  <c:v>182</c:v>
                </c:pt>
                <c:pt idx="5">
                  <c:v>43</c:v>
                </c:pt>
                <c:pt idx="6">
                  <c:v>13</c:v>
                </c:pt>
                <c:pt idx="7">
                  <c:v>19</c:v>
                </c:pt>
                <c:pt idx="8">
                  <c:v>18</c:v>
                </c:pt>
                <c:pt idx="9">
                  <c:v>13</c:v>
                </c:pt>
                <c:pt idx="10">
                  <c:v>16</c:v>
                </c:pt>
                <c:pt idx="11">
                  <c:v>19</c:v>
                </c:pt>
              </c:numCache>
            </c:numRef>
          </c:val>
          <c:smooth val="0"/>
        </c:ser>
        <c:ser>
          <c:idx val="7"/>
          <c:order val="7"/>
          <c:tx>
            <c:strRef>
              <c:f>Sheet1!$A$9</c:f>
              <c:strCache>
                <c:ptCount val="1"/>
                <c:pt idx="0">
                  <c:v>North-West</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Sheet1!$B$9:$M$9</c:f>
              <c:numCache>
                <c:formatCode>General</c:formatCode>
                <c:ptCount val="12"/>
                <c:pt idx="0">
                  <c:v>717</c:v>
                </c:pt>
                <c:pt idx="1">
                  <c:v>409</c:v>
                </c:pt>
                <c:pt idx="2">
                  <c:v>469</c:v>
                </c:pt>
                <c:pt idx="3">
                  <c:v>534</c:v>
                </c:pt>
                <c:pt idx="4">
                  <c:v>545</c:v>
                </c:pt>
                <c:pt idx="5">
                  <c:v>568</c:v>
                </c:pt>
                <c:pt idx="6">
                  <c:v>647</c:v>
                </c:pt>
                <c:pt idx="7">
                  <c:v>757</c:v>
                </c:pt>
                <c:pt idx="8">
                  <c:v>739</c:v>
                </c:pt>
                <c:pt idx="9">
                  <c:v>624</c:v>
                </c:pt>
                <c:pt idx="10">
                  <c:v>644</c:v>
                </c:pt>
                <c:pt idx="11">
                  <c:v>578</c:v>
                </c:pt>
              </c:numCache>
            </c:numRef>
          </c:val>
          <c:smooth val="0"/>
        </c:ser>
        <c:ser>
          <c:idx val="8"/>
          <c:order val="8"/>
          <c:tx>
            <c:strRef>
              <c:f>Sheet1!$A$10</c:f>
              <c:strCache>
                <c:ptCount val="1"/>
                <c:pt idx="0">
                  <c:v>North-Central</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Sheet1!$B$10:$M$10</c:f>
              <c:numCache>
                <c:formatCode>General</c:formatCode>
                <c:ptCount val="12"/>
                <c:pt idx="0">
                  <c:v>627</c:v>
                </c:pt>
                <c:pt idx="1">
                  <c:v>771</c:v>
                </c:pt>
                <c:pt idx="2">
                  <c:v>772</c:v>
                </c:pt>
                <c:pt idx="3">
                  <c:v>749</c:v>
                </c:pt>
                <c:pt idx="4">
                  <c:v>870</c:v>
                </c:pt>
                <c:pt idx="5">
                  <c:v>1335</c:v>
                </c:pt>
                <c:pt idx="6">
                  <c:v>1258</c:v>
                </c:pt>
                <c:pt idx="7">
                  <c:v>1336</c:v>
                </c:pt>
                <c:pt idx="8">
                  <c:v>1504</c:v>
                </c:pt>
                <c:pt idx="9">
                  <c:v>1565</c:v>
                </c:pt>
                <c:pt idx="10">
                  <c:v>1414</c:v>
                </c:pt>
                <c:pt idx="11">
                  <c:v>1563</c:v>
                </c:pt>
              </c:numCache>
            </c:numRef>
          </c:val>
          <c:smooth val="0"/>
        </c:ser>
        <c:ser>
          <c:idx val="9"/>
          <c:order val="9"/>
          <c:tx>
            <c:strRef>
              <c:f>Sheet1!$A$11</c:f>
              <c:strCache>
                <c:ptCount val="1"/>
                <c:pt idx="0">
                  <c:v>North-East</c:v>
                </c:pt>
              </c:strCache>
            </c:strRef>
          </c:tx>
          <c:cat>
            <c:strRef>
              <c:f>Sheet1!$B$1:$M$1</c:f>
              <c:strCache>
                <c:ptCount val="12"/>
                <c:pt idx="0">
                  <c:v>2000</c:v>
                </c:pt>
                <c:pt idx="1">
                  <c:v>2001</c:v>
                </c:pt>
                <c:pt idx="2">
                  <c:v>2002</c:v>
                </c:pt>
                <c:pt idx="3">
                  <c:v>2003</c:v>
                </c:pt>
                <c:pt idx="4">
                  <c:v>2004</c:v>
                </c:pt>
                <c:pt idx="5">
                  <c:v>2005</c:v>
                </c:pt>
                <c:pt idx="6">
                  <c:v>2006</c:v>
                </c:pt>
                <c:pt idx="7">
                  <c:v>2007</c:v>
                </c:pt>
                <c:pt idx="8">
                  <c:v>2008</c:v>
                </c:pt>
                <c:pt idx="9">
                  <c:v>2009</c:v>
                </c:pt>
                <c:pt idx="10">
                  <c:v>2010</c:v>
                </c:pt>
                <c:pt idx="11">
                  <c:v>2011</c:v>
                </c:pt>
              </c:strCache>
            </c:strRef>
          </c:cat>
          <c:val>
            <c:numRef>
              <c:f>Sheet1!$B$11:$M$11</c:f>
              <c:numCache>
                <c:formatCode>General</c:formatCode>
                <c:ptCount val="12"/>
                <c:pt idx="0">
                  <c:v>1124</c:v>
                </c:pt>
                <c:pt idx="1">
                  <c:v>1312</c:v>
                </c:pt>
                <c:pt idx="2">
                  <c:v>1287</c:v>
                </c:pt>
                <c:pt idx="3">
                  <c:v>1487</c:v>
                </c:pt>
                <c:pt idx="4">
                  <c:v>1608</c:v>
                </c:pt>
                <c:pt idx="5">
                  <c:v>1531</c:v>
                </c:pt>
                <c:pt idx="6">
                  <c:v>1656</c:v>
                </c:pt>
                <c:pt idx="7">
                  <c:v>1716</c:v>
                </c:pt>
                <c:pt idx="8">
                  <c:v>1805</c:v>
                </c:pt>
                <c:pt idx="9">
                  <c:v>2032</c:v>
                </c:pt>
                <c:pt idx="10">
                  <c:v>2217</c:v>
                </c:pt>
                <c:pt idx="11">
                  <c:v>2016</c:v>
                </c:pt>
              </c:numCache>
            </c:numRef>
          </c:val>
          <c:smooth val="0"/>
        </c:ser>
        <c:dLbls>
          <c:showLegendKey val="0"/>
          <c:showVal val="0"/>
          <c:showCatName val="0"/>
          <c:showSerName val="0"/>
          <c:showPercent val="0"/>
          <c:showBubbleSize val="0"/>
        </c:dLbls>
        <c:marker val="1"/>
        <c:smooth val="0"/>
        <c:axId val="121882496"/>
        <c:axId val="121884032"/>
      </c:lineChart>
      <c:catAx>
        <c:axId val="121882496"/>
        <c:scaling>
          <c:orientation val="minMax"/>
        </c:scaling>
        <c:delete val="0"/>
        <c:axPos val="b"/>
        <c:numFmt formatCode="General" sourceLinked="1"/>
        <c:majorTickMark val="out"/>
        <c:minorTickMark val="none"/>
        <c:tickLblPos val="nextTo"/>
        <c:crossAx val="121884032"/>
        <c:crosses val="autoZero"/>
        <c:auto val="1"/>
        <c:lblAlgn val="ctr"/>
        <c:lblOffset val="100"/>
        <c:noMultiLvlLbl val="0"/>
      </c:catAx>
      <c:valAx>
        <c:axId val="121884032"/>
        <c:scaling>
          <c:orientation val="minMax"/>
        </c:scaling>
        <c:delete val="0"/>
        <c:axPos val="l"/>
        <c:majorGridlines/>
        <c:numFmt formatCode="General" sourceLinked="1"/>
        <c:majorTickMark val="out"/>
        <c:minorTickMark val="none"/>
        <c:tickLblPos val="nextTo"/>
        <c:crossAx val="121882496"/>
        <c:crosses val="autoZero"/>
        <c:crossBetween val="between"/>
      </c:valAx>
    </c:plotArea>
    <c:legend>
      <c:legendPos val="r"/>
      <c:overlay val="0"/>
    </c:legend>
    <c:plotVisOnly val="1"/>
    <c:dispBlanksAs val="gap"/>
    <c:showDLblsOverMax val="0"/>
  </c:chart>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99"/>
            </a:pPr>
            <a:r>
              <a:rPr lang="en-US" sz="1099"/>
              <a:t>Total</a:t>
            </a:r>
            <a:r>
              <a:rPr lang="en-US" sz="1099" baseline="0"/>
              <a:t> R&amp;D expenses in the cross-border counties/districts, evolution in thousands of EUR</a:t>
            </a:r>
            <a:endParaRPr lang="en-US" sz="1100"/>
          </a:p>
        </c:rich>
      </c:tx>
      <c:overlay val="0"/>
    </c:title>
    <c:autoTitleDeleted val="0"/>
    <c:plotArea>
      <c:layout/>
      <c:lineChart>
        <c:grouping val="standard"/>
        <c:varyColors val="0"/>
        <c:ser>
          <c:idx val="0"/>
          <c:order val="0"/>
          <c:tx>
            <c:strRef>
              <c:f>Sheet1!$A$2</c:f>
              <c:strCache>
                <c:ptCount val="1"/>
                <c:pt idx="0">
                  <c:v>Constanta</c:v>
                </c:pt>
              </c:strCache>
            </c:strRef>
          </c:tx>
          <c:cat>
            <c:strRef>
              <c:f>Sheet1!$B$1:$E$1</c:f>
              <c:strCache>
                <c:ptCount val="4"/>
                <c:pt idx="0">
                  <c:v>2008</c:v>
                </c:pt>
                <c:pt idx="1">
                  <c:v>2009</c:v>
                </c:pt>
                <c:pt idx="2">
                  <c:v>2010</c:v>
                </c:pt>
                <c:pt idx="3">
                  <c:v>2011</c:v>
                </c:pt>
              </c:strCache>
            </c:strRef>
          </c:cat>
          <c:val>
            <c:numRef>
              <c:f>Sheet1!$B$2:$E$2</c:f>
              <c:numCache>
                <c:formatCode>General</c:formatCode>
                <c:ptCount val="4"/>
                <c:pt idx="0">
                  <c:v>6891.4111928747934</c:v>
                </c:pt>
                <c:pt idx="1">
                  <c:v>6629.4574375191705</c:v>
                </c:pt>
                <c:pt idx="2">
                  <c:v>6484.4770659635606</c:v>
                </c:pt>
                <c:pt idx="3">
                  <c:v>6147.8562495575952</c:v>
                </c:pt>
              </c:numCache>
            </c:numRef>
          </c:val>
          <c:smooth val="0"/>
        </c:ser>
        <c:ser>
          <c:idx val="1"/>
          <c:order val="1"/>
          <c:tx>
            <c:strRef>
              <c:f>Sheet1!$A$3</c:f>
              <c:strCache>
                <c:ptCount val="1"/>
                <c:pt idx="0">
                  <c:v>Calarasi</c:v>
                </c:pt>
              </c:strCache>
            </c:strRef>
          </c:tx>
          <c:cat>
            <c:strRef>
              <c:f>Sheet1!$B$1:$E$1</c:f>
              <c:strCache>
                <c:ptCount val="4"/>
                <c:pt idx="0">
                  <c:v>2008</c:v>
                </c:pt>
                <c:pt idx="1">
                  <c:v>2009</c:v>
                </c:pt>
                <c:pt idx="2">
                  <c:v>2010</c:v>
                </c:pt>
                <c:pt idx="3">
                  <c:v>2011</c:v>
                </c:pt>
              </c:strCache>
            </c:strRef>
          </c:cat>
          <c:val>
            <c:numRef>
              <c:f>Sheet1!$B$3:$E$3</c:f>
              <c:numCache>
                <c:formatCode>General</c:formatCode>
                <c:ptCount val="4"/>
                <c:pt idx="0">
                  <c:v>3268.7973497705502</c:v>
                </c:pt>
                <c:pt idx="1">
                  <c:v>1938.7345715432011</c:v>
                </c:pt>
                <c:pt idx="2">
                  <c:v>2335.4473978004316</c:v>
                </c:pt>
                <c:pt idx="3">
                  <c:v>2987.800561598905</c:v>
                </c:pt>
              </c:numCache>
            </c:numRef>
          </c:val>
          <c:smooth val="0"/>
        </c:ser>
        <c:ser>
          <c:idx val="2"/>
          <c:order val="2"/>
          <c:tx>
            <c:strRef>
              <c:f>Sheet1!$A$4</c:f>
              <c:strCache>
                <c:ptCount val="1"/>
                <c:pt idx="0">
                  <c:v>Giurgiu</c:v>
                </c:pt>
              </c:strCache>
            </c:strRef>
          </c:tx>
          <c:cat>
            <c:strRef>
              <c:f>Sheet1!$B$1:$E$1</c:f>
              <c:strCache>
                <c:ptCount val="4"/>
                <c:pt idx="0">
                  <c:v>2008</c:v>
                </c:pt>
                <c:pt idx="1">
                  <c:v>2009</c:v>
                </c:pt>
                <c:pt idx="2">
                  <c:v>2010</c:v>
                </c:pt>
                <c:pt idx="3">
                  <c:v>2011</c:v>
                </c:pt>
              </c:strCache>
            </c:strRef>
          </c:cat>
          <c:val>
            <c:numRef>
              <c:f>Sheet1!$B$4:$E$4</c:f>
              <c:numCache>
                <c:formatCode>General</c:formatCode>
                <c:ptCount val="4"/>
                <c:pt idx="0">
                  <c:v>52.407201238221958</c:v>
                </c:pt>
                <c:pt idx="1">
                  <c:v>5.1919854624406883</c:v>
                </c:pt>
                <c:pt idx="2">
                  <c:v>0</c:v>
                </c:pt>
                <c:pt idx="3">
                  <c:v>0</c:v>
                </c:pt>
              </c:numCache>
            </c:numRef>
          </c:val>
          <c:smooth val="0"/>
        </c:ser>
        <c:ser>
          <c:idx val="3"/>
          <c:order val="3"/>
          <c:tx>
            <c:strRef>
              <c:f>Sheet1!$A$5</c:f>
              <c:strCache>
                <c:ptCount val="1"/>
                <c:pt idx="0">
                  <c:v>Teleorman</c:v>
                </c:pt>
              </c:strCache>
            </c:strRef>
          </c:tx>
          <c:cat>
            <c:strRef>
              <c:f>Sheet1!$B$1:$E$1</c:f>
              <c:strCache>
                <c:ptCount val="4"/>
                <c:pt idx="0">
                  <c:v>2008</c:v>
                </c:pt>
                <c:pt idx="1">
                  <c:v>2009</c:v>
                </c:pt>
                <c:pt idx="2">
                  <c:v>2010</c:v>
                </c:pt>
                <c:pt idx="3">
                  <c:v>2011</c:v>
                </c:pt>
              </c:strCache>
            </c:strRef>
          </c:cat>
          <c:val>
            <c:numRef>
              <c:f>Sheet1!$B$5:$E$5</c:f>
              <c:numCache>
                <c:formatCode>General</c:formatCode>
                <c:ptCount val="4"/>
                <c:pt idx="0">
                  <c:v>364.13500963966732</c:v>
                </c:pt>
                <c:pt idx="1">
                  <c:v>144.6675949307342</c:v>
                </c:pt>
                <c:pt idx="2">
                  <c:v>134.68253402693651</c:v>
                </c:pt>
                <c:pt idx="3">
                  <c:v>123.8821114231105</c:v>
                </c:pt>
              </c:numCache>
            </c:numRef>
          </c:val>
          <c:smooth val="0"/>
        </c:ser>
        <c:ser>
          <c:idx val="4"/>
          <c:order val="4"/>
          <c:tx>
            <c:strRef>
              <c:f>Sheet1!$A$6</c:f>
              <c:strCache>
                <c:ptCount val="1"/>
                <c:pt idx="0">
                  <c:v>Dolj</c:v>
                </c:pt>
              </c:strCache>
            </c:strRef>
          </c:tx>
          <c:cat>
            <c:strRef>
              <c:f>Sheet1!$B$1:$E$1</c:f>
              <c:strCache>
                <c:ptCount val="4"/>
                <c:pt idx="0">
                  <c:v>2008</c:v>
                </c:pt>
                <c:pt idx="1">
                  <c:v>2009</c:v>
                </c:pt>
                <c:pt idx="2">
                  <c:v>2010</c:v>
                </c:pt>
                <c:pt idx="3">
                  <c:v>2011</c:v>
                </c:pt>
              </c:strCache>
            </c:strRef>
          </c:cat>
          <c:val>
            <c:numRef>
              <c:f>Sheet1!$B$6:$E$6</c:f>
              <c:numCache>
                <c:formatCode>General</c:formatCode>
                <c:ptCount val="4"/>
                <c:pt idx="0">
                  <c:v>16128.112526135741</c:v>
                </c:pt>
                <c:pt idx="1">
                  <c:v>10858.565596016329</c:v>
                </c:pt>
                <c:pt idx="2">
                  <c:v>9772.6786859545118</c:v>
                </c:pt>
                <c:pt idx="3">
                  <c:v>13290.072913471278</c:v>
                </c:pt>
              </c:numCache>
            </c:numRef>
          </c:val>
          <c:smooth val="0"/>
        </c:ser>
        <c:ser>
          <c:idx val="5"/>
          <c:order val="5"/>
          <c:tx>
            <c:strRef>
              <c:f>Sheet1!$A$7</c:f>
              <c:strCache>
                <c:ptCount val="1"/>
                <c:pt idx="0">
                  <c:v>Mehedinti</c:v>
                </c:pt>
              </c:strCache>
            </c:strRef>
          </c:tx>
          <c:cat>
            <c:strRef>
              <c:f>Sheet1!$B$1:$E$1</c:f>
              <c:strCache>
                <c:ptCount val="4"/>
                <c:pt idx="0">
                  <c:v>2008</c:v>
                </c:pt>
                <c:pt idx="1">
                  <c:v>2009</c:v>
                </c:pt>
                <c:pt idx="2">
                  <c:v>2010</c:v>
                </c:pt>
                <c:pt idx="3">
                  <c:v>2011</c:v>
                </c:pt>
              </c:strCache>
            </c:strRef>
          </c:cat>
          <c:val>
            <c:numRef>
              <c:f>Sheet1!$B$7:$E$7</c:f>
              <c:numCache>
                <c:formatCode>General</c:formatCode>
                <c:ptCount val="4"/>
                <c:pt idx="0">
                  <c:v>5.159258152985581</c:v>
                </c:pt>
                <c:pt idx="1">
                  <c:v>0.70799801760555348</c:v>
                </c:pt>
                <c:pt idx="2">
                  <c:v>0</c:v>
                </c:pt>
                <c:pt idx="3">
                  <c:v>0</c:v>
                </c:pt>
              </c:numCache>
            </c:numRef>
          </c:val>
          <c:smooth val="0"/>
        </c:ser>
        <c:ser>
          <c:idx val="6"/>
          <c:order val="6"/>
          <c:tx>
            <c:strRef>
              <c:f>Sheet1!$A$8</c:f>
              <c:strCache>
                <c:ptCount val="1"/>
                <c:pt idx="0">
                  <c:v>Olt</c:v>
                </c:pt>
              </c:strCache>
            </c:strRef>
          </c:tx>
          <c:cat>
            <c:strRef>
              <c:f>Sheet1!$B$1:$E$1</c:f>
              <c:strCache>
                <c:ptCount val="4"/>
                <c:pt idx="0">
                  <c:v>2008</c:v>
                </c:pt>
                <c:pt idx="1">
                  <c:v>2009</c:v>
                </c:pt>
                <c:pt idx="2">
                  <c:v>2010</c:v>
                </c:pt>
                <c:pt idx="3">
                  <c:v>2011</c:v>
                </c:pt>
              </c:strCache>
            </c:strRef>
          </c:cat>
          <c:val>
            <c:numRef>
              <c:f>Sheet1!$B$8:$E$8</c:f>
              <c:numCache>
                <c:formatCode>General</c:formatCode>
                <c:ptCount val="4"/>
                <c:pt idx="0">
                  <c:v>138.48535042224461</c:v>
                </c:pt>
                <c:pt idx="1">
                  <c:v>102.89571189200635</c:v>
                </c:pt>
                <c:pt idx="2">
                  <c:v>145.13408869569349</c:v>
                </c:pt>
                <c:pt idx="3">
                  <c:v>147.24273814861141</c:v>
                </c:pt>
              </c:numCache>
            </c:numRef>
          </c:val>
          <c:smooth val="0"/>
        </c:ser>
        <c:ser>
          <c:idx val="7"/>
          <c:order val="7"/>
          <c:tx>
            <c:strRef>
              <c:f>Sheet1!$A$9</c:f>
              <c:strCache>
                <c:ptCount val="1"/>
                <c:pt idx="0">
                  <c:v>North-West</c:v>
                </c:pt>
              </c:strCache>
            </c:strRef>
          </c:tx>
          <c:cat>
            <c:strRef>
              <c:f>Sheet1!$B$1:$E$1</c:f>
              <c:strCache>
                <c:ptCount val="4"/>
                <c:pt idx="0">
                  <c:v>2008</c:v>
                </c:pt>
                <c:pt idx="1">
                  <c:v>2009</c:v>
                </c:pt>
                <c:pt idx="2">
                  <c:v>2010</c:v>
                </c:pt>
                <c:pt idx="3">
                  <c:v>2011</c:v>
                </c:pt>
              </c:strCache>
            </c:strRef>
          </c:cat>
          <c:val>
            <c:numRef>
              <c:f>Sheet1!$B$9:$E$9</c:f>
              <c:numCache>
                <c:formatCode>0.00</c:formatCode>
                <c:ptCount val="4"/>
                <c:pt idx="0">
                  <c:v>3362.5641025641062</c:v>
                </c:pt>
                <c:pt idx="1">
                  <c:v>4165.6410256410254</c:v>
                </c:pt>
                <c:pt idx="2">
                  <c:v>3389.23076923077</c:v>
                </c:pt>
                <c:pt idx="3">
                  <c:v>3676.4102564102627</c:v>
                </c:pt>
              </c:numCache>
            </c:numRef>
          </c:val>
          <c:smooth val="0"/>
        </c:ser>
        <c:ser>
          <c:idx val="8"/>
          <c:order val="8"/>
          <c:tx>
            <c:strRef>
              <c:f>Sheet1!$A$10</c:f>
              <c:strCache>
                <c:ptCount val="1"/>
                <c:pt idx="0">
                  <c:v>North-Central</c:v>
                </c:pt>
              </c:strCache>
            </c:strRef>
          </c:tx>
          <c:cat>
            <c:strRef>
              <c:f>Sheet1!$B$1:$E$1</c:f>
              <c:strCache>
                <c:ptCount val="4"/>
                <c:pt idx="0">
                  <c:v>2008</c:v>
                </c:pt>
                <c:pt idx="1">
                  <c:v>2009</c:v>
                </c:pt>
                <c:pt idx="2">
                  <c:v>2010</c:v>
                </c:pt>
                <c:pt idx="3">
                  <c:v>2011</c:v>
                </c:pt>
              </c:strCache>
            </c:strRef>
          </c:cat>
          <c:val>
            <c:numRef>
              <c:f>Sheet1!$B$10:$E$10</c:f>
              <c:numCache>
                <c:formatCode>0.00</c:formatCode>
                <c:ptCount val="4"/>
                <c:pt idx="0">
                  <c:v>2716.9230769230771</c:v>
                </c:pt>
                <c:pt idx="1">
                  <c:v>3651.2820512820508</c:v>
                </c:pt>
                <c:pt idx="2">
                  <c:v>3666.6666666666511</c:v>
                </c:pt>
                <c:pt idx="3">
                  <c:v>4066.1538461538457</c:v>
                </c:pt>
              </c:numCache>
            </c:numRef>
          </c:val>
          <c:smooth val="0"/>
        </c:ser>
        <c:ser>
          <c:idx val="9"/>
          <c:order val="9"/>
          <c:tx>
            <c:strRef>
              <c:f>Sheet1!$A$11</c:f>
              <c:strCache>
                <c:ptCount val="1"/>
                <c:pt idx="0">
                  <c:v>North-East</c:v>
                </c:pt>
              </c:strCache>
            </c:strRef>
          </c:tx>
          <c:cat>
            <c:strRef>
              <c:f>Sheet1!$B$1:$E$1</c:f>
              <c:strCache>
                <c:ptCount val="4"/>
                <c:pt idx="0">
                  <c:v>2008</c:v>
                </c:pt>
                <c:pt idx="1">
                  <c:v>2009</c:v>
                </c:pt>
                <c:pt idx="2">
                  <c:v>2010</c:v>
                </c:pt>
                <c:pt idx="3">
                  <c:v>2011</c:v>
                </c:pt>
              </c:strCache>
            </c:strRef>
          </c:cat>
          <c:val>
            <c:numRef>
              <c:f>Sheet1!$B$11:$E$11</c:f>
              <c:numCache>
                <c:formatCode>0.00</c:formatCode>
                <c:ptCount val="4"/>
                <c:pt idx="0">
                  <c:v>8797.9487179487151</c:v>
                </c:pt>
                <c:pt idx="1">
                  <c:v>11287.179487179521</c:v>
                </c:pt>
                <c:pt idx="2">
                  <c:v>8697.9487179487151</c:v>
                </c:pt>
                <c:pt idx="3">
                  <c:v>9093.846153846147</c:v>
                </c:pt>
              </c:numCache>
            </c:numRef>
          </c:val>
          <c:smooth val="0"/>
        </c:ser>
        <c:dLbls>
          <c:showLegendKey val="0"/>
          <c:showVal val="0"/>
          <c:showCatName val="0"/>
          <c:showSerName val="0"/>
          <c:showPercent val="0"/>
          <c:showBubbleSize val="0"/>
        </c:dLbls>
        <c:marker val="1"/>
        <c:smooth val="0"/>
        <c:axId val="121506432"/>
        <c:axId val="121516416"/>
      </c:lineChart>
      <c:catAx>
        <c:axId val="121506432"/>
        <c:scaling>
          <c:orientation val="minMax"/>
        </c:scaling>
        <c:delete val="0"/>
        <c:axPos val="b"/>
        <c:numFmt formatCode="General" sourceLinked="1"/>
        <c:majorTickMark val="out"/>
        <c:minorTickMark val="none"/>
        <c:tickLblPos val="nextTo"/>
        <c:crossAx val="121516416"/>
        <c:crosses val="autoZero"/>
        <c:auto val="1"/>
        <c:lblAlgn val="ctr"/>
        <c:lblOffset val="100"/>
        <c:noMultiLvlLbl val="0"/>
      </c:catAx>
      <c:valAx>
        <c:axId val="121516416"/>
        <c:scaling>
          <c:orientation val="minMax"/>
        </c:scaling>
        <c:delete val="0"/>
        <c:axPos val="l"/>
        <c:majorGridlines/>
        <c:numFmt formatCode="General" sourceLinked="1"/>
        <c:majorTickMark val="out"/>
        <c:minorTickMark val="none"/>
        <c:tickLblPos val="nextTo"/>
        <c:crossAx val="121506432"/>
        <c:crosses val="autoZero"/>
        <c:crossBetween val="between"/>
      </c:valAx>
    </c:plotArea>
    <c:legend>
      <c:legendPos val="r"/>
      <c:overlay val="0"/>
    </c:legend>
    <c:plotVisOnly val="1"/>
    <c:dispBlanksAs val="gap"/>
    <c:showDLblsOverMax val="0"/>
  </c:chart>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en-US" sz="1100"/>
              <a:t>R&amp;D</a:t>
            </a:r>
            <a:r>
              <a:rPr lang="en-US" sz="1100" baseline="0"/>
              <a:t> expenditure per capita (research personnel) in the cross-border area, thousands EUR/capita/year</a:t>
            </a:r>
            <a:endParaRPr lang="en-US" sz="1100"/>
          </a:p>
        </c:rich>
      </c:tx>
      <c:overlay val="0"/>
    </c:title>
    <c:autoTitleDeleted val="0"/>
    <c:plotArea>
      <c:layout/>
      <c:lineChart>
        <c:grouping val="standard"/>
        <c:varyColors val="0"/>
        <c:ser>
          <c:idx val="0"/>
          <c:order val="0"/>
          <c:tx>
            <c:strRef>
              <c:f>Sheet1!$A$2</c:f>
              <c:strCache>
                <c:ptCount val="1"/>
                <c:pt idx="0">
                  <c:v>Constanta</c:v>
                </c:pt>
              </c:strCache>
            </c:strRef>
          </c:tx>
          <c:cat>
            <c:strRef>
              <c:f>Sheet1!$B$1:$E$1</c:f>
              <c:strCache>
                <c:ptCount val="4"/>
                <c:pt idx="0">
                  <c:v>2008</c:v>
                </c:pt>
                <c:pt idx="1">
                  <c:v>2009</c:v>
                </c:pt>
                <c:pt idx="2">
                  <c:v>2010</c:v>
                </c:pt>
                <c:pt idx="3">
                  <c:v>2011</c:v>
                </c:pt>
              </c:strCache>
            </c:strRef>
          </c:cat>
          <c:val>
            <c:numRef>
              <c:f>Sheet1!$B$2:$E$2</c:f>
              <c:numCache>
                <c:formatCode>General</c:formatCode>
                <c:ptCount val="4"/>
                <c:pt idx="0">
                  <c:v>10.255076190476199</c:v>
                </c:pt>
                <c:pt idx="1">
                  <c:v>9.0196699319727927</c:v>
                </c:pt>
                <c:pt idx="2">
                  <c:v>9.7805084464554675</c:v>
                </c:pt>
                <c:pt idx="3">
                  <c:v>7.8117611181702724</c:v>
                </c:pt>
              </c:numCache>
            </c:numRef>
          </c:val>
          <c:smooth val="0"/>
        </c:ser>
        <c:ser>
          <c:idx val="1"/>
          <c:order val="1"/>
          <c:tx>
            <c:strRef>
              <c:f>Sheet1!$A$3</c:f>
              <c:strCache>
                <c:ptCount val="1"/>
                <c:pt idx="0">
                  <c:v>Calarasi</c:v>
                </c:pt>
              </c:strCache>
            </c:strRef>
          </c:tx>
          <c:cat>
            <c:strRef>
              <c:f>Sheet1!$B$1:$E$1</c:f>
              <c:strCache>
                <c:ptCount val="4"/>
                <c:pt idx="0">
                  <c:v>2008</c:v>
                </c:pt>
                <c:pt idx="1">
                  <c:v>2009</c:v>
                </c:pt>
                <c:pt idx="2">
                  <c:v>2010</c:v>
                </c:pt>
                <c:pt idx="3">
                  <c:v>2011</c:v>
                </c:pt>
              </c:strCache>
            </c:strRef>
          </c:cat>
          <c:val>
            <c:numRef>
              <c:f>Sheet1!$B$3:$E$3</c:f>
              <c:numCache>
                <c:formatCode>General</c:formatCode>
                <c:ptCount val="4"/>
                <c:pt idx="0">
                  <c:v>10.0269855828221</c:v>
                </c:pt>
                <c:pt idx="1">
                  <c:v>6.4196509933774832</c:v>
                </c:pt>
                <c:pt idx="2">
                  <c:v>7.6823927631578952</c:v>
                </c:pt>
                <c:pt idx="3">
                  <c:v>7.1138119047619046</c:v>
                </c:pt>
              </c:numCache>
            </c:numRef>
          </c:val>
          <c:smooth val="0"/>
        </c:ser>
        <c:ser>
          <c:idx val="2"/>
          <c:order val="2"/>
          <c:tx>
            <c:strRef>
              <c:f>Sheet1!$A$4</c:f>
              <c:strCache>
                <c:ptCount val="1"/>
                <c:pt idx="0">
                  <c:v>Giurgiu</c:v>
                </c:pt>
              </c:strCache>
            </c:strRef>
          </c:tx>
          <c:cat>
            <c:strRef>
              <c:f>Sheet1!$B$1:$E$1</c:f>
              <c:strCache>
                <c:ptCount val="4"/>
                <c:pt idx="0">
                  <c:v>2008</c:v>
                </c:pt>
                <c:pt idx="1">
                  <c:v>2009</c:v>
                </c:pt>
                <c:pt idx="2">
                  <c:v>2010</c:v>
                </c:pt>
                <c:pt idx="3">
                  <c:v>2011</c:v>
                </c:pt>
              </c:strCache>
            </c:strRef>
          </c:cat>
          <c:val>
            <c:numRef>
              <c:f>Sheet1!$B$4:$E$4</c:f>
              <c:numCache>
                <c:formatCode>General</c:formatCode>
                <c:ptCount val="4"/>
                <c:pt idx="0">
                  <c:v>8.7345334999999995</c:v>
                </c:pt>
                <c:pt idx="1">
                  <c:v>5.1919854999999817</c:v>
                </c:pt>
                <c:pt idx="2">
                  <c:v>0</c:v>
                </c:pt>
                <c:pt idx="3">
                  <c:v>0</c:v>
                </c:pt>
              </c:numCache>
            </c:numRef>
          </c:val>
          <c:smooth val="0"/>
        </c:ser>
        <c:ser>
          <c:idx val="3"/>
          <c:order val="3"/>
          <c:tx>
            <c:strRef>
              <c:f>Sheet1!$A$5</c:f>
              <c:strCache>
                <c:ptCount val="1"/>
                <c:pt idx="0">
                  <c:v>Teleorman</c:v>
                </c:pt>
              </c:strCache>
            </c:strRef>
          </c:tx>
          <c:cat>
            <c:strRef>
              <c:f>Sheet1!$B$1:$E$1</c:f>
              <c:strCache>
                <c:ptCount val="4"/>
                <c:pt idx="0">
                  <c:v>2008</c:v>
                </c:pt>
                <c:pt idx="1">
                  <c:v>2009</c:v>
                </c:pt>
                <c:pt idx="2">
                  <c:v>2010</c:v>
                </c:pt>
                <c:pt idx="3">
                  <c:v>2011</c:v>
                </c:pt>
              </c:strCache>
            </c:strRef>
          </c:cat>
          <c:val>
            <c:numRef>
              <c:f>Sheet1!$B$5:$E$5</c:f>
              <c:numCache>
                <c:formatCode>General</c:formatCode>
                <c:ptCount val="4"/>
                <c:pt idx="0">
                  <c:v>16.551591363636433</c:v>
                </c:pt>
                <c:pt idx="1">
                  <c:v>7.2333795000000034</c:v>
                </c:pt>
                <c:pt idx="2">
                  <c:v>6.7341264999999977</c:v>
                </c:pt>
                <c:pt idx="3">
                  <c:v>5.3861782608695652</c:v>
                </c:pt>
              </c:numCache>
            </c:numRef>
          </c:val>
          <c:smooth val="0"/>
        </c:ser>
        <c:ser>
          <c:idx val="4"/>
          <c:order val="4"/>
          <c:tx>
            <c:strRef>
              <c:f>Sheet1!$A$6</c:f>
              <c:strCache>
                <c:ptCount val="1"/>
                <c:pt idx="0">
                  <c:v>Dolj</c:v>
                </c:pt>
              </c:strCache>
            </c:strRef>
          </c:tx>
          <c:cat>
            <c:strRef>
              <c:f>Sheet1!$B$1:$E$1</c:f>
              <c:strCache>
                <c:ptCount val="4"/>
                <c:pt idx="0">
                  <c:v>2008</c:v>
                </c:pt>
                <c:pt idx="1">
                  <c:v>2009</c:v>
                </c:pt>
                <c:pt idx="2">
                  <c:v>2010</c:v>
                </c:pt>
                <c:pt idx="3">
                  <c:v>2011</c:v>
                </c:pt>
              </c:strCache>
            </c:strRef>
          </c:cat>
          <c:val>
            <c:numRef>
              <c:f>Sheet1!$B$6:$E$6</c:f>
              <c:numCache>
                <c:formatCode>General</c:formatCode>
                <c:ptCount val="4"/>
                <c:pt idx="0">
                  <c:v>8.7415246612466113</c:v>
                </c:pt>
                <c:pt idx="1">
                  <c:v>5.8348017195056396</c:v>
                </c:pt>
                <c:pt idx="2">
                  <c:v>5.0530913650465354</c:v>
                </c:pt>
                <c:pt idx="3">
                  <c:v>7.0355055584965331</c:v>
                </c:pt>
              </c:numCache>
            </c:numRef>
          </c:val>
          <c:smooth val="0"/>
        </c:ser>
        <c:ser>
          <c:idx val="5"/>
          <c:order val="5"/>
          <c:tx>
            <c:strRef>
              <c:f>Sheet1!$A$7</c:f>
              <c:strCache>
                <c:ptCount val="1"/>
                <c:pt idx="0">
                  <c:v>Mehedinti</c:v>
                </c:pt>
              </c:strCache>
            </c:strRef>
          </c:tx>
          <c:cat>
            <c:strRef>
              <c:f>Sheet1!$B$1:$E$1</c:f>
              <c:strCache>
                <c:ptCount val="4"/>
                <c:pt idx="0">
                  <c:v>2008</c:v>
                </c:pt>
                <c:pt idx="1">
                  <c:v>2009</c:v>
                </c:pt>
                <c:pt idx="2">
                  <c:v>2010</c:v>
                </c:pt>
                <c:pt idx="3">
                  <c:v>2011</c:v>
                </c:pt>
              </c:strCache>
            </c:strRef>
          </c:cat>
          <c:val>
            <c:numRef>
              <c:f>Sheet1!$B$7:$E$7</c:f>
              <c:numCache>
                <c:formatCode>General</c:formatCode>
                <c:ptCount val="4"/>
                <c:pt idx="0">
                  <c:v>2.5796290999999987</c:v>
                </c:pt>
                <c:pt idx="1">
                  <c:v>0.35399900000000001</c:v>
                </c:pt>
                <c:pt idx="2">
                  <c:v>0</c:v>
                </c:pt>
                <c:pt idx="3">
                  <c:v>0</c:v>
                </c:pt>
              </c:numCache>
            </c:numRef>
          </c:val>
          <c:smooth val="0"/>
        </c:ser>
        <c:ser>
          <c:idx val="6"/>
          <c:order val="6"/>
          <c:tx>
            <c:strRef>
              <c:f>Sheet1!$A$8</c:f>
              <c:strCache>
                <c:ptCount val="1"/>
                <c:pt idx="0">
                  <c:v>Olt</c:v>
                </c:pt>
              </c:strCache>
            </c:strRef>
          </c:tx>
          <c:cat>
            <c:strRef>
              <c:f>Sheet1!$B$1:$E$1</c:f>
              <c:strCache>
                <c:ptCount val="4"/>
                <c:pt idx="0">
                  <c:v>2008</c:v>
                </c:pt>
                <c:pt idx="1">
                  <c:v>2009</c:v>
                </c:pt>
                <c:pt idx="2">
                  <c:v>2010</c:v>
                </c:pt>
                <c:pt idx="3">
                  <c:v>2011</c:v>
                </c:pt>
              </c:strCache>
            </c:strRef>
          </c:cat>
          <c:val>
            <c:numRef>
              <c:f>Sheet1!$B$8:$E$8</c:f>
              <c:numCache>
                <c:formatCode>General</c:formatCode>
                <c:ptCount val="4"/>
                <c:pt idx="0">
                  <c:v>7.6936305555555373</c:v>
                </c:pt>
                <c:pt idx="1">
                  <c:v>7.9150546153846184</c:v>
                </c:pt>
                <c:pt idx="2">
                  <c:v>9.0708806250000027</c:v>
                </c:pt>
                <c:pt idx="3">
                  <c:v>7.7496157894736992</c:v>
                </c:pt>
              </c:numCache>
            </c:numRef>
          </c:val>
          <c:smooth val="0"/>
        </c:ser>
        <c:ser>
          <c:idx val="7"/>
          <c:order val="7"/>
          <c:tx>
            <c:strRef>
              <c:f>Sheet1!$A$9</c:f>
              <c:strCache>
                <c:ptCount val="1"/>
                <c:pt idx="0">
                  <c:v>North-West</c:v>
                </c:pt>
              </c:strCache>
            </c:strRef>
          </c:tx>
          <c:cat>
            <c:strRef>
              <c:f>Sheet1!$B$1:$E$1</c:f>
              <c:strCache>
                <c:ptCount val="4"/>
                <c:pt idx="0">
                  <c:v>2008</c:v>
                </c:pt>
                <c:pt idx="1">
                  <c:v>2009</c:v>
                </c:pt>
                <c:pt idx="2">
                  <c:v>2010</c:v>
                </c:pt>
                <c:pt idx="3">
                  <c:v>2011</c:v>
                </c:pt>
              </c:strCache>
            </c:strRef>
          </c:cat>
          <c:val>
            <c:numRef>
              <c:f>Sheet1!$B$9:$E$9</c:f>
              <c:numCache>
                <c:formatCode>General</c:formatCode>
                <c:ptCount val="4"/>
                <c:pt idx="0">
                  <c:v>4.5501488497970044</c:v>
                </c:pt>
                <c:pt idx="1">
                  <c:v>6.675705128205129</c:v>
                </c:pt>
                <c:pt idx="2">
                  <c:v>5.2627795031055866</c:v>
                </c:pt>
                <c:pt idx="3">
                  <c:v>6.3605709342560344</c:v>
                </c:pt>
              </c:numCache>
            </c:numRef>
          </c:val>
          <c:smooth val="0"/>
        </c:ser>
        <c:ser>
          <c:idx val="8"/>
          <c:order val="8"/>
          <c:tx>
            <c:strRef>
              <c:f>Sheet1!$A$10</c:f>
              <c:strCache>
                <c:ptCount val="1"/>
                <c:pt idx="0">
                  <c:v>North-Central</c:v>
                </c:pt>
              </c:strCache>
            </c:strRef>
          </c:tx>
          <c:cat>
            <c:strRef>
              <c:f>Sheet1!$B$1:$E$1</c:f>
              <c:strCache>
                <c:ptCount val="4"/>
                <c:pt idx="0">
                  <c:v>2008</c:v>
                </c:pt>
                <c:pt idx="1">
                  <c:v>2009</c:v>
                </c:pt>
                <c:pt idx="2">
                  <c:v>2010</c:v>
                </c:pt>
                <c:pt idx="3">
                  <c:v>2011</c:v>
                </c:pt>
              </c:strCache>
            </c:strRef>
          </c:cat>
          <c:val>
            <c:numRef>
              <c:f>Sheet1!$B$10:$E$10</c:f>
              <c:numCache>
                <c:formatCode>General</c:formatCode>
                <c:ptCount val="4"/>
                <c:pt idx="0">
                  <c:v>1.806462765957447</c:v>
                </c:pt>
                <c:pt idx="1">
                  <c:v>2.333086261980831</c:v>
                </c:pt>
                <c:pt idx="2">
                  <c:v>2.5931188118811881</c:v>
                </c:pt>
                <c:pt idx="3">
                  <c:v>2.6015035188739652</c:v>
                </c:pt>
              </c:numCache>
            </c:numRef>
          </c:val>
          <c:smooth val="0"/>
        </c:ser>
        <c:ser>
          <c:idx val="9"/>
          <c:order val="9"/>
          <c:tx>
            <c:strRef>
              <c:f>Sheet1!$A$11</c:f>
              <c:strCache>
                <c:ptCount val="1"/>
                <c:pt idx="0">
                  <c:v>North-East</c:v>
                </c:pt>
              </c:strCache>
            </c:strRef>
          </c:tx>
          <c:cat>
            <c:strRef>
              <c:f>Sheet1!$B$1:$E$1</c:f>
              <c:strCache>
                <c:ptCount val="4"/>
                <c:pt idx="0">
                  <c:v>2008</c:v>
                </c:pt>
                <c:pt idx="1">
                  <c:v>2009</c:v>
                </c:pt>
                <c:pt idx="2">
                  <c:v>2010</c:v>
                </c:pt>
                <c:pt idx="3">
                  <c:v>2011</c:v>
                </c:pt>
              </c:strCache>
            </c:strRef>
          </c:cat>
          <c:val>
            <c:numRef>
              <c:f>Sheet1!$B$11:$E$11</c:f>
              <c:numCache>
                <c:formatCode>General</c:formatCode>
                <c:ptCount val="4"/>
                <c:pt idx="0">
                  <c:v>4.874210526315764</c:v>
                </c:pt>
                <c:pt idx="1">
                  <c:v>5.5547145669291007</c:v>
                </c:pt>
                <c:pt idx="2">
                  <c:v>3.9232972485340656</c:v>
                </c:pt>
                <c:pt idx="3">
                  <c:v>4.510838293650794</c:v>
                </c:pt>
              </c:numCache>
            </c:numRef>
          </c:val>
          <c:smooth val="0"/>
        </c:ser>
        <c:dLbls>
          <c:showLegendKey val="0"/>
          <c:showVal val="0"/>
          <c:showCatName val="0"/>
          <c:showSerName val="0"/>
          <c:showPercent val="0"/>
          <c:showBubbleSize val="0"/>
        </c:dLbls>
        <c:marker val="1"/>
        <c:smooth val="0"/>
        <c:axId val="122305536"/>
        <c:axId val="122307328"/>
      </c:lineChart>
      <c:catAx>
        <c:axId val="122305536"/>
        <c:scaling>
          <c:orientation val="minMax"/>
        </c:scaling>
        <c:delete val="0"/>
        <c:axPos val="b"/>
        <c:numFmt formatCode="General" sourceLinked="1"/>
        <c:majorTickMark val="out"/>
        <c:minorTickMark val="none"/>
        <c:tickLblPos val="nextTo"/>
        <c:crossAx val="122307328"/>
        <c:crosses val="autoZero"/>
        <c:auto val="1"/>
        <c:lblAlgn val="ctr"/>
        <c:lblOffset val="100"/>
        <c:noMultiLvlLbl val="0"/>
      </c:catAx>
      <c:valAx>
        <c:axId val="122307328"/>
        <c:scaling>
          <c:orientation val="minMax"/>
        </c:scaling>
        <c:delete val="0"/>
        <c:axPos val="l"/>
        <c:majorGridlines/>
        <c:numFmt formatCode="General" sourceLinked="1"/>
        <c:majorTickMark val="out"/>
        <c:minorTickMark val="none"/>
        <c:tickLblPos val="nextTo"/>
        <c:crossAx val="122305536"/>
        <c:crosses val="autoZero"/>
        <c:crossBetween val="between"/>
      </c:valAx>
    </c:plotArea>
    <c:legend>
      <c:legendPos val="r"/>
      <c:overlay val="0"/>
    </c:legend>
    <c:plotVisOnly val="1"/>
    <c:dispBlanksAs val="gap"/>
    <c:showDLblsOverMax val="0"/>
  </c:chart>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Sheet1!$A$2</c:f>
              <c:strCache>
                <c:ptCount val="1"/>
                <c:pt idx="0">
                  <c:v>CBC area</c:v>
                </c:pt>
              </c:strCache>
            </c:strRef>
          </c:tx>
          <c:invertIfNegative val="0"/>
          <c:cat>
            <c:strRef>
              <c:f>Sheet1!$B$1:$C$1</c:f>
              <c:strCache>
                <c:ptCount val="2"/>
                <c:pt idx="0">
                  <c:v>2010</c:v>
                </c:pt>
                <c:pt idx="1">
                  <c:v>2011</c:v>
                </c:pt>
              </c:strCache>
            </c:strRef>
          </c:cat>
          <c:val>
            <c:numRef>
              <c:f>Sheet1!$B$2:$C$2</c:f>
              <c:numCache>
                <c:formatCode>General</c:formatCode>
                <c:ptCount val="2"/>
                <c:pt idx="0">
                  <c:v>34626.300000000003</c:v>
                </c:pt>
                <c:pt idx="1">
                  <c:v>39533.264799999997</c:v>
                </c:pt>
              </c:numCache>
            </c:numRef>
          </c:val>
        </c:ser>
        <c:ser>
          <c:idx val="1"/>
          <c:order val="1"/>
          <c:tx>
            <c:strRef>
              <c:f>Sheet1!$A$3</c:f>
              <c:strCache>
                <c:ptCount val="1"/>
                <c:pt idx="0">
                  <c:v>RO+BG - the rest of the 2 countries</c:v>
                </c:pt>
              </c:strCache>
            </c:strRef>
          </c:tx>
          <c:invertIfNegative val="0"/>
          <c:cat>
            <c:strRef>
              <c:f>Sheet1!$B$1:$C$1</c:f>
              <c:strCache>
                <c:ptCount val="2"/>
                <c:pt idx="0">
                  <c:v>2010</c:v>
                </c:pt>
                <c:pt idx="1">
                  <c:v>2011</c:v>
                </c:pt>
              </c:strCache>
            </c:strRef>
          </c:cat>
          <c:val>
            <c:numRef>
              <c:f>Sheet1!$B$3:$C$3</c:f>
              <c:numCache>
                <c:formatCode>General</c:formatCode>
                <c:ptCount val="2"/>
                <c:pt idx="0">
                  <c:v>735996.7</c:v>
                </c:pt>
                <c:pt idx="1">
                  <c:v>849693.80320000043</c:v>
                </c:pt>
              </c:numCache>
            </c:numRef>
          </c:val>
        </c:ser>
        <c:dLbls>
          <c:showLegendKey val="0"/>
          <c:showVal val="0"/>
          <c:showCatName val="0"/>
          <c:showSerName val="0"/>
          <c:showPercent val="0"/>
          <c:showBubbleSize val="0"/>
        </c:dLbls>
        <c:gapWidth val="150"/>
        <c:overlap val="100"/>
        <c:axId val="122439168"/>
        <c:axId val="122440704"/>
      </c:barChart>
      <c:catAx>
        <c:axId val="122439168"/>
        <c:scaling>
          <c:orientation val="minMax"/>
        </c:scaling>
        <c:delete val="0"/>
        <c:axPos val="b"/>
        <c:numFmt formatCode="General" sourceLinked="1"/>
        <c:majorTickMark val="out"/>
        <c:minorTickMark val="none"/>
        <c:tickLblPos val="nextTo"/>
        <c:crossAx val="122440704"/>
        <c:crosses val="autoZero"/>
        <c:auto val="1"/>
        <c:lblAlgn val="ctr"/>
        <c:lblOffset val="100"/>
        <c:noMultiLvlLbl val="0"/>
      </c:catAx>
      <c:valAx>
        <c:axId val="122440704"/>
        <c:scaling>
          <c:orientation val="minMax"/>
        </c:scaling>
        <c:delete val="0"/>
        <c:axPos val="l"/>
        <c:majorGridlines/>
        <c:numFmt formatCode="General" sourceLinked="1"/>
        <c:majorTickMark val="out"/>
        <c:minorTickMark val="none"/>
        <c:tickLblPos val="nextTo"/>
        <c:crossAx val="122439168"/>
        <c:crosses val="autoZero"/>
        <c:crossBetween val="between"/>
      </c:valAx>
    </c:plotArea>
    <c:legend>
      <c:legendPos val="r"/>
      <c:overlay val="0"/>
    </c:legend>
    <c:plotVisOnly val="1"/>
    <c:dispBlanksAs val="gap"/>
    <c:showDLblsOverMax val="0"/>
  </c:chart>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98"/>
            </a:pPr>
            <a:r>
              <a:rPr lang="en-US" sz="1398" baseline="0"/>
              <a:t>Accomodation capacity - bed places - without Constanta and Dobrich</a:t>
            </a:r>
            <a:endParaRPr lang="en-US" sz="1400"/>
          </a:p>
        </c:rich>
      </c:tx>
      <c:overlay val="0"/>
    </c:title>
    <c:autoTitleDeleted val="0"/>
    <c:plotArea>
      <c:layout/>
      <c:barChart>
        <c:barDir val="col"/>
        <c:grouping val="clustered"/>
        <c:varyColors val="0"/>
        <c:ser>
          <c:idx val="0"/>
          <c:order val="0"/>
          <c:tx>
            <c:strRef>
              <c:f>Sheet1!$B$1</c:f>
              <c:strCache>
                <c:ptCount val="1"/>
                <c:pt idx="0">
                  <c:v>2008</c:v>
                </c:pt>
              </c:strCache>
            </c:strRef>
          </c:tx>
          <c:invertIfNegative val="0"/>
          <c:cat>
            <c:strRef>
              <c:f>Sheet1!$A$2:$A$14</c:f>
              <c:strCache>
                <c:ptCount val="13"/>
                <c:pt idx="0">
                  <c:v>Calarasi</c:v>
                </c:pt>
                <c:pt idx="1">
                  <c:v>Dolj</c:v>
                </c:pt>
                <c:pt idx="2">
                  <c:v>Giurgiu</c:v>
                </c:pt>
                <c:pt idx="3">
                  <c:v>Mehedinti</c:v>
                </c:pt>
                <c:pt idx="4">
                  <c:v>Olt</c:v>
                </c:pt>
                <c:pt idx="5">
                  <c:v>Teleorman</c:v>
                </c:pt>
                <c:pt idx="6">
                  <c:v>Montana</c:v>
                </c:pt>
                <c:pt idx="7">
                  <c:v>Pleven</c:v>
                </c:pt>
                <c:pt idx="8">
                  <c:v>Ruse</c:v>
                </c:pt>
                <c:pt idx="9">
                  <c:v>Silistra</c:v>
                </c:pt>
                <c:pt idx="10">
                  <c:v>Veliko Turnovo</c:v>
                </c:pt>
                <c:pt idx="11">
                  <c:v>Vidin</c:v>
                </c:pt>
                <c:pt idx="12">
                  <c:v>Vratsa</c:v>
                </c:pt>
              </c:strCache>
            </c:strRef>
          </c:cat>
          <c:val>
            <c:numRef>
              <c:f>Sheet1!$B$2:$B$14</c:f>
              <c:numCache>
                <c:formatCode>General</c:formatCode>
                <c:ptCount val="13"/>
                <c:pt idx="0">
                  <c:v>527</c:v>
                </c:pt>
                <c:pt idx="1">
                  <c:v>1290</c:v>
                </c:pt>
                <c:pt idx="2">
                  <c:v>809</c:v>
                </c:pt>
                <c:pt idx="3">
                  <c:v>1223</c:v>
                </c:pt>
                <c:pt idx="4">
                  <c:v>507</c:v>
                </c:pt>
                <c:pt idx="5">
                  <c:v>692</c:v>
                </c:pt>
                <c:pt idx="6">
                  <c:v>1193</c:v>
                </c:pt>
                <c:pt idx="7">
                  <c:v>952</c:v>
                </c:pt>
                <c:pt idx="8">
                  <c:v>1663</c:v>
                </c:pt>
                <c:pt idx="9">
                  <c:v>535</c:v>
                </c:pt>
                <c:pt idx="10">
                  <c:v>3802</c:v>
                </c:pt>
                <c:pt idx="11">
                  <c:v>651</c:v>
                </c:pt>
                <c:pt idx="12">
                  <c:v>881</c:v>
                </c:pt>
              </c:numCache>
            </c:numRef>
          </c:val>
        </c:ser>
        <c:ser>
          <c:idx val="1"/>
          <c:order val="1"/>
          <c:tx>
            <c:strRef>
              <c:f>Sheet1!$C$1</c:f>
              <c:strCache>
                <c:ptCount val="1"/>
                <c:pt idx="0">
                  <c:v>2009</c:v>
                </c:pt>
              </c:strCache>
            </c:strRef>
          </c:tx>
          <c:invertIfNegative val="0"/>
          <c:cat>
            <c:strRef>
              <c:f>Sheet1!$A$2:$A$14</c:f>
              <c:strCache>
                <c:ptCount val="13"/>
                <c:pt idx="0">
                  <c:v>Calarasi</c:v>
                </c:pt>
                <c:pt idx="1">
                  <c:v>Dolj</c:v>
                </c:pt>
                <c:pt idx="2">
                  <c:v>Giurgiu</c:v>
                </c:pt>
                <c:pt idx="3">
                  <c:v>Mehedinti</c:v>
                </c:pt>
                <c:pt idx="4">
                  <c:v>Olt</c:v>
                </c:pt>
                <c:pt idx="5">
                  <c:v>Teleorman</c:v>
                </c:pt>
                <c:pt idx="6">
                  <c:v>Montana</c:v>
                </c:pt>
                <c:pt idx="7">
                  <c:v>Pleven</c:v>
                </c:pt>
                <c:pt idx="8">
                  <c:v>Ruse</c:v>
                </c:pt>
                <c:pt idx="9">
                  <c:v>Silistra</c:v>
                </c:pt>
                <c:pt idx="10">
                  <c:v>Veliko Turnovo</c:v>
                </c:pt>
                <c:pt idx="11">
                  <c:v>Vidin</c:v>
                </c:pt>
                <c:pt idx="12">
                  <c:v>Vratsa</c:v>
                </c:pt>
              </c:strCache>
            </c:strRef>
          </c:cat>
          <c:val>
            <c:numRef>
              <c:f>Sheet1!$C$2:$C$14</c:f>
              <c:numCache>
                <c:formatCode>General</c:formatCode>
                <c:ptCount val="13"/>
                <c:pt idx="0">
                  <c:v>463</c:v>
                </c:pt>
                <c:pt idx="1">
                  <c:v>1400</c:v>
                </c:pt>
                <c:pt idx="2">
                  <c:v>806</c:v>
                </c:pt>
                <c:pt idx="3">
                  <c:v>1537</c:v>
                </c:pt>
                <c:pt idx="4">
                  <c:v>568</c:v>
                </c:pt>
                <c:pt idx="5">
                  <c:v>664</c:v>
                </c:pt>
                <c:pt idx="6">
                  <c:v>1355</c:v>
                </c:pt>
                <c:pt idx="7">
                  <c:v>1161</c:v>
                </c:pt>
                <c:pt idx="8">
                  <c:v>1903</c:v>
                </c:pt>
                <c:pt idx="9">
                  <c:v>702</c:v>
                </c:pt>
                <c:pt idx="10">
                  <c:v>4883</c:v>
                </c:pt>
                <c:pt idx="11">
                  <c:v>758</c:v>
                </c:pt>
                <c:pt idx="12">
                  <c:v>1869</c:v>
                </c:pt>
              </c:numCache>
            </c:numRef>
          </c:val>
        </c:ser>
        <c:ser>
          <c:idx val="2"/>
          <c:order val="2"/>
          <c:tx>
            <c:strRef>
              <c:f>Sheet1!$D$1</c:f>
              <c:strCache>
                <c:ptCount val="1"/>
                <c:pt idx="0">
                  <c:v>2010</c:v>
                </c:pt>
              </c:strCache>
            </c:strRef>
          </c:tx>
          <c:invertIfNegative val="0"/>
          <c:cat>
            <c:strRef>
              <c:f>Sheet1!$A$2:$A$14</c:f>
              <c:strCache>
                <c:ptCount val="13"/>
                <c:pt idx="0">
                  <c:v>Calarasi</c:v>
                </c:pt>
                <c:pt idx="1">
                  <c:v>Dolj</c:v>
                </c:pt>
                <c:pt idx="2">
                  <c:v>Giurgiu</c:v>
                </c:pt>
                <c:pt idx="3">
                  <c:v>Mehedinti</c:v>
                </c:pt>
                <c:pt idx="4">
                  <c:v>Olt</c:v>
                </c:pt>
                <c:pt idx="5">
                  <c:v>Teleorman</c:v>
                </c:pt>
                <c:pt idx="6">
                  <c:v>Montana</c:v>
                </c:pt>
                <c:pt idx="7">
                  <c:v>Pleven</c:v>
                </c:pt>
                <c:pt idx="8">
                  <c:v>Ruse</c:v>
                </c:pt>
                <c:pt idx="9">
                  <c:v>Silistra</c:v>
                </c:pt>
                <c:pt idx="10">
                  <c:v>Veliko Turnovo</c:v>
                </c:pt>
                <c:pt idx="11">
                  <c:v>Vidin</c:v>
                </c:pt>
                <c:pt idx="12">
                  <c:v>Vratsa</c:v>
                </c:pt>
              </c:strCache>
            </c:strRef>
          </c:cat>
          <c:val>
            <c:numRef>
              <c:f>Sheet1!$D$2:$D$14</c:f>
              <c:numCache>
                <c:formatCode>General</c:formatCode>
                <c:ptCount val="13"/>
                <c:pt idx="0">
                  <c:v>534</c:v>
                </c:pt>
                <c:pt idx="1">
                  <c:v>1646</c:v>
                </c:pt>
                <c:pt idx="2">
                  <c:v>806</c:v>
                </c:pt>
                <c:pt idx="3">
                  <c:v>1524</c:v>
                </c:pt>
                <c:pt idx="4">
                  <c:v>547</c:v>
                </c:pt>
                <c:pt idx="5">
                  <c:v>675</c:v>
                </c:pt>
                <c:pt idx="6">
                  <c:v>1330</c:v>
                </c:pt>
                <c:pt idx="7">
                  <c:v>1161</c:v>
                </c:pt>
                <c:pt idx="8">
                  <c:v>1917</c:v>
                </c:pt>
                <c:pt idx="9">
                  <c:v>728</c:v>
                </c:pt>
                <c:pt idx="10">
                  <c:v>5219</c:v>
                </c:pt>
                <c:pt idx="11">
                  <c:v>895</c:v>
                </c:pt>
                <c:pt idx="12">
                  <c:v>1054</c:v>
                </c:pt>
              </c:numCache>
            </c:numRef>
          </c:val>
        </c:ser>
        <c:ser>
          <c:idx val="3"/>
          <c:order val="3"/>
          <c:tx>
            <c:strRef>
              <c:f>Sheet1!$E$1</c:f>
              <c:strCache>
                <c:ptCount val="1"/>
                <c:pt idx="0">
                  <c:v>2011</c:v>
                </c:pt>
              </c:strCache>
            </c:strRef>
          </c:tx>
          <c:invertIfNegative val="0"/>
          <c:cat>
            <c:strRef>
              <c:f>Sheet1!$A$2:$A$14</c:f>
              <c:strCache>
                <c:ptCount val="13"/>
                <c:pt idx="0">
                  <c:v>Calarasi</c:v>
                </c:pt>
                <c:pt idx="1">
                  <c:v>Dolj</c:v>
                </c:pt>
                <c:pt idx="2">
                  <c:v>Giurgiu</c:v>
                </c:pt>
                <c:pt idx="3">
                  <c:v>Mehedinti</c:v>
                </c:pt>
                <c:pt idx="4">
                  <c:v>Olt</c:v>
                </c:pt>
                <c:pt idx="5">
                  <c:v>Teleorman</c:v>
                </c:pt>
                <c:pt idx="6">
                  <c:v>Montana</c:v>
                </c:pt>
                <c:pt idx="7">
                  <c:v>Pleven</c:v>
                </c:pt>
                <c:pt idx="8">
                  <c:v>Ruse</c:v>
                </c:pt>
                <c:pt idx="9">
                  <c:v>Silistra</c:v>
                </c:pt>
                <c:pt idx="10">
                  <c:v>Veliko Turnovo</c:v>
                </c:pt>
                <c:pt idx="11">
                  <c:v>Vidin</c:v>
                </c:pt>
                <c:pt idx="12">
                  <c:v>Vratsa</c:v>
                </c:pt>
              </c:strCache>
            </c:strRef>
          </c:cat>
          <c:val>
            <c:numRef>
              <c:f>Sheet1!$E$2:$E$14</c:f>
              <c:numCache>
                <c:formatCode>General</c:formatCode>
                <c:ptCount val="13"/>
                <c:pt idx="0">
                  <c:v>561</c:v>
                </c:pt>
                <c:pt idx="1">
                  <c:v>2242</c:v>
                </c:pt>
                <c:pt idx="2">
                  <c:v>814</c:v>
                </c:pt>
                <c:pt idx="3">
                  <c:v>1587</c:v>
                </c:pt>
                <c:pt idx="4">
                  <c:v>664</c:v>
                </c:pt>
                <c:pt idx="5">
                  <c:v>714</c:v>
                </c:pt>
                <c:pt idx="6">
                  <c:v>1590</c:v>
                </c:pt>
                <c:pt idx="7">
                  <c:v>1027</c:v>
                </c:pt>
                <c:pt idx="8">
                  <c:v>1812</c:v>
                </c:pt>
                <c:pt idx="9">
                  <c:v>712</c:v>
                </c:pt>
                <c:pt idx="10">
                  <c:v>5360</c:v>
                </c:pt>
                <c:pt idx="11">
                  <c:v>1012</c:v>
                </c:pt>
                <c:pt idx="12">
                  <c:v>1101</c:v>
                </c:pt>
              </c:numCache>
            </c:numRef>
          </c:val>
        </c:ser>
        <c:ser>
          <c:idx val="4"/>
          <c:order val="4"/>
          <c:tx>
            <c:strRef>
              <c:f>Sheet1!$F$1</c:f>
              <c:strCache>
                <c:ptCount val="1"/>
                <c:pt idx="0">
                  <c:v>2012</c:v>
                </c:pt>
              </c:strCache>
            </c:strRef>
          </c:tx>
          <c:invertIfNegative val="0"/>
          <c:cat>
            <c:strRef>
              <c:f>Sheet1!$A$2:$A$14</c:f>
              <c:strCache>
                <c:ptCount val="13"/>
                <c:pt idx="0">
                  <c:v>Calarasi</c:v>
                </c:pt>
                <c:pt idx="1">
                  <c:v>Dolj</c:v>
                </c:pt>
                <c:pt idx="2">
                  <c:v>Giurgiu</c:v>
                </c:pt>
                <c:pt idx="3">
                  <c:v>Mehedinti</c:v>
                </c:pt>
                <c:pt idx="4">
                  <c:v>Olt</c:v>
                </c:pt>
                <c:pt idx="5">
                  <c:v>Teleorman</c:v>
                </c:pt>
                <c:pt idx="6">
                  <c:v>Montana</c:v>
                </c:pt>
                <c:pt idx="7">
                  <c:v>Pleven</c:v>
                </c:pt>
                <c:pt idx="8">
                  <c:v>Ruse</c:v>
                </c:pt>
                <c:pt idx="9">
                  <c:v>Silistra</c:v>
                </c:pt>
                <c:pt idx="10">
                  <c:v>Veliko Turnovo</c:v>
                </c:pt>
                <c:pt idx="11">
                  <c:v>Vidin</c:v>
                </c:pt>
                <c:pt idx="12">
                  <c:v>Vratsa</c:v>
                </c:pt>
              </c:strCache>
            </c:strRef>
          </c:cat>
          <c:val>
            <c:numRef>
              <c:f>Sheet1!$F$2:$F$14</c:f>
              <c:numCache>
                <c:formatCode>General</c:formatCode>
                <c:ptCount val="13"/>
                <c:pt idx="0">
                  <c:v>612</c:v>
                </c:pt>
                <c:pt idx="1">
                  <c:v>2259</c:v>
                </c:pt>
                <c:pt idx="2">
                  <c:v>874</c:v>
                </c:pt>
                <c:pt idx="3">
                  <c:v>1772</c:v>
                </c:pt>
                <c:pt idx="4">
                  <c:v>867</c:v>
                </c:pt>
                <c:pt idx="5">
                  <c:v>732</c:v>
                </c:pt>
                <c:pt idx="6">
                  <c:v>1609</c:v>
                </c:pt>
                <c:pt idx="7">
                  <c:v>1093</c:v>
                </c:pt>
                <c:pt idx="8">
                  <c:v>1778</c:v>
                </c:pt>
                <c:pt idx="9">
                  <c:v>637</c:v>
                </c:pt>
                <c:pt idx="10">
                  <c:v>5850</c:v>
                </c:pt>
                <c:pt idx="11">
                  <c:v>891</c:v>
                </c:pt>
                <c:pt idx="12">
                  <c:v>1005</c:v>
                </c:pt>
              </c:numCache>
            </c:numRef>
          </c:val>
        </c:ser>
        <c:dLbls>
          <c:showLegendKey val="0"/>
          <c:showVal val="0"/>
          <c:showCatName val="0"/>
          <c:showSerName val="0"/>
          <c:showPercent val="0"/>
          <c:showBubbleSize val="0"/>
        </c:dLbls>
        <c:gapWidth val="150"/>
        <c:axId val="122464128"/>
        <c:axId val="122465664"/>
      </c:barChart>
      <c:catAx>
        <c:axId val="122464128"/>
        <c:scaling>
          <c:orientation val="minMax"/>
        </c:scaling>
        <c:delete val="0"/>
        <c:axPos val="b"/>
        <c:numFmt formatCode="General" sourceLinked="1"/>
        <c:majorTickMark val="out"/>
        <c:minorTickMark val="none"/>
        <c:tickLblPos val="nextTo"/>
        <c:crossAx val="122465664"/>
        <c:crosses val="autoZero"/>
        <c:auto val="1"/>
        <c:lblAlgn val="ctr"/>
        <c:lblOffset val="100"/>
        <c:noMultiLvlLbl val="0"/>
      </c:catAx>
      <c:valAx>
        <c:axId val="122465664"/>
        <c:scaling>
          <c:orientation val="minMax"/>
        </c:scaling>
        <c:delete val="0"/>
        <c:axPos val="l"/>
        <c:majorGridlines/>
        <c:numFmt formatCode="General" sourceLinked="1"/>
        <c:majorTickMark val="out"/>
        <c:minorTickMark val="none"/>
        <c:tickLblPos val="nextTo"/>
        <c:crossAx val="122464128"/>
        <c:crosses val="autoZero"/>
        <c:crossBetween val="between"/>
      </c:valAx>
      <c:spPr>
        <a:solidFill>
          <a:sysClr val="window" lastClr="FFFFFF"/>
        </a:solidFill>
        <a:ln w="25400" cap="flat" cmpd="sng" algn="ctr">
          <a:solidFill>
            <a:sysClr val="windowText" lastClr="000000"/>
          </a:solidFill>
          <a:prstDash val="solid"/>
        </a:ln>
        <a:effectLst/>
      </c:spPr>
    </c:plotArea>
    <c:legend>
      <c:legendPos val="r"/>
      <c:overlay val="0"/>
    </c:legend>
    <c:plotVisOnly val="1"/>
    <c:dispBlanksAs val="gap"/>
    <c:showDLblsOverMax val="0"/>
  </c:chart>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99"/>
            </a:pPr>
            <a:r>
              <a:rPr lang="en-US" sz="1099"/>
              <a:t>Accomodation capacity evolution</a:t>
            </a:r>
            <a:r>
              <a:rPr lang="en-US" sz="1099" baseline="0"/>
              <a:t> in the seaside county/district of the cross-border area </a:t>
            </a:r>
            <a:endParaRPr lang="en-US" sz="1100"/>
          </a:p>
        </c:rich>
      </c:tx>
      <c:overlay val="0"/>
    </c:title>
    <c:autoTitleDeleted val="0"/>
    <c:plotArea>
      <c:layout/>
      <c:lineChart>
        <c:grouping val="standard"/>
        <c:varyColors val="0"/>
        <c:ser>
          <c:idx val="0"/>
          <c:order val="0"/>
          <c:tx>
            <c:strRef>
              <c:f>Sheet1!$A$2</c:f>
              <c:strCache>
                <c:ptCount val="1"/>
                <c:pt idx="0">
                  <c:v>Constanta</c:v>
                </c:pt>
              </c:strCache>
            </c:strRef>
          </c:tx>
          <c:marker>
            <c:symbol val="none"/>
          </c:marker>
          <c:cat>
            <c:strRef>
              <c:f>Sheet1!$B$1:$F$1</c:f>
              <c:strCache>
                <c:ptCount val="5"/>
                <c:pt idx="0">
                  <c:v>2008</c:v>
                </c:pt>
                <c:pt idx="1">
                  <c:v>2009</c:v>
                </c:pt>
                <c:pt idx="2">
                  <c:v>2010</c:v>
                </c:pt>
                <c:pt idx="3">
                  <c:v>2011</c:v>
                </c:pt>
                <c:pt idx="4">
                  <c:v>2012</c:v>
                </c:pt>
              </c:strCache>
            </c:strRef>
          </c:cat>
          <c:val>
            <c:numRef>
              <c:f>Sheet1!$B$2:$F$2</c:f>
              <c:numCache>
                <c:formatCode>General</c:formatCode>
                <c:ptCount val="5"/>
                <c:pt idx="0">
                  <c:v>120944</c:v>
                </c:pt>
                <c:pt idx="1">
                  <c:v>121723</c:v>
                </c:pt>
                <c:pt idx="2">
                  <c:v>124643</c:v>
                </c:pt>
                <c:pt idx="3">
                  <c:v>83751</c:v>
                </c:pt>
                <c:pt idx="4">
                  <c:v>84690</c:v>
                </c:pt>
              </c:numCache>
            </c:numRef>
          </c:val>
          <c:smooth val="0"/>
        </c:ser>
        <c:ser>
          <c:idx val="1"/>
          <c:order val="1"/>
          <c:tx>
            <c:strRef>
              <c:f>Sheet1!$A$3</c:f>
              <c:strCache>
                <c:ptCount val="1"/>
                <c:pt idx="0">
                  <c:v>Dobrich</c:v>
                </c:pt>
              </c:strCache>
            </c:strRef>
          </c:tx>
          <c:marker>
            <c:symbol val="none"/>
          </c:marker>
          <c:cat>
            <c:strRef>
              <c:f>Sheet1!$B$1:$F$1</c:f>
              <c:strCache>
                <c:ptCount val="5"/>
                <c:pt idx="0">
                  <c:v>2008</c:v>
                </c:pt>
                <c:pt idx="1">
                  <c:v>2009</c:v>
                </c:pt>
                <c:pt idx="2">
                  <c:v>2010</c:v>
                </c:pt>
                <c:pt idx="3">
                  <c:v>2011</c:v>
                </c:pt>
                <c:pt idx="4">
                  <c:v>2012</c:v>
                </c:pt>
              </c:strCache>
            </c:strRef>
          </c:cat>
          <c:val>
            <c:numRef>
              <c:f>Sheet1!$B$3:$F$3</c:f>
              <c:numCache>
                <c:formatCode>General</c:formatCode>
                <c:ptCount val="5"/>
                <c:pt idx="0">
                  <c:v>24433</c:v>
                </c:pt>
                <c:pt idx="1">
                  <c:v>21990</c:v>
                </c:pt>
                <c:pt idx="2">
                  <c:v>22217</c:v>
                </c:pt>
                <c:pt idx="3">
                  <c:v>23691</c:v>
                </c:pt>
                <c:pt idx="4">
                  <c:v>29069</c:v>
                </c:pt>
              </c:numCache>
            </c:numRef>
          </c:val>
          <c:smooth val="0"/>
        </c:ser>
        <c:dLbls>
          <c:showLegendKey val="0"/>
          <c:showVal val="0"/>
          <c:showCatName val="0"/>
          <c:showSerName val="0"/>
          <c:showPercent val="0"/>
          <c:showBubbleSize val="0"/>
        </c:dLbls>
        <c:marker val="1"/>
        <c:smooth val="0"/>
        <c:axId val="122417920"/>
        <c:axId val="122419456"/>
      </c:lineChart>
      <c:catAx>
        <c:axId val="122417920"/>
        <c:scaling>
          <c:orientation val="minMax"/>
        </c:scaling>
        <c:delete val="0"/>
        <c:axPos val="b"/>
        <c:numFmt formatCode="General" sourceLinked="1"/>
        <c:majorTickMark val="out"/>
        <c:minorTickMark val="none"/>
        <c:tickLblPos val="nextTo"/>
        <c:crossAx val="122419456"/>
        <c:crosses val="autoZero"/>
        <c:auto val="1"/>
        <c:lblAlgn val="ctr"/>
        <c:lblOffset val="100"/>
        <c:noMultiLvlLbl val="0"/>
      </c:catAx>
      <c:valAx>
        <c:axId val="122419456"/>
        <c:scaling>
          <c:orientation val="minMax"/>
        </c:scaling>
        <c:delete val="0"/>
        <c:axPos val="l"/>
        <c:majorGridlines/>
        <c:numFmt formatCode="General" sourceLinked="1"/>
        <c:majorTickMark val="out"/>
        <c:minorTickMark val="none"/>
        <c:tickLblPos val="nextTo"/>
        <c:crossAx val="122417920"/>
        <c:crosses val="autoZero"/>
        <c:crossBetween val="between"/>
      </c:valAx>
    </c:plotArea>
    <c:legend>
      <c:legendPos val="r"/>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2008</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Vidin</c:v>
                </c:pt>
                <c:pt idx="8">
                  <c:v>Vratsa</c:v>
                </c:pt>
                <c:pt idx="9">
                  <c:v>Montana</c:v>
                </c:pt>
                <c:pt idx="10">
                  <c:v>Pleven</c:v>
                </c:pt>
                <c:pt idx="11">
                  <c:v>Veliko Tarnovo</c:v>
                </c:pt>
                <c:pt idx="12">
                  <c:v>Ruse</c:v>
                </c:pt>
                <c:pt idx="13">
                  <c:v>Silistra</c:v>
                </c:pt>
                <c:pt idx="14">
                  <c:v>Dobrich</c:v>
                </c:pt>
              </c:strCache>
            </c:strRef>
          </c:cat>
          <c:val>
            <c:numRef>
              <c:f>Sheet1!$B$2:$B$16</c:f>
              <c:numCache>
                <c:formatCode>General</c:formatCode>
                <c:ptCount val="15"/>
                <c:pt idx="0">
                  <c:v>7309.7160451115524</c:v>
                </c:pt>
                <c:pt idx="1">
                  <c:v>4024.4395554013172</c:v>
                </c:pt>
                <c:pt idx="2">
                  <c:v>3495.6375292777352</c:v>
                </c:pt>
                <c:pt idx="3">
                  <c:v>3831.4549779666959</c:v>
                </c:pt>
                <c:pt idx="4">
                  <c:v>5119.1201529826121</c:v>
                </c:pt>
                <c:pt idx="5">
                  <c:v>4025.5015862634036</c:v>
                </c:pt>
                <c:pt idx="6">
                  <c:v>3812.9216617913107</c:v>
                </c:pt>
              </c:numCache>
            </c:numRef>
          </c:val>
        </c:ser>
        <c:ser>
          <c:idx val="1"/>
          <c:order val="1"/>
          <c:tx>
            <c:strRef>
              <c:f>Sheet1!$C$1</c:f>
              <c:strCache>
                <c:ptCount val="1"/>
                <c:pt idx="0">
                  <c:v>2009</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Vidin</c:v>
                </c:pt>
                <c:pt idx="8">
                  <c:v>Vratsa</c:v>
                </c:pt>
                <c:pt idx="9">
                  <c:v>Montana</c:v>
                </c:pt>
                <c:pt idx="10">
                  <c:v>Pleven</c:v>
                </c:pt>
                <c:pt idx="11">
                  <c:v>Veliko Tarnovo</c:v>
                </c:pt>
                <c:pt idx="12">
                  <c:v>Ruse</c:v>
                </c:pt>
                <c:pt idx="13">
                  <c:v>Silistra</c:v>
                </c:pt>
                <c:pt idx="14">
                  <c:v>Dobrich</c:v>
                </c:pt>
              </c:strCache>
            </c:strRef>
          </c:cat>
          <c:val>
            <c:numRef>
              <c:f>Sheet1!$C$2:$C$16</c:f>
              <c:numCache>
                <c:formatCode>General</c:formatCode>
                <c:ptCount val="15"/>
                <c:pt idx="0">
                  <c:v>6435.8300918691884</c:v>
                </c:pt>
                <c:pt idx="1">
                  <c:v>3196.5801059146297</c:v>
                </c:pt>
                <c:pt idx="2">
                  <c:v>3255.1483766762822</c:v>
                </c:pt>
                <c:pt idx="3">
                  <c:v>3295.7266645271034</c:v>
                </c:pt>
                <c:pt idx="4">
                  <c:v>4445.8324913196138</c:v>
                </c:pt>
                <c:pt idx="5">
                  <c:v>3495.6720251117599</c:v>
                </c:pt>
                <c:pt idx="6">
                  <c:v>3055.8866869539438</c:v>
                </c:pt>
                <c:pt idx="7" formatCode="0">
                  <c:v>2494.6313528990795</c:v>
                </c:pt>
                <c:pt idx="8" formatCode="0">
                  <c:v>3568.3607730851872</c:v>
                </c:pt>
                <c:pt idx="9" formatCode="0">
                  <c:v>2559.5664178341362</c:v>
                </c:pt>
                <c:pt idx="10" formatCode="0">
                  <c:v>2629.1031802842867</c:v>
                </c:pt>
                <c:pt idx="11" formatCode="0">
                  <c:v>2922.5892218018198</c:v>
                </c:pt>
                <c:pt idx="12" formatCode="0">
                  <c:v>3572.4511708763871</c:v>
                </c:pt>
                <c:pt idx="13" formatCode="0">
                  <c:v>2303.405256161162</c:v>
                </c:pt>
                <c:pt idx="14" formatCode="0">
                  <c:v>2749.2586154003457</c:v>
                </c:pt>
              </c:numCache>
            </c:numRef>
          </c:val>
        </c:ser>
        <c:ser>
          <c:idx val="2"/>
          <c:order val="2"/>
          <c:tx>
            <c:strRef>
              <c:f>Sheet1!$D$1</c:f>
              <c:strCache>
                <c:ptCount val="1"/>
                <c:pt idx="0">
                  <c:v>2010</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Vidin</c:v>
                </c:pt>
                <c:pt idx="8">
                  <c:v>Vratsa</c:v>
                </c:pt>
                <c:pt idx="9">
                  <c:v>Montana</c:v>
                </c:pt>
                <c:pt idx="10">
                  <c:v>Pleven</c:v>
                </c:pt>
                <c:pt idx="11">
                  <c:v>Veliko Tarnovo</c:v>
                </c:pt>
                <c:pt idx="12">
                  <c:v>Ruse</c:v>
                </c:pt>
                <c:pt idx="13">
                  <c:v>Silistra</c:v>
                </c:pt>
                <c:pt idx="14">
                  <c:v>Dobrich</c:v>
                </c:pt>
              </c:strCache>
            </c:strRef>
          </c:cat>
          <c:val>
            <c:numRef>
              <c:f>Sheet1!$D$2:$D$16</c:f>
              <c:numCache>
                <c:formatCode>General</c:formatCode>
                <c:ptCount val="15"/>
                <c:pt idx="0">
                  <c:v>6946.2868386725913</c:v>
                </c:pt>
                <c:pt idx="1">
                  <c:v>4103.013460314618</c:v>
                </c:pt>
                <c:pt idx="2">
                  <c:v>4470.4031549087185</c:v>
                </c:pt>
                <c:pt idx="3">
                  <c:v>3328.913096138916</c:v>
                </c:pt>
                <c:pt idx="4">
                  <c:v>4553.997808175618</c:v>
                </c:pt>
                <c:pt idx="5">
                  <c:v>3497.2333530665869</c:v>
                </c:pt>
                <c:pt idx="6">
                  <c:v>3625.658306434791</c:v>
                </c:pt>
                <c:pt idx="7" formatCode="0">
                  <c:v>2393.3940075672372</c:v>
                </c:pt>
                <c:pt idx="8" formatCode="0">
                  <c:v>3952.858165456591</c:v>
                </c:pt>
                <c:pt idx="9" formatCode="0">
                  <c:v>2479.2923611821248</c:v>
                </c:pt>
                <c:pt idx="10" formatCode="0">
                  <c:v>2582.5749054095509</c:v>
                </c:pt>
                <c:pt idx="11" formatCode="0">
                  <c:v>3136.8238061151451</c:v>
                </c:pt>
                <c:pt idx="12" formatCode="0">
                  <c:v>3398.0979650270988</c:v>
                </c:pt>
                <c:pt idx="13" formatCode="0">
                  <c:v>2293.1792616831999</c:v>
                </c:pt>
                <c:pt idx="14" formatCode="0">
                  <c:v>3295.3267205235711</c:v>
                </c:pt>
              </c:numCache>
            </c:numRef>
          </c:val>
        </c:ser>
        <c:ser>
          <c:idx val="3"/>
          <c:order val="3"/>
          <c:tx>
            <c:strRef>
              <c:f>Sheet1!$E$1</c:f>
              <c:strCache>
                <c:ptCount val="1"/>
                <c:pt idx="0">
                  <c:v>2011</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Vidin</c:v>
                </c:pt>
                <c:pt idx="8">
                  <c:v>Vratsa</c:v>
                </c:pt>
                <c:pt idx="9">
                  <c:v>Montana</c:v>
                </c:pt>
                <c:pt idx="10">
                  <c:v>Pleven</c:v>
                </c:pt>
                <c:pt idx="11">
                  <c:v>Veliko Tarnovo</c:v>
                </c:pt>
                <c:pt idx="12">
                  <c:v>Ruse</c:v>
                </c:pt>
                <c:pt idx="13">
                  <c:v>Silistra</c:v>
                </c:pt>
                <c:pt idx="14">
                  <c:v>Dobrich</c:v>
                </c:pt>
              </c:strCache>
            </c:strRef>
          </c:cat>
          <c:val>
            <c:numRef>
              <c:f>Sheet1!$E$2:$E$16</c:f>
              <c:numCache>
                <c:formatCode>General</c:formatCode>
                <c:ptCount val="15"/>
                <c:pt idx="7">
                  <c:v>2551</c:v>
                </c:pt>
                <c:pt idx="8">
                  <c:v>4275</c:v>
                </c:pt>
                <c:pt idx="9">
                  <c:v>2842</c:v>
                </c:pt>
                <c:pt idx="10">
                  <c:v>2970</c:v>
                </c:pt>
                <c:pt idx="11">
                  <c:v>3343</c:v>
                </c:pt>
                <c:pt idx="12">
                  <c:v>3887</c:v>
                </c:pt>
                <c:pt idx="13">
                  <c:v>2631</c:v>
                </c:pt>
                <c:pt idx="14">
                  <c:v>3441</c:v>
                </c:pt>
              </c:numCache>
            </c:numRef>
          </c:val>
        </c:ser>
        <c:dLbls>
          <c:showLegendKey val="0"/>
          <c:showVal val="0"/>
          <c:showCatName val="0"/>
          <c:showSerName val="0"/>
          <c:showPercent val="0"/>
          <c:showBubbleSize val="0"/>
        </c:dLbls>
        <c:gapWidth val="150"/>
        <c:axId val="50195072"/>
        <c:axId val="120996224"/>
      </c:barChart>
      <c:catAx>
        <c:axId val="50195072"/>
        <c:scaling>
          <c:orientation val="minMax"/>
        </c:scaling>
        <c:delete val="0"/>
        <c:axPos val="b"/>
        <c:numFmt formatCode="General" sourceLinked="1"/>
        <c:majorTickMark val="out"/>
        <c:minorTickMark val="none"/>
        <c:tickLblPos val="nextTo"/>
        <c:crossAx val="120996224"/>
        <c:crosses val="autoZero"/>
        <c:auto val="1"/>
        <c:lblAlgn val="ctr"/>
        <c:lblOffset val="100"/>
        <c:noMultiLvlLbl val="0"/>
      </c:catAx>
      <c:valAx>
        <c:axId val="120996224"/>
        <c:scaling>
          <c:orientation val="minMax"/>
        </c:scaling>
        <c:delete val="0"/>
        <c:axPos val="l"/>
        <c:majorGridlines/>
        <c:numFmt formatCode="General" sourceLinked="1"/>
        <c:majorTickMark val="out"/>
        <c:minorTickMark val="none"/>
        <c:tickLblPos val="nextTo"/>
        <c:crossAx val="50195072"/>
        <c:crosses val="autoZero"/>
        <c:crossBetween val="between"/>
      </c:valAx>
    </c:plotArea>
    <c:legend>
      <c:legendPos val="r"/>
      <c:overlay val="0"/>
    </c:legend>
    <c:plotVisOnly val="1"/>
    <c:dispBlanksAs val="gap"/>
    <c:showDLblsOverMax val="0"/>
  </c:chart>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99"/>
            </a:pPr>
            <a:r>
              <a:rPr lang="en-US" sz="1399"/>
              <a:t>The arrivals</a:t>
            </a:r>
            <a:r>
              <a:rPr lang="en-US" sz="1399" baseline="0"/>
              <a:t> in the cross-border area</a:t>
            </a:r>
            <a:endParaRPr lang="en-US" sz="1400"/>
          </a:p>
        </c:rich>
      </c:tx>
      <c:overlay val="0"/>
    </c:title>
    <c:autoTitleDeleted val="0"/>
    <c:plotArea>
      <c:layout/>
      <c:barChart>
        <c:barDir val="col"/>
        <c:grouping val="clustered"/>
        <c:varyColors val="0"/>
        <c:ser>
          <c:idx val="0"/>
          <c:order val="0"/>
          <c:tx>
            <c:strRef>
              <c:f>Sheet1!$B$1</c:f>
              <c:strCache>
                <c:ptCount val="1"/>
                <c:pt idx="0">
                  <c:v>2008</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Dobrich</c:v>
                </c:pt>
                <c:pt idx="8">
                  <c:v>Montana</c:v>
                </c:pt>
                <c:pt idx="9">
                  <c:v>Pleven</c:v>
                </c:pt>
                <c:pt idx="10">
                  <c:v>Ruse</c:v>
                </c:pt>
                <c:pt idx="11">
                  <c:v>Silistra</c:v>
                </c:pt>
                <c:pt idx="12">
                  <c:v>Veliko Turnovo</c:v>
                </c:pt>
                <c:pt idx="13">
                  <c:v>Vidin</c:v>
                </c:pt>
                <c:pt idx="14">
                  <c:v>Vratsa</c:v>
                </c:pt>
              </c:strCache>
            </c:strRef>
          </c:cat>
          <c:val>
            <c:numRef>
              <c:f>Sheet1!$B$2:$B$16</c:f>
              <c:numCache>
                <c:formatCode>General</c:formatCode>
                <c:ptCount val="15"/>
                <c:pt idx="0">
                  <c:v>977975</c:v>
                </c:pt>
                <c:pt idx="1">
                  <c:v>15946</c:v>
                </c:pt>
                <c:pt idx="2">
                  <c:v>28314</c:v>
                </c:pt>
                <c:pt idx="3">
                  <c:v>19917</c:v>
                </c:pt>
                <c:pt idx="4">
                  <c:v>57279</c:v>
                </c:pt>
                <c:pt idx="5">
                  <c:v>57551</c:v>
                </c:pt>
                <c:pt idx="6">
                  <c:v>17538</c:v>
                </c:pt>
                <c:pt idx="7">
                  <c:v>206437</c:v>
                </c:pt>
                <c:pt idx="8">
                  <c:v>25609</c:v>
                </c:pt>
                <c:pt idx="9">
                  <c:v>56341</c:v>
                </c:pt>
                <c:pt idx="10">
                  <c:v>86466</c:v>
                </c:pt>
                <c:pt idx="11">
                  <c:v>24042</c:v>
                </c:pt>
                <c:pt idx="12">
                  <c:v>135315</c:v>
                </c:pt>
                <c:pt idx="13">
                  <c:v>24835</c:v>
                </c:pt>
                <c:pt idx="14">
                  <c:v>24433</c:v>
                </c:pt>
              </c:numCache>
            </c:numRef>
          </c:val>
        </c:ser>
        <c:ser>
          <c:idx val="1"/>
          <c:order val="1"/>
          <c:tx>
            <c:strRef>
              <c:f>Sheet1!$C$1</c:f>
              <c:strCache>
                <c:ptCount val="1"/>
                <c:pt idx="0">
                  <c:v>2009</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Dobrich</c:v>
                </c:pt>
                <c:pt idx="8">
                  <c:v>Montana</c:v>
                </c:pt>
                <c:pt idx="9">
                  <c:v>Pleven</c:v>
                </c:pt>
                <c:pt idx="10">
                  <c:v>Ruse</c:v>
                </c:pt>
                <c:pt idx="11">
                  <c:v>Silistra</c:v>
                </c:pt>
                <c:pt idx="12">
                  <c:v>Veliko Turnovo</c:v>
                </c:pt>
                <c:pt idx="13">
                  <c:v>Vidin</c:v>
                </c:pt>
                <c:pt idx="14">
                  <c:v>Vratsa</c:v>
                </c:pt>
              </c:strCache>
            </c:strRef>
          </c:cat>
          <c:val>
            <c:numRef>
              <c:f>Sheet1!$C$2:$C$16</c:f>
              <c:numCache>
                <c:formatCode>General</c:formatCode>
                <c:ptCount val="15"/>
                <c:pt idx="0">
                  <c:v>897677</c:v>
                </c:pt>
                <c:pt idx="1">
                  <c:v>10215</c:v>
                </c:pt>
                <c:pt idx="2">
                  <c:v>29919</c:v>
                </c:pt>
                <c:pt idx="3">
                  <c:v>13002</c:v>
                </c:pt>
                <c:pt idx="4">
                  <c:v>33529</c:v>
                </c:pt>
                <c:pt idx="5">
                  <c:v>54126</c:v>
                </c:pt>
                <c:pt idx="6">
                  <c:v>13924</c:v>
                </c:pt>
                <c:pt idx="7">
                  <c:v>163825</c:v>
                </c:pt>
                <c:pt idx="8">
                  <c:v>23632</c:v>
                </c:pt>
                <c:pt idx="9">
                  <c:v>47684</c:v>
                </c:pt>
                <c:pt idx="10">
                  <c:v>90930</c:v>
                </c:pt>
                <c:pt idx="11">
                  <c:v>21349</c:v>
                </c:pt>
                <c:pt idx="12">
                  <c:v>114124</c:v>
                </c:pt>
                <c:pt idx="13">
                  <c:v>28967</c:v>
                </c:pt>
                <c:pt idx="14">
                  <c:v>25745</c:v>
                </c:pt>
              </c:numCache>
            </c:numRef>
          </c:val>
        </c:ser>
        <c:ser>
          <c:idx val="2"/>
          <c:order val="2"/>
          <c:tx>
            <c:strRef>
              <c:f>Sheet1!$D$1</c:f>
              <c:strCache>
                <c:ptCount val="1"/>
                <c:pt idx="0">
                  <c:v>2010</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Dobrich</c:v>
                </c:pt>
                <c:pt idx="8">
                  <c:v>Montana</c:v>
                </c:pt>
                <c:pt idx="9">
                  <c:v>Pleven</c:v>
                </c:pt>
                <c:pt idx="10">
                  <c:v>Ruse</c:v>
                </c:pt>
                <c:pt idx="11">
                  <c:v>Silistra</c:v>
                </c:pt>
                <c:pt idx="12">
                  <c:v>Veliko Turnovo</c:v>
                </c:pt>
                <c:pt idx="13">
                  <c:v>Vidin</c:v>
                </c:pt>
                <c:pt idx="14">
                  <c:v>Vratsa</c:v>
                </c:pt>
              </c:strCache>
            </c:strRef>
          </c:cat>
          <c:val>
            <c:numRef>
              <c:f>Sheet1!$D$2:$D$16</c:f>
              <c:numCache>
                <c:formatCode>General</c:formatCode>
                <c:ptCount val="15"/>
                <c:pt idx="0">
                  <c:v>803096</c:v>
                </c:pt>
                <c:pt idx="1">
                  <c:v>10600</c:v>
                </c:pt>
                <c:pt idx="2">
                  <c:v>28217</c:v>
                </c:pt>
                <c:pt idx="3">
                  <c:v>11347</c:v>
                </c:pt>
                <c:pt idx="4">
                  <c:v>28762</c:v>
                </c:pt>
                <c:pt idx="5">
                  <c:v>54942</c:v>
                </c:pt>
                <c:pt idx="6">
                  <c:v>14167</c:v>
                </c:pt>
                <c:pt idx="7">
                  <c:v>188108</c:v>
                </c:pt>
                <c:pt idx="8">
                  <c:v>21420</c:v>
                </c:pt>
                <c:pt idx="9">
                  <c:v>44064</c:v>
                </c:pt>
                <c:pt idx="10">
                  <c:v>83642</c:v>
                </c:pt>
                <c:pt idx="11">
                  <c:v>21534</c:v>
                </c:pt>
                <c:pt idx="12">
                  <c:v>121951</c:v>
                </c:pt>
                <c:pt idx="13">
                  <c:v>27025</c:v>
                </c:pt>
                <c:pt idx="14">
                  <c:v>21995</c:v>
                </c:pt>
              </c:numCache>
            </c:numRef>
          </c:val>
        </c:ser>
        <c:ser>
          <c:idx val="3"/>
          <c:order val="3"/>
          <c:tx>
            <c:strRef>
              <c:f>Sheet1!$E$1</c:f>
              <c:strCache>
                <c:ptCount val="1"/>
                <c:pt idx="0">
                  <c:v>2011</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Dobrich</c:v>
                </c:pt>
                <c:pt idx="8">
                  <c:v>Montana</c:v>
                </c:pt>
                <c:pt idx="9">
                  <c:v>Pleven</c:v>
                </c:pt>
                <c:pt idx="10">
                  <c:v>Ruse</c:v>
                </c:pt>
                <c:pt idx="11">
                  <c:v>Silistra</c:v>
                </c:pt>
                <c:pt idx="12">
                  <c:v>Veliko Turnovo</c:v>
                </c:pt>
                <c:pt idx="13">
                  <c:v>Vidin</c:v>
                </c:pt>
                <c:pt idx="14">
                  <c:v>Vratsa</c:v>
                </c:pt>
              </c:strCache>
            </c:strRef>
          </c:cat>
          <c:val>
            <c:numRef>
              <c:f>Sheet1!$E$2:$E$16</c:f>
              <c:numCache>
                <c:formatCode>General</c:formatCode>
                <c:ptCount val="15"/>
                <c:pt idx="0">
                  <c:v>844802</c:v>
                </c:pt>
                <c:pt idx="1">
                  <c:v>10657</c:v>
                </c:pt>
                <c:pt idx="2">
                  <c:v>26969</c:v>
                </c:pt>
                <c:pt idx="3">
                  <c:v>11669</c:v>
                </c:pt>
                <c:pt idx="4">
                  <c:v>58538</c:v>
                </c:pt>
                <c:pt idx="5">
                  <c:v>54778</c:v>
                </c:pt>
                <c:pt idx="6">
                  <c:v>23700</c:v>
                </c:pt>
                <c:pt idx="7">
                  <c:v>282297</c:v>
                </c:pt>
                <c:pt idx="8">
                  <c:v>36451</c:v>
                </c:pt>
                <c:pt idx="9">
                  <c:v>42758</c:v>
                </c:pt>
                <c:pt idx="10">
                  <c:v>89156</c:v>
                </c:pt>
                <c:pt idx="11">
                  <c:v>23891</c:v>
                </c:pt>
                <c:pt idx="12">
                  <c:v>170777</c:v>
                </c:pt>
                <c:pt idx="13">
                  <c:v>33515</c:v>
                </c:pt>
                <c:pt idx="14">
                  <c:v>27072</c:v>
                </c:pt>
              </c:numCache>
            </c:numRef>
          </c:val>
        </c:ser>
        <c:ser>
          <c:idx val="4"/>
          <c:order val="4"/>
          <c:tx>
            <c:strRef>
              <c:f>Sheet1!$F$1</c:f>
              <c:strCache>
                <c:ptCount val="1"/>
                <c:pt idx="0">
                  <c:v>2012</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Dobrich</c:v>
                </c:pt>
                <c:pt idx="8">
                  <c:v>Montana</c:v>
                </c:pt>
                <c:pt idx="9">
                  <c:v>Pleven</c:v>
                </c:pt>
                <c:pt idx="10">
                  <c:v>Ruse</c:v>
                </c:pt>
                <c:pt idx="11">
                  <c:v>Silistra</c:v>
                </c:pt>
                <c:pt idx="12">
                  <c:v>Veliko Turnovo</c:v>
                </c:pt>
                <c:pt idx="13">
                  <c:v>Vidin</c:v>
                </c:pt>
                <c:pt idx="14">
                  <c:v>Vratsa</c:v>
                </c:pt>
              </c:strCache>
            </c:strRef>
          </c:cat>
          <c:val>
            <c:numRef>
              <c:f>Sheet1!$F$2:$F$16</c:f>
              <c:numCache>
                <c:formatCode>General</c:formatCode>
                <c:ptCount val="15"/>
                <c:pt idx="0">
                  <c:v>953008</c:v>
                </c:pt>
                <c:pt idx="1">
                  <c:v>11929</c:v>
                </c:pt>
                <c:pt idx="2">
                  <c:v>26594</c:v>
                </c:pt>
                <c:pt idx="3">
                  <c:v>14301</c:v>
                </c:pt>
                <c:pt idx="4">
                  <c:v>83024</c:v>
                </c:pt>
                <c:pt idx="5">
                  <c:v>53684</c:v>
                </c:pt>
                <c:pt idx="6">
                  <c:v>36383</c:v>
                </c:pt>
                <c:pt idx="7">
                  <c:v>344118</c:v>
                </c:pt>
                <c:pt idx="8">
                  <c:v>35058</c:v>
                </c:pt>
                <c:pt idx="9">
                  <c:v>44507</c:v>
                </c:pt>
                <c:pt idx="10">
                  <c:v>88004</c:v>
                </c:pt>
                <c:pt idx="11">
                  <c:v>25410</c:v>
                </c:pt>
                <c:pt idx="12">
                  <c:v>177821</c:v>
                </c:pt>
                <c:pt idx="13">
                  <c:v>30978</c:v>
                </c:pt>
                <c:pt idx="14">
                  <c:v>31295</c:v>
                </c:pt>
              </c:numCache>
            </c:numRef>
          </c:val>
        </c:ser>
        <c:dLbls>
          <c:showLegendKey val="0"/>
          <c:showVal val="0"/>
          <c:showCatName val="0"/>
          <c:showSerName val="0"/>
          <c:showPercent val="0"/>
          <c:showBubbleSize val="0"/>
        </c:dLbls>
        <c:gapWidth val="150"/>
        <c:axId val="122066432"/>
        <c:axId val="122067968"/>
      </c:barChart>
      <c:catAx>
        <c:axId val="122066432"/>
        <c:scaling>
          <c:orientation val="minMax"/>
        </c:scaling>
        <c:delete val="0"/>
        <c:axPos val="b"/>
        <c:numFmt formatCode="General" sourceLinked="1"/>
        <c:majorTickMark val="out"/>
        <c:minorTickMark val="none"/>
        <c:tickLblPos val="nextTo"/>
        <c:crossAx val="122067968"/>
        <c:crosses val="autoZero"/>
        <c:auto val="1"/>
        <c:lblAlgn val="ctr"/>
        <c:lblOffset val="100"/>
        <c:noMultiLvlLbl val="0"/>
      </c:catAx>
      <c:valAx>
        <c:axId val="122067968"/>
        <c:scaling>
          <c:orientation val="minMax"/>
        </c:scaling>
        <c:delete val="0"/>
        <c:axPos val="l"/>
        <c:majorGridlines/>
        <c:numFmt formatCode="General" sourceLinked="1"/>
        <c:majorTickMark val="out"/>
        <c:minorTickMark val="none"/>
        <c:tickLblPos val="nextTo"/>
        <c:crossAx val="122066432"/>
        <c:crosses val="autoZero"/>
        <c:crossBetween val="between"/>
      </c:valAx>
    </c:plotArea>
    <c:legend>
      <c:legendPos val="r"/>
      <c:overlay val="0"/>
    </c:legend>
    <c:plotVisOnly val="1"/>
    <c:dispBlanksAs val="gap"/>
    <c:showDLblsOverMax val="0"/>
  </c:chart>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99"/>
            </a:pPr>
            <a:r>
              <a:rPr lang="en-US" sz="1199"/>
              <a:t>The</a:t>
            </a:r>
            <a:r>
              <a:rPr lang="en-US" sz="1199" baseline="0"/>
              <a:t> annual overnights spent by tourists in the RO area, 2008-2012</a:t>
            </a:r>
            <a:endParaRPr lang="en-US" sz="1200"/>
          </a:p>
        </c:rich>
      </c:tx>
      <c:overlay val="0"/>
    </c:title>
    <c:autoTitleDeleted val="0"/>
    <c:plotArea>
      <c:layout/>
      <c:barChart>
        <c:barDir val="bar"/>
        <c:grouping val="clustered"/>
        <c:varyColors val="0"/>
        <c:ser>
          <c:idx val="0"/>
          <c:order val="0"/>
          <c:tx>
            <c:strRef>
              <c:f>Sheet1!$B$1</c:f>
              <c:strCache>
                <c:ptCount val="1"/>
                <c:pt idx="0">
                  <c:v>2008</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Dobrich</c:v>
                </c:pt>
                <c:pt idx="8">
                  <c:v>Montana</c:v>
                </c:pt>
                <c:pt idx="9">
                  <c:v>Pleven</c:v>
                </c:pt>
                <c:pt idx="10">
                  <c:v>Ruse</c:v>
                </c:pt>
                <c:pt idx="11">
                  <c:v>Silistra</c:v>
                </c:pt>
                <c:pt idx="12">
                  <c:v>Veliko Turnovo</c:v>
                </c:pt>
                <c:pt idx="13">
                  <c:v>Vidin</c:v>
                </c:pt>
                <c:pt idx="14">
                  <c:v>Vratsa</c:v>
                </c:pt>
              </c:strCache>
            </c:strRef>
          </c:cat>
          <c:val>
            <c:numRef>
              <c:f>Sheet1!$B$2:$B$16</c:f>
              <c:numCache>
                <c:formatCode>General</c:formatCode>
                <c:ptCount val="15"/>
                <c:pt idx="0">
                  <c:v>4435702</c:v>
                </c:pt>
                <c:pt idx="1">
                  <c:v>53191</c:v>
                </c:pt>
                <c:pt idx="2">
                  <c:v>90042</c:v>
                </c:pt>
                <c:pt idx="3">
                  <c:v>33361</c:v>
                </c:pt>
                <c:pt idx="4">
                  <c:v>137874</c:v>
                </c:pt>
                <c:pt idx="5">
                  <c:v>148393</c:v>
                </c:pt>
                <c:pt idx="6">
                  <c:v>43907</c:v>
                </c:pt>
                <c:pt idx="7">
                  <c:v>1182701</c:v>
                </c:pt>
                <c:pt idx="8">
                  <c:v>61482</c:v>
                </c:pt>
                <c:pt idx="9">
                  <c:v>95708</c:v>
                </c:pt>
                <c:pt idx="10">
                  <c:v>133761</c:v>
                </c:pt>
                <c:pt idx="11">
                  <c:v>33288</c:v>
                </c:pt>
                <c:pt idx="12">
                  <c:v>221033</c:v>
                </c:pt>
                <c:pt idx="13">
                  <c:v>35413</c:v>
                </c:pt>
                <c:pt idx="14">
                  <c:v>51884</c:v>
                </c:pt>
              </c:numCache>
            </c:numRef>
          </c:val>
        </c:ser>
        <c:ser>
          <c:idx val="1"/>
          <c:order val="1"/>
          <c:tx>
            <c:strRef>
              <c:f>Sheet1!$C$1</c:f>
              <c:strCache>
                <c:ptCount val="1"/>
                <c:pt idx="0">
                  <c:v>2009</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Dobrich</c:v>
                </c:pt>
                <c:pt idx="8">
                  <c:v>Montana</c:v>
                </c:pt>
                <c:pt idx="9">
                  <c:v>Pleven</c:v>
                </c:pt>
                <c:pt idx="10">
                  <c:v>Ruse</c:v>
                </c:pt>
                <c:pt idx="11">
                  <c:v>Silistra</c:v>
                </c:pt>
                <c:pt idx="12">
                  <c:v>Veliko Turnovo</c:v>
                </c:pt>
                <c:pt idx="13">
                  <c:v>Vidin</c:v>
                </c:pt>
                <c:pt idx="14">
                  <c:v>Vratsa</c:v>
                </c:pt>
              </c:strCache>
            </c:strRef>
          </c:cat>
          <c:val>
            <c:numRef>
              <c:f>Sheet1!$C$2:$C$16</c:f>
              <c:numCache>
                <c:formatCode>General</c:formatCode>
                <c:ptCount val="15"/>
                <c:pt idx="0">
                  <c:v>3753245</c:v>
                </c:pt>
                <c:pt idx="1">
                  <c:v>27045</c:v>
                </c:pt>
                <c:pt idx="2">
                  <c:v>89699</c:v>
                </c:pt>
                <c:pt idx="3">
                  <c:v>41772</c:v>
                </c:pt>
                <c:pt idx="4">
                  <c:v>71689</c:v>
                </c:pt>
                <c:pt idx="5">
                  <c:v>141007</c:v>
                </c:pt>
                <c:pt idx="6">
                  <c:v>26349</c:v>
                </c:pt>
                <c:pt idx="7">
                  <c:v>923374</c:v>
                </c:pt>
                <c:pt idx="8">
                  <c:v>55243</c:v>
                </c:pt>
                <c:pt idx="9">
                  <c:v>73459</c:v>
                </c:pt>
                <c:pt idx="10">
                  <c:v>130607</c:v>
                </c:pt>
                <c:pt idx="11">
                  <c:v>33015</c:v>
                </c:pt>
                <c:pt idx="12">
                  <c:v>189660</c:v>
                </c:pt>
                <c:pt idx="13">
                  <c:v>48492</c:v>
                </c:pt>
                <c:pt idx="14">
                  <c:v>54674</c:v>
                </c:pt>
              </c:numCache>
            </c:numRef>
          </c:val>
        </c:ser>
        <c:ser>
          <c:idx val="2"/>
          <c:order val="2"/>
          <c:tx>
            <c:strRef>
              <c:f>Sheet1!$D$1</c:f>
              <c:strCache>
                <c:ptCount val="1"/>
                <c:pt idx="0">
                  <c:v>2010</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Dobrich</c:v>
                </c:pt>
                <c:pt idx="8">
                  <c:v>Montana</c:v>
                </c:pt>
                <c:pt idx="9">
                  <c:v>Pleven</c:v>
                </c:pt>
                <c:pt idx="10">
                  <c:v>Ruse</c:v>
                </c:pt>
                <c:pt idx="11">
                  <c:v>Silistra</c:v>
                </c:pt>
                <c:pt idx="12">
                  <c:v>Veliko Turnovo</c:v>
                </c:pt>
                <c:pt idx="13">
                  <c:v>Vidin</c:v>
                </c:pt>
                <c:pt idx="14">
                  <c:v>Vratsa</c:v>
                </c:pt>
              </c:strCache>
            </c:strRef>
          </c:cat>
          <c:val>
            <c:numRef>
              <c:f>Sheet1!$D$2:$D$16</c:f>
              <c:numCache>
                <c:formatCode>General</c:formatCode>
                <c:ptCount val="15"/>
                <c:pt idx="0">
                  <c:v>3166706</c:v>
                </c:pt>
                <c:pt idx="1">
                  <c:v>27570</c:v>
                </c:pt>
                <c:pt idx="2">
                  <c:v>84968</c:v>
                </c:pt>
                <c:pt idx="3">
                  <c:v>28776</c:v>
                </c:pt>
                <c:pt idx="4">
                  <c:v>65695</c:v>
                </c:pt>
                <c:pt idx="5">
                  <c:v>135869</c:v>
                </c:pt>
                <c:pt idx="6">
                  <c:v>22453</c:v>
                </c:pt>
                <c:pt idx="7">
                  <c:v>1052920</c:v>
                </c:pt>
                <c:pt idx="8">
                  <c:v>50904</c:v>
                </c:pt>
                <c:pt idx="9">
                  <c:v>71573</c:v>
                </c:pt>
                <c:pt idx="10">
                  <c:v>119780</c:v>
                </c:pt>
                <c:pt idx="11">
                  <c:v>34228</c:v>
                </c:pt>
                <c:pt idx="12">
                  <c:v>187797</c:v>
                </c:pt>
                <c:pt idx="13">
                  <c:v>44344</c:v>
                </c:pt>
                <c:pt idx="14">
                  <c:v>42995</c:v>
                </c:pt>
              </c:numCache>
            </c:numRef>
          </c:val>
        </c:ser>
        <c:ser>
          <c:idx val="3"/>
          <c:order val="3"/>
          <c:tx>
            <c:strRef>
              <c:f>Sheet1!$E$1</c:f>
              <c:strCache>
                <c:ptCount val="1"/>
                <c:pt idx="0">
                  <c:v>2011</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Dobrich</c:v>
                </c:pt>
                <c:pt idx="8">
                  <c:v>Montana</c:v>
                </c:pt>
                <c:pt idx="9">
                  <c:v>Pleven</c:v>
                </c:pt>
                <c:pt idx="10">
                  <c:v>Ruse</c:v>
                </c:pt>
                <c:pt idx="11">
                  <c:v>Silistra</c:v>
                </c:pt>
                <c:pt idx="12">
                  <c:v>Veliko Turnovo</c:v>
                </c:pt>
                <c:pt idx="13">
                  <c:v>Vidin</c:v>
                </c:pt>
                <c:pt idx="14">
                  <c:v>Vratsa</c:v>
                </c:pt>
              </c:strCache>
            </c:strRef>
          </c:cat>
          <c:val>
            <c:numRef>
              <c:f>Sheet1!$E$2:$E$16</c:f>
              <c:numCache>
                <c:formatCode>General</c:formatCode>
                <c:ptCount val="15"/>
                <c:pt idx="0">
                  <c:v>3361073</c:v>
                </c:pt>
                <c:pt idx="1">
                  <c:v>33623</c:v>
                </c:pt>
                <c:pt idx="2">
                  <c:v>92026</c:v>
                </c:pt>
                <c:pt idx="3">
                  <c:v>28217</c:v>
                </c:pt>
                <c:pt idx="4">
                  <c:v>116427</c:v>
                </c:pt>
                <c:pt idx="5">
                  <c:v>137129</c:v>
                </c:pt>
                <c:pt idx="6">
                  <c:v>49458</c:v>
                </c:pt>
                <c:pt idx="7">
                  <c:v>1689453</c:v>
                </c:pt>
                <c:pt idx="8">
                  <c:v>72661</c:v>
                </c:pt>
                <c:pt idx="9">
                  <c:v>73234</c:v>
                </c:pt>
                <c:pt idx="10">
                  <c:v>134214</c:v>
                </c:pt>
                <c:pt idx="11">
                  <c:v>35737</c:v>
                </c:pt>
                <c:pt idx="12">
                  <c:v>261456</c:v>
                </c:pt>
                <c:pt idx="13">
                  <c:v>54659</c:v>
                </c:pt>
                <c:pt idx="14">
                  <c:v>57452</c:v>
                </c:pt>
              </c:numCache>
            </c:numRef>
          </c:val>
        </c:ser>
        <c:ser>
          <c:idx val="4"/>
          <c:order val="4"/>
          <c:tx>
            <c:strRef>
              <c:f>Sheet1!$F$1</c:f>
              <c:strCache>
                <c:ptCount val="1"/>
                <c:pt idx="0">
                  <c:v>2012</c:v>
                </c:pt>
              </c:strCache>
            </c:strRef>
          </c:tx>
          <c:invertIfNegative val="0"/>
          <c:cat>
            <c:strRef>
              <c:f>Sheet1!$A$2:$A$16</c:f>
              <c:strCache>
                <c:ptCount val="15"/>
                <c:pt idx="0">
                  <c:v>Constanta</c:v>
                </c:pt>
                <c:pt idx="1">
                  <c:v>Calarasi</c:v>
                </c:pt>
                <c:pt idx="2">
                  <c:v>Giurgiu</c:v>
                </c:pt>
                <c:pt idx="3">
                  <c:v>Teleorman</c:v>
                </c:pt>
                <c:pt idx="4">
                  <c:v>Dolj</c:v>
                </c:pt>
                <c:pt idx="5">
                  <c:v>Mehedinti</c:v>
                </c:pt>
                <c:pt idx="6">
                  <c:v>Olt</c:v>
                </c:pt>
                <c:pt idx="7">
                  <c:v>Dobrich</c:v>
                </c:pt>
                <c:pt idx="8">
                  <c:v>Montana</c:v>
                </c:pt>
                <c:pt idx="9">
                  <c:v>Pleven</c:v>
                </c:pt>
                <c:pt idx="10">
                  <c:v>Ruse</c:v>
                </c:pt>
                <c:pt idx="11">
                  <c:v>Silistra</c:v>
                </c:pt>
                <c:pt idx="12">
                  <c:v>Veliko Turnovo</c:v>
                </c:pt>
                <c:pt idx="13">
                  <c:v>Vidin</c:v>
                </c:pt>
                <c:pt idx="14">
                  <c:v>Vratsa</c:v>
                </c:pt>
              </c:strCache>
            </c:strRef>
          </c:cat>
          <c:val>
            <c:numRef>
              <c:f>Sheet1!$F$2:$F$16</c:f>
              <c:numCache>
                <c:formatCode>General</c:formatCode>
                <c:ptCount val="15"/>
                <c:pt idx="0">
                  <c:v>3799526</c:v>
                </c:pt>
                <c:pt idx="1">
                  <c:v>31650</c:v>
                </c:pt>
                <c:pt idx="2">
                  <c:v>94408</c:v>
                </c:pt>
                <c:pt idx="3">
                  <c:v>38038</c:v>
                </c:pt>
                <c:pt idx="4">
                  <c:v>146781</c:v>
                </c:pt>
                <c:pt idx="5">
                  <c:v>119972</c:v>
                </c:pt>
                <c:pt idx="6">
                  <c:v>72967</c:v>
                </c:pt>
                <c:pt idx="7">
                  <c:v>1939723</c:v>
                </c:pt>
                <c:pt idx="8">
                  <c:v>72661</c:v>
                </c:pt>
                <c:pt idx="9">
                  <c:v>80863</c:v>
                </c:pt>
                <c:pt idx="10">
                  <c:v>148091</c:v>
                </c:pt>
                <c:pt idx="11">
                  <c:v>39337</c:v>
                </c:pt>
                <c:pt idx="12">
                  <c:v>275162</c:v>
                </c:pt>
                <c:pt idx="13">
                  <c:v>52249</c:v>
                </c:pt>
                <c:pt idx="14">
                  <c:v>72679</c:v>
                </c:pt>
              </c:numCache>
            </c:numRef>
          </c:val>
        </c:ser>
        <c:dLbls>
          <c:showLegendKey val="0"/>
          <c:showVal val="0"/>
          <c:showCatName val="0"/>
          <c:showSerName val="0"/>
          <c:showPercent val="0"/>
          <c:showBubbleSize val="0"/>
        </c:dLbls>
        <c:gapWidth val="150"/>
        <c:axId val="122157696"/>
        <c:axId val="122167680"/>
      </c:barChart>
      <c:catAx>
        <c:axId val="122157696"/>
        <c:scaling>
          <c:orientation val="minMax"/>
        </c:scaling>
        <c:delete val="0"/>
        <c:axPos val="l"/>
        <c:numFmt formatCode="General" sourceLinked="1"/>
        <c:majorTickMark val="out"/>
        <c:minorTickMark val="none"/>
        <c:tickLblPos val="nextTo"/>
        <c:crossAx val="122167680"/>
        <c:crosses val="autoZero"/>
        <c:auto val="1"/>
        <c:lblAlgn val="ctr"/>
        <c:lblOffset val="100"/>
        <c:noMultiLvlLbl val="0"/>
      </c:catAx>
      <c:valAx>
        <c:axId val="122167680"/>
        <c:scaling>
          <c:orientation val="minMax"/>
        </c:scaling>
        <c:delete val="0"/>
        <c:axPos val="b"/>
        <c:majorGridlines/>
        <c:numFmt formatCode="General" sourceLinked="1"/>
        <c:majorTickMark val="out"/>
        <c:minorTickMark val="none"/>
        <c:tickLblPos val="nextTo"/>
        <c:crossAx val="122157696"/>
        <c:crosses val="autoZero"/>
        <c:crossBetween val="between"/>
      </c:valAx>
    </c:plotArea>
    <c:legend>
      <c:legendPos val="r"/>
      <c:overlay val="0"/>
    </c:legend>
    <c:plotVisOnly val="1"/>
    <c:dispBlanksAs val="gap"/>
    <c:showDLblsOverMax val="0"/>
  </c:chart>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99"/>
            </a:pPr>
            <a:r>
              <a:rPr lang="en-US" sz="1399"/>
              <a:t>The average stay in the cross-border area, evolution</a:t>
            </a:r>
            <a:r>
              <a:rPr lang="en-US" sz="1399" baseline="0"/>
              <a:t> 2008-2012</a:t>
            </a:r>
            <a:endParaRPr lang="en-US" sz="1400"/>
          </a:p>
        </c:rich>
      </c:tx>
      <c:layout>
        <c:manualLayout>
          <c:xMode val="edge"/>
          <c:yMode val="edge"/>
          <c:x val="0.10263904122171839"/>
          <c:y val="2.037351443123939E-2"/>
        </c:manualLayout>
      </c:layout>
      <c:overlay val="0"/>
    </c:title>
    <c:autoTitleDeleted val="0"/>
    <c:plotArea>
      <c:layout>
        <c:manualLayout>
          <c:layoutTarget val="inner"/>
          <c:xMode val="edge"/>
          <c:yMode val="edge"/>
          <c:x val="4.8150010685169442E-2"/>
          <c:y val="0.15365881047551569"/>
          <c:w val="0.70179974628406183"/>
          <c:h val="0.76143042391347937"/>
        </c:manualLayout>
      </c:layout>
      <c:lineChart>
        <c:grouping val="standard"/>
        <c:varyColors val="0"/>
        <c:ser>
          <c:idx val="0"/>
          <c:order val="0"/>
          <c:tx>
            <c:strRef>
              <c:f>Sheet1!$A$2</c:f>
              <c:strCache>
                <c:ptCount val="1"/>
                <c:pt idx="0">
                  <c:v>Constanta</c:v>
                </c:pt>
              </c:strCache>
            </c:strRef>
          </c:tx>
          <c:marker>
            <c:symbol val="none"/>
          </c:marker>
          <c:cat>
            <c:strRef>
              <c:f>Sheet1!$B$1:$F$1</c:f>
              <c:strCache>
                <c:ptCount val="5"/>
                <c:pt idx="0">
                  <c:v>2008</c:v>
                </c:pt>
                <c:pt idx="1">
                  <c:v>2009</c:v>
                </c:pt>
                <c:pt idx="2">
                  <c:v>2010</c:v>
                </c:pt>
                <c:pt idx="3">
                  <c:v>2011</c:v>
                </c:pt>
                <c:pt idx="4">
                  <c:v>2012</c:v>
                </c:pt>
              </c:strCache>
            </c:strRef>
          </c:cat>
          <c:val>
            <c:numRef>
              <c:f>Sheet1!$B$2:$F$2</c:f>
              <c:numCache>
                <c:formatCode>General</c:formatCode>
                <c:ptCount val="5"/>
                <c:pt idx="0">
                  <c:v>4.5355985582453391</c:v>
                </c:pt>
                <c:pt idx="1">
                  <c:v>4.1810640130024499</c:v>
                </c:pt>
                <c:pt idx="2">
                  <c:v>3.9431226154780998</c:v>
                </c:pt>
                <c:pt idx="3">
                  <c:v>3.9785334315022931</c:v>
                </c:pt>
                <c:pt idx="4">
                  <c:v>3.9868773399593707</c:v>
                </c:pt>
              </c:numCache>
            </c:numRef>
          </c:val>
          <c:smooth val="0"/>
        </c:ser>
        <c:ser>
          <c:idx val="1"/>
          <c:order val="1"/>
          <c:tx>
            <c:strRef>
              <c:f>Sheet1!$A$3</c:f>
              <c:strCache>
                <c:ptCount val="1"/>
                <c:pt idx="0">
                  <c:v>Calarasi</c:v>
                </c:pt>
              </c:strCache>
            </c:strRef>
          </c:tx>
          <c:marker>
            <c:symbol val="none"/>
          </c:marker>
          <c:cat>
            <c:strRef>
              <c:f>Sheet1!$B$1:$F$1</c:f>
              <c:strCache>
                <c:ptCount val="5"/>
                <c:pt idx="0">
                  <c:v>2008</c:v>
                </c:pt>
                <c:pt idx="1">
                  <c:v>2009</c:v>
                </c:pt>
                <c:pt idx="2">
                  <c:v>2010</c:v>
                </c:pt>
                <c:pt idx="3">
                  <c:v>2011</c:v>
                </c:pt>
                <c:pt idx="4">
                  <c:v>2012</c:v>
                </c:pt>
              </c:strCache>
            </c:strRef>
          </c:cat>
          <c:val>
            <c:numRef>
              <c:f>Sheet1!$B$3:$F$3</c:f>
              <c:numCache>
                <c:formatCode>General</c:formatCode>
                <c:ptCount val="5"/>
                <c:pt idx="0">
                  <c:v>3.3356954722187235</c:v>
                </c:pt>
                <c:pt idx="1">
                  <c:v>2.647577092511022</c:v>
                </c:pt>
                <c:pt idx="2">
                  <c:v>2.6009433962264152</c:v>
                </c:pt>
                <c:pt idx="3">
                  <c:v>3.1550154827812653</c:v>
                </c:pt>
                <c:pt idx="4">
                  <c:v>2.6531980886914304</c:v>
                </c:pt>
              </c:numCache>
            </c:numRef>
          </c:val>
          <c:smooth val="0"/>
        </c:ser>
        <c:ser>
          <c:idx val="2"/>
          <c:order val="2"/>
          <c:tx>
            <c:strRef>
              <c:f>Sheet1!$A$4</c:f>
              <c:strCache>
                <c:ptCount val="1"/>
                <c:pt idx="0">
                  <c:v>Giurgiu</c:v>
                </c:pt>
              </c:strCache>
            </c:strRef>
          </c:tx>
          <c:marker>
            <c:symbol val="none"/>
          </c:marker>
          <c:cat>
            <c:strRef>
              <c:f>Sheet1!$B$1:$F$1</c:f>
              <c:strCache>
                <c:ptCount val="5"/>
                <c:pt idx="0">
                  <c:v>2008</c:v>
                </c:pt>
                <c:pt idx="1">
                  <c:v>2009</c:v>
                </c:pt>
                <c:pt idx="2">
                  <c:v>2010</c:v>
                </c:pt>
                <c:pt idx="3">
                  <c:v>2011</c:v>
                </c:pt>
                <c:pt idx="4">
                  <c:v>2012</c:v>
                </c:pt>
              </c:strCache>
            </c:strRef>
          </c:cat>
          <c:val>
            <c:numRef>
              <c:f>Sheet1!$B$4:$F$4</c:f>
              <c:numCache>
                <c:formatCode>General</c:formatCode>
                <c:ptCount val="5"/>
                <c:pt idx="0">
                  <c:v>3.1801229073956399</c:v>
                </c:pt>
                <c:pt idx="1">
                  <c:v>2.9980614325345067</c:v>
                </c:pt>
                <c:pt idx="2">
                  <c:v>3.0112343622638829</c:v>
                </c:pt>
                <c:pt idx="3">
                  <c:v>3.4122881827283167</c:v>
                </c:pt>
                <c:pt idx="4">
                  <c:v>3.5499736782732949</c:v>
                </c:pt>
              </c:numCache>
            </c:numRef>
          </c:val>
          <c:smooth val="0"/>
        </c:ser>
        <c:ser>
          <c:idx val="3"/>
          <c:order val="3"/>
          <c:tx>
            <c:strRef>
              <c:f>Sheet1!$A$5</c:f>
              <c:strCache>
                <c:ptCount val="1"/>
                <c:pt idx="0">
                  <c:v>Teleorman</c:v>
                </c:pt>
              </c:strCache>
            </c:strRef>
          </c:tx>
          <c:marker>
            <c:symbol val="none"/>
          </c:marker>
          <c:cat>
            <c:strRef>
              <c:f>Sheet1!$B$1:$F$1</c:f>
              <c:strCache>
                <c:ptCount val="5"/>
                <c:pt idx="0">
                  <c:v>2008</c:v>
                </c:pt>
                <c:pt idx="1">
                  <c:v>2009</c:v>
                </c:pt>
                <c:pt idx="2">
                  <c:v>2010</c:v>
                </c:pt>
                <c:pt idx="3">
                  <c:v>2011</c:v>
                </c:pt>
                <c:pt idx="4">
                  <c:v>2012</c:v>
                </c:pt>
              </c:strCache>
            </c:strRef>
          </c:cat>
          <c:val>
            <c:numRef>
              <c:f>Sheet1!$B$5:$F$5</c:f>
              <c:numCache>
                <c:formatCode>General</c:formatCode>
                <c:ptCount val="5"/>
                <c:pt idx="0">
                  <c:v>1.6750012552091127</c:v>
                </c:pt>
                <c:pt idx="1">
                  <c:v>3.2127365020766052</c:v>
                </c:pt>
                <c:pt idx="2">
                  <c:v>2.5360007050321669</c:v>
                </c:pt>
                <c:pt idx="3">
                  <c:v>2.418116376724655</c:v>
                </c:pt>
                <c:pt idx="4">
                  <c:v>2.659813999021039</c:v>
                </c:pt>
              </c:numCache>
            </c:numRef>
          </c:val>
          <c:smooth val="0"/>
        </c:ser>
        <c:ser>
          <c:idx val="4"/>
          <c:order val="4"/>
          <c:tx>
            <c:strRef>
              <c:f>Sheet1!$A$6</c:f>
              <c:strCache>
                <c:ptCount val="1"/>
                <c:pt idx="0">
                  <c:v>Dolj</c:v>
                </c:pt>
              </c:strCache>
            </c:strRef>
          </c:tx>
          <c:marker>
            <c:symbol val="none"/>
          </c:marker>
          <c:cat>
            <c:strRef>
              <c:f>Sheet1!$B$1:$F$1</c:f>
              <c:strCache>
                <c:ptCount val="5"/>
                <c:pt idx="0">
                  <c:v>2008</c:v>
                </c:pt>
                <c:pt idx="1">
                  <c:v>2009</c:v>
                </c:pt>
                <c:pt idx="2">
                  <c:v>2010</c:v>
                </c:pt>
                <c:pt idx="3">
                  <c:v>2011</c:v>
                </c:pt>
                <c:pt idx="4">
                  <c:v>2012</c:v>
                </c:pt>
              </c:strCache>
            </c:strRef>
          </c:cat>
          <c:val>
            <c:numRef>
              <c:f>Sheet1!$B$6:$F$6</c:f>
              <c:numCache>
                <c:formatCode>General</c:formatCode>
                <c:ptCount val="5"/>
                <c:pt idx="0">
                  <c:v>2.4070601791232367</c:v>
                </c:pt>
                <c:pt idx="1">
                  <c:v>2.1381192400608442</c:v>
                </c:pt>
                <c:pt idx="2">
                  <c:v>2.2840901189068972</c:v>
                </c:pt>
                <c:pt idx="3">
                  <c:v>1.9889131845980423</c:v>
                </c:pt>
                <c:pt idx="4">
                  <c:v>1.7679345731354765</c:v>
                </c:pt>
              </c:numCache>
            </c:numRef>
          </c:val>
          <c:smooth val="0"/>
        </c:ser>
        <c:ser>
          <c:idx val="5"/>
          <c:order val="5"/>
          <c:tx>
            <c:strRef>
              <c:f>Sheet1!$A$7</c:f>
              <c:strCache>
                <c:ptCount val="1"/>
                <c:pt idx="0">
                  <c:v>Mehedinti</c:v>
                </c:pt>
              </c:strCache>
            </c:strRef>
          </c:tx>
          <c:marker>
            <c:symbol val="none"/>
          </c:marker>
          <c:cat>
            <c:strRef>
              <c:f>Sheet1!$B$1:$F$1</c:f>
              <c:strCache>
                <c:ptCount val="5"/>
                <c:pt idx="0">
                  <c:v>2008</c:v>
                </c:pt>
                <c:pt idx="1">
                  <c:v>2009</c:v>
                </c:pt>
                <c:pt idx="2">
                  <c:v>2010</c:v>
                </c:pt>
                <c:pt idx="3">
                  <c:v>2011</c:v>
                </c:pt>
                <c:pt idx="4">
                  <c:v>2012</c:v>
                </c:pt>
              </c:strCache>
            </c:strRef>
          </c:cat>
          <c:val>
            <c:numRef>
              <c:f>Sheet1!$B$7:$F$7</c:f>
              <c:numCache>
                <c:formatCode>General</c:formatCode>
                <c:ptCount val="5"/>
                <c:pt idx="0">
                  <c:v>2.5784608434258307</c:v>
                </c:pt>
                <c:pt idx="1">
                  <c:v>2.6051620293389477</c:v>
                </c:pt>
                <c:pt idx="2">
                  <c:v>2.4729532962032561</c:v>
                </c:pt>
                <c:pt idx="3">
                  <c:v>2.50335901274235</c:v>
                </c:pt>
                <c:pt idx="4">
                  <c:v>2.2347813128679004</c:v>
                </c:pt>
              </c:numCache>
            </c:numRef>
          </c:val>
          <c:smooth val="0"/>
        </c:ser>
        <c:ser>
          <c:idx val="6"/>
          <c:order val="6"/>
          <c:tx>
            <c:strRef>
              <c:f>Sheet1!$A$8</c:f>
              <c:strCache>
                <c:ptCount val="1"/>
                <c:pt idx="0">
                  <c:v>Olt</c:v>
                </c:pt>
              </c:strCache>
            </c:strRef>
          </c:tx>
          <c:marker>
            <c:symbol val="none"/>
          </c:marker>
          <c:cat>
            <c:strRef>
              <c:f>Sheet1!$B$1:$F$1</c:f>
              <c:strCache>
                <c:ptCount val="5"/>
                <c:pt idx="0">
                  <c:v>2008</c:v>
                </c:pt>
                <c:pt idx="1">
                  <c:v>2009</c:v>
                </c:pt>
                <c:pt idx="2">
                  <c:v>2010</c:v>
                </c:pt>
                <c:pt idx="3">
                  <c:v>2011</c:v>
                </c:pt>
                <c:pt idx="4">
                  <c:v>2012</c:v>
                </c:pt>
              </c:strCache>
            </c:strRef>
          </c:cat>
          <c:val>
            <c:numRef>
              <c:f>Sheet1!$B$8:$F$8</c:f>
              <c:numCache>
                <c:formatCode>General</c:formatCode>
                <c:ptCount val="5"/>
                <c:pt idx="0">
                  <c:v>2.5035351807503758</c:v>
                </c:pt>
                <c:pt idx="1">
                  <c:v>1.8923441539787444</c:v>
                </c:pt>
                <c:pt idx="2">
                  <c:v>1.5848803557563349</c:v>
                </c:pt>
                <c:pt idx="3">
                  <c:v>2.086835443037975</c:v>
                </c:pt>
                <c:pt idx="4">
                  <c:v>2.005524558172783</c:v>
                </c:pt>
              </c:numCache>
            </c:numRef>
          </c:val>
          <c:smooth val="0"/>
        </c:ser>
        <c:ser>
          <c:idx val="7"/>
          <c:order val="7"/>
          <c:tx>
            <c:strRef>
              <c:f>Sheet1!$A$9</c:f>
              <c:strCache>
                <c:ptCount val="1"/>
                <c:pt idx="0">
                  <c:v>Dobrich</c:v>
                </c:pt>
              </c:strCache>
            </c:strRef>
          </c:tx>
          <c:marker>
            <c:symbol val="none"/>
          </c:marker>
          <c:cat>
            <c:strRef>
              <c:f>Sheet1!$B$1:$F$1</c:f>
              <c:strCache>
                <c:ptCount val="5"/>
                <c:pt idx="0">
                  <c:v>2008</c:v>
                </c:pt>
                <c:pt idx="1">
                  <c:v>2009</c:v>
                </c:pt>
                <c:pt idx="2">
                  <c:v>2010</c:v>
                </c:pt>
                <c:pt idx="3">
                  <c:v>2011</c:v>
                </c:pt>
                <c:pt idx="4">
                  <c:v>2012</c:v>
                </c:pt>
              </c:strCache>
            </c:strRef>
          </c:cat>
          <c:val>
            <c:numRef>
              <c:f>Sheet1!$B$9:$F$9</c:f>
              <c:numCache>
                <c:formatCode>General</c:formatCode>
                <c:ptCount val="5"/>
                <c:pt idx="0">
                  <c:v>5.7291134825636991</c:v>
                </c:pt>
                <c:pt idx="1">
                  <c:v>5.6363436593926552</c:v>
                </c:pt>
                <c:pt idx="2">
                  <c:v>5.5974227571395145</c:v>
                </c:pt>
                <c:pt idx="3">
                  <c:v>5.9846650867703302</c:v>
                </c:pt>
                <c:pt idx="4">
                  <c:v>5.6367960990125514</c:v>
                </c:pt>
              </c:numCache>
            </c:numRef>
          </c:val>
          <c:smooth val="0"/>
        </c:ser>
        <c:ser>
          <c:idx val="8"/>
          <c:order val="8"/>
          <c:tx>
            <c:strRef>
              <c:f>Sheet1!$A$10</c:f>
              <c:strCache>
                <c:ptCount val="1"/>
                <c:pt idx="0">
                  <c:v>Montana</c:v>
                </c:pt>
              </c:strCache>
            </c:strRef>
          </c:tx>
          <c:marker>
            <c:symbol val="none"/>
          </c:marker>
          <c:cat>
            <c:strRef>
              <c:f>Sheet1!$B$1:$F$1</c:f>
              <c:strCache>
                <c:ptCount val="5"/>
                <c:pt idx="0">
                  <c:v>2008</c:v>
                </c:pt>
                <c:pt idx="1">
                  <c:v>2009</c:v>
                </c:pt>
                <c:pt idx="2">
                  <c:v>2010</c:v>
                </c:pt>
                <c:pt idx="3">
                  <c:v>2011</c:v>
                </c:pt>
                <c:pt idx="4">
                  <c:v>2012</c:v>
                </c:pt>
              </c:strCache>
            </c:strRef>
          </c:cat>
          <c:val>
            <c:numRef>
              <c:f>Sheet1!$B$10:$F$10</c:f>
              <c:numCache>
                <c:formatCode>General</c:formatCode>
                <c:ptCount val="5"/>
                <c:pt idx="0">
                  <c:v>2.4007965949470935</c:v>
                </c:pt>
                <c:pt idx="1">
                  <c:v>2.3376354096140739</c:v>
                </c:pt>
                <c:pt idx="2">
                  <c:v>2.3764705882352937</c:v>
                </c:pt>
                <c:pt idx="3">
                  <c:v>1.9933883844064653</c:v>
                </c:pt>
                <c:pt idx="4">
                  <c:v>2.07259398710708</c:v>
                </c:pt>
              </c:numCache>
            </c:numRef>
          </c:val>
          <c:smooth val="0"/>
        </c:ser>
        <c:ser>
          <c:idx val="9"/>
          <c:order val="9"/>
          <c:tx>
            <c:strRef>
              <c:f>Sheet1!$A$11</c:f>
              <c:strCache>
                <c:ptCount val="1"/>
                <c:pt idx="0">
                  <c:v>Pleven</c:v>
                </c:pt>
              </c:strCache>
            </c:strRef>
          </c:tx>
          <c:marker>
            <c:symbol val="none"/>
          </c:marker>
          <c:cat>
            <c:strRef>
              <c:f>Sheet1!$B$1:$F$1</c:f>
              <c:strCache>
                <c:ptCount val="5"/>
                <c:pt idx="0">
                  <c:v>2008</c:v>
                </c:pt>
                <c:pt idx="1">
                  <c:v>2009</c:v>
                </c:pt>
                <c:pt idx="2">
                  <c:v>2010</c:v>
                </c:pt>
                <c:pt idx="3">
                  <c:v>2011</c:v>
                </c:pt>
                <c:pt idx="4">
                  <c:v>2012</c:v>
                </c:pt>
              </c:strCache>
            </c:strRef>
          </c:cat>
          <c:val>
            <c:numRef>
              <c:f>Sheet1!$B$11:$F$11</c:f>
              <c:numCache>
                <c:formatCode>General</c:formatCode>
                <c:ptCount val="5"/>
                <c:pt idx="0">
                  <c:v>1.698727392130065</c:v>
                </c:pt>
                <c:pt idx="1">
                  <c:v>1.5405377065682433</c:v>
                </c:pt>
                <c:pt idx="2">
                  <c:v>1.624296477850399</c:v>
                </c:pt>
                <c:pt idx="3">
                  <c:v>1.7127555077412444</c:v>
                </c:pt>
                <c:pt idx="4">
                  <c:v>1.8168602691711411</c:v>
                </c:pt>
              </c:numCache>
            </c:numRef>
          </c:val>
          <c:smooth val="0"/>
        </c:ser>
        <c:ser>
          <c:idx val="10"/>
          <c:order val="10"/>
          <c:tx>
            <c:strRef>
              <c:f>Sheet1!$A$12</c:f>
              <c:strCache>
                <c:ptCount val="1"/>
                <c:pt idx="0">
                  <c:v>Ruse</c:v>
                </c:pt>
              </c:strCache>
            </c:strRef>
          </c:tx>
          <c:marker>
            <c:symbol val="none"/>
          </c:marker>
          <c:cat>
            <c:strRef>
              <c:f>Sheet1!$B$1:$F$1</c:f>
              <c:strCache>
                <c:ptCount val="5"/>
                <c:pt idx="0">
                  <c:v>2008</c:v>
                </c:pt>
                <c:pt idx="1">
                  <c:v>2009</c:v>
                </c:pt>
                <c:pt idx="2">
                  <c:v>2010</c:v>
                </c:pt>
                <c:pt idx="3">
                  <c:v>2011</c:v>
                </c:pt>
                <c:pt idx="4">
                  <c:v>2012</c:v>
                </c:pt>
              </c:strCache>
            </c:strRef>
          </c:cat>
          <c:val>
            <c:numRef>
              <c:f>Sheet1!$B$12:$F$12</c:f>
              <c:numCache>
                <c:formatCode>General</c:formatCode>
                <c:ptCount val="5"/>
                <c:pt idx="0">
                  <c:v>1.5469780029144398</c:v>
                </c:pt>
                <c:pt idx="1">
                  <c:v>1.436346640272737</c:v>
                </c:pt>
                <c:pt idx="2">
                  <c:v>1.4320556658138273</c:v>
                </c:pt>
                <c:pt idx="3">
                  <c:v>1.5053838216160473</c:v>
                </c:pt>
                <c:pt idx="4">
                  <c:v>1.682775782918958</c:v>
                </c:pt>
              </c:numCache>
            </c:numRef>
          </c:val>
          <c:smooth val="0"/>
        </c:ser>
        <c:ser>
          <c:idx val="11"/>
          <c:order val="11"/>
          <c:tx>
            <c:strRef>
              <c:f>Sheet1!$A$13</c:f>
              <c:strCache>
                <c:ptCount val="1"/>
                <c:pt idx="0">
                  <c:v>Silistra</c:v>
                </c:pt>
              </c:strCache>
            </c:strRef>
          </c:tx>
          <c:spPr>
            <a:ln>
              <a:solidFill>
                <a:srgbClr val="FF0000"/>
              </a:solidFill>
            </a:ln>
          </c:spPr>
          <c:marker>
            <c:symbol val="none"/>
          </c:marker>
          <c:cat>
            <c:strRef>
              <c:f>Sheet1!$B$1:$F$1</c:f>
              <c:strCache>
                <c:ptCount val="5"/>
                <c:pt idx="0">
                  <c:v>2008</c:v>
                </c:pt>
                <c:pt idx="1">
                  <c:v>2009</c:v>
                </c:pt>
                <c:pt idx="2">
                  <c:v>2010</c:v>
                </c:pt>
                <c:pt idx="3">
                  <c:v>2011</c:v>
                </c:pt>
                <c:pt idx="4">
                  <c:v>2012</c:v>
                </c:pt>
              </c:strCache>
            </c:strRef>
          </c:cat>
          <c:val>
            <c:numRef>
              <c:f>Sheet1!$B$13:$F$13</c:f>
              <c:numCache>
                <c:formatCode>General</c:formatCode>
                <c:ptCount val="5"/>
                <c:pt idx="0">
                  <c:v>1.3845769902670331</c:v>
                </c:pt>
                <c:pt idx="1">
                  <c:v>1.5464424563211401</c:v>
                </c:pt>
                <c:pt idx="2">
                  <c:v>1.5894863936101038</c:v>
                </c:pt>
                <c:pt idx="3">
                  <c:v>1.4958352517684455</c:v>
                </c:pt>
                <c:pt idx="4">
                  <c:v>1.5480913026367571</c:v>
                </c:pt>
              </c:numCache>
            </c:numRef>
          </c:val>
          <c:smooth val="0"/>
        </c:ser>
        <c:ser>
          <c:idx val="12"/>
          <c:order val="12"/>
          <c:tx>
            <c:strRef>
              <c:f>Sheet1!$A$14</c:f>
              <c:strCache>
                <c:ptCount val="1"/>
                <c:pt idx="0">
                  <c:v>Veliko Turnovo</c:v>
                </c:pt>
              </c:strCache>
            </c:strRef>
          </c:tx>
          <c:marker>
            <c:symbol val="none"/>
          </c:marker>
          <c:cat>
            <c:strRef>
              <c:f>Sheet1!$B$1:$F$1</c:f>
              <c:strCache>
                <c:ptCount val="5"/>
                <c:pt idx="0">
                  <c:v>2008</c:v>
                </c:pt>
                <c:pt idx="1">
                  <c:v>2009</c:v>
                </c:pt>
                <c:pt idx="2">
                  <c:v>2010</c:v>
                </c:pt>
                <c:pt idx="3">
                  <c:v>2011</c:v>
                </c:pt>
                <c:pt idx="4">
                  <c:v>2012</c:v>
                </c:pt>
              </c:strCache>
            </c:strRef>
          </c:cat>
          <c:val>
            <c:numRef>
              <c:f>Sheet1!$B$14:$F$14</c:f>
              <c:numCache>
                <c:formatCode>General</c:formatCode>
                <c:ptCount val="5"/>
                <c:pt idx="0">
                  <c:v>1.633470051361638</c:v>
                </c:pt>
                <c:pt idx="1">
                  <c:v>1.6618765553257859</c:v>
                </c:pt>
                <c:pt idx="2">
                  <c:v>1.5399381718887113</c:v>
                </c:pt>
                <c:pt idx="3">
                  <c:v>1.5309789960006319</c:v>
                </c:pt>
                <c:pt idx="4">
                  <c:v>1.547410035935014</c:v>
                </c:pt>
              </c:numCache>
            </c:numRef>
          </c:val>
          <c:smooth val="0"/>
        </c:ser>
        <c:ser>
          <c:idx val="13"/>
          <c:order val="13"/>
          <c:tx>
            <c:strRef>
              <c:f>Sheet1!$A$15</c:f>
              <c:strCache>
                <c:ptCount val="1"/>
                <c:pt idx="0">
                  <c:v>Vidin</c:v>
                </c:pt>
              </c:strCache>
            </c:strRef>
          </c:tx>
          <c:spPr>
            <a:ln>
              <a:solidFill>
                <a:schemeClr val="accent1"/>
              </a:solidFill>
            </a:ln>
          </c:spPr>
          <c:marker>
            <c:symbol val="none"/>
          </c:marker>
          <c:cat>
            <c:strRef>
              <c:f>Sheet1!$B$1:$F$1</c:f>
              <c:strCache>
                <c:ptCount val="5"/>
                <c:pt idx="0">
                  <c:v>2008</c:v>
                </c:pt>
                <c:pt idx="1">
                  <c:v>2009</c:v>
                </c:pt>
                <c:pt idx="2">
                  <c:v>2010</c:v>
                </c:pt>
                <c:pt idx="3">
                  <c:v>2011</c:v>
                </c:pt>
                <c:pt idx="4">
                  <c:v>2012</c:v>
                </c:pt>
              </c:strCache>
            </c:strRef>
          </c:cat>
          <c:val>
            <c:numRef>
              <c:f>Sheet1!$B$15:$F$15</c:f>
              <c:numCache>
                <c:formatCode>General</c:formatCode>
                <c:ptCount val="5"/>
                <c:pt idx="0">
                  <c:v>1.425931145560698</c:v>
                </c:pt>
                <c:pt idx="1">
                  <c:v>1.6740428763765729</c:v>
                </c:pt>
                <c:pt idx="2">
                  <c:v>1.6408510638297893</c:v>
                </c:pt>
                <c:pt idx="3">
                  <c:v>1.6308816947635401</c:v>
                </c:pt>
                <c:pt idx="4">
                  <c:v>1.6866485893214564</c:v>
                </c:pt>
              </c:numCache>
            </c:numRef>
          </c:val>
          <c:smooth val="0"/>
        </c:ser>
        <c:ser>
          <c:idx val="14"/>
          <c:order val="14"/>
          <c:tx>
            <c:strRef>
              <c:f>Sheet1!$A$16</c:f>
              <c:strCache>
                <c:ptCount val="1"/>
                <c:pt idx="0">
                  <c:v>Vratsa</c:v>
                </c:pt>
              </c:strCache>
            </c:strRef>
          </c:tx>
          <c:marker>
            <c:symbol val="none"/>
          </c:marker>
          <c:cat>
            <c:strRef>
              <c:f>Sheet1!$B$1:$F$1</c:f>
              <c:strCache>
                <c:ptCount val="5"/>
                <c:pt idx="0">
                  <c:v>2008</c:v>
                </c:pt>
                <c:pt idx="1">
                  <c:v>2009</c:v>
                </c:pt>
                <c:pt idx="2">
                  <c:v>2010</c:v>
                </c:pt>
                <c:pt idx="3">
                  <c:v>2011</c:v>
                </c:pt>
                <c:pt idx="4">
                  <c:v>2012</c:v>
                </c:pt>
              </c:strCache>
            </c:strRef>
          </c:cat>
          <c:val>
            <c:numRef>
              <c:f>Sheet1!$B$16:$F$16</c:f>
              <c:numCache>
                <c:formatCode>General</c:formatCode>
                <c:ptCount val="5"/>
                <c:pt idx="0">
                  <c:v>2.1235214668685849</c:v>
                </c:pt>
                <c:pt idx="1">
                  <c:v>2.123674499902894</c:v>
                </c:pt>
                <c:pt idx="2">
                  <c:v>1.9547624460104569</c:v>
                </c:pt>
                <c:pt idx="3">
                  <c:v>2.1221926713947989</c:v>
                </c:pt>
                <c:pt idx="4">
                  <c:v>2.3223837673749812</c:v>
                </c:pt>
              </c:numCache>
            </c:numRef>
          </c:val>
          <c:smooth val="0"/>
        </c:ser>
        <c:dLbls>
          <c:showLegendKey val="0"/>
          <c:showVal val="0"/>
          <c:showCatName val="0"/>
          <c:showSerName val="0"/>
          <c:showPercent val="0"/>
          <c:showBubbleSize val="0"/>
        </c:dLbls>
        <c:marker val="1"/>
        <c:smooth val="0"/>
        <c:axId val="122240384"/>
        <c:axId val="122258560"/>
      </c:lineChart>
      <c:catAx>
        <c:axId val="122240384"/>
        <c:scaling>
          <c:orientation val="minMax"/>
        </c:scaling>
        <c:delete val="0"/>
        <c:axPos val="b"/>
        <c:numFmt formatCode="General" sourceLinked="1"/>
        <c:majorTickMark val="out"/>
        <c:minorTickMark val="none"/>
        <c:tickLblPos val="nextTo"/>
        <c:crossAx val="122258560"/>
        <c:crosses val="autoZero"/>
        <c:auto val="1"/>
        <c:lblAlgn val="ctr"/>
        <c:lblOffset val="100"/>
        <c:noMultiLvlLbl val="0"/>
      </c:catAx>
      <c:valAx>
        <c:axId val="122258560"/>
        <c:scaling>
          <c:orientation val="minMax"/>
        </c:scaling>
        <c:delete val="0"/>
        <c:axPos val="l"/>
        <c:majorGridlines/>
        <c:numFmt formatCode="General" sourceLinked="1"/>
        <c:majorTickMark val="out"/>
        <c:minorTickMark val="none"/>
        <c:tickLblPos val="nextTo"/>
        <c:crossAx val="122240384"/>
        <c:crosses val="autoZero"/>
        <c:crossBetween val="between"/>
      </c:valAx>
    </c:plotArea>
    <c:legend>
      <c:legendPos val="r"/>
      <c:overlay val="0"/>
    </c:legend>
    <c:plotVisOnly val="1"/>
    <c:dispBlanksAs val="gap"/>
    <c:showDLblsOverMax val="0"/>
  </c:chart>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99"/>
            </a:pPr>
            <a:r>
              <a:rPr lang="en-US" sz="1199"/>
              <a:t>Sesonality</a:t>
            </a:r>
            <a:r>
              <a:rPr lang="en-US" sz="1199" baseline="0"/>
              <a:t> by arrivals in the sea-side area of the cross-border region</a:t>
            </a:r>
            <a:endParaRPr lang="en-US" sz="1200"/>
          </a:p>
        </c:rich>
      </c:tx>
      <c:overlay val="0"/>
    </c:title>
    <c:autoTitleDeleted val="0"/>
    <c:plotArea>
      <c:layout/>
      <c:lineChart>
        <c:grouping val="standard"/>
        <c:varyColors val="0"/>
        <c:ser>
          <c:idx val="0"/>
          <c:order val="0"/>
          <c:tx>
            <c:strRef>
              <c:f>Sheet1!$A$2</c:f>
              <c:strCache>
                <c:ptCount val="1"/>
                <c:pt idx="0">
                  <c:v>Constanta</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Sheet1!$B$2:$M$2</c:f>
              <c:numCache>
                <c:formatCode>General</c:formatCode>
                <c:ptCount val="12"/>
                <c:pt idx="0">
                  <c:v>10639</c:v>
                </c:pt>
                <c:pt idx="1">
                  <c:v>10772</c:v>
                </c:pt>
                <c:pt idx="2">
                  <c:v>14027</c:v>
                </c:pt>
                <c:pt idx="3">
                  <c:v>28013</c:v>
                </c:pt>
                <c:pt idx="4">
                  <c:v>30320</c:v>
                </c:pt>
                <c:pt idx="5">
                  <c:v>127040</c:v>
                </c:pt>
                <c:pt idx="6">
                  <c:v>288076</c:v>
                </c:pt>
                <c:pt idx="7">
                  <c:v>320463</c:v>
                </c:pt>
                <c:pt idx="8">
                  <c:v>79084</c:v>
                </c:pt>
                <c:pt idx="9">
                  <c:v>18646</c:v>
                </c:pt>
                <c:pt idx="10">
                  <c:v>14345</c:v>
                </c:pt>
                <c:pt idx="11">
                  <c:v>11583</c:v>
                </c:pt>
              </c:numCache>
            </c:numRef>
          </c:val>
          <c:smooth val="0"/>
        </c:ser>
        <c:ser>
          <c:idx val="1"/>
          <c:order val="1"/>
          <c:tx>
            <c:strRef>
              <c:f>Sheet1!$A$3</c:f>
              <c:strCache>
                <c:ptCount val="1"/>
                <c:pt idx="0">
                  <c:v>Dobrich</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Sheet1!$B$3:$M$3</c:f>
              <c:numCache>
                <c:formatCode>General</c:formatCode>
                <c:ptCount val="12"/>
                <c:pt idx="0">
                  <c:v>1878</c:v>
                </c:pt>
                <c:pt idx="1">
                  <c:v>2241</c:v>
                </c:pt>
                <c:pt idx="2">
                  <c:v>2706</c:v>
                </c:pt>
                <c:pt idx="3">
                  <c:v>7669</c:v>
                </c:pt>
                <c:pt idx="4">
                  <c:v>16790</c:v>
                </c:pt>
                <c:pt idx="5">
                  <c:v>57480</c:v>
                </c:pt>
                <c:pt idx="6">
                  <c:v>99902</c:v>
                </c:pt>
                <c:pt idx="7">
                  <c:v>104958</c:v>
                </c:pt>
                <c:pt idx="8">
                  <c:v>40270</c:v>
                </c:pt>
                <c:pt idx="9">
                  <c:v>5639</c:v>
                </c:pt>
                <c:pt idx="10">
                  <c:v>2263</c:v>
                </c:pt>
                <c:pt idx="11">
                  <c:v>2322</c:v>
                </c:pt>
              </c:numCache>
            </c:numRef>
          </c:val>
          <c:smooth val="0"/>
        </c:ser>
        <c:dLbls>
          <c:showLegendKey val="0"/>
          <c:showVal val="0"/>
          <c:showCatName val="0"/>
          <c:showSerName val="0"/>
          <c:showPercent val="0"/>
          <c:showBubbleSize val="0"/>
        </c:dLbls>
        <c:marker val="1"/>
        <c:smooth val="0"/>
        <c:axId val="124032896"/>
        <c:axId val="124034432"/>
      </c:lineChart>
      <c:catAx>
        <c:axId val="124032896"/>
        <c:scaling>
          <c:orientation val="minMax"/>
        </c:scaling>
        <c:delete val="0"/>
        <c:axPos val="b"/>
        <c:numFmt formatCode="General" sourceLinked="1"/>
        <c:majorTickMark val="out"/>
        <c:minorTickMark val="none"/>
        <c:tickLblPos val="nextTo"/>
        <c:crossAx val="124034432"/>
        <c:crosses val="autoZero"/>
        <c:auto val="1"/>
        <c:lblAlgn val="ctr"/>
        <c:lblOffset val="100"/>
        <c:noMultiLvlLbl val="0"/>
      </c:catAx>
      <c:valAx>
        <c:axId val="124034432"/>
        <c:scaling>
          <c:orientation val="minMax"/>
        </c:scaling>
        <c:delete val="0"/>
        <c:axPos val="l"/>
        <c:majorGridlines/>
        <c:numFmt formatCode="General" sourceLinked="1"/>
        <c:majorTickMark val="out"/>
        <c:minorTickMark val="none"/>
        <c:tickLblPos val="nextTo"/>
        <c:crossAx val="124032896"/>
        <c:crosses val="autoZero"/>
        <c:crossBetween val="between"/>
      </c:valAx>
    </c:plotArea>
    <c:legend>
      <c:legendPos val="r"/>
      <c:overlay val="0"/>
    </c:legend>
    <c:plotVisOnly val="1"/>
    <c:dispBlanksAs val="gap"/>
    <c:showDLblsOverMax val="0"/>
  </c:chart>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99"/>
            </a:pPr>
            <a:r>
              <a:rPr lang="en-US" sz="1399"/>
              <a:t>Seasonality</a:t>
            </a:r>
            <a:r>
              <a:rPr lang="en-US" sz="1399" baseline="0"/>
              <a:t> by arrivals in the cross-border area 2012</a:t>
            </a:r>
            <a:endParaRPr lang="en-US" sz="1400"/>
          </a:p>
        </c:rich>
      </c:tx>
      <c:overlay val="0"/>
    </c:title>
    <c:autoTitleDeleted val="0"/>
    <c:plotArea>
      <c:layout/>
      <c:lineChart>
        <c:grouping val="standard"/>
        <c:varyColors val="0"/>
        <c:ser>
          <c:idx val="0"/>
          <c:order val="0"/>
          <c:tx>
            <c:strRef>
              <c:f>Sheet1!$A$2</c:f>
              <c:strCache>
                <c:ptCount val="1"/>
                <c:pt idx="0">
                  <c:v>Calarasi</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Sheet1!$B$2:$M$2</c:f>
              <c:numCache>
                <c:formatCode>General</c:formatCode>
                <c:ptCount val="12"/>
                <c:pt idx="0">
                  <c:v>415</c:v>
                </c:pt>
                <c:pt idx="1">
                  <c:v>508</c:v>
                </c:pt>
                <c:pt idx="2">
                  <c:v>913</c:v>
                </c:pt>
                <c:pt idx="3">
                  <c:v>696</c:v>
                </c:pt>
                <c:pt idx="4">
                  <c:v>1012</c:v>
                </c:pt>
                <c:pt idx="5">
                  <c:v>845</c:v>
                </c:pt>
                <c:pt idx="6">
                  <c:v>1126</c:v>
                </c:pt>
                <c:pt idx="7">
                  <c:v>1323</c:v>
                </c:pt>
                <c:pt idx="8">
                  <c:v>1229</c:v>
                </c:pt>
                <c:pt idx="9">
                  <c:v>1170</c:v>
                </c:pt>
                <c:pt idx="10">
                  <c:v>1157</c:v>
                </c:pt>
                <c:pt idx="11">
                  <c:v>1136</c:v>
                </c:pt>
              </c:numCache>
            </c:numRef>
          </c:val>
          <c:smooth val="0"/>
        </c:ser>
        <c:ser>
          <c:idx val="1"/>
          <c:order val="1"/>
          <c:tx>
            <c:strRef>
              <c:f>Sheet1!$A$3</c:f>
              <c:strCache>
                <c:ptCount val="1"/>
                <c:pt idx="0">
                  <c:v>Giurgiu</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Sheet1!$B$3:$M$3</c:f>
              <c:numCache>
                <c:formatCode>General</c:formatCode>
                <c:ptCount val="12"/>
                <c:pt idx="0">
                  <c:v>1373</c:v>
                </c:pt>
                <c:pt idx="1">
                  <c:v>1299</c:v>
                </c:pt>
                <c:pt idx="2">
                  <c:v>1619</c:v>
                </c:pt>
                <c:pt idx="3">
                  <c:v>2473</c:v>
                </c:pt>
                <c:pt idx="4">
                  <c:v>2791</c:v>
                </c:pt>
                <c:pt idx="5">
                  <c:v>2545</c:v>
                </c:pt>
                <c:pt idx="6">
                  <c:v>2681</c:v>
                </c:pt>
                <c:pt idx="7">
                  <c:v>3399</c:v>
                </c:pt>
                <c:pt idx="8">
                  <c:v>2932</c:v>
                </c:pt>
                <c:pt idx="9">
                  <c:v>2450</c:v>
                </c:pt>
                <c:pt idx="10">
                  <c:v>1651</c:v>
                </c:pt>
                <c:pt idx="11">
                  <c:v>1381</c:v>
                </c:pt>
              </c:numCache>
            </c:numRef>
          </c:val>
          <c:smooth val="0"/>
        </c:ser>
        <c:ser>
          <c:idx val="2"/>
          <c:order val="2"/>
          <c:tx>
            <c:strRef>
              <c:f>Sheet1!$A$4</c:f>
              <c:strCache>
                <c:ptCount val="1"/>
                <c:pt idx="0">
                  <c:v>Teleorman</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Sheet1!$B$4:$M$4</c:f>
              <c:numCache>
                <c:formatCode>General</c:formatCode>
                <c:ptCount val="12"/>
                <c:pt idx="0">
                  <c:v>1071</c:v>
                </c:pt>
                <c:pt idx="1">
                  <c:v>1560</c:v>
                </c:pt>
                <c:pt idx="2">
                  <c:v>1099</c:v>
                </c:pt>
                <c:pt idx="3">
                  <c:v>1160</c:v>
                </c:pt>
                <c:pt idx="4">
                  <c:v>1719</c:v>
                </c:pt>
                <c:pt idx="5">
                  <c:v>1173</c:v>
                </c:pt>
                <c:pt idx="6">
                  <c:v>919</c:v>
                </c:pt>
                <c:pt idx="7">
                  <c:v>1036</c:v>
                </c:pt>
                <c:pt idx="8">
                  <c:v>1161</c:v>
                </c:pt>
                <c:pt idx="9">
                  <c:v>1452</c:v>
                </c:pt>
                <c:pt idx="10">
                  <c:v>1194</c:v>
                </c:pt>
                <c:pt idx="11">
                  <c:v>757</c:v>
                </c:pt>
              </c:numCache>
            </c:numRef>
          </c:val>
          <c:smooth val="0"/>
        </c:ser>
        <c:ser>
          <c:idx val="3"/>
          <c:order val="3"/>
          <c:tx>
            <c:strRef>
              <c:f>Sheet1!$A$5</c:f>
              <c:strCache>
                <c:ptCount val="1"/>
                <c:pt idx="0">
                  <c:v>Dolj</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Sheet1!$B$5:$M$5</c:f>
              <c:numCache>
                <c:formatCode>General</c:formatCode>
                <c:ptCount val="12"/>
                <c:pt idx="0">
                  <c:v>5066</c:v>
                </c:pt>
                <c:pt idx="1">
                  <c:v>5088</c:v>
                </c:pt>
                <c:pt idx="2">
                  <c:v>6667</c:v>
                </c:pt>
                <c:pt idx="3">
                  <c:v>5753</c:v>
                </c:pt>
                <c:pt idx="4">
                  <c:v>7297</c:v>
                </c:pt>
                <c:pt idx="5">
                  <c:v>7252</c:v>
                </c:pt>
                <c:pt idx="6">
                  <c:v>7954</c:v>
                </c:pt>
                <c:pt idx="7">
                  <c:v>7556</c:v>
                </c:pt>
                <c:pt idx="8">
                  <c:v>7801</c:v>
                </c:pt>
                <c:pt idx="9">
                  <c:v>7742</c:v>
                </c:pt>
                <c:pt idx="10">
                  <c:v>7701</c:v>
                </c:pt>
                <c:pt idx="11">
                  <c:v>6821</c:v>
                </c:pt>
              </c:numCache>
            </c:numRef>
          </c:val>
          <c:smooth val="0"/>
        </c:ser>
        <c:ser>
          <c:idx val="4"/>
          <c:order val="4"/>
          <c:tx>
            <c:strRef>
              <c:f>Sheet1!$A$6</c:f>
              <c:strCache>
                <c:ptCount val="1"/>
                <c:pt idx="0">
                  <c:v>Mehedinti</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Sheet1!$B$6:$M$6</c:f>
              <c:numCache>
                <c:formatCode>General</c:formatCode>
                <c:ptCount val="12"/>
                <c:pt idx="0">
                  <c:v>2314</c:v>
                </c:pt>
                <c:pt idx="1">
                  <c:v>2458</c:v>
                </c:pt>
                <c:pt idx="2">
                  <c:v>3763</c:v>
                </c:pt>
                <c:pt idx="3">
                  <c:v>4143</c:v>
                </c:pt>
                <c:pt idx="4">
                  <c:v>5378</c:v>
                </c:pt>
                <c:pt idx="5">
                  <c:v>5899</c:v>
                </c:pt>
                <c:pt idx="6">
                  <c:v>5626</c:v>
                </c:pt>
                <c:pt idx="7">
                  <c:v>7368</c:v>
                </c:pt>
                <c:pt idx="8">
                  <c:v>5105</c:v>
                </c:pt>
                <c:pt idx="9">
                  <c:v>4668</c:v>
                </c:pt>
                <c:pt idx="10">
                  <c:v>4073</c:v>
                </c:pt>
                <c:pt idx="11">
                  <c:v>2690</c:v>
                </c:pt>
              </c:numCache>
            </c:numRef>
          </c:val>
          <c:smooth val="0"/>
        </c:ser>
        <c:ser>
          <c:idx val="5"/>
          <c:order val="5"/>
          <c:tx>
            <c:strRef>
              <c:f>Sheet1!$A$7</c:f>
              <c:strCache>
                <c:ptCount val="1"/>
                <c:pt idx="0">
                  <c:v>Olt</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Sheet1!$B$7:$M$7</c:f>
              <c:numCache>
                <c:formatCode>General</c:formatCode>
                <c:ptCount val="12"/>
                <c:pt idx="0">
                  <c:v>1762</c:v>
                </c:pt>
                <c:pt idx="1">
                  <c:v>1508</c:v>
                </c:pt>
                <c:pt idx="2">
                  <c:v>1832</c:v>
                </c:pt>
                <c:pt idx="3">
                  <c:v>3561</c:v>
                </c:pt>
                <c:pt idx="4">
                  <c:v>3552</c:v>
                </c:pt>
                <c:pt idx="5">
                  <c:v>4562</c:v>
                </c:pt>
                <c:pt idx="6">
                  <c:v>4360</c:v>
                </c:pt>
                <c:pt idx="7">
                  <c:v>3259</c:v>
                </c:pt>
                <c:pt idx="8">
                  <c:v>3101</c:v>
                </c:pt>
                <c:pt idx="9">
                  <c:v>3120</c:v>
                </c:pt>
                <c:pt idx="10">
                  <c:v>3680</c:v>
                </c:pt>
                <c:pt idx="11">
                  <c:v>2086</c:v>
                </c:pt>
              </c:numCache>
            </c:numRef>
          </c:val>
          <c:smooth val="0"/>
        </c:ser>
        <c:ser>
          <c:idx val="6"/>
          <c:order val="6"/>
          <c:tx>
            <c:strRef>
              <c:f>Sheet1!$A$8</c:f>
              <c:strCache>
                <c:ptCount val="1"/>
                <c:pt idx="0">
                  <c:v>Montana</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Sheet1!$B$8:$M$8</c:f>
              <c:numCache>
                <c:formatCode>General</c:formatCode>
                <c:ptCount val="12"/>
                <c:pt idx="0">
                  <c:v>1427</c:v>
                </c:pt>
                <c:pt idx="1">
                  <c:v>1472</c:v>
                </c:pt>
                <c:pt idx="2">
                  <c:v>2117</c:v>
                </c:pt>
                <c:pt idx="3">
                  <c:v>2491</c:v>
                </c:pt>
                <c:pt idx="4">
                  <c:v>3486</c:v>
                </c:pt>
                <c:pt idx="5">
                  <c:v>3596</c:v>
                </c:pt>
                <c:pt idx="6">
                  <c:v>3617</c:v>
                </c:pt>
                <c:pt idx="7">
                  <c:v>3680</c:v>
                </c:pt>
                <c:pt idx="8">
                  <c:v>3261</c:v>
                </c:pt>
                <c:pt idx="9">
                  <c:v>3249</c:v>
                </c:pt>
                <c:pt idx="10">
                  <c:v>2951</c:v>
                </c:pt>
                <c:pt idx="11">
                  <c:v>3621</c:v>
                </c:pt>
              </c:numCache>
            </c:numRef>
          </c:val>
          <c:smooth val="0"/>
        </c:ser>
        <c:ser>
          <c:idx val="7"/>
          <c:order val="7"/>
          <c:tx>
            <c:strRef>
              <c:f>Sheet1!$A$9</c:f>
              <c:strCache>
                <c:ptCount val="1"/>
                <c:pt idx="0">
                  <c:v>Pleven</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Sheet1!$B$9:$M$9</c:f>
              <c:numCache>
                <c:formatCode>General</c:formatCode>
                <c:ptCount val="12"/>
                <c:pt idx="0">
                  <c:v>2507</c:v>
                </c:pt>
                <c:pt idx="1">
                  <c:v>2525</c:v>
                </c:pt>
                <c:pt idx="2">
                  <c:v>3873</c:v>
                </c:pt>
                <c:pt idx="3">
                  <c:v>3309</c:v>
                </c:pt>
                <c:pt idx="4">
                  <c:v>4147</c:v>
                </c:pt>
                <c:pt idx="5">
                  <c:v>4645</c:v>
                </c:pt>
                <c:pt idx="6">
                  <c:v>3891</c:v>
                </c:pt>
                <c:pt idx="7">
                  <c:v>3347</c:v>
                </c:pt>
                <c:pt idx="8">
                  <c:v>3945</c:v>
                </c:pt>
                <c:pt idx="9">
                  <c:v>4752</c:v>
                </c:pt>
                <c:pt idx="10">
                  <c:v>4403</c:v>
                </c:pt>
                <c:pt idx="11">
                  <c:v>3163</c:v>
                </c:pt>
              </c:numCache>
            </c:numRef>
          </c:val>
          <c:smooth val="0"/>
        </c:ser>
        <c:ser>
          <c:idx val="8"/>
          <c:order val="8"/>
          <c:tx>
            <c:strRef>
              <c:f>Sheet1!$A$10</c:f>
              <c:strCache>
                <c:ptCount val="1"/>
                <c:pt idx="0">
                  <c:v>Ruse</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Sheet1!$B$10:$M$10</c:f>
              <c:numCache>
                <c:formatCode>General</c:formatCode>
                <c:ptCount val="12"/>
                <c:pt idx="0">
                  <c:v>6398</c:v>
                </c:pt>
                <c:pt idx="1">
                  <c:v>5117</c:v>
                </c:pt>
                <c:pt idx="2">
                  <c:v>7939</c:v>
                </c:pt>
                <c:pt idx="3">
                  <c:v>8215</c:v>
                </c:pt>
                <c:pt idx="4">
                  <c:v>8222</c:v>
                </c:pt>
                <c:pt idx="5">
                  <c:v>8745</c:v>
                </c:pt>
                <c:pt idx="6">
                  <c:v>6945</c:v>
                </c:pt>
                <c:pt idx="7">
                  <c:v>7475</c:v>
                </c:pt>
                <c:pt idx="8">
                  <c:v>7373</c:v>
                </c:pt>
                <c:pt idx="9">
                  <c:v>8396</c:v>
                </c:pt>
                <c:pt idx="10">
                  <c:v>7728</c:v>
                </c:pt>
                <c:pt idx="11">
                  <c:v>5451</c:v>
                </c:pt>
              </c:numCache>
            </c:numRef>
          </c:val>
          <c:smooth val="0"/>
        </c:ser>
        <c:ser>
          <c:idx val="9"/>
          <c:order val="9"/>
          <c:tx>
            <c:strRef>
              <c:f>Sheet1!$A$11</c:f>
              <c:strCache>
                <c:ptCount val="1"/>
                <c:pt idx="0">
                  <c:v>Silistra</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Sheet1!$B$11:$M$11</c:f>
              <c:numCache>
                <c:formatCode>General</c:formatCode>
                <c:ptCount val="12"/>
                <c:pt idx="0">
                  <c:v>1426</c:v>
                </c:pt>
                <c:pt idx="1">
                  <c:v>1420</c:v>
                </c:pt>
                <c:pt idx="2">
                  <c:v>1990</c:v>
                </c:pt>
                <c:pt idx="3">
                  <c:v>2041</c:v>
                </c:pt>
                <c:pt idx="4">
                  <c:v>2795</c:v>
                </c:pt>
                <c:pt idx="5">
                  <c:v>2952</c:v>
                </c:pt>
                <c:pt idx="6">
                  <c:v>2369</c:v>
                </c:pt>
                <c:pt idx="7">
                  <c:v>2406</c:v>
                </c:pt>
                <c:pt idx="8">
                  <c:v>2253</c:v>
                </c:pt>
                <c:pt idx="9">
                  <c:v>2329</c:v>
                </c:pt>
                <c:pt idx="10">
                  <c:v>2061</c:v>
                </c:pt>
                <c:pt idx="11">
                  <c:v>1368</c:v>
                </c:pt>
              </c:numCache>
            </c:numRef>
          </c:val>
          <c:smooth val="0"/>
        </c:ser>
        <c:ser>
          <c:idx val="10"/>
          <c:order val="10"/>
          <c:tx>
            <c:strRef>
              <c:f>Sheet1!$A$12</c:f>
              <c:strCache>
                <c:ptCount val="1"/>
                <c:pt idx="0">
                  <c:v>Veliko Turnovo</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Sheet1!$B$12:$M$12</c:f>
              <c:numCache>
                <c:formatCode>General</c:formatCode>
                <c:ptCount val="12"/>
                <c:pt idx="0">
                  <c:v>8075</c:v>
                </c:pt>
                <c:pt idx="1">
                  <c:v>8431</c:v>
                </c:pt>
                <c:pt idx="2">
                  <c:v>12102</c:v>
                </c:pt>
                <c:pt idx="3">
                  <c:v>16928</c:v>
                </c:pt>
                <c:pt idx="4">
                  <c:v>17139</c:v>
                </c:pt>
                <c:pt idx="5">
                  <c:v>21384</c:v>
                </c:pt>
                <c:pt idx="6">
                  <c:v>17132</c:v>
                </c:pt>
                <c:pt idx="7">
                  <c:v>17642</c:v>
                </c:pt>
                <c:pt idx="8">
                  <c:v>17767</c:v>
                </c:pt>
                <c:pt idx="9">
                  <c:v>15115</c:v>
                </c:pt>
                <c:pt idx="10">
                  <c:v>13670</c:v>
                </c:pt>
                <c:pt idx="11">
                  <c:v>12436</c:v>
                </c:pt>
              </c:numCache>
            </c:numRef>
          </c:val>
          <c:smooth val="0"/>
        </c:ser>
        <c:ser>
          <c:idx val="11"/>
          <c:order val="11"/>
          <c:tx>
            <c:strRef>
              <c:f>Sheet1!$A$13</c:f>
              <c:strCache>
                <c:ptCount val="1"/>
                <c:pt idx="0">
                  <c:v>Vidin </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Sheet1!$B$13:$M$13</c:f>
              <c:numCache>
                <c:formatCode>General</c:formatCode>
                <c:ptCount val="12"/>
                <c:pt idx="0">
                  <c:v>1754</c:v>
                </c:pt>
                <c:pt idx="1">
                  <c:v>1115</c:v>
                </c:pt>
                <c:pt idx="2">
                  <c:v>1902</c:v>
                </c:pt>
                <c:pt idx="3">
                  <c:v>2772</c:v>
                </c:pt>
                <c:pt idx="4">
                  <c:v>2686</c:v>
                </c:pt>
                <c:pt idx="5">
                  <c:v>2425</c:v>
                </c:pt>
                <c:pt idx="6">
                  <c:v>1958</c:v>
                </c:pt>
                <c:pt idx="7">
                  <c:v>2044</c:v>
                </c:pt>
                <c:pt idx="8">
                  <c:v>2573</c:v>
                </c:pt>
                <c:pt idx="9">
                  <c:v>2669</c:v>
                </c:pt>
                <c:pt idx="10">
                  <c:v>2379</c:v>
                </c:pt>
                <c:pt idx="11">
                  <c:v>1748</c:v>
                </c:pt>
              </c:numCache>
            </c:numRef>
          </c:val>
          <c:smooth val="0"/>
        </c:ser>
        <c:ser>
          <c:idx val="12"/>
          <c:order val="12"/>
          <c:tx>
            <c:strRef>
              <c:f>Sheet1!$A$14</c:f>
              <c:strCache>
                <c:ptCount val="1"/>
                <c:pt idx="0">
                  <c:v>Vratsa</c:v>
                </c:pt>
              </c:strCache>
            </c:strRef>
          </c:tx>
          <c:cat>
            <c:strRef>
              <c:f>Sheet1!$B$1:$M$1</c:f>
              <c:strCache>
                <c:ptCount val="12"/>
                <c:pt idx="0">
                  <c:v>Jan-12</c:v>
                </c:pt>
                <c:pt idx="1">
                  <c:v>Feb-12</c:v>
                </c:pt>
                <c:pt idx="2">
                  <c:v>Mar-12</c:v>
                </c:pt>
                <c:pt idx="3">
                  <c:v>Apr-12</c:v>
                </c:pt>
                <c:pt idx="4">
                  <c:v>May-12</c:v>
                </c:pt>
                <c:pt idx="5">
                  <c:v>Jun-12</c:v>
                </c:pt>
                <c:pt idx="6">
                  <c:v>Jul-12</c:v>
                </c:pt>
                <c:pt idx="7">
                  <c:v>Aug-12</c:v>
                </c:pt>
                <c:pt idx="8">
                  <c:v>Sep-12</c:v>
                </c:pt>
                <c:pt idx="9">
                  <c:v>Oct-12</c:v>
                </c:pt>
                <c:pt idx="10">
                  <c:v>Nov-12</c:v>
                </c:pt>
                <c:pt idx="11">
                  <c:v>Dec-12</c:v>
                </c:pt>
              </c:strCache>
            </c:strRef>
          </c:cat>
          <c:val>
            <c:numRef>
              <c:f>Sheet1!$B$14:$M$14</c:f>
              <c:numCache>
                <c:formatCode>General</c:formatCode>
                <c:ptCount val="12"/>
                <c:pt idx="0">
                  <c:v>2111</c:v>
                </c:pt>
                <c:pt idx="1">
                  <c:v>2307</c:v>
                </c:pt>
                <c:pt idx="2">
                  <c:v>2999</c:v>
                </c:pt>
                <c:pt idx="3">
                  <c:v>2875</c:v>
                </c:pt>
                <c:pt idx="4">
                  <c:v>2468</c:v>
                </c:pt>
                <c:pt idx="5">
                  <c:v>3234</c:v>
                </c:pt>
                <c:pt idx="6">
                  <c:v>2890</c:v>
                </c:pt>
                <c:pt idx="7">
                  <c:v>2782</c:v>
                </c:pt>
                <c:pt idx="8">
                  <c:v>2485</c:v>
                </c:pt>
                <c:pt idx="9">
                  <c:v>2601</c:v>
                </c:pt>
                <c:pt idx="10">
                  <c:v>2400</c:v>
                </c:pt>
                <c:pt idx="11">
                  <c:v>2143</c:v>
                </c:pt>
              </c:numCache>
            </c:numRef>
          </c:val>
          <c:smooth val="0"/>
        </c:ser>
        <c:dLbls>
          <c:showLegendKey val="0"/>
          <c:showVal val="0"/>
          <c:showCatName val="0"/>
          <c:showSerName val="0"/>
          <c:showPercent val="0"/>
          <c:showBubbleSize val="0"/>
        </c:dLbls>
        <c:marker val="1"/>
        <c:smooth val="0"/>
        <c:axId val="123954304"/>
        <c:axId val="123955840"/>
      </c:lineChart>
      <c:catAx>
        <c:axId val="123954304"/>
        <c:scaling>
          <c:orientation val="minMax"/>
        </c:scaling>
        <c:delete val="0"/>
        <c:axPos val="b"/>
        <c:numFmt formatCode="General" sourceLinked="1"/>
        <c:majorTickMark val="out"/>
        <c:minorTickMark val="none"/>
        <c:tickLblPos val="nextTo"/>
        <c:crossAx val="123955840"/>
        <c:crosses val="autoZero"/>
        <c:auto val="1"/>
        <c:lblAlgn val="ctr"/>
        <c:lblOffset val="100"/>
        <c:noMultiLvlLbl val="0"/>
      </c:catAx>
      <c:valAx>
        <c:axId val="123955840"/>
        <c:scaling>
          <c:orientation val="minMax"/>
        </c:scaling>
        <c:delete val="0"/>
        <c:axPos val="l"/>
        <c:majorGridlines/>
        <c:numFmt formatCode="General" sourceLinked="1"/>
        <c:majorTickMark val="out"/>
        <c:minorTickMark val="none"/>
        <c:tickLblPos val="nextTo"/>
        <c:crossAx val="123954304"/>
        <c:crosses val="autoZero"/>
        <c:crossBetween val="between"/>
      </c:valAx>
    </c:plotArea>
    <c:legend>
      <c:legendPos val="r"/>
      <c:overlay val="0"/>
    </c:legend>
    <c:plotVisOnly val="1"/>
    <c:dispBlanksAs val="gap"/>
    <c:showDLblsOverMax val="0"/>
  </c:chart>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199"/>
          </a:pPr>
          <a:endParaRPr lang="bg-BG"/>
        </a:p>
      </c:txPr>
    </c:title>
    <c:autoTitleDeleted val="0"/>
    <c:plotArea>
      <c:layout/>
      <c:barChart>
        <c:barDir val="col"/>
        <c:grouping val="clustered"/>
        <c:varyColors val="0"/>
        <c:ser>
          <c:idx val="0"/>
          <c:order val="0"/>
          <c:tx>
            <c:strRef>
              <c:f>Sheet1!$B$1</c:f>
              <c:strCache>
                <c:ptCount val="1"/>
                <c:pt idx="0">
                  <c:v>Weight of population over 65 years old - %</c:v>
                </c:pt>
              </c:strCache>
            </c:strRef>
          </c:tx>
          <c:invertIfNegative val="0"/>
          <c:cat>
            <c:strRef>
              <c:f>Sheet1!$A$2:$A$16</c:f>
              <c:strCache>
                <c:ptCount val="15"/>
                <c:pt idx="0">
                  <c:v>Calarasi</c:v>
                </c:pt>
                <c:pt idx="1">
                  <c:v>Constanta</c:v>
                </c:pt>
                <c:pt idx="2">
                  <c:v>Dolj</c:v>
                </c:pt>
                <c:pt idx="3">
                  <c:v>Giurgiu</c:v>
                </c:pt>
                <c:pt idx="4">
                  <c:v>Mehedinti</c:v>
                </c:pt>
                <c:pt idx="5">
                  <c:v>Olt</c:v>
                </c:pt>
                <c:pt idx="6">
                  <c:v>Teleorman</c:v>
                </c:pt>
                <c:pt idx="7">
                  <c:v>Dobrich</c:v>
                </c:pt>
                <c:pt idx="8">
                  <c:v>Silistra</c:v>
                </c:pt>
                <c:pt idx="9">
                  <c:v>Ruse</c:v>
                </c:pt>
                <c:pt idx="10">
                  <c:v>Veliko Turnovo</c:v>
                </c:pt>
                <c:pt idx="11">
                  <c:v>Pleven</c:v>
                </c:pt>
                <c:pt idx="12">
                  <c:v>Vratsa</c:v>
                </c:pt>
                <c:pt idx="13">
                  <c:v>Montana</c:v>
                </c:pt>
                <c:pt idx="14">
                  <c:v>Vidin</c:v>
                </c:pt>
              </c:strCache>
            </c:strRef>
          </c:cat>
          <c:val>
            <c:numRef>
              <c:f>Sheet1!$B$2:$B$16</c:f>
              <c:numCache>
                <c:formatCode>General</c:formatCode>
                <c:ptCount val="15"/>
                <c:pt idx="0">
                  <c:v>17.100000000000001</c:v>
                </c:pt>
                <c:pt idx="1">
                  <c:v>12.5</c:v>
                </c:pt>
                <c:pt idx="2">
                  <c:v>16.8</c:v>
                </c:pt>
                <c:pt idx="3">
                  <c:v>18.7</c:v>
                </c:pt>
                <c:pt idx="4">
                  <c:v>16.399999999999999</c:v>
                </c:pt>
                <c:pt idx="5">
                  <c:v>17.100000000000001</c:v>
                </c:pt>
                <c:pt idx="6">
                  <c:v>21.7</c:v>
                </c:pt>
                <c:pt idx="7">
                  <c:v>17</c:v>
                </c:pt>
                <c:pt idx="8">
                  <c:v>18.7</c:v>
                </c:pt>
                <c:pt idx="9">
                  <c:v>18.899999999999999</c:v>
                </c:pt>
                <c:pt idx="10">
                  <c:v>19.100000000000001</c:v>
                </c:pt>
                <c:pt idx="11">
                  <c:v>21</c:v>
                </c:pt>
                <c:pt idx="12">
                  <c:v>19.899999999999999</c:v>
                </c:pt>
                <c:pt idx="13">
                  <c:v>22.8</c:v>
                </c:pt>
                <c:pt idx="14">
                  <c:v>24.1</c:v>
                </c:pt>
              </c:numCache>
            </c:numRef>
          </c:val>
        </c:ser>
        <c:dLbls>
          <c:showLegendKey val="0"/>
          <c:showVal val="0"/>
          <c:showCatName val="0"/>
          <c:showSerName val="0"/>
          <c:showPercent val="0"/>
          <c:showBubbleSize val="0"/>
        </c:dLbls>
        <c:gapWidth val="150"/>
        <c:axId val="123881344"/>
        <c:axId val="123882880"/>
      </c:barChart>
      <c:catAx>
        <c:axId val="123881344"/>
        <c:scaling>
          <c:orientation val="minMax"/>
        </c:scaling>
        <c:delete val="0"/>
        <c:axPos val="b"/>
        <c:numFmt formatCode="General" sourceLinked="1"/>
        <c:majorTickMark val="out"/>
        <c:minorTickMark val="none"/>
        <c:tickLblPos val="nextTo"/>
        <c:crossAx val="123882880"/>
        <c:crosses val="autoZero"/>
        <c:auto val="1"/>
        <c:lblAlgn val="ctr"/>
        <c:lblOffset val="100"/>
        <c:noMultiLvlLbl val="0"/>
      </c:catAx>
      <c:valAx>
        <c:axId val="123882880"/>
        <c:scaling>
          <c:orientation val="minMax"/>
        </c:scaling>
        <c:delete val="0"/>
        <c:axPos val="l"/>
        <c:majorGridlines/>
        <c:numFmt formatCode="General" sourceLinked="1"/>
        <c:majorTickMark val="out"/>
        <c:minorTickMark val="none"/>
        <c:tickLblPos val="nextTo"/>
        <c:crossAx val="123881344"/>
        <c:crosses val="autoZero"/>
        <c:crossBetween val="between"/>
      </c:valAx>
    </c:plotArea>
    <c:legend>
      <c:legendPos val="r"/>
      <c:overlay val="0"/>
    </c:legend>
    <c:plotVisOnly val="1"/>
    <c:dispBlanksAs val="gap"/>
    <c:showDLblsOverMax val="0"/>
  </c:chart>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1106290672451198E-2"/>
          <c:y val="0.17514124293785299"/>
          <c:w val="0.89154013015184397"/>
          <c:h val="0.581920903954802"/>
        </c:manualLayout>
      </c:layout>
      <c:lineChart>
        <c:grouping val="standard"/>
        <c:varyColors val="0"/>
        <c:ser>
          <c:idx val="0"/>
          <c:order val="0"/>
          <c:tx>
            <c:strRef>
              <c:f>Sheet1!$B$1</c:f>
              <c:strCache>
                <c:ptCount val="1"/>
                <c:pt idx="0">
                  <c:v>RO cross-border</c:v>
                </c:pt>
              </c:strCache>
            </c:strRef>
          </c:tx>
          <c:spPr>
            <a:ln w="12693">
              <a:solidFill>
                <a:srgbClr val="008000"/>
              </a:solidFill>
              <a:prstDash val="solid"/>
            </a:ln>
          </c:spPr>
          <c:marker>
            <c:symbol val="square"/>
            <c:size val="2"/>
            <c:spPr>
              <a:solidFill>
                <a:srgbClr val="FFFFFF"/>
              </a:solidFill>
              <a:ln>
                <a:solidFill>
                  <a:srgbClr val="008000"/>
                </a:solidFill>
                <a:prstDash val="solid"/>
              </a:ln>
            </c:spPr>
          </c:marker>
          <c:cat>
            <c:numRef>
              <c:f>Sheet1!$A$2:$A$5</c:f>
              <c:numCache>
                <c:formatCode>General</c:formatCode>
                <c:ptCount val="4"/>
                <c:pt idx="0">
                  <c:v>2007</c:v>
                </c:pt>
                <c:pt idx="1">
                  <c:v>2008</c:v>
                </c:pt>
                <c:pt idx="2">
                  <c:v>2009</c:v>
                </c:pt>
                <c:pt idx="3">
                  <c:v>2010</c:v>
                </c:pt>
              </c:numCache>
            </c:numRef>
          </c:cat>
          <c:val>
            <c:numRef>
              <c:f>Sheet1!$B$2:$B$5</c:f>
              <c:numCache>
                <c:formatCode>General</c:formatCode>
                <c:ptCount val="4"/>
                <c:pt idx="0">
                  <c:v>13.4</c:v>
                </c:pt>
                <c:pt idx="1">
                  <c:v>13.7</c:v>
                </c:pt>
                <c:pt idx="2">
                  <c:v>13.9</c:v>
                </c:pt>
                <c:pt idx="3">
                  <c:v>14</c:v>
                </c:pt>
              </c:numCache>
            </c:numRef>
          </c:val>
          <c:smooth val="0"/>
        </c:ser>
        <c:ser>
          <c:idx val="1"/>
          <c:order val="1"/>
          <c:tx>
            <c:strRef>
              <c:f>Sheet1!$C$1</c:f>
              <c:strCache>
                <c:ptCount val="1"/>
                <c:pt idx="0">
                  <c:v>BG cross-border</c:v>
                </c:pt>
              </c:strCache>
            </c:strRef>
          </c:tx>
          <c:spPr>
            <a:ln w="25384">
              <a:solidFill>
                <a:srgbClr val="008000"/>
              </a:solidFill>
              <a:prstDash val="solid"/>
            </a:ln>
          </c:spPr>
          <c:marker>
            <c:symbol val="square"/>
            <c:size val="2"/>
            <c:spPr>
              <a:solidFill>
                <a:srgbClr val="008000"/>
              </a:solidFill>
              <a:ln>
                <a:solidFill>
                  <a:srgbClr val="003300"/>
                </a:solidFill>
                <a:prstDash val="solid"/>
              </a:ln>
              <a:effectLst>
                <a:outerShdw dist="35921" dir="2700000" algn="br">
                  <a:srgbClr val="000000"/>
                </a:outerShdw>
              </a:effectLst>
            </c:spPr>
          </c:marker>
          <c:cat>
            <c:numRef>
              <c:f>Sheet1!$A$2:$A$5</c:f>
              <c:numCache>
                <c:formatCode>General</c:formatCode>
                <c:ptCount val="4"/>
                <c:pt idx="0">
                  <c:v>2007</c:v>
                </c:pt>
                <c:pt idx="1">
                  <c:v>2008</c:v>
                </c:pt>
                <c:pt idx="2">
                  <c:v>2009</c:v>
                </c:pt>
                <c:pt idx="3">
                  <c:v>2010</c:v>
                </c:pt>
              </c:numCache>
            </c:numRef>
          </c:cat>
          <c:val>
            <c:numRef>
              <c:f>Sheet1!$C$2:$C$5</c:f>
              <c:numCache>
                <c:formatCode>General</c:formatCode>
                <c:ptCount val="4"/>
                <c:pt idx="0">
                  <c:v>17.100000000000001</c:v>
                </c:pt>
                <c:pt idx="1">
                  <c:v>16.8</c:v>
                </c:pt>
                <c:pt idx="2">
                  <c:v>16.7</c:v>
                </c:pt>
                <c:pt idx="3">
                  <c:v>17.3</c:v>
                </c:pt>
              </c:numCache>
            </c:numRef>
          </c:val>
          <c:smooth val="0"/>
        </c:ser>
        <c:dLbls>
          <c:showLegendKey val="0"/>
          <c:showVal val="0"/>
          <c:showCatName val="0"/>
          <c:showSerName val="0"/>
          <c:showPercent val="0"/>
          <c:showBubbleSize val="0"/>
        </c:dLbls>
        <c:marker val="1"/>
        <c:smooth val="0"/>
        <c:axId val="123798272"/>
        <c:axId val="123800192"/>
      </c:lineChart>
      <c:catAx>
        <c:axId val="123798272"/>
        <c:scaling>
          <c:orientation val="minMax"/>
        </c:scaling>
        <c:delete val="0"/>
        <c:axPos val="b"/>
        <c:numFmt formatCode="General" sourceLinked="1"/>
        <c:majorTickMark val="out"/>
        <c:minorTickMark val="none"/>
        <c:tickLblPos val="nextTo"/>
        <c:spPr>
          <a:ln w="3172">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bg-BG"/>
          </a:p>
        </c:txPr>
        <c:crossAx val="123800192"/>
        <c:crosses val="autoZero"/>
        <c:auto val="1"/>
        <c:lblAlgn val="ctr"/>
        <c:lblOffset val="100"/>
        <c:tickLblSkip val="1"/>
        <c:tickMarkSkip val="1"/>
        <c:noMultiLvlLbl val="0"/>
      </c:catAx>
      <c:valAx>
        <c:axId val="123800192"/>
        <c:scaling>
          <c:orientation val="minMax"/>
          <c:max val="18"/>
          <c:min val="7"/>
        </c:scaling>
        <c:delete val="0"/>
        <c:axPos val="l"/>
        <c:title>
          <c:tx>
            <c:rich>
              <a:bodyPr/>
              <a:lstStyle/>
              <a:p>
                <a:pPr>
                  <a:defRPr sz="800" b="1" i="0" u="none" strike="noStrike" baseline="0">
                    <a:solidFill>
                      <a:srgbClr val="000000"/>
                    </a:solidFill>
                    <a:latin typeface="Arial"/>
                    <a:ea typeface="Arial"/>
                    <a:cs typeface="Arial"/>
                  </a:defRPr>
                </a:pPr>
                <a:r>
                  <a:rPr lang="fr-FR"/>
                  <a:t>Deaths per 1000 inhabitants</a:t>
                </a:r>
              </a:p>
            </c:rich>
          </c:tx>
          <c:layout>
            <c:manualLayout>
              <c:xMode val="edge"/>
              <c:yMode val="edge"/>
              <c:x val="2.1691356377063161E-3"/>
              <c:y val="5.6497175141242903E-2"/>
            </c:manualLayout>
          </c:layout>
          <c:overlay val="0"/>
          <c:spPr>
            <a:noFill/>
            <a:ln w="25395">
              <a:noFill/>
            </a:ln>
          </c:spPr>
        </c:title>
        <c:numFmt formatCode="General" sourceLinked="1"/>
        <c:majorTickMark val="out"/>
        <c:minorTickMark val="none"/>
        <c:tickLblPos val="nextTo"/>
        <c:spPr>
          <a:ln w="3172">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bg-BG"/>
          </a:p>
        </c:txPr>
        <c:crossAx val="123798272"/>
        <c:crosses val="autoZero"/>
        <c:crossBetween val="between"/>
      </c:valAx>
      <c:spPr>
        <a:noFill/>
        <a:ln w="25396">
          <a:noFill/>
        </a:ln>
      </c:spPr>
    </c:plotArea>
    <c:legend>
      <c:legendPos val="b"/>
      <c:layout>
        <c:manualLayout>
          <c:xMode val="edge"/>
          <c:yMode val="edge"/>
          <c:x val="0.13449016613036427"/>
          <c:y val="0.86440677966101698"/>
          <c:w val="0.79826465194675456"/>
          <c:h val="0.11299435028248608"/>
        </c:manualLayout>
      </c:layout>
      <c:overlay val="0"/>
      <c:spPr>
        <a:noFill/>
        <a:ln w="25384">
          <a:noFill/>
        </a:ln>
      </c:spPr>
      <c:txPr>
        <a:bodyPr/>
        <a:lstStyle/>
        <a:p>
          <a:pPr>
            <a:defRPr sz="735" b="1" i="0" u="none" strike="noStrike" baseline="0">
              <a:solidFill>
                <a:srgbClr val="000000"/>
              </a:solidFill>
              <a:latin typeface="Arial"/>
              <a:ea typeface="Arial"/>
              <a:cs typeface="Arial"/>
            </a:defRPr>
          </a:pPr>
          <a:endParaRPr lang="bg-BG"/>
        </a:p>
      </c:txPr>
    </c:legend>
    <c:plotVisOnly val="1"/>
    <c:dispBlanksAs val="gap"/>
    <c:showDLblsOverMax val="0"/>
  </c:chart>
  <c:spPr>
    <a:solidFill>
      <a:srgbClr val="FFFFFF"/>
    </a:solidFill>
    <a:ln>
      <a:noFill/>
    </a:ln>
  </c:spPr>
  <c:txPr>
    <a:bodyPr/>
    <a:lstStyle/>
    <a:p>
      <a:pPr>
        <a:defRPr sz="800" b="1" i="0" u="none" strike="noStrike" baseline="0">
          <a:solidFill>
            <a:srgbClr val="000000"/>
          </a:solidFill>
          <a:latin typeface="Arial"/>
          <a:ea typeface="Arial"/>
          <a:cs typeface="Arial"/>
        </a:defRPr>
      </a:pPr>
      <a:endParaRPr lang="bg-BG"/>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Sheet1!$A$2</c:f>
              <c:strCache>
                <c:ptCount val="1"/>
                <c:pt idx="0">
                  <c:v>Romania</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Sheet1!$B$2:$N$2</c:f>
              <c:numCache>
                <c:formatCode>General</c:formatCode>
                <c:ptCount val="13"/>
                <c:pt idx="0">
                  <c:v>72.099999999999994</c:v>
                </c:pt>
                <c:pt idx="1">
                  <c:v>69</c:v>
                </c:pt>
                <c:pt idx="2">
                  <c:v>68.099999999999994</c:v>
                </c:pt>
                <c:pt idx="3">
                  <c:v>66.2</c:v>
                </c:pt>
                <c:pt idx="4">
                  <c:v>64.2</c:v>
                </c:pt>
                <c:pt idx="5">
                  <c:v>64.5</c:v>
                </c:pt>
                <c:pt idx="6">
                  <c:v>64.7</c:v>
                </c:pt>
                <c:pt idx="7">
                  <c:v>66</c:v>
                </c:pt>
                <c:pt idx="8">
                  <c:v>66.599999999999994</c:v>
                </c:pt>
                <c:pt idx="9">
                  <c:v>65.7</c:v>
                </c:pt>
                <c:pt idx="10">
                  <c:v>64.099999999999994</c:v>
                </c:pt>
                <c:pt idx="11">
                  <c:v>62.8</c:v>
                </c:pt>
                <c:pt idx="12">
                  <c:v>64.599999999999994</c:v>
                </c:pt>
              </c:numCache>
            </c:numRef>
          </c:val>
          <c:smooth val="0"/>
        </c:ser>
        <c:ser>
          <c:idx val="1"/>
          <c:order val="1"/>
          <c:tx>
            <c:strRef>
              <c:f>Sheet1!$A$3</c:f>
              <c:strCache>
                <c:ptCount val="1"/>
                <c:pt idx="0">
                  <c:v>Constanta</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Sheet1!$B$3:$N$3</c:f>
              <c:numCache>
                <c:formatCode>General</c:formatCode>
                <c:ptCount val="13"/>
                <c:pt idx="0">
                  <c:v>63.9</c:v>
                </c:pt>
                <c:pt idx="1">
                  <c:v>61.9</c:v>
                </c:pt>
                <c:pt idx="2">
                  <c:v>63.8</c:v>
                </c:pt>
                <c:pt idx="3">
                  <c:v>62.1</c:v>
                </c:pt>
                <c:pt idx="4">
                  <c:v>62.3</c:v>
                </c:pt>
                <c:pt idx="5">
                  <c:v>61.8</c:v>
                </c:pt>
                <c:pt idx="6">
                  <c:v>62.6</c:v>
                </c:pt>
                <c:pt idx="7">
                  <c:v>63.9</c:v>
                </c:pt>
                <c:pt idx="8">
                  <c:v>64.900000000000006</c:v>
                </c:pt>
                <c:pt idx="9">
                  <c:v>63.8</c:v>
                </c:pt>
                <c:pt idx="10">
                  <c:v>62.1</c:v>
                </c:pt>
                <c:pt idx="11">
                  <c:v>60.4</c:v>
                </c:pt>
                <c:pt idx="12">
                  <c:v>62.6</c:v>
                </c:pt>
              </c:numCache>
            </c:numRef>
          </c:val>
          <c:smooth val="0"/>
        </c:ser>
        <c:ser>
          <c:idx val="2"/>
          <c:order val="2"/>
          <c:tx>
            <c:strRef>
              <c:f>Sheet1!$A$4</c:f>
              <c:strCache>
                <c:ptCount val="1"/>
                <c:pt idx="0">
                  <c:v>Calarasi</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Sheet1!$B$4:$N$4</c:f>
              <c:numCache>
                <c:formatCode>General</c:formatCode>
                <c:ptCount val="13"/>
                <c:pt idx="0">
                  <c:v>68</c:v>
                </c:pt>
                <c:pt idx="1">
                  <c:v>63.5</c:v>
                </c:pt>
                <c:pt idx="2">
                  <c:v>60.3</c:v>
                </c:pt>
                <c:pt idx="3">
                  <c:v>57.8</c:v>
                </c:pt>
                <c:pt idx="4">
                  <c:v>57.4</c:v>
                </c:pt>
                <c:pt idx="5">
                  <c:v>57.6</c:v>
                </c:pt>
                <c:pt idx="6">
                  <c:v>56.5</c:v>
                </c:pt>
                <c:pt idx="7">
                  <c:v>55.7</c:v>
                </c:pt>
                <c:pt idx="8">
                  <c:v>55.8</c:v>
                </c:pt>
                <c:pt idx="9">
                  <c:v>55.1</c:v>
                </c:pt>
                <c:pt idx="10">
                  <c:v>55.9</c:v>
                </c:pt>
                <c:pt idx="11">
                  <c:v>54.1</c:v>
                </c:pt>
                <c:pt idx="12">
                  <c:v>55.7</c:v>
                </c:pt>
              </c:numCache>
            </c:numRef>
          </c:val>
          <c:smooth val="0"/>
        </c:ser>
        <c:ser>
          <c:idx val="3"/>
          <c:order val="3"/>
          <c:tx>
            <c:strRef>
              <c:f>Sheet1!$A$5</c:f>
              <c:strCache>
                <c:ptCount val="1"/>
                <c:pt idx="0">
                  <c:v>Giurgiu</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Sheet1!$B$5:$N$5</c:f>
              <c:numCache>
                <c:formatCode>General</c:formatCode>
                <c:ptCount val="13"/>
                <c:pt idx="0">
                  <c:v>68</c:v>
                </c:pt>
                <c:pt idx="1">
                  <c:v>64.7</c:v>
                </c:pt>
                <c:pt idx="2">
                  <c:v>59.1</c:v>
                </c:pt>
                <c:pt idx="3">
                  <c:v>57.9</c:v>
                </c:pt>
                <c:pt idx="4">
                  <c:v>55.3</c:v>
                </c:pt>
                <c:pt idx="5">
                  <c:v>54.7</c:v>
                </c:pt>
                <c:pt idx="6">
                  <c:v>53.4</c:v>
                </c:pt>
                <c:pt idx="7">
                  <c:v>54.1</c:v>
                </c:pt>
                <c:pt idx="8">
                  <c:v>54.3</c:v>
                </c:pt>
                <c:pt idx="9">
                  <c:v>54.2</c:v>
                </c:pt>
                <c:pt idx="10">
                  <c:v>53.3</c:v>
                </c:pt>
                <c:pt idx="11">
                  <c:v>52.9</c:v>
                </c:pt>
                <c:pt idx="12">
                  <c:v>53.8</c:v>
                </c:pt>
              </c:numCache>
            </c:numRef>
          </c:val>
          <c:smooth val="0"/>
        </c:ser>
        <c:ser>
          <c:idx val="4"/>
          <c:order val="4"/>
          <c:tx>
            <c:strRef>
              <c:f>Sheet1!$A$6</c:f>
              <c:strCache>
                <c:ptCount val="1"/>
                <c:pt idx="0">
                  <c:v>Teleorman</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Sheet1!$B$6:$N$6</c:f>
              <c:numCache>
                <c:formatCode>General</c:formatCode>
                <c:ptCount val="13"/>
                <c:pt idx="0">
                  <c:v>83.7</c:v>
                </c:pt>
                <c:pt idx="1">
                  <c:v>79.2</c:v>
                </c:pt>
                <c:pt idx="2">
                  <c:v>78</c:v>
                </c:pt>
                <c:pt idx="3">
                  <c:v>75.099999999999994</c:v>
                </c:pt>
                <c:pt idx="4">
                  <c:v>68.8</c:v>
                </c:pt>
                <c:pt idx="5">
                  <c:v>70</c:v>
                </c:pt>
                <c:pt idx="6">
                  <c:v>69.7</c:v>
                </c:pt>
                <c:pt idx="7">
                  <c:v>70.3</c:v>
                </c:pt>
                <c:pt idx="8">
                  <c:v>69.8</c:v>
                </c:pt>
                <c:pt idx="9">
                  <c:v>71.400000000000006</c:v>
                </c:pt>
                <c:pt idx="10">
                  <c:v>70.2</c:v>
                </c:pt>
                <c:pt idx="11">
                  <c:v>69.5</c:v>
                </c:pt>
                <c:pt idx="12">
                  <c:v>73.400000000000006</c:v>
                </c:pt>
              </c:numCache>
            </c:numRef>
          </c:val>
          <c:smooth val="0"/>
        </c:ser>
        <c:ser>
          <c:idx val="5"/>
          <c:order val="5"/>
          <c:tx>
            <c:strRef>
              <c:f>Sheet1!$A$7</c:f>
              <c:strCache>
                <c:ptCount val="1"/>
                <c:pt idx="0">
                  <c:v>Dolj</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Sheet1!$B$7:$N$7</c:f>
              <c:numCache>
                <c:formatCode>General</c:formatCode>
                <c:ptCount val="13"/>
                <c:pt idx="0">
                  <c:v>78.900000000000006</c:v>
                </c:pt>
                <c:pt idx="1">
                  <c:v>75.599999999999994</c:v>
                </c:pt>
                <c:pt idx="2">
                  <c:v>68</c:v>
                </c:pt>
                <c:pt idx="3">
                  <c:v>67.7</c:v>
                </c:pt>
                <c:pt idx="4">
                  <c:v>64.3</c:v>
                </c:pt>
                <c:pt idx="5">
                  <c:v>65.400000000000006</c:v>
                </c:pt>
                <c:pt idx="6">
                  <c:v>66.3</c:v>
                </c:pt>
                <c:pt idx="7">
                  <c:v>67</c:v>
                </c:pt>
                <c:pt idx="8">
                  <c:v>69.5</c:v>
                </c:pt>
                <c:pt idx="9">
                  <c:v>68.2</c:v>
                </c:pt>
                <c:pt idx="10">
                  <c:v>66.5</c:v>
                </c:pt>
                <c:pt idx="11">
                  <c:v>63.7</c:v>
                </c:pt>
                <c:pt idx="12">
                  <c:v>65.400000000000006</c:v>
                </c:pt>
              </c:numCache>
            </c:numRef>
          </c:val>
          <c:smooth val="0"/>
        </c:ser>
        <c:ser>
          <c:idx val="6"/>
          <c:order val="6"/>
          <c:tx>
            <c:strRef>
              <c:f>Sheet1!$A$8</c:f>
              <c:strCache>
                <c:ptCount val="1"/>
                <c:pt idx="0">
                  <c:v>Mehedinti</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Sheet1!$B$8:$N$8</c:f>
              <c:numCache>
                <c:formatCode>General</c:formatCode>
                <c:ptCount val="13"/>
                <c:pt idx="0">
                  <c:v>74.2</c:v>
                </c:pt>
                <c:pt idx="1">
                  <c:v>73.099999999999994</c:v>
                </c:pt>
                <c:pt idx="2">
                  <c:v>67.3</c:v>
                </c:pt>
                <c:pt idx="3">
                  <c:v>66.400000000000006</c:v>
                </c:pt>
                <c:pt idx="4">
                  <c:v>63.9</c:v>
                </c:pt>
                <c:pt idx="5">
                  <c:v>64.3</c:v>
                </c:pt>
                <c:pt idx="6">
                  <c:v>64.400000000000006</c:v>
                </c:pt>
                <c:pt idx="7">
                  <c:v>65.2</c:v>
                </c:pt>
                <c:pt idx="8">
                  <c:v>65.7</c:v>
                </c:pt>
                <c:pt idx="9">
                  <c:v>66.099999999999994</c:v>
                </c:pt>
                <c:pt idx="10">
                  <c:v>61.6</c:v>
                </c:pt>
                <c:pt idx="11">
                  <c:v>62.1</c:v>
                </c:pt>
                <c:pt idx="12">
                  <c:v>64</c:v>
                </c:pt>
              </c:numCache>
            </c:numRef>
          </c:val>
          <c:smooth val="0"/>
        </c:ser>
        <c:ser>
          <c:idx val="7"/>
          <c:order val="7"/>
          <c:tx>
            <c:strRef>
              <c:f>Sheet1!$A$9</c:f>
              <c:strCache>
                <c:ptCount val="1"/>
                <c:pt idx="0">
                  <c:v>Olt</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Sheet1!$B$9:$N$9</c:f>
              <c:numCache>
                <c:formatCode>General</c:formatCode>
                <c:ptCount val="13"/>
                <c:pt idx="0">
                  <c:v>72.599999999999994</c:v>
                </c:pt>
                <c:pt idx="1">
                  <c:v>69.400000000000006</c:v>
                </c:pt>
                <c:pt idx="2">
                  <c:v>65.900000000000006</c:v>
                </c:pt>
                <c:pt idx="3">
                  <c:v>65.400000000000006</c:v>
                </c:pt>
                <c:pt idx="4">
                  <c:v>61.5</c:v>
                </c:pt>
                <c:pt idx="5">
                  <c:v>62.6</c:v>
                </c:pt>
                <c:pt idx="6">
                  <c:v>61.6</c:v>
                </c:pt>
                <c:pt idx="7">
                  <c:v>62.5</c:v>
                </c:pt>
                <c:pt idx="8">
                  <c:v>61.6</c:v>
                </c:pt>
                <c:pt idx="9">
                  <c:v>60.5</c:v>
                </c:pt>
                <c:pt idx="10">
                  <c:v>59.6</c:v>
                </c:pt>
                <c:pt idx="11">
                  <c:v>58.8</c:v>
                </c:pt>
                <c:pt idx="12">
                  <c:v>61.6</c:v>
                </c:pt>
              </c:numCache>
            </c:numRef>
          </c:val>
          <c:smooth val="0"/>
        </c:ser>
        <c:ser>
          <c:idx val="8"/>
          <c:order val="8"/>
          <c:tx>
            <c:strRef>
              <c:f>Sheet1!$A$10</c:f>
              <c:strCache>
                <c:ptCount val="1"/>
                <c:pt idx="0">
                  <c:v>Vidin</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Sheet1!$B$10:$N$10</c:f>
              <c:numCache>
                <c:formatCode>General</c:formatCode>
                <c:ptCount val="13"/>
                <c:pt idx="8">
                  <c:v>44.9</c:v>
                </c:pt>
                <c:pt idx="9">
                  <c:v>41.8</c:v>
                </c:pt>
                <c:pt idx="10">
                  <c:v>40.200000000000003</c:v>
                </c:pt>
                <c:pt idx="11">
                  <c:v>44.7</c:v>
                </c:pt>
                <c:pt idx="12">
                  <c:v>44.8</c:v>
                </c:pt>
              </c:numCache>
            </c:numRef>
          </c:val>
          <c:smooth val="0"/>
        </c:ser>
        <c:ser>
          <c:idx val="9"/>
          <c:order val="9"/>
          <c:tx>
            <c:strRef>
              <c:f>Sheet1!$A$11</c:f>
              <c:strCache>
                <c:ptCount val="1"/>
                <c:pt idx="0">
                  <c:v>Vratsa</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Sheet1!$B$11:$N$11</c:f>
              <c:numCache>
                <c:formatCode>General</c:formatCode>
                <c:ptCount val="13"/>
                <c:pt idx="8">
                  <c:v>47.8</c:v>
                </c:pt>
                <c:pt idx="9">
                  <c:v>45.8</c:v>
                </c:pt>
                <c:pt idx="10">
                  <c:v>43.7</c:v>
                </c:pt>
                <c:pt idx="11">
                  <c:v>45.3</c:v>
                </c:pt>
                <c:pt idx="12">
                  <c:v>44</c:v>
                </c:pt>
              </c:numCache>
            </c:numRef>
          </c:val>
          <c:smooth val="0"/>
        </c:ser>
        <c:ser>
          <c:idx val="10"/>
          <c:order val="10"/>
          <c:tx>
            <c:strRef>
              <c:f>Sheet1!$A$12</c:f>
              <c:strCache>
                <c:ptCount val="1"/>
                <c:pt idx="0">
                  <c:v>Montana</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Sheet1!$B$12:$N$12</c:f>
              <c:numCache>
                <c:formatCode>General</c:formatCode>
                <c:ptCount val="13"/>
                <c:pt idx="8">
                  <c:v>47.7</c:v>
                </c:pt>
                <c:pt idx="9">
                  <c:v>47.7</c:v>
                </c:pt>
                <c:pt idx="10">
                  <c:v>46.2</c:v>
                </c:pt>
                <c:pt idx="11">
                  <c:v>45.5</c:v>
                </c:pt>
                <c:pt idx="12">
                  <c:v>46.1</c:v>
                </c:pt>
              </c:numCache>
            </c:numRef>
          </c:val>
          <c:smooth val="0"/>
        </c:ser>
        <c:ser>
          <c:idx val="11"/>
          <c:order val="11"/>
          <c:tx>
            <c:strRef>
              <c:f>Sheet1!$A$13</c:f>
              <c:strCache>
                <c:ptCount val="1"/>
                <c:pt idx="0">
                  <c:v>Pleven</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Sheet1!$B$13:$N$13</c:f>
              <c:numCache>
                <c:formatCode>General</c:formatCode>
                <c:ptCount val="13"/>
                <c:pt idx="8">
                  <c:v>48.2</c:v>
                </c:pt>
                <c:pt idx="9">
                  <c:v>47</c:v>
                </c:pt>
                <c:pt idx="10">
                  <c:v>45.6</c:v>
                </c:pt>
                <c:pt idx="11">
                  <c:v>46.2</c:v>
                </c:pt>
                <c:pt idx="12">
                  <c:v>45.9</c:v>
                </c:pt>
              </c:numCache>
            </c:numRef>
          </c:val>
          <c:smooth val="0"/>
        </c:ser>
        <c:ser>
          <c:idx val="12"/>
          <c:order val="12"/>
          <c:tx>
            <c:strRef>
              <c:f>Sheet1!$A$14</c:f>
              <c:strCache>
                <c:ptCount val="1"/>
                <c:pt idx="0">
                  <c:v>Veliko Tarnovo</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Sheet1!$B$14:$N$14</c:f>
              <c:numCache>
                <c:formatCode>General</c:formatCode>
                <c:ptCount val="13"/>
                <c:pt idx="8">
                  <c:v>48.3</c:v>
                </c:pt>
                <c:pt idx="9">
                  <c:v>46.8</c:v>
                </c:pt>
                <c:pt idx="10">
                  <c:v>44.8</c:v>
                </c:pt>
                <c:pt idx="11">
                  <c:v>48.2</c:v>
                </c:pt>
                <c:pt idx="12">
                  <c:v>49.8</c:v>
                </c:pt>
              </c:numCache>
            </c:numRef>
          </c:val>
          <c:smooth val="0"/>
        </c:ser>
        <c:ser>
          <c:idx val="13"/>
          <c:order val="13"/>
          <c:tx>
            <c:strRef>
              <c:f>Sheet1!$A$15</c:f>
              <c:strCache>
                <c:ptCount val="1"/>
                <c:pt idx="0">
                  <c:v>Ruse</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Sheet1!$B$15:$N$15</c:f>
              <c:numCache>
                <c:formatCode>General</c:formatCode>
                <c:ptCount val="13"/>
                <c:pt idx="8">
                  <c:v>52.1</c:v>
                </c:pt>
                <c:pt idx="9">
                  <c:v>53.4</c:v>
                </c:pt>
                <c:pt idx="10">
                  <c:v>51.3</c:v>
                </c:pt>
                <c:pt idx="11">
                  <c:v>51</c:v>
                </c:pt>
                <c:pt idx="12">
                  <c:v>51.1</c:v>
                </c:pt>
              </c:numCache>
            </c:numRef>
          </c:val>
          <c:smooth val="0"/>
        </c:ser>
        <c:ser>
          <c:idx val="14"/>
          <c:order val="14"/>
          <c:tx>
            <c:strRef>
              <c:f>Sheet1!$A$16</c:f>
              <c:strCache>
                <c:ptCount val="1"/>
                <c:pt idx="0">
                  <c:v>Silistra</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Sheet1!$B$16:$N$16</c:f>
              <c:numCache>
                <c:formatCode>General</c:formatCode>
                <c:ptCount val="13"/>
                <c:pt idx="8">
                  <c:v>50.1</c:v>
                </c:pt>
                <c:pt idx="9">
                  <c:v>47.2</c:v>
                </c:pt>
                <c:pt idx="10">
                  <c:v>44.4</c:v>
                </c:pt>
                <c:pt idx="11">
                  <c:v>44.9</c:v>
                </c:pt>
                <c:pt idx="12">
                  <c:v>47</c:v>
                </c:pt>
              </c:numCache>
            </c:numRef>
          </c:val>
          <c:smooth val="0"/>
        </c:ser>
        <c:ser>
          <c:idx val="15"/>
          <c:order val="15"/>
          <c:tx>
            <c:strRef>
              <c:f>Sheet1!$A$17</c:f>
              <c:strCache>
                <c:ptCount val="1"/>
                <c:pt idx="0">
                  <c:v>Dobrich</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Sheet1!$B$17:$N$17</c:f>
              <c:numCache>
                <c:formatCode>General</c:formatCode>
                <c:ptCount val="13"/>
                <c:pt idx="8">
                  <c:v>54.3</c:v>
                </c:pt>
                <c:pt idx="9">
                  <c:v>52.5</c:v>
                </c:pt>
                <c:pt idx="10">
                  <c:v>52.5</c:v>
                </c:pt>
                <c:pt idx="11">
                  <c:v>52.9</c:v>
                </c:pt>
                <c:pt idx="12">
                  <c:v>54.9</c:v>
                </c:pt>
              </c:numCache>
            </c:numRef>
          </c:val>
          <c:smooth val="0"/>
        </c:ser>
        <c:ser>
          <c:idx val="16"/>
          <c:order val="16"/>
          <c:tx>
            <c:strRef>
              <c:f>Sheet1!$A$18</c:f>
              <c:strCache>
                <c:ptCount val="1"/>
                <c:pt idx="0">
                  <c:v>Bulgaria</c:v>
                </c:pt>
              </c:strCache>
            </c:strRef>
          </c:tx>
          <c:cat>
            <c:strRef>
              <c:f>Sheet1!$B$1:$N$1</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Sheet1!$B$18:$N$18</c:f>
              <c:numCache>
                <c:formatCode>General</c:formatCode>
                <c:ptCount val="13"/>
                <c:pt idx="8">
                  <c:v>53.8</c:v>
                </c:pt>
                <c:pt idx="9">
                  <c:v>53</c:v>
                </c:pt>
                <c:pt idx="10">
                  <c:v>52</c:v>
                </c:pt>
                <c:pt idx="11">
                  <c:v>52.5</c:v>
                </c:pt>
                <c:pt idx="12">
                  <c:v>53.1</c:v>
                </c:pt>
              </c:numCache>
            </c:numRef>
          </c:val>
          <c:smooth val="0"/>
        </c:ser>
        <c:dLbls>
          <c:showLegendKey val="0"/>
          <c:showVal val="0"/>
          <c:showCatName val="0"/>
          <c:showSerName val="0"/>
          <c:showPercent val="0"/>
          <c:showBubbleSize val="0"/>
        </c:dLbls>
        <c:marker val="1"/>
        <c:smooth val="0"/>
        <c:axId val="124814464"/>
        <c:axId val="124816000"/>
      </c:lineChart>
      <c:catAx>
        <c:axId val="124814464"/>
        <c:scaling>
          <c:orientation val="minMax"/>
        </c:scaling>
        <c:delete val="0"/>
        <c:axPos val="b"/>
        <c:numFmt formatCode="General" sourceLinked="0"/>
        <c:majorTickMark val="out"/>
        <c:minorTickMark val="none"/>
        <c:tickLblPos val="nextTo"/>
        <c:crossAx val="124816000"/>
        <c:crosses val="autoZero"/>
        <c:auto val="1"/>
        <c:lblAlgn val="ctr"/>
        <c:lblOffset val="100"/>
        <c:noMultiLvlLbl val="0"/>
      </c:catAx>
      <c:valAx>
        <c:axId val="124816000"/>
        <c:scaling>
          <c:orientation val="minMax"/>
        </c:scaling>
        <c:delete val="0"/>
        <c:axPos val="l"/>
        <c:majorGridlines/>
        <c:numFmt formatCode="General" sourceLinked="1"/>
        <c:majorTickMark val="out"/>
        <c:minorTickMark val="none"/>
        <c:tickLblPos val="nextTo"/>
        <c:crossAx val="124814464"/>
        <c:crosses val="autoZero"/>
        <c:crossBetween val="between"/>
      </c:valAx>
    </c:plotArea>
    <c:legend>
      <c:legendPos val="r"/>
      <c:overlay val="0"/>
    </c:legend>
    <c:plotVisOnly val="1"/>
    <c:dispBlanksAs val="gap"/>
    <c:showDLblsOverMax val="0"/>
  </c:chart>
  <c:spPr>
    <a:ln w="3175"/>
  </c:sp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Average unemployment</a:t>
            </a:r>
            <a:r>
              <a:rPr lang="en-US" baseline="0"/>
              <a:t> rate - %</a:t>
            </a:r>
            <a:endParaRPr lang="en-US"/>
          </a:p>
        </c:rich>
      </c:tx>
      <c:overlay val="0"/>
    </c:title>
    <c:autoTitleDeleted val="0"/>
    <c:plotArea>
      <c:layout/>
      <c:lineChart>
        <c:grouping val="standard"/>
        <c:varyColors val="0"/>
        <c:ser>
          <c:idx val="0"/>
          <c:order val="0"/>
          <c:tx>
            <c:strRef>
              <c:f>Sheet1!$A$2</c:f>
              <c:strCache>
                <c:ptCount val="1"/>
                <c:pt idx="0">
                  <c:v>Romania</c:v>
                </c:pt>
              </c:strCache>
            </c:strRef>
          </c:tx>
          <c:spPr>
            <a:ln>
              <a:solidFill>
                <a:srgbClr val="FF0000"/>
              </a:solidFill>
            </a:ln>
          </c:spPr>
          <c:cat>
            <c:strRef>
              <c:f>Sheet1!$B$1:$F$1</c:f>
              <c:strCache>
                <c:ptCount val="5"/>
                <c:pt idx="0">
                  <c:v>2008</c:v>
                </c:pt>
                <c:pt idx="1">
                  <c:v>2009</c:v>
                </c:pt>
                <c:pt idx="2">
                  <c:v>2010</c:v>
                </c:pt>
                <c:pt idx="3">
                  <c:v>2011</c:v>
                </c:pt>
                <c:pt idx="4">
                  <c:v>2012</c:v>
                </c:pt>
              </c:strCache>
            </c:strRef>
          </c:cat>
          <c:val>
            <c:numRef>
              <c:f>Sheet1!$B$2:$F$2</c:f>
              <c:numCache>
                <c:formatCode>General</c:formatCode>
                <c:ptCount val="5"/>
                <c:pt idx="0">
                  <c:v>4.4000000000000004</c:v>
                </c:pt>
                <c:pt idx="1">
                  <c:v>7.8</c:v>
                </c:pt>
                <c:pt idx="2">
                  <c:v>7</c:v>
                </c:pt>
                <c:pt idx="3">
                  <c:v>5.2</c:v>
                </c:pt>
                <c:pt idx="4">
                  <c:v>5.4</c:v>
                </c:pt>
              </c:numCache>
            </c:numRef>
          </c:val>
          <c:smooth val="0"/>
        </c:ser>
        <c:ser>
          <c:idx val="1"/>
          <c:order val="1"/>
          <c:tx>
            <c:strRef>
              <c:f>Sheet1!$A$3</c:f>
              <c:strCache>
                <c:ptCount val="1"/>
                <c:pt idx="0">
                  <c:v>Constanta</c:v>
                </c:pt>
              </c:strCache>
            </c:strRef>
          </c:tx>
          <c:cat>
            <c:strRef>
              <c:f>Sheet1!$B$1:$F$1</c:f>
              <c:strCache>
                <c:ptCount val="5"/>
                <c:pt idx="0">
                  <c:v>2008</c:v>
                </c:pt>
                <c:pt idx="1">
                  <c:v>2009</c:v>
                </c:pt>
                <c:pt idx="2">
                  <c:v>2010</c:v>
                </c:pt>
                <c:pt idx="3">
                  <c:v>2011</c:v>
                </c:pt>
                <c:pt idx="4">
                  <c:v>2012</c:v>
                </c:pt>
              </c:strCache>
            </c:strRef>
          </c:cat>
          <c:val>
            <c:numRef>
              <c:f>Sheet1!$B$3:$F$3</c:f>
              <c:numCache>
                <c:formatCode>General</c:formatCode>
                <c:ptCount val="5"/>
                <c:pt idx="0">
                  <c:v>3</c:v>
                </c:pt>
                <c:pt idx="1">
                  <c:v>6.4</c:v>
                </c:pt>
                <c:pt idx="2">
                  <c:v>5.8</c:v>
                </c:pt>
                <c:pt idx="3">
                  <c:v>4.3</c:v>
                </c:pt>
                <c:pt idx="4">
                  <c:v>4.5</c:v>
                </c:pt>
              </c:numCache>
            </c:numRef>
          </c:val>
          <c:smooth val="0"/>
        </c:ser>
        <c:ser>
          <c:idx val="2"/>
          <c:order val="2"/>
          <c:tx>
            <c:strRef>
              <c:f>Sheet1!$A$4</c:f>
              <c:strCache>
                <c:ptCount val="1"/>
                <c:pt idx="0">
                  <c:v>Calarasi</c:v>
                </c:pt>
              </c:strCache>
            </c:strRef>
          </c:tx>
          <c:cat>
            <c:strRef>
              <c:f>Sheet1!$B$1:$F$1</c:f>
              <c:strCache>
                <c:ptCount val="5"/>
                <c:pt idx="0">
                  <c:v>2008</c:v>
                </c:pt>
                <c:pt idx="1">
                  <c:v>2009</c:v>
                </c:pt>
                <c:pt idx="2">
                  <c:v>2010</c:v>
                </c:pt>
                <c:pt idx="3">
                  <c:v>2011</c:v>
                </c:pt>
                <c:pt idx="4">
                  <c:v>2012</c:v>
                </c:pt>
              </c:strCache>
            </c:strRef>
          </c:cat>
          <c:val>
            <c:numRef>
              <c:f>Sheet1!$B$4:$F$4</c:f>
              <c:numCache>
                <c:formatCode>General</c:formatCode>
                <c:ptCount val="5"/>
                <c:pt idx="0">
                  <c:v>5.0999999999999996</c:v>
                </c:pt>
                <c:pt idx="1">
                  <c:v>9.2000000000000011</c:v>
                </c:pt>
                <c:pt idx="2">
                  <c:v>8.8000000000000007</c:v>
                </c:pt>
                <c:pt idx="3">
                  <c:v>6.3</c:v>
                </c:pt>
                <c:pt idx="4">
                  <c:v>7.2</c:v>
                </c:pt>
              </c:numCache>
            </c:numRef>
          </c:val>
          <c:smooth val="0"/>
        </c:ser>
        <c:ser>
          <c:idx val="3"/>
          <c:order val="3"/>
          <c:tx>
            <c:strRef>
              <c:f>Sheet1!$A$5</c:f>
              <c:strCache>
                <c:ptCount val="1"/>
                <c:pt idx="0">
                  <c:v>Giurgiu</c:v>
                </c:pt>
              </c:strCache>
            </c:strRef>
          </c:tx>
          <c:cat>
            <c:strRef>
              <c:f>Sheet1!$B$1:$F$1</c:f>
              <c:strCache>
                <c:ptCount val="5"/>
                <c:pt idx="0">
                  <c:v>2008</c:v>
                </c:pt>
                <c:pt idx="1">
                  <c:v>2009</c:v>
                </c:pt>
                <c:pt idx="2">
                  <c:v>2010</c:v>
                </c:pt>
                <c:pt idx="3">
                  <c:v>2011</c:v>
                </c:pt>
                <c:pt idx="4">
                  <c:v>2012</c:v>
                </c:pt>
              </c:strCache>
            </c:strRef>
          </c:cat>
          <c:val>
            <c:numRef>
              <c:f>Sheet1!$B$5:$F$5</c:f>
              <c:numCache>
                <c:formatCode>General</c:formatCode>
                <c:ptCount val="5"/>
                <c:pt idx="0">
                  <c:v>4.5</c:v>
                </c:pt>
                <c:pt idx="1">
                  <c:v>7.2</c:v>
                </c:pt>
                <c:pt idx="2">
                  <c:v>8.4</c:v>
                </c:pt>
                <c:pt idx="3">
                  <c:v>5.7</c:v>
                </c:pt>
                <c:pt idx="4">
                  <c:v>5.9</c:v>
                </c:pt>
              </c:numCache>
            </c:numRef>
          </c:val>
          <c:smooth val="0"/>
        </c:ser>
        <c:ser>
          <c:idx val="4"/>
          <c:order val="4"/>
          <c:tx>
            <c:strRef>
              <c:f>Sheet1!$A$6</c:f>
              <c:strCache>
                <c:ptCount val="1"/>
                <c:pt idx="0">
                  <c:v>Teleorman</c:v>
                </c:pt>
              </c:strCache>
            </c:strRef>
          </c:tx>
          <c:cat>
            <c:strRef>
              <c:f>Sheet1!$B$1:$F$1</c:f>
              <c:strCache>
                <c:ptCount val="5"/>
                <c:pt idx="0">
                  <c:v>2008</c:v>
                </c:pt>
                <c:pt idx="1">
                  <c:v>2009</c:v>
                </c:pt>
                <c:pt idx="2">
                  <c:v>2010</c:v>
                </c:pt>
                <c:pt idx="3">
                  <c:v>2011</c:v>
                </c:pt>
                <c:pt idx="4">
                  <c:v>2012</c:v>
                </c:pt>
              </c:strCache>
            </c:strRef>
          </c:cat>
          <c:val>
            <c:numRef>
              <c:f>Sheet1!$B$6:$F$6</c:f>
              <c:numCache>
                <c:formatCode>General</c:formatCode>
                <c:ptCount val="5"/>
                <c:pt idx="0">
                  <c:v>8.1</c:v>
                </c:pt>
                <c:pt idx="1">
                  <c:v>11.5</c:v>
                </c:pt>
                <c:pt idx="2">
                  <c:v>10.9</c:v>
                </c:pt>
                <c:pt idx="3">
                  <c:v>9.1</c:v>
                </c:pt>
                <c:pt idx="4">
                  <c:v>9.6</c:v>
                </c:pt>
              </c:numCache>
            </c:numRef>
          </c:val>
          <c:smooth val="0"/>
        </c:ser>
        <c:ser>
          <c:idx val="5"/>
          <c:order val="5"/>
          <c:tx>
            <c:strRef>
              <c:f>Sheet1!$A$7</c:f>
              <c:strCache>
                <c:ptCount val="1"/>
                <c:pt idx="0">
                  <c:v>Dolj</c:v>
                </c:pt>
              </c:strCache>
            </c:strRef>
          </c:tx>
          <c:cat>
            <c:strRef>
              <c:f>Sheet1!$B$1:$F$1</c:f>
              <c:strCache>
                <c:ptCount val="5"/>
                <c:pt idx="0">
                  <c:v>2008</c:v>
                </c:pt>
                <c:pt idx="1">
                  <c:v>2009</c:v>
                </c:pt>
                <c:pt idx="2">
                  <c:v>2010</c:v>
                </c:pt>
                <c:pt idx="3">
                  <c:v>2011</c:v>
                </c:pt>
                <c:pt idx="4">
                  <c:v>2012</c:v>
                </c:pt>
              </c:strCache>
            </c:strRef>
          </c:cat>
          <c:val>
            <c:numRef>
              <c:f>Sheet1!$B$7:$F$7</c:f>
              <c:numCache>
                <c:formatCode>General</c:formatCode>
                <c:ptCount val="5"/>
                <c:pt idx="0">
                  <c:v>8.1</c:v>
                </c:pt>
                <c:pt idx="1">
                  <c:v>11.3</c:v>
                </c:pt>
                <c:pt idx="2">
                  <c:v>9.8000000000000007</c:v>
                </c:pt>
                <c:pt idx="3">
                  <c:v>8.9</c:v>
                </c:pt>
                <c:pt idx="4">
                  <c:v>9.4</c:v>
                </c:pt>
              </c:numCache>
            </c:numRef>
          </c:val>
          <c:smooth val="0"/>
        </c:ser>
        <c:ser>
          <c:idx val="6"/>
          <c:order val="6"/>
          <c:tx>
            <c:strRef>
              <c:f>Sheet1!$A$8</c:f>
              <c:strCache>
                <c:ptCount val="1"/>
                <c:pt idx="0">
                  <c:v>Mehedinti</c:v>
                </c:pt>
              </c:strCache>
            </c:strRef>
          </c:tx>
          <c:cat>
            <c:strRef>
              <c:f>Sheet1!$B$1:$F$1</c:f>
              <c:strCache>
                <c:ptCount val="5"/>
                <c:pt idx="0">
                  <c:v>2008</c:v>
                </c:pt>
                <c:pt idx="1">
                  <c:v>2009</c:v>
                </c:pt>
                <c:pt idx="2">
                  <c:v>2010</c:v>
                </c:pt>
                <c:pt idx="3">
                  <c:v>2011</c:v>
                </c:pt>
                <c:pt idx="4">
                  <c:v>2012</c:v>
                </c:pt>
              </c:strCache>
            </c:strRef>
          </c:cat>
          <c:val>
            <c:numRef>
              <c:f>Sheet1!$B$8:$F$8</c:f>
              <c:numCache>
                <c:formatCode>General</c:formatCode>
                <c:ptCount val="5"/>
                <c:pt idx="0">
                  <c:v>9.3000000000000007</c:v>
                </c:pt>
                <c:pt idx="1">
                  <c:v>13.9</c:v>
                </c:pt>
                <c:pt idx="2">
                  <c:v>10.5</c:v>
                </c:pt>
                <c:pt idx="3">
                  <c:v>9.7000000000000011</c:v>
                </c:pt>
                <c:pt idx="4">
                  <c:v>9.5</c:v>
                </c:pt>
              </c:numCache>
            </c:numRef>
          </c:val>
          <c:smooth val="0"/>
        </c:ser>
        <c:ser>
          <c:idx val="7"/>
          <c:order val="7"/>
          <c:tx>
            <c:strRef>
              <c:f>Sheet1!$A$9</c:f>
              <c:strCache>
                <c:ptCount val="1"/>
                <c:pt idx="0">
                  <c:v>Olt</c:v>
                </c:pt>
              </c:strCache>
            </c:strRef>
          </c:tx>
          <c:cat>
            <c:strRef>
              <c:f>Sheet1!$B$1:$F$1</c:f>
              <c:strCache>
                <c:ptCount val="5"/>
                <c:pt idx="0">
                  <c:v>2008</c:v>
                </c:pt>
                <c:pt idx="1">
                  <c:v>2009</c:v>
                </c:pt>
                <c:pt idx="2">
                  <c:v>2010</c:v>
                </c:pt>
                <c:pt idx="3">
                  <c:v>2011</c:v>
                </c:pt>
                <c:pt idx="4">
                  <c:v>2012</c:v>
                </c:pt>
              </c:strCache>
            </c:strRef>
          </c:cat>
          <c:val>
            <c:numRef>
              <c:f>Sheet1!$B$9:$F$9</c:f>
              <c:numCache>
                <c:formatCode>General</c:formatCode>
                <c:ptCount val="5"/>
                <c:pt idx="0">
                  <c:v>5.3</c:v>
                </c:pt>
                <c:pt idx="1">
                  <c:v>8.9</c:v>
                </c:pt>
                <c:pt idx="2">
                  <c:v>8.2000000000000011</c:v>
                </c:pt>
                <c:pt idx="3">
                  <c:v>6.9</c:v>
                </c:pt>
                <c:pt idx="4">
                  <c:v>7.7</c:v>
                </c:pt>
              </c:numCache>
            </c:numRef>
          </c:val>
          <c:smooth val="0"/>
        </c:ser>
        <c:ser>
          <c:idx val="8"/>
          <c:order val="8"/>
          <c:tx>
            <c:strRef>
              <c:f>Sheet1!$A$10</c:f>
              <c:strCache>
                <c:ptCount val="1"/>
                <c:pt idx="0">
                  <c:v>Vidin</c:v>
                </c:pt>
              </c:strCache>
            </c:strRef>
          </c:tx>
          <c:cat>
            <c:strRef>
              <c:f>Sheet1!$B$1:$F$1</c:f>
              <c:strCache>
                <c:ptCount val="5"/>
                <c:pt idx="0">
                  <c:v>2008</c:v>
                </c:pt>
                <c:pt idx="1">
                  <c:v>2009</c:v>
                </c:pt>
                <c:pt idx="2">
                  <c:v>2010</c:v>
                </c:pt>
                <c:pt idx="3">
                  <c:v>2011</c:v>
                </c:pt>
                <c:pt idx="4">
                  <c:v>2012</c:v>
                </c:pt>
              </c:strCache>
            </c:strRef>
          </c:cat>
          <c:val>
            <c:numRef>
              <c:f>Sheet1!$B$10:$F$10</c:f>
              <c:numCache>
                <c:formatCode>0.0</c:formatCode>
                <c:ptCount val="5"/>
                <c:pt idx="0" formatCode="General">
                  <c:v>12.9</c:v>
                </c:pt>
                <c:pt idx="1">
                  <c:v>13</c:v>
                </c:pt>
                <c:pt idx="2">
                  <c:v>13.1</c:v>
                </c:pt>
                <c:pt idx="3">
                  <c:v>19.8</c:v>
                </c:pt>
                <c:pt idx="4">
                  <c:v>17.399999999999999</c:v>
                </c:pt>
              </c:numCache>
            </c:numRef>
          </c:val>
          <c:smooth val="0"/>
        </c:ser>
        <c:ser>
          <c:idx val="9"/>
          <c:order val="9"/>
          <c:tx>
            <c:strRef>
              <c:f>Sheet1!$A$11</c:f>
              <c:strCache>
                <c:ptCount val="1"/>
                <c:pt idx="0">
                  <c:v>Vratsa</c:v>
                </c:pt>
              </c:strCache>
            </c:strRef>
          </c:tx>
          <c:cat>
            <c:strRef>
              <c:f>Sheet1!$B$1:$F$1</c:f>
              <c:strCache>
                <c:ptCount val="5"/>
                <c:pt idx="0">
                  <c:v>2008</c:v>
                </c:pt>
                <c:pt idx="1">
                  <c:v>2009</c:v>
                </c:pt>
                <c:pt idx="2">
                  <c:v>2010</c:v>
                </c:pt>
                <c:pt idx="3">
                  <c:v>2011</c:v>
                </c:pt>
                <c:pt idx="4">
                  <c:v>2012</c:v>
                </c:pt>
              </c:strCache>
            </c:strRef>
          </c:cat>
          <c:val>
            <c:numRef>
              <c:f>Sheet1!$B$11:$F$11</c:f>
              <c:numCache>
                <c:formatCode>0.0</c:formatCode>
                <c:ptCount val="5"/>
                <c:pt idx="0">
                  <c:v>9</c:v>
                </c:pt>
                <c:pt idx="1">
                  <c:v>7.9</c:v>
                </c:pt>
                <c:pt idx="2">
                  <c:v>8.6</c:v>
                </c:pt>
                <c:pt idx="3">
                  <c:v>9.3000000000000007</c:v>
                </c:pt>
                <c:pt idx="4">
                  <c:v>9.4</c:v>
                </c:pt>
              </c:numCache>
            </c:numRef>
          </c:val>
          <c:smooth val="0"/>
        </c:ser>
        <c:ser>
          <c:idx val="10"/>
          <c:order val="10"/>
          <c:tx>
            <c:strRef>
              <c:f>Sheet1!$A$12</c:f>
              <c:strCache>
                <c:ptCount val="1"/>
                <c:pt idx="0">
                  <c:v>Montana</c:v>
                </c:pt>
              </c:strCache>
            </c:strRef>
          </c:tx>
          <c:cat>
            <c:strRef>
              <c:f>Sheet1!$B$1:$F$1</c:f>
              <c:strCache>
                <c:ptCount val="5"/>
                <c:pt idx="0">
                  <c:v>2008</c:v>
                </c:pt>
                <c:pt idx="1">
                  <c:v>2009</c:v>
                </c:pt>
                <c:pt idx="2">
                  <c:v>2010</c:v>
                </c:pt>
                <c:pt idx="3">
                  <c:v>2011</c:v>
                </c:pt>
                <c:pt idx="4">
                  <c:v>2012</c:v>
                </c:pt>
              </c:strCache>
            </c:strRef>
          </c:cat>
          <c:val>
            <c:numRef>
              <c:f>Sheet1!$B$12:$F$12</c:f>
              <c:numCache>
                <c:formatCode>0.0</c:formatCode>
                <c:ptCount val="5"/>
                <c:pt idx="0">
                  <c:v>8.5</c:v>
                </c:pt>
                <c:pt idx="1">
                  <c:v>10.1</c:v>
                </c:pt>
                <c:pt idx="2">
                  <c:v>12.2</c:v>
                </c:pt>
                <c:pt idx="3">
                  <c:v>14.1</c:v>
                </c:pt>
                <c:pt idx="4">
                  <c:v>14.9</c:v>
                </c:pt>
              </c:numCache>
            </c:numRef>
          </c:val>
          <c:smooth val="0"/>
        </c:ser>
        <c:ser>
          <c:idx val="11"/>
          <c:order val="11"/>
          <c:tx>
            <c:strRef>
              <c:f>Sheet1!$A$13</c:f>
              <c:strCache>
                <c:ptCount val="1"/>
                <c:pt idx="0">
                  <c:v>Pleven</c:v>
                </c:pt>
              </c:strCache>
            </c:strRef>
          </c:tx>
          <c:cat>
            <c:strRef>
              <c:f>Sheet1!$B$1:$F$1</c:f>
              <c:strCache>
                <c:ptCount val="5"/>
                <c:pt idx="0">
                  <c:v>2008</c:v>
                </c:pt>
                <c:pt idx="1">
                  <c:v>2009</c:v>
                </c:pt>
                <c:pt idx="2">
                  <c:v>2010</c:v>
                </c:pt>
                <c:pt idx="3">
                  <c:v>2011</c:v>
                </c:pt>
                <c:pt idx="4">
                  <c:v>2012</c:v>
                </c:pt>
              </c:strCache>
            </c:strRef>
          </c:cat>
          <c:val>
            <c:numRef>
              <c:f>Sheet1!$B$13:$F$13</c:f>
              <c:numCache>
                <c:formatCode>0.0</c:formatCode>
                <c:ptCount val="5"/>
                <c:pt idx="0">
                  <c:v>4.7</c:v>
                </c:pt>
                <c:pt idx="1">
                  <c:v>8.1</c:v>
                </c:pt>
                <c:pt idx="2">
                  <c:v>12.8</c:v>
                </c:pt>
                <c:pt idx="3">
                  <c:v>12</c:v>
                </c:pt>
                <c:pt idx="4">
                  <c:v>10.3</c:v>
                </c:pt>
              </c:numCache>
            </c:numRef>
          </c:val>
          <c:smooth val="0"/>
        </c:ser>
        <c:ser>
          <c:idx val="12"/>
          <c:order val="12"/>
          <c:tx>
            <c:strRef>
              <c:f>Sheet1!$A$14</c:f>
              <c:strCache>
                <c:ptCount val="1"/>
                <c:pt idx="0">
                  <c:v>Veliko Tarnovo</c:v>
                </c:pt>
              </c:strCache>
            </c:strRef>
          </c:tx>
          <c:cat>
            <c:strRef>
              <c:f>Sheet1!$B$1:$F$1</c:f>
              <c:strCache>
                <c:ptCount val="5"/>
                <c:pt idx="0">
                  <c:v>2008</c:v>
                </c:pt>
                <c:pt idx="1">
                  <c:v>2009</c:v>
                </c:pt>
                <c:pt idx="2">
                  <c:v>2010</c:v>
                </c:pt>
                <c:pt idx="3">
                  <c:v>2011</c:v>
                </c:pt>
                <c:pt idx="4">
                  <c:v>2012</c:v>
                </c:pt>
              </c:strCache>
            </c:strRef>
          </c:cat>
          <c:val>
            <c:numRef>
              <c:f>Sheet1!$B$14:$F$14</c:f>
              <c:numCache>
                <c:formatCode>0.0</c:formatCode>
                <c:ptCount val="5"/>
                <c:pt idx="0" formatCode="General">
                  <c:v>7.8</c:v>
                </c:pt>
                <c:pt idx="1">
                  <c:v>9</c:v>
                </c:pt>
                <c:pt idx="2">
                  <c:v>13.1</c:v>
                </c:pt>
                <c:pt idx="3">
                  <c:v>11.7</c:v>
                </c:pt>
                <c:pt idx="4">
                  <c:v>13.8</c:v>
                </c:pt>
              </c:numCache>
            </c:numRef>
          </c:val>
          <c:smooth val="0"/>
        </c:ser>
        <c:ser>
          <c:idx val="13"/>
          <c:order val="13"/>
          <c:tx>
            <c:strRef>
              <c:f>Sheet1!$A$15</c:f>
              <c:strCache>
                <c:ptCount val="1"/>
                <c:pt idx="0">
                  <c:v>Ruse</c:v>
                </c:pt>
              </c:strCache>
            </c:strRef>
          </c:tx>
          <c:cat>
            <c:strRef>
              <c:f>Sheet1!$B$1:$F$1</c:f>
              <c:strCache>
                <c:ptCount val="5"/>
                <c:pt idx="0">
                  <c:v>2008</c:v>
                </c:pt>
                <c:pt idx="1">
                  <c:v>2009</c:v>
                </c:pt>
                <c:pt idx="2">
                  <c:v>2010</c:v>
                </c:pt>
                <c:pt idx="3">
                  <c:v>2011</c:v>
                </c:pt>
                <c:pt idx="4">
                  <c:v>2012</c:v>
                </c:pt>
              </c:strCache>
            </c:strRef>
          </c:cat>
          <c:val>
            <c:numRef>
              <c:f>Sheet1!$B$15:$F$15</c:f>
              <c:numCache>
                <c:formatCode>0.0</c:formatCode>
                <c:ptCount val="5"/>
                <c:pt idx="0">
                  <c:v>8.3000000000000007</c:v>
                </c:pt>
                <c:pt idx="1">
                  <c:v>5.4</c:v>
                </c:pt>
                <c:pt idx="2">
                  <c:v>6.8</c:v>
                </c:pt>
                <c:pt idx="3">
                  <c:v>11.6</c:v>
                </c:pt>
                <c:pt idx="4">
                  <c:v>12.9</c:v>
                </c:pt>
              </c:numCache>
            </c:numRef>
          </c:val>
          <c:smooth val="0"/>
        </c:ser>
        <c:ser>
          <c:idx val="14"/>
          <c:order val="14"/>
          <c:tx>
            <c:strRef>
              <c:f>Sheet1!$A$16</c:f>
              <c:strCache>
                <c:ptCount val="1"/>
                <c:pt idx="0">
                  <c:v>Silistra</c:v>
                </c:pt>
              </c:strCache>
            </c:strRef>
          </c:tx>
          <c:cat>
            <c:strRef>
              <c:f>Sheet1!$B$1:$F$1</c:f>
              <c:strCache>
                <c:ptCount val="5"/>
                <c:pt idx="0">
                  <c:v>2008</c:v>
                </c:pt>
                <c:pt idx="1">
                  <c:v>2009</c:v>
                </c:pt>
                <c:pt idx="2">
                  <c:v>2010</c:v>
                </c:pt>
                <c:pt idx="3">
                  <c:v>2011</c:v>
                </c:pt>
                <c:pt idx="4">
                  <c:v>2012</c:v>
                </c:pt>
              </c:strCache>
            </c:strRef>
          </c:cat>
          <c:val>
            <c:numRef>
              <c:f>Sheet1!$B$16:$F$16</c:f>
              <c:numCache>
                <c:formatCode>0.0</c:formatCode>
                <c:ptCount val="5"/>
                <c:pt idx="0">
                  <c:v>11.6</c:v>
                </c:pt>
                <c:pt idx="1">
                  <c:v>7.6</c:v>
                </c:pt>
                <c:pt idx="2">
                  <c:v>11.4</c:v>
                </c:pt>
                <c:pt idx="3">
                  <c:v>12.5</c:v>
                </c:pt>
                <c:pt idx="4">
                  <c:v>16</c:v>
                </c:pt>
              </c:numCache>
            </c:numRef>
          </c:val>
          <c:smooth val="0"/>
        </c:ser>
        <c:ser>
          <c:idx val="15"/>
          <c:order val="15"/>
          <c:tx>
            <c:strRef>
              <c:f>Sheet1!$A$17</c:f>
              <c:strCache>
                <c:ptCount val="1"/>
                <c:pt idx="0">
                  <c:v>Dobrich</c:v>
                </c:pt>
              </c:strCache>
            </c:strRef>
          </c:tx>
          <c:cat>
            <c:strRef>
              <c:f>Sheet1!$B$1:$F$1</c:f>
              <c:strCache>
                <c:ptCount val="5"/>
                <c:pt idx="0">
                  <c:v>2008</c:v>
                </c:pt>
                <c:pt idx="1">
                  <c:v>2009</c:v>
                </c:pt>
                <c:pt idx="2">
                  <c:v>2010</c:v>
                </c:pt>
                <c:pt idx="3">
                  <c:v>2011</c:v>
                </c:pt>
                <c:pt idx="4">
                  <c:v>2012</c:v>
                </c:pt>
              </c:strCache>
            </c:strRef>
          </c:cat>
          <c:val>
            <c:numRef>
              <c:f>Sheet1!$B$17:$F$17</c:f>
              <c:numCache>
                <c:formatCode>0.0</c:formatCode>
                <c:ptCount val="5"/>
                <c:pt idx="0">
                  <c:v>9.7000000000000011</c:v>
                </c:pt>
                <c:pt idx="1">
                  <c:v>12.9</c:v>
                </c:pt>
                <c:pt idx="2">
                  <c:v>16.399999999999999</c:v>
                </c:pt>
                <c:pt idx="3">
                  <c:v>17.3</c:v>
                </c:pt>
                <c:pt idx="4">
                  <c:v>15.4</c:v>
                </c:pt>
              </c:numCache>
            </c:numRef>
          </c:val>
          <c:smooth val="0"/>
        </c:ser>
        <c:ser>
          <c:idx val="16"/>
          <c:order val="16"/>
          <c:tx>
            <c:strRef>
              <c:f>Sheet1!$A$18</c:f>
              <c:strCache>
                <c:ptCount val="1"/>
                <c:pt idx="0">
                  <c:v>Bulgaria</c:v>
                </c:pt>
              </c:strCache>
            </c:strRef>
          </c:tx>
          <c:cat>
            <c:strRef>
              <c:f>Sheet1!$B$1:$F$1</c:f>
              <c:strCache>
                <c:ptCount val="5"/>
                <c:pt idx="0">
                  <c:v>2008</c:v>
                </c:pt>
                <c:pt idx="1">
                  <c:v>2009</c:v>
                </c:pt>
                <c:pt idx="2">
                  <c:v>2010</c:v>
                </c:pt>
                <c:pt idx="3">
                  <c:v>2011</c:v>
                </c:pt>
                <c:pt idx="4">
                  <c:v>2012</c:v>
                </c:pt>
              </c:strCache>
            </c:strRef>
          </c:cat>
          <c:val>
            <c:numRef>
              <c:f>Sheet1!$B$18:$F$18</c:f>
              <c:numCache>
                <c:formatCode>0.0</c:formatCode>
                <c:ptCount val="5"/>
                <c:pt idx="0">
                  <c:v>5.6</c:v>
                </c:pt>
                <c:pt idx="1">
                  <c:v>6.8</c:v>
                </c:pt>
                <c:pt idx="2">
                  <c:v>10.200000000000001</c:v>
                </c:pt>
                <c:pt idx="3">
                  <c:v>11.2</c:v>
                </c:pt>
                <c:pt idx="4" formatCode="General">
                  <c:v>12.3</c:v>
                </c:pt>
              </c:numCache>
            </c:numRef>
          </c:val>
          <c:smooth val="0"/>
        </c:ser>
        <c:dLbls>
          <c:showLegendKey val="0"/>
          <c:showVal val="0"/>
          <c:showCatName val="0"/>
          <c:showSerName val="0"/>
          <c:showPercent val="0"/>
          <c:showBubbleSize val="0"/>
        </c:dLbls>
        <c:marker val="1"/>
        <c:smooth val="0"/>
        <c:axId val="124893824"/>
        <c:axId val="124903808"/>
      </c:lineChart>
      <c:catAx>
        <c:axId val="124893824"/>
        <c:scaling>
          <c:orientation val="minMax"/>
        </c:scaling>
        <c:delete val="0"/>
        <c:axPos val="b"/>
        <c:numFmt formatCode="General" sourceLinked="1"/>
        <c:majorTickMark val="out"/>
        <c:minorTickMark val="none"/>
        <c:tickLblPos val="nextTo"/>
        <c:crossAx val="124903808"/>
        <c:crosses val="autoZero"/>
        <c:auto val="1"/>
        <c:lblAlgn val="ctr"/>
        <c:lblOffset val="100"/>
        <c:noMultiLvlLbl val="0"/>
      </c:catAx>
      <c:valAx>
        <c:axId val="124903808"/>
        <c:scaling>
          <c:orientation val="minMax"/>
        </c:scaling>
        <c:delete val="0"/>
        <c:axPos val="l"/>
        <c:majorGridlines/>
        <c:numFmt formatCode="General" sourceLinked="1"/>
        <c:majorTickMark val="out"/>
        <c:minorTickMark val="none"/>
        <c:tickLblPos val="nextTo"/>
        <c:crossAx val="124893824"/>
        <c:crosses val="autoZero"/>
        <c:crossBetween val="between"/>
      </c:valAx>
    </c:plotArea>
    <c:legend>
      <c:legendPos val="r"/>
      <c:overlay val="0"/>
    </c:legend>
    <c:plotVisOnly val="1"/>
    <c:dispBlanksAs val="gap"/>
    <c:showDLblsOverMax val="0"/>
  </c:chart>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Sheet1!$A$2</c:f>
              <c:strCache>
                <c:ptCount val="1"/>
                <c:pt idx="0">
                  <c:v>ROMANIA</c:v>
                </c:pt>
              </c:strCache>
            </c:strRef>
          </c:tx>
          <c:cat>
            <c:strRef>
              <c:f>Sheet1!$B$1:$F$1</c:f>
              <c:strCache>
                <c:ptCount val="5"/>
                <c:pt idx="0">
                  <c:v>2008</c:v>
                </c:pt>
                <c:pt idx="1">
                  <c:v>2009</c:v>
                </c:pt>
                <c:pt idx="2">
                  <c:v>2010</c:v>
                </c:pt>
                <c:pt idx="3">
                  <c:v>2011</c:v>
                </c:pt>
                <c:pt idx="4">
                  <c:v>2012</c:v>
                </c:pt>
              </c:strCache>
            </c:strRef>
          </c:cat>
          <c:val>
            <c:numRef>
              <c:f>Sheet1!$B$2:$F$2</c:f>
              <c:numCache>
                <c:formatCode>0.0</c:formatCode>
                <c:ptCount val="5"/>
                <c:pt idx="0">
                  <c:v>355.70652173913027</c:v>
                </c:pt>
                <c:pt idx="1">
                  <c:v>321.74940898345238</c:v>
                </c:pt>
                <c:pt idx="2">
                  <c:v>331.19047619047632</c:v>
                </c:pt>
                <c:pt idx="3">
                  <c:v>341.37115839243421</c:v>
                </c:pt>
                <c:pt idx="4">
                  <c:v>338.65168539325947</c:v>
                </c:pt>
              </c:numCache>
            </c:numRef>
          </c:val>
          <c:smooth val="0"/>
        </c:ser>
        <c:ser>
          <c:idx val="1"/>
          <c:order val="1"/>
          <c:tx>
            <c:strRef>
              <c:f>Sheet1!$A$3</c:f>
              <c:strCache>
                <c:ptCount val="1"/>
                <c:pt idx="0">
                  <c:v>Constanta</c:v>
                </c:pt>
              </c:strCache>
            </c:strRef>
          </c:tx>
          <c:cat>
            <c:strRef>
              <c:f>Sheet1!$B$1:$F$1</c:f>
              <c:strCache>
                <c:ptCount val="5"/>
                <c:pt idx="0">
                  <c:v>2008</c:v>
                </c:pt>
                <c:pt idx="1">
                  <c:v>2009</c:v>
                </c:pt>
                <c:pt idx="2">
                  <c:v>2010</c:v>
                </c:pt>
                <c:pt idx="3">
                  <c:v>2011</c:v>
                </c:pt>
                <c:pt idx="4">
                  <c:v>2012</c:v>
                </c:pt>
              </c:strCache>
            </c:strRef>
          </c:cat>
          <c:val>
            <c:numRef>
              <c:f>Sheet1!$B$3:$F$3</c:f>
              <c:numCache>
                <c:formatCode>0.0</c:formatCode>
                <c:ptCount val="5"/>
                <c:pt idx="0">
                  <c:v>350.81521739130426</c:v>
                </c:pt>
                <c:pt idx="1">
                  <c:v>328.841607565012</c:v>
                </c:pt>
                <c:pt idx="2">
                  <c:v>316.19047619047632</c:v>
                </c:pt>
                <c:pt idx="3">
                  <c:v>331.67848699763601</c:v>
                </c:pt>
                <c:pt idx="4">
                  <c:v>320</c:v>
                </c:pt>
              </c:numCache>
            </c:numRef>
          </c:val>
          <c:smooth val="0"/>
        </c:ser>
        <c:ser>
          <c:idx val="2"/>
          <c:order val="2"/>
          <c:tx>
            <c:strRef>
              <c:f>Sheet1!$A$4</c:f>
              <c:strCache>
                <c:ptCount val="1"/>
                <c:pt idx="0">
                  <c:v>Calarasi</c:v>
                </c:pt>
              </c:strCache>
            </c:strRef>
          </c:tx>
          <c:cat>
            <c:strRef>
              <c:f>Sheet1!$B$1:$F$1</c:f>
              <c:strCache>
                <c:ptCount val="5"/>
                <c:pt idx="0">
                  <c:v>2008</c:v>
                </c:pt>
                <c:pt idx="1">
                  <c:v>2009</c:v>
                </c:pt>
                <c:pt idx="2">
                  <c:v>2010</c:v>
                </c:pt>
                <c:pt idx="3">
                  <c:v>2011</c:v>
                </c:pt>
                <c:pt idx="4">
                  <c:v>2012</c:v>
                </c:pt>
              </c:strCache>
            </c:strRef>
          </c:cat>
          <c:val>
            <c:numRef>
              <c:f>Sheet1!$B$4:$F$4</c:f>
              <c:numCache>
                <c:formatCode>0.0</c:formatCode>
                <c:ptCount val="5"/>
                <c:pt idx="0">
                  <c:v>287.5</c:v>
                </c:pt>
                <c:pt idx="1">
                  <c:v>264.77541371158276</c:v>
                </c:pt>
                <c:pt idx="2">
                  <c:v>255</c:v>
                </c:pt>
                <c:pt idx="3">
                  <c:v>265.48463356974008</c:v>
                </c:pt>
                <c:pt idx="4">
                  <c:v>264.71910112359552</c:v>
                </c:pt>
              </c:numCache>
            </c:numRef>
          </c:val>
          <c:smooth val="0"/>
        </c:ser>
        <c:ser>
          <c:idx val="3"/>
          <c:order val="3"/>
          <c:tx>
            <c:strRef>
              <c:f>Sheet1!$A$5</c:f>
              <c:strCache>
                <c:ptCount val="1"/>
                <c:pt idx="0">
                  <c:v>Giurgiu</c:v>
                </c:pt>
              </c:strCache>
            </c:strRef>
          </c:tx>
          <c:cat>
            <c:strRef>
              <c:f>Sheet1!$B$1:$F$1</c:f>
              <c:strCache>
                <c:ptCount val="5"/>
                <c:pt idx="0">
                  <c:v>2008</c:v>
                </c:pt>
                <c:pt idx="1">
                  <c:v>2009</c:v>
                </c:pt>
                <c:pt idx="2">
                  <c:v>2010</c:v>
                </c:pt>
                <c:pt idx="3">
                  <c:v>2011</c:v>
                </c:pt>
                <c:pt idx="4">
                  <c:v>2012</c:v>
                </c:pt>
              </c:strCache>
            </c:strRef>
          </c:cat>
          <c:val>
            <c:numRef>
              <c:f>Sheet1!$B$5:$F$5</c:f>
              <c:numCache>
                <c:formatCode>0.0</c:formatCode>
                <c:ptCount val="5"/>
                <c:pt idx="0">
                  <c:v>315.48913043478223</c:v>
                </c:pt>
                <c:pt idx="1">
                  <c:v>299.05437352245872</c:v>
                </c:pt>
                <c:pt idx="2">
                  <c:v>298.57142857142861</c:v>
                </c:pt>
                <c:pt idx="3">
                  <c:v>292.19858156028363</c:v>
                </c:pt>
                <c:pt idx="4">
                  <c:v>278.65168539325947</c:v>
                </c:pt>
              </c:numCache>
            </c:numRef>
          </c:val>
          <c:smooth val="0"/>
        </c:ser>
        <c:ser>
          <c:idx val="4"/>
          <c:order val="4"/>
          <c:tx>
            <c:strRef>
              <c:f>Sheet1!$A$6</c:f>
              <c:strCache>
                <c:ptCount val="1"/>
                <c:pt idx="0">
                  <c:v>Teleorman</c:v>
                </c:pt>
              </c:strCache>
            </c:strRef>
          </c:tx>
          <c:cat>
            <c:strRef>
              <c:f>Sheet1!$B$1:$F$1</c:f>
              <c:strCache>
                <c:ptCount val="5"/>
                <c:pt idx="0">
                  <c:v>2008</c:v>
                </c:pt>
                <c:pt idx="1">
                  <c:v>2009</c:v>
                </c:pt>
                <c:pt idx="2">
                  <c:v>2010</c:v>
                </c:pt>
                <c:pt idx="3">
                  <c:v>2011</c:v>
                </c:pt>
                <c:pt idx="4">
                  <c:v>2012</c:v>
                </c:pt>
              </c:strCache>
            </c:strRef>
          </c:cat>
          <c:val>
            <c:numRef>
              <c:f>Sheet1!$B$6:$F$6</c:f>
              <c:numCache>
                <c:formatCode>0.0</c:formatCode>
                <c:ptCount val="5"/>
                <c:pt idx="0">
                  <c:v>298.91304347825906</c:v>
                </c:pt>
                <c:pt idx="1">
                  <c:v>265.24822695035459</c:v>
                </c:pt>
                <c:pt idx="2">
                  <c:v>267.61904761904867</c:v>
                </c:pt>
                <c:pt idx="3">
                  <c:v>269.26713947990396</c:v>
                </c:pt>
                <c:pt idx="4">
                  <c:v>262.47191011235913</c:v>
                </c:pt>
              </c:numCache>
            </c:numRef>
          </c:val>
          <c:smooth val="0"/>
        </c:ser>
        <c:ser>
          <c:idx val="5"/>
          <c:order val="5"/>
          <c:tx>
            <c:strRef>
              <c:f>Sheet1!$A$7</c:f>
              <c:strCache>
                <c:ptCount val="1"/>
                <c:pt idx="0">
                  <c:v>Dolj</c:v>
                </c:pt>
              </c:strCache>
            </c:strRef>
          </c:tx>
          <c:cat>
            <c:strRef>
              <c:f>Sheet1!$B$1:$F$1</c:f>
              <c:strCache>
                <c:ptCount val="5"/>
                <c:pt idx="0">
                  <c:v>2008</c:v>
                </c:pt>
                <c:pt idx="1">
                  <c:v>2009</c:v>
                </c:pt>
                <c:pt idx="2">
                  <c:v>2010</c:v>
                </c:pt>
                <c:pt idx="3">
                  <c:v>2011</c:v>
                </c:pt>
                <c:pt idx="4">
                  <c:v>2012</c:v>
                </c:pt>
              </c:strCache>
            </c:strRef>
          </c:cat>
          <c:val>
            <c:numRef>
              <c:f>Sheet1!$B$7:$F$7</c:f>
              <c:numCache>
                <c:formatCode>0.0</c:formatCode>
                <c:ptCount val="5"/>
                <c:pt idx="0">
                  <c:v>330.43478260869529</c:v>
                </c:pt>
                <c:pt idx="1">
                  <c:v>307.80141843971631</c:v>
                </c:pt>
                <c:pt idx="2">
                  <c:v>302.14285714285774</c:v>
                </c:pt>
                <c:pt idx="3">
                  <c:v>314.89361702127587</c:v>
                </c:pt>
                <c:pt idx="4">
                  <c:v>307.86516853932653</c:v>
                </c:pt>
              </c:numCache>
            </c:numRef>
          </c:val>
          <c:smooth val="0"/>
        </c:ser>
        <c:ser>
          <c:idx val="6"/>
          <c:order val="6"/>
          <c:tx>
            <c:strRef>
              <c:f>Sheet1!$A$8</c:f>
              <c:strCache>
                <c:ptCount val="1"/>
                <c:pt idx="0">
                  <c:v>Mehedinti</c:v>
                </c:pt>
              </c:strCache>
            </c:strRef>
          </c:tx>
          <c:cat>
            <c:strRef>
              <c:f>Sheet1!$B$1:$F$1</c:f>
              <c:strCache>
                <c:ptCount val="5"/>
                <c:pt idx="0">
                  <c:v>2008</c:v>
                </c:pt>
                <c:pt idx="1">
                  <c:v>2009</c:v>
                </c:pt>
                <c:pt idx="2">
                  <c:v>2010</c:v>
                </c:pt>
                <c:pt idx="3">
                  <c:v>2011</c:v>
                </c:pt>
                <c:pt idx="4">
                  <c:v>2012</c:v>
                </c:pt>
              </c:strCache>
            </c:strRef>
          </c:cat>
          <c:val>
            <c:numRef>
              <c:f>Sheet1!$B$8:$F$8</c:f>
              <c:numCache>
                <c:formatCode>0.0</c:formatCode>
                <c:ptCount val="5"/>
                <c:pt idx="0">
                  <c:v>342.66304347826059</c:v>
                </c:pt>
                <c:pt idx="1">
                  <c:v>306.38297872340422</c:v>
                </c:pt>
                <c:pt idx="2">
                  <c:v>314.52380952380952</c:v>
                </c:pt>
                <c:pt idx="3">
                  <c:v>306.85579196217338</c:v>
                </c:pt>
                <c:pt idx="4">
                  <c:v>290.78651685393169</c:v>
                </c:pt>
              </c:numCache>
            </c:numRef>
          </c:val>
          <c:smooth val="0"/>
        </c:ser>
        <c:ser>
          <c:idx val="7"/>
          <c:order val="7"/>
          <c:tx>
            <c:strRef>
              <c:f>Sheet1!$A$9</c:f>
              <c:strCache>
                <c:ptCount val="1"/>
                <c:pt idx="0">
                  <c:v>Olt</c:v>
                </c:pt>
              </c:strCache>
            </c:strRef>
          </c:tx>
          <c:cat>
            <c:strRef>
              <c:f>Sheet1!$B$1:$F$1</c:f>
              <c:strCache>
                <c:ptCount val="5"/>
                <c:pt idx="0">
                  <c:v>2008</c:v>
                </c:pt>
                <c:pt idx="1">
                  <c:v>2009</c:v>
                </c:pt>
                <c:pt idx="2">
                  <c:v>2010</c:v>
                </c:pt>
                <c:pt idx="3">
                  <c:v>2011</c:v>
                </c:pt>
                <c:pt idx="4">
                  <c:v>2012</c:v>
                </c:pt>
              </c:strCache>
            </c:strRef>
          </c:cat>
          <c:val>
            <c:numRef>
              <c:f>Sheet1!$B$9:$F$9</c:f>
              <c:numCache>
                <c:formatCode>0.0</c:formatCode>
                <c:ptCount val="5"/>
                <c:pt idx="0">
                  <c:v>323.91304347825906</c:v>
                </c:pt>
                <c:pt idx="1">
                  <c:v>298.58156028368728</c:v>
                </c:pt>
                <c:pt idx="2">
                  <c:v>289.04761904761853</c:v>
                </c:pt>
                <c:pt idx="3">
                  <c:v>289.59810874704272</c:v>
                </c:pt>
                <c:pt idx="4">
                  <c:v>295.95505617977528</c:v>
                </c:pt>
              </c:numCache>
            </c:numRef>
          </c:val>
          <c:smooth val="0"/>
        </c:ser>
        <c:dLbls>
          <c:showLegendKey val="0"/>
          <c:showVal val="0"/>
          <c:showCatName val="0"/>
          <c:showSerName val="0"/>
          <c:showPercent val="0"/>
          <c:showBubbleSize val="0"/>
        </c:dLbls>
        <c:marker val="1"/>
        <c:smooth val="0"/>
        <c:axId val="124413824"/>
        <c:axId val="124415360"/>
      </c:lineChart>
      <c:catAx>
        <c:axId val="124413824"/>
        <c:scaling>
          <c:orientation val="minMax"/>
        </c:scaling>
        <c:delete val="0"/>
        <c:axPos val="b"/>
        <c:numFmt formatCode="General" sourceLinked="1"/>
        <c:majorTickMark val="out"/>
        <c:minorTickMark val="none"/>
        <c:tickLblPos val="nextTo"/>
        <c:crossAx val="124415360"/>
        <c:crosses val="autoZero"/>
        <c:auto val="1"/>
        <c:lblAlgn val="ctr"/>
        <c:lblOffset val="100"/>
        <c:noMultiLvlLbl val="0"/>
      </c:catAx>
      <c:valAx>
        <c:axId val="124415360"/>
        <c:scaling>
          <c:orientation val="minMax"/>
        </c:scaling>
        <c:delete val="0"/>
        <c:axPos val="l"/>
        <c:majorGridlines/>
        <c:numFmt formatCode="0.0" sourceLinked="1"/>
        <c:majorTickMark val="out"/>
        <c:minorTickMark val="none"/>
        <c:tickLblPos val="nextTo"/>
        <c:crossAx val="124413824"/>
        <c:crosses val="autoZero"/>
        <c:crossBetween val="between"/>
      </c:valAx>
    </c:plotArea>
    <c:legend>
      <c:legendPos val="r"/>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Sheet1!$B$1</c:f>
              <c:strCache>
                <c:ptCount val="1"/>
                <c:pt idx="0">
                  <c:v>Agriculture</c:v>
                </c:pt>
              </c:strCache>
            </c:strRef>
          </c:tx>
          <c:invertIfNegative val="0"/>
          <c:cat>
            <c:strRef>
              <c:f>Sheet1!$A$2:$A$8</c:f>
              <c:strCache>
                <c:ptCount val="7"/>
                <c:pt idx="0">
                  <c:v>Constanta</c:v>
                </c:pt>
                <c:pt idx="1">
                  <c:v>Calarasi</c:v>
                </c:pt>
                <c:pt idx="2">
                  <c:v>Giurgiu</c:v>
                </c:pt>
                <c:pt idx="3">
                  <c:v>Teleorman</c:v>
                </c:pt>
                <c:pt idx="4">
                  <c:v>Dolj</c:v>
                </c:pt>
                <c:pt idx="5">
                  <c:v>Mehedinti</c:v>
                </c:pt>
                <c:pt idx="6">
                  <c:v>Olt</c:v>
                </c:pt>
              </c:strCache>
            </c:strRef>
          </c:cat>
          <c:val>
            <c:numRef>
              <c:f>Sheet1!$B$2:$B$8</c:f>
              <c:numCache>
                <c:formatCode>General</c:formatCode>
                <c:ptCount val="7"/>
                <c:pt idx="0">
                  <c:v>460.58101142544865</c:v>
                </c:pt>
                <c:pt idx="1">
                  <c:v>519.59697019750342</c:v>
                </c:pt>
                <c:pt idx="2">
                  <c:v>369.99457278368823</c:v>
                </c:pt>
                <c:pt idx="3">
                  <c:v>555.93572288161238</c:v>
                </c:pt>
                <c:pt idx="4">
                  <c:v>583.77970221100486</c:v>
                </c:pt>
                <c:pt idx="5">
                  <c:v>300.85655631326841</c:v>
                </c:pt>
                <c:pt idx="6">
                  <c:v>546.49708582080757</c:v>
                </c:pt>
              </c:numCache>
            </c:numRef>
          </c:val>
        </c:ser>
        <c:ser>
          <c:idx val="1"/>
          <c:order val="1"/>
          <c:tx>
            <c:strRef>
              <c:f>Sheet1!$C$1</c:f>
              <c:strCache>
                <c:ptCount val="1"/>
                <c:pt idx="0">
                  <c:v>Industry</c:v>
                </c:pt>
              </c:strCache>
            </c:strRef>
          </c:tx>
          <c:invertIfNegative val="0"/>
          <c:cat>
            <c:strRef>
              <c:f>Sheet1!$A$2:$A$8</c:f>
              <c:strCache>
                <c:ptCount val="7"/>
                <c:pt idx="0">
                  <c:v>Constanta</c:v>
                </c:pt>
                <c:pt idx="1">
                  <c:v>Calarasi</c:v>
                </c:pt>
                <c:pt idx="2">
                  <c:v>Giurgiu</c:v>
                </c:pt>
                <c:pt idx="3">
                  <c:v>Teleorman</c:v>
                </c:pt>
                <c:pt idx="4">
                  <c:v>Dolj</c:v>
                </c:pt>
                <c:pt idx="5">
                  <c:v>Mehedinti</c:v>
                </c:pt>
                <c:pt idx="6">
                  <c:v>Olt</c:v>
                </c:pt>
              </c:strCache>
            </c:strRef>
          </c:cat>
          <c:val>
            <c:numRef>
              <c:f>Sheet1!$C$2:$C$8</c:f>
              <c:numCache>
                <c:formatCode>General</c:formatCode>
                <c:ptCount val="7"/>
                <c:pt idx="0">
                  <c:v>4182.5221501698779</c:v>
                </c:pt>
                <c:pt idx="1">
                  <c:v>863.87125699048738</c:v>
                </c:pt>
                <c:pt idx="2">
                  <c:v>186.17711602444598</c:v>
                </c:pt>
                <c:pt idx="3">
                  <c:v>359.848037943321</c:v>
                </c:pt>
                <c:pt idx="4">
                  <c:v>1937.7521885839678</c:v>
                </c:pt>
                <c:pt idx="5">
                  <c:v>402.08593879043866</c:v>
                </c:pt>
                <c:pt idx="6">
                  <c:v>1759.5979140612101</c:v>
                </c:pt>
              </c:numCache>
            </c:numRef>
          </c:val>
        </c:ser>
        <c:ser>
          <c:idx val="2"/>
          <c:order val="2"/>
          <c:tx>
            <c:strRef>
              <c:f>Sheet1!$D$1</c:f>
              <c:strCache>
                <c:ptCount val="1"/>
                <c:pt idx="0">
                  <c:v>Constructions</c:v>
                </c:pt>
              </c:strCache>
            </c:strRef>
          </c:tx>
          <c:invertIfNegative val="0"/>
          <c:cat>
            <c:strRef>
              <c:f>Sheet1!$A$2:$A$8</c:f>
              <c:strCache>
                <c:ptCount val="7"/>
                <c:pt idx="0">
                  <c:v>Constanta</c:v>
                </c:pt>
                <c:pt idx="1">
                  <c:v>Calarasi</c:v>
                </c:pt>
                <c:pt idx="2">
                  <c:v>Giurgiu</c:v>
                </c:pt>
                <c:pt idx="3">
                  <c:v>Teleorman</c:v>
                </c:pt>
                <c:pt idx="4">
                  <c:v>Dolj</c:v>
                </c:pt>
                <c:pt idx="5">
                  <c:v>Mehedinti</c:v>
                </c:pt>
                <c:pt idx="6">
                  <c:v>Olt</c:v>
                </c:pt>
              </c:strCache>
            </c:strRef>
          </c:cat>
          <c:val>
            <c:numRef>
              <c:f>Sheet1!$D$2:$D$8</c:f>
              <c:numCache>
                <c:formatCode>General</c:formatCode>
                <c:ptCount val="7"/>
                <c:pt idx="0">
                  <c:v>702.39198080714505</c:v>
                </c:pt>
                <c:pt idx="1">
                  <c:v>105.24080322801419</c:v>
                </c:pt>
                <c:pt idx="2">
                  <c:v>122.93824771702941</c:v>
                </c:pt>
                <c:pt idx="3">
                  <c:v>95.802166167205456</c:v>
                </c:pt>
                <c:pt idx="4">
                  <c:v>321.14962599400798</c:v>
                </c:pt>
                <c:pt idx="5">
                  <c:v>160.92876188678429</c:v>
                </c:pt>
                <c:pt idx="6">
                  <c:v>161.16472781330381</c:v>
                </c:pt>
              </c:numCache>
            </c:numRef>
          </c:val>
        </c:ser>
        <c:ser>
          <c:idx val="3"/>
          <c:order val="3"/>
          <c:tx>
            <c:strRef>
              <c:f>Sheet1!$E$1</c:f>
              <c:strCache>
                <c:ptCount val="1"/>
                <c:pt idx="0">
                  <c:v>Services (including public services, education, etc.)</c:v>
                </c:pt>
              </c:strCache>
            </c:strRef>
          </c:tx>
          <c:invertIfNegative val="0"/>
          <c:cat>
            <c:strRef>
              <c:f>Sheet1!$A$2:$A$8</c:f>
              <c:strCache>
                <c:ptCount val="7"/>
                <c:pt idx="0">
                  <c:v>Constanta</c:v>
                </c:pt>
                <c:pt idx="1">
                  <c:v>Calarasi</c:v>
                </c:pt>
                <c:pt idx="2">
                  <c:v>Giurgiu</c:v>
                </c:pt>
                <c:pt idx="3">
                  <c:v>Teleorman</c:v>
                </c:pt>
                <c:pt idx="4">
                  <c:v>Dolj</c:v>
                </c:pt>
                <c:pt idx="5">
                  <c:v>Mehedinti</c:v>
                </c:pt>
                <c:pt idx="6">
                  <c:v>Olt</c:v>
                </c:pt>
              </c:strCache>
            </c:strRef>
          </c:cat>
          <c:val>
            <c:numRef>
              <c:f>Sheet1!$E$2:$E$8</c:f>
              <c:numCache>
                <c:formatCode>General</c:formatCode>
                <c:ptCount val="7"/>
                <c:pt idx="0">
                  <c:v>5341.2195064016059</c:v>
                </c:pt>
                <c:pt idx="1">
                  <c:v>645.8387408858124</c:v>
                </c:pt>
                <c:pt idx="2">
                  <c:v>902.56966893980518</c:v>
                </c:pt>
                <c:pt idx="3">
                  <c:v>806.76750277259941</c:v>
                </c:pt>
                <c:pt idx="4">
                  <c:v>2684.5843460204351</c:v>
                </c:pt>
                <c:pt idx="5">
                  <c:v>614.21930673210852</c:v>
                </c:pt>
                <c:pt idx="6">
                  <c:v>780.57528492885854</c:v>
                </c:pt>
              </c:numCache>
            </c:numRef>
          </c:val>
        </c:ser>
        <c:dLbls>
          <c:showLegendKey val="0"/>
          <c:showVal val="0"/>
          <c:showCatName val="0"/>
          <c:showSerName val="0"/>
          <c:showPercent val="0"/>
          <c:showBubbleSize val="0"/>
        </c:dLbls>
        <c:gapWidth val="150"/>
        <c:overlap val="100"/>
        <c:axId val="121334016"/>
        <c:axId val="121339904"/>
      </c:barChart>
      <c:catAx>
        <c:axId val="121334016"/>
        <c:scaling>
          <c:orientation val="minMax"/>
        </c:scaling>
        <c:delete val="0"/>
        <c:axPos val="b"/>
        <c:numFmt formatCode="General" sourceLinked="0"/>
        <c:majorTickMark val="out"/>
        <c:minorTickMark val="none"/>
        <c:tickLblPos val="nextTo"/>
        <c:crossAx val="121339904"/>
        <c:crosses val="autoZero"/>
        <c:auto val="1"/>
        <c:lblAlgn val="ctr"/>
        <c:lblOffset val="100"/>
        <c:noMultiLvlLbl val="0"/>
      </c:catAx>
      <c:valAx>
        <c:axId val="121339904"/>
        <c:scaling>
          <c:orientation val="minMax"/>
        </c:scaling>
        <c:delete val="0"/>
        <c:axPos val="l"/>
        <c:majorGridlines/>
        <c:numFmt formatCode="General" sourceLinked="1"/>
        <c:majorTickMark val="out"/>
        <c:minorTickMark val="none"/>
        <c:tickLblPos val="nextTo"/>
        <c:crossAx val="121334016"/>
        <c:crosses val="autoZero"/>
        <c:crossBetween val="between"/>
      </c:valAx>
    </c:plotArea>
    <c:legend>
      <c:legendPos val="r"/>
      <c:overlay val="0"/>
    </c:legend>
    <c:plotVisOnly val="1"/>
    <c:dispBlanksAs val="gap"/>
    <c:showDLblsOverMax val="0"/>
  </c:chart>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2008</c:v>
                </c:pt>
              </c:strCache>
            </c:strRef>
          </c:tx>
          <c:invertIfNegative val="0"/>
          <c:cat>
            <c:strRef>
              <c:f>Sheet1!$A$2:$A$8</c:f>
              <c:strCache>
                <c:ptCount val="7"/>
                <c:pt idx="0">
                  <c:v>Constanta</c:v>
                </c:pt>
                <c:pt idx="1">
                  <c:v>Calarasi</c:v>
                </c:pt>
                <c:pt idx="2">
                  <c:v>Giurgiu</c:v>
                </c:pt>
                <c:pt idx="3">
                  <c:v>Teleorman</c:v>
                </c:pt>
                <c:pt idx="4">
                  <c:v>Dolj</c:v>
                </c:pt>
                <c:pt idx="5">
                  <c:v>Mehedinti</c:v>
                </c:pt>
                <c:pt idx="6">
                  <c:v>Olt</c:v>
                </c:pt>
              </c:strCache>
            </c:strRef>
          </c:cat>
          <c:val>
            <c:numRef>
              <c:f>Sheet1!$B$2:$B$8</c:f>
              <c:numCache>
                <c:formatCode>General</c:formatCode>
                <c:ptCount val="7"/>
                <c:pt idx="0">
                  <c:v>156332</c:v>
                </c:pt>
                <c:pt idx="1">
                  <c:v>50694</c:v>
                </c:pt>
                <c:pt idx="2">
                  <c:v>40675</c:v>
                </c:pt>
                <c:pt idx="3">
                  <c:v>58407</c:v>
                </c:pt>
                <c:pt idx="4">
                  <c:v>147556</c:v>
                </c:pt>
                <c:pt idx="5">
                  <c:v>52050</c:v>
                </c:pt>
                <c:pt idx="6">
                  <c:v>75988</c:v>
                </c:pt>
              </c:numCache>
            </c:numRef>
          </c:val>
        </c:ser>
        <c:ser>
          <c:idx val="1"/>
          <c:order val="1"/>
          <c:tx>
            <c:strRef>
              <c:f>Sheet1!$C$1</c:f>
              <c:strCache>
                <c:ptCount val="1"/>
                <c:pt idx="0">
                  <c:v>2009</c:v>
                </c:pt>
              </c:strCache>
            </c:strRef>
          </c:tx>
          <c:invertIfNegative val="0"/>
          <c:cat>
            <c:strRef>
              <c:f>Sheet1!$A$2:$A$8</c:f>
              <c:strCache>
                <c:ptCount val="7"/>
                <c:pt idx="0">
                  <c:v>Constanta</c:v>
                </c:pt>
                <c:pt idx="1">
                  <c:v>Calarasi</c:v>
                </c:pt>
                <c:pt idx="2">
                  <c:v>Giurgiu</c:v>
                </c:pt>
                <c:pt idx="3">
                  <c:v>Teleorman</c:v>
                </c:pt>
                <c:pt idx="4">
                  <c:v>Dolj</c:v>
                </c:pt>
                <c:pt idx="5">
                  <c:v>Mehedinti</c:v>
                </c:pt>
                <c:pt idx="6">
                  <c:v>Olt</c:v>
                </c:pt>
              </c:strCache>
            </c:strRef>
          </c:cat>
          <c:val>
            <c:numRef>
              <c:f>Sheet1!$C$2:$C$8</c:f>
              <c:numCache>
                <c:formatCode>General</c:formatCode>
                <c:ptCount val="7"/>
                <c:pt idx="0">
                  <c:v>152075</c:v>
                </c:pt>
                <c:pt idx="1">
                  <c:v>50167</c:v>
                </c:pt>
                <c:pt idx="2">
                  <c:v>40183</c:v>
                </c:pt>
                <c:pt idx="3">
                  <c:v>56899</c:v>
                </c:pt>
                <c:pt idx="4">
                  <c:v>144325</c:v>
                </c:pt>
                <c:pt idx="5">
                  <c:v>50675</c:v>
                </c:pt>
                <c:pt idx="6">
                  <c:v>74625</c:v>
                </c:pt>
              </c:numCache>
            </c:numRef>
          </c:val>
        </c:ser>
        <c:ser>
          <c:idx val="2"/>
          <c:order val="2"/>
          <c:tx>
            <c:strRef>
              <c:f>Sheet1!$D$1</c:f>
              <c:strCache>
                <c:ptCount val="1"/>
                <c:pt idx="0">
                  <c:v>2010</c:v>
                </c:pt>
              </c:strCache>
            </c:strRef>
          </c:tx>
          <c:invertIfNegative val="0"/>
          <c:cat>
            <c:strRef>
              <c:f>Sheet1!$A$2:$A$8</c:f>
              <c:strCache>
                <c:ptCount val="7"/>
                <c:pt idx="0">
                  <c:v>Constanta</c:v>
                </c:pt>
                <c:pt idx="1">
                  <c:v>Calarasi</c:v>
                </c:pt>
                <c:pt idx="2">
                  <c:v>Giurgiu</c:v>
                </c:pt>
                <c:pt idx="3">
                  <c:v>Teleorman</c:v>
                </c:pt>
                <c:pt idx="4">
                  <c:v>Dolj</c:v>
                </c:pt>
                <c:pt idx="5">
                  <c:v>Mehedinti</c:v>
                </c:pt>
                <c:pt idx="6">
                  <c:v>Olt</c:v>
                </c:pt>
              </c:strCache>
            </c:strRef>
          </c:cat>
          <c:val>
            <c:numRef>
              <c:f>Sheet1!$D$2:$D$8</c:f>
              <c:numCache>
                <c:formatCode>General</c:formatCode>
                <c:ptCount val="7"/>
                <c:pt idx="0">
                  <c:v>154026</c:v>
                </c:pt>
                <c:pt idx="1">
                  <c:v>50012</c:v>
                </c:pt>
                <c:pt idx="2">
                  <c:v>39376</c:v>
                </c:pt>
                <c:pt idx="3">
                  <c:v>56011</c:v>
                </c:pt>
                <c:pt idx="4">
                  <c:v>136748</c:v>
                </c:pt>
                <c:pt idx="5">
                  <c:v>49171</c:v>
                </c:pt>
                <c:pt idx="6">
                  <c:v>73991</c:v>
                </c:pt>
              </c:numCache>
            </c:numRef>
          </c:val>
        </c:ser>
        <c:ser>
          <c:idx val="3"/>
          <c:order val="3"/>
          <c:tx>
            <c:strRef>
              <c:f>Sheet1!$E$1</c:f>
              <c:strCache>
                <c:ptCount val="1"/>
                <c:pt idx="0">
                  <c:v>2011</c:v>
                </c:pt>
              </c:strCache>
            </c:strRef>
          </c:tx>
          <c:invertIfNegative val="0"/>
          <c:cat>
            <c:strRef>
              <c:f>Sheet1!$A$2:$A$8</c:f>
              <c:strCache>
                <c:ptCount val="7"/>
                <c:pt idx="0">
                  <c:v>Constanta</c:v>
                </c:pt>
                <c:pt idx="1">
                  <c:v>Calarasi</c:v>
                </c:pt>
                <c:pt idx="2">
                  <c:v>Giurgiu</c:v>
                </c:pt>
                <c:pt idx="3">
                  <c:v>Teleorman</c:v>
                </c:pt>
                <c:pt idx="4">
                  <c:v>Dolj</c:v>
                </c:pt>
                <c:pt idx="5">
                  <c:v>Mehedinti</c:v>
                </c:pt>
                <c:pt idx="6">
                  <c:v>Olt</c:v>
                </c:pt>
              </c:strCache>
            </c:strRef>
          </c:cat>
          <c:val>
            <c:numRef>
              <c:f>Sheet1!$E$2:$E$8</c:f>
              <c:numCache>
                <c:formatCode>General</c:formatCode>
                <c:ptCount val="7"/>
                <c:pt idx="0">
                  <c:v>142941</c:v>
                </c:pt>
                <c:pt idx="1">
                  <c:v>48442</c:v>
                </c:pt>
                <c:pt idx="2">
                  <c:v>38437</c:v>
                </c:pt>
                <c:pt idx="3">
                  <c:v>54472</c:v>
                </c:pt>
                <c:pt idx="4">
                  <c:v>126783</c:v>
                </c:pt>
                <c:pt idx="5">
                  <c:v>46812</c:v>
                </c:pt>
                <c:pt idx="6">
                  <c:v>72638</c:v>
                </c:pt>
              </c:numCache>
            </c:numRef>
          </c:val>
        </c:ser>
        <c:ser>
          <c:idx val="4"/>
          <c:order val="4"/>
          <c:tx>
            <c:strRef>
              <c:f>Sheet1!$F$1</c:f>
              <c:strCache>
                <c:ptCount val="1"/>
                <c:pt idx="0">
                  <c:v>2012</c:v>
                </c:pt>
              </c:strCache>
            </c:strRef>
          </c:tx>
          <c:invertIfNegative val="0"/>
          <c:cat>
            <c:strRef>
              <c:f>Sheet1!$A$2:$A$8</c:f>
              <c:strCache>
                <c:ptCount val="7"/>
                <c:pt idx="0">
                  <c:v>Constanta</c:v>
                </c:pt>
                <c:pt idx="1">
                  <c:v>Calarasi</c:v>
                </c:pt>
                <c:pt idx="2">
                  <c:v>Giurgiu</c:v>
                </c:pt>
                <c:pt idx="3">
                  <c:v>Teleorman</c:v>
                </c:pt>
                <c:pt idx="4">
                  <c:v>Dolj</c:v>
                </c:pt>
                <c:pt idx="5">
                  <c:v>Mehedinti</c:v>
                </c:pt>
                <c:pt idx="6">
                  <c:v>Olt</c:v>
                </c:pt>
              </c:strCache>
            </c:strRef>
          </c:cat>
          <c:val>
            <c:numRef>
              <c:f>Sheet1!$F$2:$F$8</c:f>
              <c:numCache>
                <c:formatCode>General</c:formatCode>
                <c:ptCount val="7"/>
                <c:pt idx="0">
                  <c:v>139380</c:v>
                </c:pt>
                <c:pt idx="1">
                  <c:v>47569</c:v>
                </c:pt>
                <c:pt idx="2">
                  <c:v>38249</c:v>
                </c:pt>
                <c:pt idx="3">
                  <c:v>53533</c:v>
                </c:pt>
                <c:pt idx="4">
                  <c:v>123062</c:v>
                </c:pt>
                <c:pt idx="5">
                  <c:v>46057</c:v>
                </c:pt>
                <c:pt idx="6">
                  <c:v>71669</c:v>
                </c:pt>
              </c:numCache>
            </c:numRef>
          </c:val>
        </c:ser>
        <c:dLbls>
          <c:showLegendKey val="0"/>
          <c:showVal val="0"/>
          <c:showCatName val="0"/>
          <c:showSerName val="0"/>
          <c:showPercent val="0"/>
          <c:showBubbleSize val="0"/>
        </c:dLbls>
        <c:gapWidth val="150"/>
        <c:axId val="124438784"/>
        <c:axId val="124448768"/>
      </c:barChart>
      <c:catAx>
        <c:axId val="124438784"/>
        <c:scaling>
          <c:orientation val="minMax"/>
        </c:scaling>
        <c:delete val="0"/>
        <c:axPos val="b"/>
        <c:numFmt formatCode="General" sourceLinked="1"/>
        <c:majorTickMark val="out"/>
        <c:minorTickMark val="none"/>
        <c:tickLblPos val="nextTo"/>
        <c:crossAx val="124448768"/>
        <c:crosses val="autoZero"/>
        <c:auto val="1"/>
        <c:lblAlgn val="ctr"/>
        <c:lblOffset val="100"/>
        <c:noMultiLvlLbl val="0"/>
      </c:catAx>
      <c:valAx>
        <c:axId val="124448768"/>
        <c:scaling>
          <c:orientation val="minMax"/>
        </c:scaling>
        <c:delete val="0"/>
        <c:axPos val="l"/>
        <c:majorGridlines/>
        <c:numFmt formatCode="General" sourceLinked="1"/>
        <c:majorTickMark val="out"/>
        <c:minorTickMark val="none"/>
        <c:tickLblPos val="nextTo"/>
        <c:crossAx val="124438784"/>
        <c:crosses val="autoZero"/>
        <c:crossBetween val="between"/>
      </c:valAx>
    </c:plotArea>
    <c:legend>
      <c:legendPos val="r"/>
      <c:overlay val="0"/>
    </c:legend>
    <c:plotVisOnly val="1"/>
    <c:dispBlanksAs val="gap"/>
    <c:showDLblsOverMax val="0"/>
  </c:chart>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Sheet1!$A$2</c:f>
              <c:strCache>
                <c:ptCount val="1"/>
                <c:pt idx="0">
                  <c:v>Pre-school (ISCED 0)</c:v>
                </c:pt>
              </c:strCache>
            </c:strRef>
          </c:tx>
          <c:invertIfNegative val="0"/>
          <c:cat>
            <c:strRef>
              <c:f>Sheet1!$B$1:$F$1</c:f>
              <c:strCache>
                <c:ptCount val="5"/>
                <c:pt idx="0">
                  <c:v>2008</c:v>
                </c:pt>
                <c:pt idx="1">
                  <c:v>2009</c:v>
                </c:pt>
                <c:pt idx="2">
                  <c:v>2010</c:v>
                </c:pt>
                <c:pt idx="3">
                  <c:v>2011</c:v>
                </c:pt>
                <c:pt idx="4">
                  <c:v>2012</c:v>
                </c:pt>
              </c:strCache>
            </c:strRef>
          </c:cat>
          <c:val>
            <c:numRef>
              <c:f>Sheet1!$B$2:$F$2</c:f>
              <c:numCache>
                <c:formatCode>General</c:formatCode>
                <c:ptCount val="5"/>
                <c:pt idx="0">
                  <c:v>90601</c:v>
                </c:pt>
                <c:pt idx="1">
                  <c:v>91751</c:v>
                </c:pt>
                <c:pt idx="2">
                  <c:v>92627</c:v>
                </c:pt>
                <c:pt idx="3">
                  <c:v>92013</c:v>
                </c:pt>
                <c:pt idx="4">
                  <c:v>79378</c:v>
                </c:pt>
              </c:numCache>
            </c:numRef>
          </c:val>
        </c:ser>
        <c:ser>
          <c:idx val="1"/>
          <c:order val="1"/>
          <c:tx>
            <c:strRef>
              <c:f>Sheet1!$A$3</c:f>
              <c:strCache>
                <c:ptCount val="1"/>
                <c:pt idx="0">
                  <c:v>Primary</c:v>
                </c:pt>
              </c:strCache>
            </c:strRef>
          </c:tx>
          <c:invertIfNegative val="0"/>
          <c:cat>
            <c:strRef>
              <c:f>Sheet1!$B$1:$F$1</c:f>
              <c:strCache>
                <c:ptCount val="5"/>
                <c:pt idx="0">
                  <c:v>2008</c:v>
                </c:pt>
                <c:pt idx="1">
                  <c:v>2009</c:v>
                </c:pt>
                <c:pt idx="2">
                  <c:v>2010</c:v>
                </c:pt>
                <c:pt idx="3">
                  <c:v>2011</c:v>
                </c:pt>
                <c:pt idx="4">
                  <c:v>2012</c:v>
                </c:pt>
              </c:strCache>
            </c:strRef>
          </c:cat>
          <c:val>
            <c:numRef>
              <c:f>Sheet1!$B$3:$F$3</c:f>
              <c:numCache>
                <c:formatCode>General</c:formatCode>
                <c:ptCount val="5"/>
                <c:pt idx="0">
                  <c:v>126770</c:v>
                </c:pt>
                <c:pt idx="1">
                  <c:v>123786</c:v>
                </c:pt>
                <c:pt idx="2">
                  <c:v>120371</c:v>
                </c:pt>
                <c:pt idx="3">
                  <c:v>116725</c:v>
                </c:pt>
                <c:pt idx="4">
                  <c:v>131457</c:v>
                </c:pt>
              </c:numCache>
            </c:numRef>
          </c:val>
        </c:ser>
        <c:ser>
          <c:idx val="2"/>
          <c:order val="2"/>
          <c:tx>
            <c:strRef>
              <c:f>Sheet1!$A$4</c:f>
              <c:strCache>
                <c:ptCount val="1"/>
                <c:pt idx="0">
                  <c:v>Secondary (ISCED 2) </c:v>
                </c:pt>
              </c:strCache>
            </c:strRef>
          </c:tx>
          <c:invertIfNegative val="0"/>
          <c:cat>
            <c:strRef>
              <c:f>Sheet1!$B$1:$F$1</c:f>
              <c:strCache>
                <c:ptCount val="5"/>
                <c:pt idx="0">
                  <c:v>2008</c:v>
                </c:pt>
                <c:pt idx="1">
                  <c:v>2009</c:v>
                </c:pt>
                <c:pt idx="2">
                  <c:v>2010</c:v>
                </c:pt>
                <c:pt idx="3">
                  <c:v>2011</c:v>
                </c:pt>
                <c:pt idx="4">
                  <c:v>2012</c:v>
                </c:pt>
              </c:strCache>
            </c:strRef>
          </c:cat>
          <c:val>
            <c:numRef>
              <c:f>Sheet1!$B$4:$F$4</c:f>
              <c:numCache>
                <c:formatCode>General</c:formatCode>
                <c:ptCount val="5"/>
                <c:pt idx="0">
                  <c:v>133770</c:v>
                </c:pt>
                <c:pt idx="1">
                  <c:v>129779</c:v>
                </c:pt>
                <c:pt idx="2">
                  <c:v>127704</c:v>
                </c:pt>
                <c:pt idx="3">
                  <c:v>119973</c:v>
                </c:pt>
                <c:pt idx="4">
                  <c:v>118096</c:v>
                </c:pt>
              </c:numCache>
            </c:numRef>
          </c:val>
        </c:ser>
        <c:ser>
          <c:idx val="3"/>
          <c:order val="3"/>
          <c:tx>
            <c:strRef>
              <c:f>Sheet1!$A$5</c:f>
              <c:strCache>
                <c:ptCount val="1"/>
                <c:pt idx="0">
                  <c:v>Highschool and vocational training</c:v>
                </c:pt>
              </c:strCache>
            </c:strRef>
          </c:tx>
          <c:invertIfNegative val="0"/>
          <c:cat>
            <c:strRef>
              <c:f>Sheet1!$B$1:$F$1</c:f>
              <c:strCache>
                <c:ptCount val="5"/>
                <c:pt idx="0">
                  <c:v>2008</c:v>
                </c:pt>
                <c:pt idx="1">
                  <c:v>2009</c:v>
                </c:pt>
                <c:pt idx="2">
                  <c:v>2010</c:v>
                </c:pt>
                <c:pt idx="3">
                  <c:v>2011</c:v>
                </c:pt>
                <c:pt idx="4">
                  <c:v>2012</c:v>
                </c:pt>
              </c:strCache>
            </c:strRef>
          </c:cat>
          <c:val>
            <c:numRef>
              <c:f>Sheet1!$B$5:$F$5</c:f>
              <c:numCache>
                <c:formatCode>General</c:formatCode>
                <c:ptCount val="5"/>
                <c:pt idx="0">
                  <c:v>137819</c:v>
                </c:pt>
                <c:pt idx="1">
                  <c:v>134886</c:v>
                </c:pt>
                <c:pt idx="2">
                  <c:v>132470</c:v>
                </c:pt>
                <c:pt idx="3">
                  <c:v>130987</c:v>
                </c:pt>
                <c:pt idx="4">
                  <c:v>125067</c:v>
                </c:pt>
              </c:numCache>
            </c:numRef>
          </c:val>
        </c:ser>
        <c:ser>
          <c:idx val="4"/>
          <c:order val="4"/>
          <c:tx>
            <c:strRef>
              <c:f>Sheet1!$A$6</c:f>
              <c:strCache>
                <c:ptCount val="1"/>
                <c:pt idx="0">
                  <c:v>Higher education -professional training (ISCED 4)</c:v>
                </c:pt>
              </c:strCache>
            </c:strRef>
          </c:tx>
          <c:invertIfNegative val="0"/>
          <c:cat>
            <c:strRef>
              <c:f>Sheet1!$B$1:$F$1</c:f>
              <c:strCache>
                <c:ptCount val="5"/>
                <c:pt idx="0">
                  <c:v>2008</c:v>
                </c:pt>
                <c:pt idx="1">
                  <c:v>2009</c:v>
                </c:pt>
                <c:pt idx="2">
                  <c:v>2010</c:v>
                </c:pt>
                <c:pt idx="3">
                  <c:v>2011</c:v>
                </c:pt>
                <c:pt idx="4">
                  <c:v>2012</c:v>
                </c:pt>
              </c:strCache>
            </c:strRef>
          </c:cat>
          <c:val>
            <c:numRef>
              <c:f>Sheet1!$B$6:$F$6</c:f>
              <c:numCache>
                <c:formatCode>General</c:formatCode>
                <c:ptCount val="5"/>
                <c:pt idx="0">
                  <c:v>8816</c:v>
                </c:pt>
                <c:pt idx="1">
                  <c:v>10541</c:v>
                </c:pt>
                <c:pt idx="2">
                  <c:v>12308</c:v>
                </c:pt>
                <c:pt idx="3">
                  <c:v>14732</c:v>
                </c:pt>
                <c:pt idx="4">
                  <c:v>17366</c:v>
                </c:pt>
              </c:numCache>
            </c:numRef>
          </c:val>
        </c:ser>
        <c:ser>
          <c:idx val="5"/>
          <c:order val="5"/>
          <c:tx>
            <c:strRef>
              <c:f>Sheet1!$A$7</c:f>
              <c:strCache>
                <c:ptCount val="1"/>
                <c:pt idx="0">
                  <c:v>University</c:v>
                </c:pt>
              </c:strCache>
            </c:strRef>
          </c:tx>
          <c:invertIfNegative val="0"/>
          <c:cat>
            <c:strRef>
              <c:f>Sheet1!$B$1:$F$1</c:f>
              <c:strCache>
                <c:ptCount val="5"/>
                <c:pt idx="0">
                  <c:v>2008</c:v>
                </c:pt>
                <c:pt idx="1">
                  <c:v>2009</c:v>
                </c:pt>
                <c:pt idx="2">
                  <c:v>2010</c:v>
                </c:pt>
                <c:pt idx="3">
                  <c:v>2011</c:v>
                </c:pt>
                <c:pt idx="4">
                  <c:v>2012</c:v>
                </c:pt>
              </c:strCache>
            </c:strRef>
          </c:cat>
          <c:val>
            <c:numRef>
              <c:f>Sheet1!$B$7:$F$7</c:f>
              <c:numCache>
                <c:formatCode>General</c:formatCode>
                <c:ptCount val="5"/>
                <c:pt idx="0">
                  <c:v>82834</c:v>
                </c:pt>
                <c:pt idx="1">
                  <c:v>77118</c:v>
                </c:pt>
                <c:pt idx="2">
                  <c:v>72733</c:v>
                </c:pt>
                <c:pt idx="3">
                  <c:v>54999</c:v>
                </c:pt>
                <c:pt idx="4">
                  <c:v>47036</c:v>
                </c:pt>
              </c:numCache>
            </c:numRef>
          </c:val>
        </c:ser>
        <c:dLbls>
          <c:showLegendKey val="0"/>
          <c:showVal val="0"/>
          <c:showCatName val="0"/>
          <c:showSerName val="0"/>
          <c:showPercent val="0"/>
          <c:showBubbleSize val="0"/>
        </c:dLbls>
        <c:gapWidth val="300"/>
        <c:overlap val="100"/>
        <c:serLines/>
        <c:axId val="124715008"/>
        <c:axId val="124716928"/>
      </c:barChart>
      <c:catAx>
        <c:axId val="124715008"/>
        <c:scaling>
          <c:orientation val="minMax"/>
        </c:scaling>
        <c:delete val="0"/>
        <c:axPos val="b"/>
        <c:title>
          <c:tx>
            <c:rich>
              <a:bodyPr/>
              <a:lstStyle/>
              <a:p>
                <a:pPr>
                  <a:defRPr sz="999" b="1" i="0" u="none" strike="noStrike" baseline="0">
                    <a:solidFill>
                      <a:srgbClr val="000000"/>
                    </a:solidFill>
                    <a:latin typeface="Calibri"/>
                    <a:ea typeface="Calibri"/>
                    <a:cs typeface="Calibri"/>
                  </a:defRPr>
                </a:pPr>
                <a:r>
                  <a:rPr lang="fr-FR"/>
                  <a:t>Year</a:t>
                </a:r>
              </a:p>
            </c:rich>
          </c:tx>
          <c:overlay val="0"/>
        </c:title>
        <c:numFmt formatCode="General" sourceLinked="1"/>
        <c:majorTickMark val="none"/>
        <c:minorTickMark val="none"/>
        <c:tickLblPos val="nextTo"/>
        <c:crossAx val="124716928"/>
        <c:crosses val="autoZero"/>
        <c:auto val="1"/>
        <c:lblAlgn val="ctr"/>
        <c:lblOffset val="100"/>
        <c:noMultiLvlLbl val="0"/>
      </c:catAx>
      <c:valAx>
        <c:axId val="124716928"/>
        <c:scaling>
          <c:orientation val="minMax"/>
        </c:scaling>
        <c:delete val="0"/>
        <c:axPos val="l"/>
        <c:majorGridlines/>
        <c:title>
          <c:tx>
            <c:rich>
              <a:bodyPr/>
              <a:lstStyle/>
              <a:p>
                <a:pPr>
                  <a:defRPr sz="999" b="1" i="0" u="none" strike="noStrike" baseline="0">
                    <a:solidFill>
                      <a:srgbClr val="000000"/>
                    </a:solidFill>
                    <a:latin typeface="Calibri"/>
                    <a:ea typeface="Calibri"/>
                    <a:cs typeface="Calibri"/>
                  </a:defRPr>
                </a:pPr>
                <a:r>
                  <a:rPr lang="fr-FR"/>
                  <a:t>No. of pupils/students</a:t>
                </a:r>
              </a:p>
            </c:rich>
          </c:tx>
          <c:overlay val="0"/>
        </c:title>
        <c:numFmt formatCode="General" sourceLinked="1"/>
        <c:majorTickMark val="out"/>
        <c:minorTickMark val="none"/>
        <c:tickLblPos val="nextTo"/>
        <c:crossAx val="124715008"/>
        <c:crosses val="autoZero"/>
        <c:crossBetween val="between"/>
      </c:valAx>
    </c:plotArea>
    <c:legend>
      <c:legendPos val="r"/>
      <c:overlay val="0"/>
    </c:legend>
    <c:plotVisOnly val="1"/>
    <c:dispBlanksAs val="gap"/>
    <c:showDLblsOverMax val="0"/>
  </c:chart>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Sheet1!$A$2</c:f>
              <c:strCache>
                <c:ptCount val="1"/>
                <c:pt idx="0">
                  <c:v>Romania</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Sheet1!$B$2:$G$2</c:f>
              <c:numCache>
                <c:formatCode>_(* #,##0.00_);_(* \(#,##0.00\);_(* "-"??_);_(@_)</c:formatCode>
                <c:ptCount val="6"/>
                <c:pt idx="0">
                  <c:v>6.3340712379096855</c:v>
                </c:pt>
                <c:pt idx="1">
                  <c:v>6.3531687366779046</c:v>
                </c:pt>
                <c:pt idx="2">
                  <c:v>6.39203937593006</c:v>
                </c:pt>
                <c:pt idx="3">
                  <c:v>6.0893610744031577</c:v>
                </c:pt>
                <c:pt idx="4">
                  <c:v>5.9875365505865998</c:v>
                </c:pt>
                <c:pt idx="5">
                  <c:v>6.0590894794208374</c:v>
                </c:pt>
              </c:numCache>
            </c:numRef>
          </c:val>
          <c:smooth val="0"/>
        </c:ser>
        <c:ser>
          <c:idx val="1"/>
          <c:order val="1"/>
          <c:tx>
            <c:strRef>
              <c:f>Sheet1!$A$3</c:f>
              <c:strCache>
                <c:ptCount val="1"/>
                <c:pt idx="0">
                  <c:v>Constanta</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Sheet1!$B$3:$G$3</c:f>
              <c:numCache>
                <c:formatCode>_(* #,##0.00_);_(* \(#,##0.00\);_(* "-"??_);_(@_)</c:formatCode>
                <c:ptCount val="6"/>
                <c:pt idx="0">
                  <c:v>5.7226660792976096</c:v>
                </c:pt>
                <c:pt idx="1">
                  <c:v>5.6979938226577351</c:v>
                </c:pt>
                <c:pt idx="2">
                  <c:v>5.8858893801877281</c:v>
                </c:pt>
                <c:pt idx="3">
                  <c:v>5.6999071433308997</c:v>
                </c:pt>
                <c:pt idx="4">
                  <c:v>5.6729191591770398</c:v>
                </c:pt>
                <c:pt idx="5">
                  <c:v>5.7013077685147735</c:v>
                </c:pt>
              </c:numCache>
            </c:numRef>
          </c:val>
          <c:smooth val="0"/>
        </c:ser>
        <c:ser>
          <c:idx val="2"/>
          <c:order val="2"/>
          <c:tx>
            <c:strRef>
              <c:f>Sheet1!$A$4</c:f>
              <c:strCache>
                <c:ptCount val="1"/>
                <c:pt idx="0">
                  <c:v>Calarasi</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Sheet1!$B$4:$G$4</c:f>
              <c:numCache>
                <c:formatCode>_(* #,##0.00_);_(* \(#,##0.00\);_(* "-"??_);_(@_)</c:formatCode>
                <c:ptCount val="6"/>
                <c:pt idx="0">
                  <c:v>4.2733958914532124</c:v>
                </c:pt>
                <c:pt idx="1">
                  <c:v>4.1072207487877286</c:v>
                </c:pt>
                <c:pt idx="2">
                  <c:v>4.1695910163976269</c:v>
                </c:pt>
                <c:pt idx="3">
                  <c:v>4.0166678925605463</c:v>
                </c:pt>
                <c:pt idx="4">
                  <c:v>3.7467011692789782</c:v>
                </c:pt>
                <c:pt idx="5">
                  <c:v>3.7631565369930882</c:v>
                </c:pt>
              </c:numCache>
            </c:numRef>
          </c:val>
          <c:smooth val="0"/>
        </c:ser>
        <c:ser>
          <c:idx val="3"/>
          <c:order val="3"/>
          <c:tx>
            <c:strRef>
              <c:f>Sheet1!$A$5</c:f>
              <c:strCache>
                <c:ptCount val="1"/>
                <c:pt idx="0">
                  <c:v>Giurgiu</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Sheet1!$B$5:$G$5</c:f>
              <c:numCache>
                <c:formatCode>_(* #,##0.00_);_(* \(#,##0.00\);_(* "-"??_);_(@_)</c:formatCode>
                <c:ptCount val="6"/>
                <c:pt idx="0">
                  <c:v>2.8250577692611172</c:v>
                </c:pt>
                <c:pt idx="1">
                  <c:v>2.8481662055349952</c:v>
                </c:pt>
                <c:pt idx="2">
                  <c:v>2.9080270046259242</c:v>
                </c:pt>
                <c:pt idx="3">
                  <c:v>2.9078975935990661</c:v>
                </c:pt>
                <c:pt idx="4">
                  <c:v>2.9194524150696428</c:v>
                </c:pt>
                <c:pt idx="5">
                  <c:v>2.8938941343957367</c:v>
                </c:pt>
              </c:numCache>
            </c:numRef>
          </c:val>
          <c:smooth val="0"/>
        </c:ser>
        <c:ser>
          <c:idx val="4"/>
          <c:order val="4"/>
          <c:tx>
            <c:strRef>
              <c:f>Sheet1!$A$6</c:f>
              <c:strCache>
                <c:ptCount val="1"/>
                <c:pt idx="0">
                  <c:v>Teleorman</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Sheet1!$B$6:$G$6</c:f>
              <c:numCache>
                <c:formatCode>_(* #,##0.00_);_(* \(#,##0.00\);_(* "-"??_);_(@_)</c:formatCode>
                <c:ptCount val="6"/>
                <c:pt idx="0">
                  <c:v>4.8392388451443775</c:v>
                </c:pt>
                <c:pt idx="1">
                  <c:v>4.8600007799399263</c:v>
                </c:pt>
                <c:pt idx="2">
                  <c:v>4.8781692053225472</c:v>
                </c:pt>
                <c:pt idx="3">
                  <c:v>4.8647582230146966</c:v>
                </c:pt>
                <c:pt idx="4">
                  <c:v>4.9229089640915742</c:v>
                </c:pt>
                <c:pt idx="5">
                  <c:v>4.9676070093625224</c:v>
                </c:pt>
              </c:numCache>
            </c:numRef>
          </c:val>
          <c:smooth val="0"/>
        </c:ser>
        <c:ser>
          <c:idx val="5"/>
          <c:order val="5"/>
          <c:tx>
            <c:strRef>
              <c:f>Sheet1!$A$7</c:f>
              <c:strCache>
                <c:ptCount val="1"/>
                <c:pt idx="0">
                  <c:v>Dolj</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Sheet1!$B$7:$G$7</c:f>
              <c:numCache>
                <c:formatCode>_(* #,##0.00_);_(* \(#,##0.00\);_(* "-"??_);_(@_)</c:formatCode>
                <c:ptCount val="6"/>
                <c:pt idx="0">
                  <c:v>6.3988972828500303</c:v>
                </c:pt>
                <c:pt idx="1">
                  <c:v>6.3053263896413103</c:v>
                </c:pt>
                <c:pt idx="2">
                  <c:v>6.335240641635659</c:v>
                </c:pt>
                <c:pt idx="3">
                  <c:v>6.3710542902407026</c:v>
                </c:pt>
                <c:pt idx="4">
                  <c:v>6.4046280076124553</c:v>
                </c:pt>
                <c:pt idx="5">
                  <c:v>6.4497240138122391</c:v>
                </c:pt>
              </c:numCache>
            </c:numRef>
          </c:val>
          <c:smooth val="0"/>
        </c:ser>
        <c:ser>
          <c:idx val="6"/>
          <c:order val="6"/>
          <c:tx>
            <c:strRef>
              <c:f>Sheet1!$A$8</c:f>
              <c:strCache>
                <c:ptCount val="1"/>
                <c:pt idx="0">
                  <c:v>Mehedinti</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Sheet1!$B$8:$G$8</c:f>
              <c:numCache>
                <c:formatCode>_(* #,##0.00_);_(* \(#,##0.00\);_(* "-"??_);_(@_)</c:formatCode>
                <c:ptCount val="6"/>
                <c:pt idx="0">
                  <c:v>5.4568667517809004</c:v>
                </c:pt>
                <c:pt idx="1">
                  <c:v>5.5460218671719286</c:v>
                </c:pt>
                <c:pt idx="2">
                  <c:v>5.6222907692516744</c:v>
                </c:pt>
                <c:pt idx="3">
                  <c:v>5.6119987270344351</c:v>
                </c:pt>
                <c:pt idx="4">
                  <c:v>4.9804058082905662</c:v>
                </c:pt>
                <c:pt idx="5">
                  <c:v>5.0158633185923724</c:v>
                </c:pt>
              </c:numCache>
            </c:numRef>
          </c:val>
          <c:smooth val="0"/>
        </c:ser>
        <c:ser>
          <c:idx val="7"/>
          <c:order val="7"/>
          <c:tx>
            <c:strRef>
              <c:f>Sheet1!$A$9</c:f>
              <c:strCache>
                <c:ptCount val="1"/>
                <c:pt idx="0">
                  <c:v>Olt</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Sheet1!$B$9:$G$9</c:f>
              <c:numCache>
                <c:formatCode>_(* #,##0.00_);_(* \(#,##0.00\);_(* "-"??_);_(@_)</c:formatCode>
                <c:ptCount val="6"/>
                <c:pt idx="0">
                  <c:v>4.5611491497867096</c:v>
                </c:pt>
                <c:pt idx="1">
                  <c:v>4.6012918280042614</c:v>
                </c:pt>
                <c:pt idx="2">
                  <c:v>4.642474052685766</c:v>
                </c:pt>
                <c:pt idx="3">
                  <c:v>4.4320769688980448</c:v>
                </c:pt>
                <c:pt idx="4">
                  <c:v>4.4771839577350265</c:v>
                </c:pt>
                <c:pt idx="5">
                  <c:v>4.5144304063644345</c:v>
                </c:pt>
              </c:numCache>
            </c:numRef>
          </c:val>
          <c:smooth val="0"/>
        </c:ser>
        <c:dLbls>
          <c:showLegendKey val="0"/>
          <c:showVal val="0"/>
          <c:showCatName val="0"/>
          <c:showSerName val="0"/>
          <c:showPercent val="0"/>
          <c:showBubbleSize val="0"/>
        </c:dLbls>
        <c:marker val="1"/>
        <c:smooth val="0"/>
        <c:axId val="125304832"/>
        <c:axId val="125306368"/>
      </c:lineChart>
      <c:catAx>
        <c:axId val="125304832"/>
        <c:scaling>
          <c:orientation val="minMax"/>
        </c:scaling>
        <c:delete val="0"/>
        <c:axPos val="b"/>
        <c:numFmt formatCode="General" sourceLinked="1"/>
        <c:majorTickMark val="out"/>
        <c:minorTickMark val="none"/>
        <c:tickLblPos val="nextTo"/>
        <c:crossAx val="125306368"/>
        <c:crosses val="autoZero"/>
        <c:auto val="1"/>
        <c:lblAlgn val="ctr"/>
        <c:lblOffset val="100"/>
        <c:noMultiLvlLbl val="0"/>
      </c:catAx>
      <c:valAx>
        <c:axId val="125306368"/>
        <c:scaling>
          <c:orientation val="minMax"/>
        </c:scaling>
        <c:delete val="0"/>
        <c:axPos val="l"/>
        <c:majorGridlines/>
        <c:numFmt formatCode="_(* #,##0.00_);_(* \(#,##0.00\);_(* &quot;-&quot;??_);_(@_)" sourceLinked="1"/>
        <c:majorTickMark val="out"/>
        <c:minorTickMark val="none"/>
        <c:tickLblPos val="nextTo"/>
        <c:crossAx val="125304832"/>
        <c:crosses val="autoZero"/>
        <c:crossBetween val="between"/>
      </c:valAx>
    </c:plotArea>
    <c:legend>
      <c:legendPos val="r"/>
      <c:overlay val="0"/>
    </c:legend>
    <c:plotVisOnly val="1"/>
    <c:dispBlanksAs val="gap"/>
    <c:showDLblsOverMax val="0"/>
  </c:chart>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Sheet1!$A$2</c:f>
              <c:strCache>
                <c:ptCount val="1"/>
                <c:pt idx="0">
                  <c:v>Romania</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Sheet1!$B$2:$G$2</c:f>
              <c:numCache>
                <c:formatCode>General</c:formatCode>
                <c:ptCount val="6"/>
                <c:pt idx="0">
                  <c:v>2.2350444715839477</c:v>
                </c:pt>
                <c:pt idx="1">
                  <c:v>2.3348911196241167</c:v>
                </c:pt>
                <c:pt idx="2">
                  <c:v>2.3436857516781551</c:v>
                </c:pt>
                <c:pt idx="3">
                  <c:v>2.4323710548403601</c:v>
                </c:pt>
                <c:pt idx="4">
                  <c:v>2.4536029661225709</c:v>
                </c:pt>
                <c:pt idx="5">
                  <c:v>2.5136439202206367</c:v>
                </c:pt>
              </c:numCache>
            </c:numRef>
          </c:val>
          <c:smooth val="0"/>
        </c:ser>
        <c:ser>
          <c:idx val="1"/>
          <c:order val="1"/>
          <c:tx>
            <c:strRef>
              <c:f>Sheet1!$A$3</c:f>
              <c:strCache>
                <c:ptCount val="1"/>
                <c:pt idx="0">
                  <c:v>Constanta</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Sheet1!$B$3:$G$3</c:f>
              <c:numCache>
                <c:formatCode>General</c:formatCode>
                <c:ptCount val="6"/>
                <c:pt idx="0">
                  <c:v>2.4563550868994799</c:v>
                </c:pt>
                <c:pt idx="1">
                  <c:v>2.5912602973071732</c:v>
                </c:pt>
                <c:pt idx="2">
                  <c:v>2.7926460321154267</c:v>
                </c:pt>
                <c:pt idx="3">
                  <c:v>2.6157392054122202</c:v>
                </c:pt>
                <c:pt idx="4">
                  <c:v>2.6674173521501556</c:v>
                </c:pt>
                <c:pt idx="5">
                  <c:v>2.6436848219928151</c:v>
                </c:pt>
              </c:numCache>
            </c:numRef>
          </c:val>
          <c:smooth val="0"/>
        </c:ser>
        <c:ser>
          <c:idx val="2"/>
          <c:order val="2"/>
          <c:tx>
            <c:strRef>
              <c:f>Sheet1!$A$4</c:f>
              <c:strCache>
                <c:ptCount val="1"/>
                <c:pt idx="0">
                  <c:v>Calarasi</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Sheet1!$B$4:$G$4</c:f>
              <c:numCache>
                <c:formatCode>General</c:formatCode>
                <c:ptCount val="6"/>
                <c:pt idx="0">
                  <c:v>0.85277707329444796</c:v>
                </c:pt>
                <c:pt idx="1">
                  <c:v>0.86601863850408234</c:v>
                </c:pt>
                <c:pt idx="2">
                  <c:v>0.90920691635296358</c:v>
                </c:pt>
                <c:pt idx="3">
                  <c:v>1.0009689891492399</c:v>
                </c:pt>
                <c:pt idx="4">
                  <c:v>0.99847820363818596</c:v>
                </c:pt>
                <c:pt idx="5">
                  <c:v>1.0093127644205981</c:v>
                </c:pt>
              </c:numCache>
            </c:numRef>
          </c:val>
          <c:smooth val="0"/>
        </c:ser>
        <c:ser>
          <c:idx val="3"/>
          <c:order val="3"/>
          <c:tx>
            <c:strRef>
              <c:f>Sheet1!$A$5</c:f>
              <c:strCache>
                <c:ptCount val="1"/>
                <c:pt idx="0">
                  <c:v>Giurgiu</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Sheet1!$B$5:$G$5</c:f>
              <c:numCache>
                <c:formatCode>General</c:formatCode>
                <c:ptCount val="6"/>
                <c:pt idx="0">
                  <c:v>0.91937665558248405</c:v>
                </c:pt>
                <c:pt idx="1">
                  <c:v>0.98712841160778164</c:v>
                </c:pt>
                <c:pt idx="2">
                  <c:v>1.0094856227994957</c:v>
                </c:pt>
                <c:pt idx="3">
                  <c:v>1.0570937396559639</c:v>
                </c:pt>
                <c:pt idx="4">
                  <c:v>1.0612942071917835</c:v>
                </c:pt>
                <c:pt idx="5">
                  <c:v>1.1295869297827295</c:v>
                </c:pt>
              </c:numCache>
            </c:numRef>
          </c:val>
          <c:smooth val="0"/>
        </c:ser>
        <c:ser>
          <c:idx val="4"/>
          <c:order val="4"/>
          <c:tx>
            <c:strRef>
              <c:f>Sheet1!$A$6</c:f>
              <c:strCache>
                <c:ptCount val="1"/>
                <c:pt idx="0">
                  <c:v>Teleorman</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Sheet1!$B$6:$G$6</c:f>
              <c:numCache>
                <c:formatCode>General</c:formatCode>
                <c:ptCount val="6"/>
                <c:pt idx="0">
                  <c:v>1.1651806391848081</c:v>
                </c:pt>
                <c:pt idx="1">
                  <c:v>1.2795889716491831</c:v>
                </c:pt>
                <c:pt idx="2">
                  <c:v>1.303478411138816</c:v>
                </c:pt>
                <c:pt idx="3">
                  <c:v>1.3210765400281199</c:v>
                </c:pt>
                <c:pt idx="4">
                  <c:v>1.3343408280494611</c:v>
                </c:pt>
                <c:pt idx="5">
                  <c:v>1.3652610102931457</c:v>
                </c:pt>
              </c:numCache>
            </c:numRef>
          </c:val>
          <c:smooth val="0"/>
        </c:ser>
        <c:ser>
          <c:idx val="5"/>
          <c:order val="5"/>
          <c:tx>
            <c:strRef>
              <c:f>Sheet1!$A$7</c:f>
              <c:strCache>
                <c:ptCount val="1"/>
                <c:pt idx="0">
                  <c:v>Dolj</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Sheet1!$B$7:$G$7</c:f>
              <c:numCache>
                <c:formatCode>General</c:formatCode>
                <c:ptCount val="6"/>
                <c:pt idx="0">
                  <c:v>2.929092429605813</c:v>
                </c:pt>
                <c:pt idx="1">
                  <c:v>2.9746619030800527</c:v>
                </c:pt>
                <c:pt idx="2">
                  <c:v>2.9549382515414209</c:v>
                </c:pt>
                <c:pt idx="3">
                  <c:v>3.0066606476670712</c:v>
                </c:pt>
                <c:pt idx="4">
                  <c:v>2.9910155318653797</c:v>
                </c:pt>
                <c:pt idx="5">
                  <c:v>3.0282415819189601</c:v>
                </c:pt>
              </c:numCache>
            </c:numRef>
          </c:val>
          <c:smooth val="0"/>
        </c:ser>
        <c:ser>
          <c:idx val="6"/>
          <c:order val="6"/>
          <c:tx>
            <c:strRef>
              <c:f>Sheet1!$A$8</c:f>
              <c:strCache>
                <c:ptCount val="1"/>
                <c:pt idx="0">
                  <c:v>Mehedinti</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Sheet1!$B$8:$G$8</c:f>
              <c:numCache>
                <c:formatCode>General</c:formatCode>
                <c:ptCount val="6"/>
                <c:pt idx="0">
                  <c:v>1.523389190937001</c:v>
                </c:pt>
                <c:pt idx="1">
                  <c:v>1.6149206531157179</c:v>
                </c:pt>
                <c:pt idx="2">
                  <c:v>1.6612085717003464</c:v>
                </c:pt>
                <c:pt idx="3">
                  <c:v>1.6938654694402733</c:v>
                </c:pt>
                <c:pt idx="4">
                  <c:v>1.6095844376966739</c:v>
                </c:pt>
                <c:pt idx="5">
                  <c:v>1.6453420159258001</c:v>
                </c:pt>
              </c:numCache>
            </c:numRef>
          </c:val>
          <c:smooth val="0"/>
        </c:ser>
        <c:ser>
          <c:idx val="7"/>
          <c:order val="7"/>
          <c:tx>
            <c:strRef>
              <c:f>Sheet1!$A$9</c:f>
              <c:strCache>
                <c:ptCount val="1"/>
                <c:pt idx="0">
                  <c:v>Olt</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Sheet1!$B$9:$G$9</c:f>
              <c:numCache>
                <c:formatCode>General</c:formatCode>
                <c:ptCount val="6"/>
                <c:pt idx="0">
                  <c:v>1.3262321597680273</c:v>
                </c:pt>
                <c:pt idx="1">
                  <c:v>1.45837912784701</c:v>
                </c:pt>
                <c:pt idx="2">
                  <c:v>1.4778293608228055</c:v>
                </c:pt>
                <c:pt idx="3">
                  <c:v>1.481659889165819</c:v>
                </c:pt>
                <c:pt idx="4">
                  <c:v>1.5076010027501721</c:v>
                </c:pt>
                <c:pt idx="5">
                  <c:v>1.5661415529114899</c:v>
                </c:pt>
              </c:numCache>
            </c:numRef>
          </c:val>
          <c:smooth val="0"/>
        </c:ser>
        <c:dLbls>
          <c:showLegendKey val="0"/>
          <c:showVal val="0"/>
          <c:showCatName val="0"/>
          <c:showSerName val="0"/>
          <c:showPercent val="0"/>
          <c:showBubbleSize val="0"/>
        </c:dLbls>
        <c:marker val="1"/>
        <c:smooth val="0"/>
        <c:axId val="125385344"/>
        <c:axId val="125395328"/>
      </c:lineChart>
      <c:catAx>
        <c:axId val="125385344"/>
        <c:scaling>
          <c:orientation val="minMax"/>
        </c:scaling>
        <c:delete val="0"/>
        <c:axPos val="b"/>
        <c:numFmt formatCode="General" sourceLinked="1"/>
        <c:majorTickMark val="out"/>
        <c:minorTickMark val="none"/>
        <c:tickLblPos val="nextTo"/>
        <c:crossAx val="125395328"/>
        <c:crosses val="autoZero"/>
        <c:auto val="1"/>
        <c:lblAlgn val="ctr"/>
        <c:lblOffset val="100"/>
        <c:noMultiLvlLbl val="0"/>
      </c:catAx>
      <c:valAx>
        <c:axId val="125395328"/>
        <c:scaling>
          <c:orientation val="minMax"/>
        </c:scaling>
        <c:delete val="0"/>
        <c:axPos val="l"/>
        <c:majorGridlines/>
        <c:numFmt formatCode="General" sourceLinked="1"/>
        <c:majorTickMark val="out"/>
        <c:minorTickMark val="none"/>
        <c:tickLblPos val="nextTo"/>
        <c:crossAx val="125385344"/>
        <c:crosses val="autoZero"/>
        <c:crossBetween val="between"/>
      </c:valAx>
    </c:plotArea>
    <c:legend>
      <c:legendPos val="r"/>
      <c:overlay val="0"/>
    </c:legend>
    <c:plotVisOnly val="1"/>
    <c:dispBlanksAs val="gap"/>
    <c:showDLblsOverMax val="0"/>
  </c:chart>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Sheet1!$B$1</c:f>
              <c:strCache>
                <c:ptCount val="1"/>
                <c:pt idx="0">
                  <c:v>2007</c:v>
                </c:pt>
              </c:strCache>
            </c:strRef>
          </c:tx>
          <c:invertIfNegative val="0"/>
          <c:cat>
            <c:strRef>
              <c:f>Sheet1!$A$2:$A$8</c:f>
              <c:strCache>
                <c:ptCount val="7"/>
                <c:pt idx="0">
                  <c:v>Calarasi</c:v>
                </c:pt>
                <c:pt idx="1">
                  <c:v>Constanta</c:v>
                </c:pt>
                <c:pt idx="2">
                  <c:v>Dolj</c:v>
                </c:pt>
                <c:pt idx="3">
                  <c:v>Giurgiu</c:v>
                </c:pt>
                <c:pt idx="4">
                  <c:v>Mehedinti</c:v>
                </c:pt>
                <c:pt idx="5">
                  <c:v>Olt</c:v>
                </c:pt>
                <c:pt idx="6">
                  <c:v>Teleorman</c:v>
                </c:pt>
              </c:strCache>
            </c:strRef>
          </c:cat>
          <c:val>
            <c:numLit>
              <c:formatCode>General</c:formatCode>
              <c:ptCount val="1"/>
              <c:pt idx="0">
                <c:v>0</c:v>
              </c:pt>
            </c:numLit>
          </c:val>
        </c:ser>
        <c:ser>
          <c:idx val="1"/>
          <c:order val="1"/>
          <c:tx>
            <c:strRef>
              <c:f>Sheet1!$C$1</c:f>
              <c:strCache>
                <c:ptCount val="1"/>
                <c:pt idx="0">
                  <c:v>2008</c:v>
                </c:pt>
              </c:strCache>
            </c:strRef>
          </c:tx>
          <c:invertIfNegative val="0"/>
          <c:cat>
            <c:strRef>
              <c:f>Sheet1!$A$2:$A$8</c:f>
              <c:strCache>
                <c:ptCount val="7"/>
                <c:pt idx="0">
                  <c:v>Calarasi</c:v>
                </c:pt>
                <c:pt idx="1">
                  <c:v>Constanta</c:v>
                </c:pt>
                <c:pt idx="2">
                  <c:v>Dolj</c:v>
                </c:pt>
                <c:pt idx="3">
                  <c:v>Giurgiu</c:v>
                </c:pt>
                <c:pt idx="4">
                  <c:v>Mehedinti</c:v>
                </c:pt>
                <c:pt idx="5">
                  <c:v>Olt</c:v>
                </c:pt>
                <c:pt idx="6">
                  <c:v>Teleorman</c:v>
                </c:pt>
              </c:strCache>
            </c:strRef>
          </c:cat>
          <c:val>
            <c:numRef>
              <c:f>Sheet1!$B$2:$B$8</c:f>
              <c:numCache>
                <c:formatCode>General</c:formatCode>
                <c:ptCount val="7"/>
                <c:pt idx="0">
                  <c:v>4045910</c:v>
                </c:pt>
                <c:pt idx="1">
                  <c:v>10044574</c:v>
                </c:pt>
                <c:pt idx="2">
                  <c:v>10690487</c:v>
                </c:pt>
                <c:pt idx="3">
                  <c:v>4192515</c:v>
                </c:pt>
                <c:pt idx="4">
                  <c:v>4720492</c:v>
                </c:pt>
                <c:pt idx="5">
                  <c:v>6743485</c:v>
                </c:pt>
                <c:pt idx="6">
                  <c:v>5744285</c:v>
                </c:pt>
              </c:numCache>
            </c:numRef>
          </c:val>
        </c:ser>
        <c:ser>
          <c:idx val="2"/>
          <c:order val="2"/>
          <c:tx>
            <c:strRef>
              <c:f>Sheet1!$D$1</c:f>
              <c:strCache>
                <c:ptCount val="1"/>
                <c:pt idx="0">
                  <c:v>2009</c:v>
                </c:pt>
              </c:strCache>
            </c:strRef>
          </c:tx>
          <c:invertIfNegative val="0"/>
          <c:cat>
            <c:strRef>
              <c:f>Sheet1!$A$2:$A$8</c:f>
              <c:strCache>
                <c:ptCount val="7"/>
                <c:pt idx="0">
                  <c:v>Calarasi</c:v>
                </c:pt>
                <c:pt idx="1">
                  <c:v>Constanta</c:v>
                </c:pt>
                <c:pt idx="2">
                  <c:v>Dolj</c:v>
                </c:pt>
                <c:pt idx="3">
                  <c:v>Giurgiu</c:v>
                </c:pt>
                <c:pt idx="4">
                  <c:v>Mehedinti</c:v>
                </c:pt>
                <c:pt idx="5">
                  <c:v>Olt</c:v>
                </c:pt>
                <c:pt idx="6">
                  <c:v>Teleorman</c:v>
                </c:pt>
              </c:strCache>
            </c:strRef>
          </c:cat>
          <c:val>
            <c:numRef>
              <c:f>Sheet1!$C$2:$C$8</c:f>
              <c:numCache>
                <c:formatCode>General</c:formatCode>
                <c:ptCount val="7"/>
                <c:pt idx="0">
                  <c:v>4078831</c:v>
                </c:pt>
                <c:pt idx="1">
                  <c:v>10272986</c:v>
                </c:pt>
                <c:pt idx="2">
                  <c:v>10782154</c:v>
                </c:pt>
                <c:pt idx="3">
                  <c:v>4228743</c:v>
                </c:pt>
                <c:pt idx="4">
                  <c:v>4736229</c:v>
                </c:pt>
                <c:pt idx="5">
                  <c:v>6782980</c:v>
                </c:pt>
                <c:pt idx="6">
                  <c:v>5767834</c:v>
                </c:pt>
              </c:numCache>
            </c:numRef>
          </c:val>
        </c:ser>
        <c:ser>
          <c:idx val="3"/>
          <c:order val="3"/>
          <c:tx>
            <c:strRef>
              <c:f>Sheet1!$E$1</c:f>
              <c:strCache>
                <c:ptCount val="1"/>
                <c:pt idx="0">
                  <c:v>2010</c:v>
                </c:pt>
              </c:strCache>
            </c:strRef>
          </c:tx>
          <c:invertIfNegative val="0"/>
          <c:cat>
            <c:strRef>
              <c:f>Sheet1!$A$2:$A$8</c:f>
              <c:strCache>
                <c:ptCount val="7"/>
                <c:pt idx="0">
                  <c:v>Calarasi</c:v>
                </c:pt>
                <c:pt idx="1">
                  <c:v>Constanta</c:v>
                </c:pt>
                <c:pt idx="2">
                  <c:v>Dolj</c:v>
                </c:pt>
                <c:pt idx="3">
                  <c:v>Giurgiu</c:v>
                </c:pt>
                <c:pt idx="4">
                  <c:v>Mehedinti</c:v>
                </c:pt>
                <c:pt idx="5">
                  <c:v>Olt</c:v>
                </c:pt>
                <c:pt idx="6">
                  <c:v>Teleorman</c:v>
                </c:pt>
              </c:strCache>
            </c:strRef>
          </c:cat>
          <c:val>
            <c:numRef>
              <c:f>Sheet1!$D$2:$D$8</c:f>
              <c:numCache>
                <c:formatCode>General</c:formatCode>
                <c:ptCount val="7"/>
                <c:pt idx="0">
                  <c:v>4112268</c:v>
                </c:pt>
                <c:pt idx="1">
                  <c:v>10505736</c:v>
                </c:pt>
                <c:pt idx="2">
                  <c:v>10869906</c:v>
                </c:pt>
                <c:pt idx="3">
                  <c:v>4274195</c:v>
                </c:pt>
                <c:pt idx="4">
                  <c:v>4745260</c:v>
                </c:pt>
                <c:pt idx="5">
                  <c:v>6819870</c:v>
                </c:pt>
                <c:pt idx="6">
                  <c:v>5783955</c:v>
                </c:pt>
              </c:numCache>
            </c:numRef>
          </c:val>
        </c:ser>
        <c:ser>
          <c:idx val="4"/>
          <c:order val="4"/>
          <c:tx>
            <c:strRef>
              <c:f>Sheet1!$F$1</c:f>
              <c:strCache>
                <c:ptCount val="1"/>
                <c:pt idx="0">
                  <c:v>2011</c:v>
                </c:pt>
              </c:strCache>
            </c:strRef>
          </c:tx>
          <c:invertIfNegative val="0"/>
          <c:cat>
            <c:strRef>
              <c:f>Sheet1!$A$2:$A$8</c:f>
              <c:strCache>
                <c:ptCount val="7"/>
                <c:pt idx="0">
                  <c:v>Calarasi</c:v>
                </c:pt>
                <c:pt idx="1">
                  <c:v>Constanta</c:v>
                </c:pt>
                <c:pt idx="2">
                  <c:v>Dolj</c:v>
                </c:pt>
                <c:pt idx="3">
                  <c:v>Giurgiu</c:v>
                </c:pt>
                <c:pt idx="4">
                  <c:v>Mehedinti</c:v>
                </c:pt>
                <c:pt idx="5">
                  <c:v>Olt</c:v>
                </c:pt>
                <c:pt idx="6">
                  <c:v>Teleorman</c:v>
                </c:pt>
              </c:strCache>
            </c:strRef>
          </c:cat>
          <c:val>
            <c:numRef>
              <c:f>Sheet1!$E$2:$E$8</c:f>
              <c:numCache>
                <c:formatCode>General</c:formatCode>
                <c:ptCount val="7"/>
                <c:pt idx="0">
                  <c:v>4138494</c:v>
                </c:pt>
                <c:pt idx="1">
                  <c:v>10679349</c:v>
                </c:pt>
                <c:pt idx="2">
                  <c:v>10936755</c:v>
                </c:pt>
                <c:pt idx="3">
                  <c:v>4315302</c:v>
                </c:pt>
                <c:pt idx="4">
                  <c:v>4756155</c:v>
                </c:pt>
                <c:pt idx="5">
                  <c:v>6850582</c:v>
                </c:pt>
                <c:pt idx="6">
                  <c:v>5804166</c:v>
                </c:pt>
              </c:numCache>
            </c:numRef>
          </c:val>
        </c:ser>
        <c:ser>
          <c:idx val="5"/>
          <c:order val="5"/>
          <c:tx>
            <c:strRef>
              <c:f>Sheet1!$G$1</c:f>
              <c:strCache>
                <c:ptCount val="1"/>
                <c:pt idx="0">
                  <c:v>2012</c:v>
                </c:pt>
              </c:strCache>
            </c:strRef>
          </c:tx>
          <c:invertIfNegative val="0"/>
          <c:cat>
            <c:strRef>
              <c:f>Sheet1!$A$2:$A$8</c:f>
              <c:strCache>
                <c:ptCount val="7"/>
                <c:pt idx="0">
                  <c:v>Calarasi</c:v>
                </c:pt>
                <c:pt idx="1">
                  <c:v>Constanta</c:v>
                </c:pt>
                <c:pt idx="2">
                  <c:v>Dolj</c:v>
                </c:pt>
                <c:pt idx="3">
                  <c:v>Giurgiu</c:v>
                </c:pt>
                <c:pt idx="4">
                  <c:v>Mehedinti</c:v>
                </c:pt>
                <c:pt idx="5">
                  <c:v>Olt</c:v>
                </c:pt>
                <c:pt idx="6">
                  <c:v>Teleorman</c:v>
                </c:pt>
              </c:strCache>
            </c:strRef>
          </c:cat>
          <c:val>
            <c:numRef>
              <c:f>Sheet1!$F$2:$F$8</c:f>
              <c:numCache>
                <c:formatCode>General</c:formatCode>
                <c:ptCount val="7"/>
                <c:pt idx="0">
                  <c:v>4164448</c:v>
                </c:pt>
                <c:pt idx="1">
                  <c:v>10847170</c:v>
                </c:pt>
                <c:pt idx="2">
                  <c:v>10991081</c:v>
                </c:pt>
                <c:pt idx="3">
                  <c:v>4352520</c:v>
                </c:pt>
                <c:pt idx="4">
                  <c:v>4777635</c:v>
                </c:pt>
                <c:pt idx="5">
                  <c:v>6884624</c:v>
                </c:pt>
                <c:pt idx="6">
                  <c:v>5826448</c:v>
                </c:pt>
              </c:numCache>
            </c:numRef>
          </c:val>
        </c:ser>
        <c:ser>
          <c:idx val="6"/>
          <c:order val="6"/>
          <c:tx>
            <c:strRef>
              <c:f>Sheet1!$H$1</c:f>
              <c:strCache>
                <c:ptCount val="1"/>
              </c:strCache>
            </c:strRef>
          </c:tx>
          <c:invertIfNegative val="0"/>
          <c:cat>
            <c:strRef>
              <c:f>Sheet1!$A$2:$A$8</c:f>
              <c:strCache>
                <c:ptCount val="7"/>
                <c:pt idx="0">
                  <c:v>Calarasi</c:v>
                </c:pt>
                <c:pt idx="1">
                  <c:v>Constanta</c:v>
                </c:pt>
                <c:pt idx="2">
                  <c:v>Dolj</c:v>
                </c:pt>
                <c:pt idx="3">
                  <c:v>Giurgiu</c:v>
                </c:pt>
                <c:pt idx="4">
                  <c:v>Mehedinti</c:v>
                </c:pt>
                <c:pt idx="5">
                  <c:v>Olt</c:v>
                </c:pt>
                <c:pt idx="6">
                  <c:v>Teleorman</c:v>
                </c:pt>
              </c:strCache>
            </c:strRef>
          </c:cat>
          <c:val>
            <c:numRef>
              <c:f>Sheet1!$G$2:$G$8</c:f>
              <c:numCache>
                <c:formatCode>General</c:formatCode>
                <c:ptCount val="7"/>
                <c:pt idx="0">
                  <c:v>4194769</c:v>
                </c:pt>
                <c:pt idx="1">
                  <c:v>11040730</c:v>
                </c:pt>
                <c:pt idx="2">
                  <c:v>11045484</c:v>
                </c:pt>
                <c:pt idx="3">
                  <c:v>4388588</c:v>
                </c:pt>
                <c:pt idx="4">
                  <c:v>4796607</c:v>
                </c:pt>
                <c:pt idx="5">
                  <c:v>6925622</c:v>
                </c:pt>
                <c:pt idx="6">
                  <c:v>5843574</c:v>
                </c:pt>
              </c:numCache>
            </c:numRef>
          </c:val>
        </c:ser>
        <c:dLbls>
          <c:showLegendKey val="0"/>
          <c:showVal val="0"/>
          <c:showCatName val="0"/>
          <c:showSerName val="0"/>
          <c:showPercent val="0"/>
          <c:showBubbleSize val="0"/>
        </c:dLbls>
        <c:gapWidth val="150"/>
        <c:axId val="126366464"/>
        <c:axId val="126368000"/>
      </c:barChart>
      <c:catAx>
        <c:axId val="126366464"/>
        <c:scaling>
          <c:orientation val="minMax"/>
        </c:scaling>
        <c:delete val="0"/>
        <c:axPos val="b"/>
        <c:numFmt formatCode="General" sourceLinked="1"/>
        <c:majorTickMark val="out"/>
        <c:minorTickMark val="none"/>
        <c:tickLblPos val="nextTo"/>
        <c:crossAx val="126368000"/>
        <c:crosses val="autoZero"/>
        <c:auto val="1"/>
        <c:lblAlgn val="ctr"/>
        <c:lblOffset val="100"/>
        <c:noMultiLvlLbl val="0"/>
      </c:catAx>
      <c:valAx>
        <c:axId val="126368000"/>
        <c:scaling>
          <c:orientation val="minMax"/>
        </c:scaling>
        <c:delete val="0"/>
        <c:axPos val="l"/>
        <c:majorGridlines/>
        <c:numFmt formatCode="General" sourceLinked="1"/>
        <c:majorTickMark val="out"/>
        <c:minorTickMark val="none"/>
        <c:tickLblPos val="nextTo"/>
        <c:crossAx val="126366464"/>
        <c:crosses val="autoZero"/>
        <c:crossBetween val="between"/>
      </c:valAx>
    </c:plotArea>
    <c:legend>
      <c:legendPos val="r"/>
      <c:layout>
        <c:manualLayout>
          <c:xMode val="edge"/>
          <c:yMode val="edge"/>
          <c:x val="0.86583129694995165"/>
          <c:y val="0.15833866469816299"/>
          <c:w val="0.120279663317947"/>
          <c:h val="0.71378731955380692"/>
        </c:manualLayout>
      </c:layout>
      <c:overlay val="0"/>
    </c:legend>
    <c:plotVisOnly val="1"/>
    <c:dispBlanksAs val="gap"/>
    <c:showDLblsOverMax val="0"/>
  </c:chart>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Sheet1!$A$2</c:f>
              <c:strCache>
                <c:ptCount val="1"/>
                <c:pt idx="0">
                  <c:v>Romania</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Sheet1!$B$2:$G$2</c:f>
              <c:numCache>
                <c:formatCode>General</c:formatCode>
                <c:ptCount val="6"/>
                <c:pt idx="0">
                  <c:v>14.738316999999997</c:v>
                </c:pt>
                <c:pt idx="1">
                  <c:v>14.966375000000001</c:v>
                </c:pt>
                <c:pt idx="2">
                  <c:v>15.182992</c:v>
                </c:pt>
                <c:pt idx="3">
                  <c:v>15.376252000000004</c:v>
                </c:pt>
                <c:pt idx="4">
                  <c:v>15.567012</c:v>
                </c:pt>
                <c:pt idx="5">
                  <c:v>15.757836000000021</c:v>
                </c:pt>
              </c:numCache>
            </c:numRef>
          </c:val>
          <c:smooth val="0"/>
        </c:ser>
        <c:ser>
          <c:idx val="1"/>
          <c:order val="1"/>
          <c:tx>
            <c:strRef>
              <c:f>Sheet1!$A$3</c:f>
              <c:strCache>
                <c:ptCount val="1"/>
                <c:pt idx="0">
                  <c:v>Calarasi</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Sheet1!$B$3:$G$3</c:f>
              <c:numCache>
                <c:formatCode>General</c:formatCode>
                <c:ptCount val="6"/>
                <c:pt idx="0">
                  <c:v>5.6402903999999987</c:v>
                </c:pt>
                <c:pt idx="1">
                  <c:v>5.6671918999999731</c:v>
                </c:pt>
                <c:pt idx="2">
                  <c:v>5.6964825999999826</c:v>
                </c:pt>
                <c:pt idx="3">
                  <c:v>5.7185531000000003</c:v>
                </c:pt>
                <c:pt idx="4">
                  <c:v>5.7466740000000014</c:v>
                </c:pt>
                <c:pt idx="5">
                  <c:v>5.787915999999977</c:v>
                </c:pt>
              </c:numCache>
            </c:numRef>
          </c:val>
          <c:smooth val="0"/>
        </c:ser>
        <c:ser>
          <c:idx val="2"/>
          <c:order val="2"/>
          <c:tx>
            <c:strRef>
              <c:f>Sheet1!$A$4</c:f>
              <c:strCache>
                <c:ptCount val="1"/>
                <c:pt idx="0">
                  <c:v>Constanta</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Sheet1!$B$4:$G$4</c:f>
              <c:numCache>
                <c:formatCode>General</c:formatCode>
                <c:ptCount val="6"/>
                <c:pt idx="0">
                  <c:v>31.84305700000003</c:v>
                </c:pt>
                <c:pt idx="1">
                  <c:v>32.708078000000071</c:v>
                </c:pt>
                <c:pt idx="2">
                  <c:v>33.515396000000003</c:v>
                </c:pt>
                <c:pt idx="3">
                  <c:v>34.152387000000004</c:v>
                </c:pt>
                <c:pt idx="4">
                  <c:v>34.825282000000001</c:v>
                </c:pt>
                <c:pt idx="5">
                  <c:v>35.60239500000008</c:v>
                </c:pt>
              </c:numCache>
            </c:numRef>
          </c:val>
          <c:smooth val="0"/>
        </c:ser>
        <c:ser>
          <c:idx val="3"/>
          <c:order val="3"/>
          <c:tx>
            <c:strRef>
              <c:f>Sheet1!$A$5</c:f>
              <c:strCache>
                <c:ptCount val="1"/>
                <c:pt idx="0">
                  <c:v>Dolj</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Sheet1!$B$5:$G$5</c:f>
              <c:numCache>
                <c:formatCode>General</c:formatCode>
                <c:ptCount val="6"/>
                <c:pt idx="0">
                  <c:v>37.657411000000003</c:v>
                </c:pt>
                <c:pt idx="1">
                  <c:v>38.148282000000002</c:v>
                </c:pt>
                <c:pt idx="2">
                  <c:v>38.501803000000002</c:v>
                </c:pt>
                <c:pt idx="3">
                  <c:v>38.926516000000063</c:v>
                </c:pt>
                <c:pt idx="4">
                  <c:v>39.275322000000109</c:v>
                </c:pt>
                <c:pt idx="5">
                  <c:v>39.608998000000071</c:v>
                </c:pt>
              </c:numCache>
            </c:numRef>
          </c:val>
          <c:smooth val="0"/>
        </c:ser>
        <c:ser>
          <c:idx val="4"/>
          <c:order val="4"/>
          <c:tx>
            <c:strRef>
              <c:f>Sheet1!$A$6</c:f>
              <c:strCache>
                <c:ptCount val="1"/>
                <c:pt idx="0">
                  <c:v>Giurgiu</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Sheet1!$B$6:$G$6</c:f>
              <c:numCache>
                <c:formatCode>General</c:formatCode>
                <c:ptCount val="6"/>
                <c:pt idx="0">
                  <c:v>10.113949</c:v>
                </c:pt>
                <c:pt idx="1">
                  <c:v>10.306767000000002</c:v>
                </c:pt>
                <c:pt idx="2">
                  <c:v>10.551744000000021</c:v>
                </c:pt>
                <c:pt idx="3">
                  <c:v>10.776643</c:v>
                </c:pt>
                <c:pt idx="4">
                  <c:v>10.999517000000004</c:v>
                </c:pt>
                <c:pt idx="5">
                  <c:v>11.220165</c:v>
                </c:pt>
              </c:numCache>
            </c:numRef>
          </c:val>
          <c:smooth val="0"/>
        </c:ser>
        <c:ser>
          <c:idx val="5"/>
          <c:order val="5"/>
          <c:tx>
            <c:strRef>
              <c:f>Sheet1!$A$7</c:f>
              <c:strCache>
                <c:ptCount val="1"/>
                <c:pt idx="0">
                  <c:v>Mehedinti</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Sheet1!$B$7:$G$7</c:f>
              <c:numCache>
                <c:formatCode>General</c:formatCode>
                <c:ptCount val="6"/>
                <c:pt idx="0">
                  <c:v>6.6125094999999865</c:v>
                </c:pt>
                <c:pt idx="1">
                  <c:v>6.6644654999999817</c:v>
                </c:pt>
                <c:pt idx="2">
                  <c:v>6.7058586</c:v>
                </c:pt>
                <c:pt idx="3">
                  <c:v>6.7517205000000002</c:v>
                </c:pt>
                <c:pt idx="4">
                  <c:v>6.8209930999999946</c:v>
                </c:pt>
                <c:pt idx="5">
                  <c:v>6.8840211999999976</c:v>
                </c:pt>
              </c:numCache>
            </c:numRef>
          </c:val>
          <c:smooth val="0"/>
        </c:ser>
        <c:ser>
          <c:idx val="6"/>
          <c:order val="6"/>
          <c:tx>
            <c:strRef>
              <c:f>Sheet1!$A$8</c:f>
              <c:strCache>
                <c:ptCount val="1"/>
                <c:pt idx="0">
                  <c:v>Olt</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Sheet1!$B$8:$G$8</c:f>
              <c:numCache>
                <c:formatCode>General</c:formatCode>
                <c:ptCount val="6"/>
                <c:pt idx="0">
                  <c:v>22.479108</c:v>
                </c:pt>
                <c:pt idx="1">
                  <c:v>22.868422999999879</c:v>
                </c:pt>
                <c:pt idx="2">
                  <c:v>23.168151999999999</c:v>
                </c:pt>
                <c:pt idx="3">
                  <c:v>23.44235199999995</c:v>
                </c:pt>
                <c:pt idx="4">
                  <c:v>23.728873</c:v>
                </c:pt>
                <c:pt idx="5">
                  <c:v>24.040119999999959</c:v>
                </c:pt>
              </c:numCache>
            </c:numRef>
          </c:val>
          <c:smooth val="0"/>
        </c:ser>
        <c:ser>
          <c:idx val="7"/>
          <c:order val="7"/>
          <c:tx>
            <c:strRef>
              <c:f>Sheet1!$A$9</c:f>
              <c:strCache>
                <c:ptCount val="1"/>
                <c:pt idx="0">
                  <c:v>Teleorman</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Sheet1!$B$9:$G$9</c:f>
              <c:numCache>
                <c:formatCode>General</c:formatCode>
                <c:ptCount val="6"/>
                <c:pt idx="0">
                  <c:v>12.035159</c:v>
                </c:pt>
                <c:pt idx="1">
                  <c:v>12.190853000000001</c:v>
                </c:pt>
                <c:pt idx="2">
                  <c:v>12.334341</c:v>
                </c:pt>
                <c:pt idx="3">
                  <c:v>12.481567</c:v>
                </c:pt>
                <c:pt idx="4">
                  <c:v>12.657001000000001</c:v>
                </c:pt>
                <c:pt idx="5">
                  <c:v>12.799810000000001</c:v>
                </c:pt>
              </c:numCache>
            </c:numRef>
          </c:val>
          <c:smooth val="0"/>
        </c:ser>
        <c:dLbls>
          <c:showLegendKey val="0"/>
          <c:showVal val="0"/>
          <c:showCatName val="0"/>
          <c:showSerName val="0"/>
          <c:showPercent val="0"/>
          <c:showBubbleSize val="0"/>
        </c:dLbls>
        <c:marker val="1"/>
        <c:smooth val="0"/>
        <c:axId val="125197696"/>
        <c:axId val="125211776"/>
      </c:lineChart>
      <c:catAx>
        <c:axId val="125197696"/>
        <c:scaling>
          <c:orientation val="minMax"/>
        </c:scaling>
        <c:delete val="0"/>
        <c:axPos val="b"/>
        <c:numFmt formatCode="General" sourceLinked="1"/>
        <c:majorTickMark val="out"/>
        <c:minorTickMark val="none"/>
        <c:tickLblPos val="nextTo"/>
        <c:crossAx val="125211776"/>
        <c:crosses val="autoZero"/>
        <c:auto val="1"/>
        <c:lblAlgn val="ctr"/>
        <c:lblOffset val="100"/>
        <c:noMultiLvlLbl val="0"/>
      </c:catAx>
      <c:valAx>
        <c:axId val="125211776"/>
        <c:scaling>
          <c:orientation val="minMax"/>
        </c:scaling>
        <c:delete val="0"/>
        <c:axPos val="l"/>
        <c:majorGridlines/>
        <c:numFmt formatCode="General" sourceLinked="1"/>
        <c:majorTickMark val="out"/>
        <c:minorTickMark val="none"/>
        <c:tickLblPos val="nextTo"/>
        <c:crossAx val="125197696"/>
        <c:crosses val="autoZero"/>
        <c:crossBetween val="between"/>
      </c:valAx>
    </c:plotArea>
    <c:legend>
      <c:legendPos val="r"/>
      <c:overlay val="0"/>
    </c:legend>
    <c:plotVisOnly val="1"/>
    <c:dispBlanksAs val="gap"/>
    <c:showDLblsOverMax val="0"/>
  </c:chart>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Sheet1!$A$2</c:f>
              <c:strCache>
                <c:ptCount val="1"/>
                <c:pt idx="0">
                  <c:v>Romania</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Sheet1!$B$2:$G$2</c:f>
              <c:numCache>
                <c:formatCode>General</c:formatCode>
                <c:ptCount val="6"/>
                <c:pt idx="0">
                  <c:v>38.42955975473938</c:v>
                </c:pt>
                <c:pt idx="1">
                  <c:v>38.686340772822732</c:v>
                </c:pt>
                <c:pt idx="2">
                  <c:v>38.928372569401553</c:v>
                </c:pt>
                <c:pt idx="3">
                  <c:v>39.156417207951506</c:v>
                </c:pt>
                <c:pt idx="4">
                  <c:v>39.366525103473961</c:v>
                </c:pt>
                <c:pt idx="5">
                  <c:v>39.561233557443991</c:v>
                </c:pt>
              </c:numCache>
            </c:numRef>
          </c:val>
          <c:smooth val="0"/>
        </c:ser>
        <c:ser>
          <c:idx val="1"/>
          <c:order val="1"/>
          <c:tx>
            <c:strRef>
              <c:f>Sheet1!$A$3</c:f>
              <c:strCache>
                <c:ptCount val="1"/>
                <c:pt idx="0">
                  <c:v>Calarasi</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Sheet1!$B$3:$G$3</c:f>
              <c:numCache>
                <c:formatCode>General</c:formatCode>
                <c:ptCount val="6"/>
                <c:pt idx="0">
                  <c:v>34.826894604551882</c:v>
                </c:pt>
                <c:pt idx="1">
                  <c:v>34.967902610484813</c:v>
                </c:pt>
                <c:pt idx="2">
                  <c:v>35.074443041861301</c:v>
                </c:pt>
                <c:pt idx="3">
                  <c:v>35.187385748174179</c:v>
                </c:pt>
                <c:pt idx="4">
                  <c:v>35.313778863195026</c:v>
                </c:pt>
                <c:pt idx="5">
                  <c:v>35.446156056176157</c:v>
                </c:pt>
              </c:numCache>
            </c:numRef>
          </c:val>
          <c:smooth val="0"/>
        </c:ser>
        <c:ser>
          <c:idx val="2"/>
          <c:order val="2"/>
          <c:tx>
            <c:strRef>
              <c:f>Sheet1!$A$4</c:f>
              <c:strCache>
                <c:ptCount val="1"/>
                <c:pt idx="0">
                  <c:v>Constanta</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Sheet1!$B$4:$G$4</c:f>
              <c:numCache>
                <c:formatCode>General</c:formatCode>
                <c:ptCount val="6"/>
                <c:pt idx="0">
                  <c:v>39.057501924766846</c:v>
                </c:pt>
                <c:pt idx="1">
                  <c:v>39.44745835605287</c:v>
                </c:pt>
                <c:pt idx="2">
                  <c:v>39.774266092210674</c:v>
                </c:pt>
                <c:pt idx="3">
                  <c:v>40.043003858311096</c:v>
                </c:pt>
                <c:pt idx="4">
                  <c:v>40.287059837249807</c:v>
                </c:pt>
                <c:pt idx="5">
                  <c:v>40.522388607502023</c:v>
                </c:pt>
              </c:numCache>
            </c:numRef>
          </c:val>
          <c:smooth val="0"/>
        </c:ser>
        <c:ser>
          <c:idx val="3"/>
          <c:order val="3"/>
          <c:tx>
            <c:strRef>
              <c:f>Sheet1!$A$5</c:f>
              <c:strCache>
                <c:ptCount val="1"/>
                <c:pt idx="0">
                  <c:v>Dolj</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Sheet1!$B$5:$G$5</c:f>
              <c:numCache>
                <c:formatCode>General</c:formatCode>
                <c:ptCount val="6"/>
                <c:pt idx="0">
                  <c:v>38.913411593411389</c:v>
                </c:pt>
                <c:pt idx="1">
                  <c:v>39.051626222383035</c:v>
                </c:pt>
                <c:pt idx="2">
                  <c:v>39.207001774609999</c:v>
                </c:pt>
                <c:pt idx="3">
                  <c:v>39.33362944208077</c:v>
                </c:pt>
                <c:pt idx="4">
                  <c:v>39.438517487234876</c:v>
                </c:pt>
                <c:pt idx="5">
                  <c:v>39.536974131173253</c:v>
                </c:pt>
              </c:numCache>
            </c:numRef>
          </c:val>
          <c:smooth val="0"/>
        </c:ser>
        <c:ser>
          <c:idx val="4"/>
          <c:order val="4"/>
          <c:tx>
            <c:strRef>
              <c:f>Sheet1!$A$6</c:f>
              <c:strCache>
                <c:ptCount val="1"/>
                <c:pt idx="0">
                  <c:v>Giurgiu</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Sheet1!$B$6:$G$6</c:f>
              <c:numCache>
                <c:formatCode>General</c:formatCode>
                <c:ptCount val="6"/>
                <c:pt idx="0">
                  <c:v>37.7938989101334</c:v>
                </c:pt>
                <c:pt idx="1">
                  <c:v>38.007414997168823</c:v>
                </c:pt>
                <c:pt idx="2">
                  <c:v>38.2700899852262</c:v>
                </c:pt>
                <c:pt idx="3">
                  <c:v>38.484125851674797</c:v>
                </c:pt>
                <c:pt idx="4">
                  <c:v>38.682189832918603</c:v>
                </c:pt>
                <c:pt idx="5">
                  <c:v>38.868707266092748</c:v>
                </c:pt>
              </c:numCache>
            </c:numRef>
          </c:val>
          <c:smooth val="0"/>
        </c:ser>
        <c:ser>
          <c:idx val="5"/>
          <c:order val="5"/>
          <c:tx>
            <c:strRef>
              <c:f>Sheet1!$A$7</c:f>
              <c:strCache>
                <c:ptCount val="1"/>
                <c:pt idx="0">
                  <c:v>Mehedinti</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Sheet1!$B$7:$G$7</c:f>
              <c:numCache>
                <c:formatCode>General</c:formatCode>
                <c:ptCount val="6"/>
                <c:pt idx="0">
                  <c:v>36.059889845462614</c:v>
                </c:pt>
                <c:pt idx="1">
                  <c:v>36.126015422988146</c:v>
                </c:pt>
                <c:pt idx="2">
                  <c:v>36.173378766742125</c:v>
                </c:pt>
                <c:pt idx="3">
                  <c:v>36.224675542286143</c:v>
                </c:pt>
                <c:pt idx="4">
                  <c:v>36.314151287586107</c:v>
                </c:pt>
                <c:pt idx="5">
                  <c:v>36.396662796785733</c:v>
                </c:pt>
              </c:numCache>
            </c:numRef>
          </c:val>
          <c:smooth val="0"/>
        </c:ser>
        <c:ser>
          <c:idx val="6"/>
          <c:order val="6"/>
          <c:tx>
            <c:strRef>
              <c:f>Sheet1!$A$8</c:f>
              <c:strCache>
                <c:ptCount val="1"/>
                <c:pt idx="0">
                  <c:v>Olt</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Sheet1!$B$8:$G$8</c:f>
              <c:numCache>
                <c:formatCode>General</c:formatCode>
                <c:ptCount val="6"/>
                <c:pt idx="0">
                  <c:v>35.849769276570406</c:v>
                </c:pt>
                <c:pt idx="1">
                  <c:v>35.931939419302338</c:v>
                </c:pt>
                <c:pt idx="2">
                  <c:v>35.996928062832197</c:v>
                </c:pt>
                <c:pt idx="3">
                  <c:v>36.071452265989883</c:v>
                </c:pt>
                <c:pt idx="4">
                  <c:v>36.1790712217474</c:v>
                </c:pt>
                <c:pt idx="5">
                  <c:v>36.293053845146083</c:v>
                </c:pt>
              </c:numCache>
            </c:numRef>
          </c:val>
          <c:smooth val="0"/>
        </c:ser>
        <c:ser>
          <c:idx val="7"/>
          <c:order val="7"/>
          <c:tx>
            <c:strRef>
              <c:f>Sheet1!$A$9</c:f>
              <c:strCache>
                <c:ptCount val="1"/>
                <c:pt idx="0">
                  <c:v>Teleorman</c:v>
                </c:pt>
              </c:strCache>
            </c:strRef>
          </c:tx>
          <c:marker>
            <c:symbol val="none"/>
          </c:marker>
          <c:cat>
            <c:strRef>
              <c:f>Sheet1!$B$1:$G$1</c:f>
              <c:strCache>
                <c:ptCount val="6"/>
                <c:pt idx="0">
                  <c:v>2007</c:v>
                </c:pt>
                <c:pt idx="1">
                  <c:v>2008</c:v>
                </c:pt>
                <c:pt idx="2">
                  <c:v>2009</c:v>
                </c:pt>
                <c:pt idx="3">
                  <c:v>2010</c:v>
                </c:pt>
                <c:pt idx="4">
                  <c:v>2011</c:v>
                </c:pt>
                <c:pt idx="5">
                  <c:v>2012</c:v>
                </c:pt>
              </c:strCache>
            </c:strRef>
          </c:cat>
          <c:val>
            <c:numRef>
              <c:f>Sheet1!$B$9:$G$9</c:f>
              <c:numCache>
                <c:formatCode>General</c:formatCode>
                <c:ptCount val="6"/>
                <c:pt idx="0">
                  <c:v>34.376125816123213</c:v>
                </c:pt>
                <c:pt idx="1">
                  <c:v>34.465282757301978</c:v>
                </c:pt>
                <c:pt idx="2">
                  <c:v>34.513560282841546</c:v>
                </c:pt>
                <c:pt idx="3">
                  <c:v>34.605871620896394</c:v>
                </c:pt>
                <c:pt idx="4">
                  <c:v>34.702720731881662</c:v>
                </c:pt>
                <c:pt idx="5">
                  <c:v>34.774898833611047</c:v>
                </c:pt>
              </c:numCache>
            </c:numRef>
          </c:val>
          <c:smooth val="0"/>
        </c:ser>
        <c:dLbls>
          <c:showLegendKey val="0"/>
          <c:showVal val="0"/>
          <c:showCatName val="0"/>
          <c:showSerName val="0"/>
          <c:showPercent val="0"/>
          <c:showBubbleSize val="0"/>
        </c:dLbls>
        <c:marker val="1"/>
        <c:smooth val="0"/>
        <c:axId val="125122816"/>
        <c:axId val="125136896"/>
      </c:lineChart>
      <c:catAx>
        <c:axId val="125122816"/>
        <c:scaling>
          <c:orientation val="minMax"/>
        </c:scaling>
        <c:delete val="0"/>
        <c:axPos val="b"/>
        <c:numFmt formatCode="General" sourceLinked="1"/>
        <c:majorTickMark val="out"/>
        <c:minorTickMark val="none"/>
        <c:tickLblPos val="nextTo"/>
        <c:crossAx val="125136896"/>
        <c:crosses val="autoZero"/>
        <c:auto val="1"/>
        <c:lblAlgn val="ctr"/>
        <c:lblOffset val="100"/>
        <c:noMultiLvlLbl val="0"/>
      </c:catAx>
      <c:valAx>
        <c:axId val="125136896"/>
        <c:scaling>
          <c:orientation val="minMax"/>
        </c:scaling>
        <c:delete val="0"/>
        <c:axPos val="l"/>
        <c:majorGridlines/>
        <c:numFmt formatCode="General" sourceLinked="1"/>
        <c:majorTickMark val="out"/>
        <c:minorTickMark val="none"/>
        <c:tickLblPos val="nextTo"/>
        <c:crossAx val="125122816"/>
        <c:crosses val="autoZero"/>
        <c:crossBetween val="between"/>
      </c:valAx>
    </c:plotArea>
    <c:legend>
      <c:legendPos val="r"/>
      <c:overlay val="0"/>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0"/>
          <c:order val="0"/>
          <c:tx>
            <c:strRef>
              <c:f>Sheet1!$A$2</c:f>
              <c:strCache>
                <c:ptCount val="1"/>
                <c:pt idx="0">
                  <c:v>Agriculture</c:v>
                </c:pt>
              </c:strCache>
            </c:strRef>
          </c:tx>
          <c:invertIfNegative val="0"/>
          <c:cat>
            <c:strRef>
              <c:f>Sheet1!$B$1:$I$1</c:f>
              <c:strCache>
                <c:ptCount val="8"/>
                <c:pt idx="0">
                  <c:v>Veliko Turnovo</c:v>
                </c:pt>
                <c:pt idx="1">
                  <c:v>Vidin</c:v>
                </c:pt>
                <c:pt idx="2">
                  <c:v>Vratsa</c:v>
                </c:pt>
                <c:pt idx="3">
                  <c:v>Dobrich</c:v>
                </c:pt>
                <c:pt idx="4">
                  <c:v>Montana</c:v>
                </c:pt>
                <c:pt idx="5">
                  <c:v>Pleven</c:v>
                </c:pt>
                <c:pt idx="6">
                  <c:v>Ruse</c:v>
                </c:pt>
                <c:pt idx="7">
                  <c:v>Silistra</c:v>
                </c:pt>
              </c:strCache>
            </c:strRef>
          </c:cat>
          <c:val>
            <c:numRef>
              <c:f>Sheet1!$B$2:$I$2</c:f>
              <c:numCache>
                <c:formatCode>0</c:formatCode>
                <c:ptCount val="8"/>
                <c:pt idx="0">
                  <c:v>270.29144084262163</c:v>
                </c:pt>
                <c:pt idx="1">
                  <c:v>32.750792514572062</c:v>
                </c:pt>
                <c:pt idx="2">
                  <c:v>147.86890275079261</c:v>
                </c:pt>
                <c:pt idx="3">
                  <c:v>418.28049902853024</c:v>
                </c:pt>
                <c:pt idx="4">
                  <c:v>103.519275999591</c:v>
                </c:pt>
                <c:pt idx="5">
                  <c:v>263.3321403006442</c:v>
                </c:pt>
                <c:pt idx="6">
                  <c:v>225.97453727374958</c:v>
                </c:pt>
                <c:pt idx="7">
                  <c:v>177.95991410164638</c:v>
                </c:pt>
              </c:numCache>
            </c:numRef>
          </c:val>
        </c:ser>
        <c:ser>
          <c:idx val="1"/>
          <c:order val="1"/>
          <c:tx>
            <c:strRef>
              <c:f>Sheet1!$A$3</c:f>
              <c:strCache>
                <c:ptCount val="1"/>
                <c:pt idx="0">
                  <c:v>Industry</c:v>
                </c:pt>
              </c:strCache>
            </c:strRef>
          </c:tx>
          <c:invertIfNegative val="0"/>
          <c:cat>
            <c:strRef>
              <c:f>Sheet1!$B$1:$I$1</c:f>
              <c:strCache>
                <c:ptCount val="8"/>
                <c:pt idx="0">
                  <c:v>Veliko Turnovo</c:v>
                </c:pt>
                <c:pt idx="1">
                  <c:v>Vidin</c:v>
                </c:pt>
                <c:pt idx="2">
                  <c:v>Vratsa</c:v>
                </c:pt>
                <c:pt idx="3">
                  <c:v>Dobrich</c:v>
                </c:pt>
                <c:pt idx="4">
                  <c:v>Montana</c:v>
                </c:pt>
                <c:pt idx="5">
                  <c:v>Pleven</c:v>
                </c:pt>
                <c:pt idx="6">
                  <c:v>Ruse</c:v>
                </c:pt>
                <c:pt idx="7">
                  <c:v>Silistra</c:v>
                </c:pt>
              </c:strCache>
            </c:strRef>
          </c:cat>
          <c:val>
            <c:numRef>
              <c:f>Sheet1!$B$3:$I$3</c:f>
              <c:numCache>
                <c:formatCode>0</c:formatCode>
                <c:ptCount val="8"/>
                <c:pt idx="0">
                  <c:v>661.06299212598117</c:v>
                </c:pt>
                <c:pt idx="1">
                  <c:v>91.115655997545772</c:v>
                </c:pt>
                <c:pt idx="2">
                  <c:v>225.62940996011858</c:v>
                </c:pt>
                <c:pt idx="3">
                  <c:v>303.7570303712036</c:v>
                </c:pt>
                <c:pt idx="4">
                  <c:v>408.58165456590649</c:v>
                </c:pt>
                <c:pt idx="5">
                  <c:v>528.15778709479298</c:v>
                </c:pt>
                <c:pt idx="6">
                  <c:v>986.80437672563653</c:v>
                </c:pt>
                <c:pt idx="7">
                  <c:v>131.767051845792</c:v>
                </c:pt>
              </c:numCache>
            </c:numRef>
          </c:val>
        </c:ser>
        <c:ser>
          <c:idx val="2"/>
          <c:order val="2"/>
          <c:tx>
            <c:strRef>
              <c:f>Sheet1!$A$4</c:f>
              <c:strCache>
                <c:ptCount val="1"/>
                <c:pt idx="0">
                  <c:v>Constructions</c:v>
                </c:pt>
              </c:strCache>
            </c:strRef>
          </c:tx>
          <c:invertIfNegative val="0"/>
          <c:cat>
            <c:strRef>
              <c:f>Sheet1!$B$1:$I$1</c:f>
              <c:strCache>
                <c:ptCount val="8"/>
                <c:pt idx="0">
                  <c:v>Veliko Turnovo</c:v>
                </c:pt>
                <c:pt idx="1">
                  <c:v>Vidin</c:v>
                </c:pt>
                <c:pt idx="2">
                  <c:v>Vratsa</c:v>
                </c:pt>
                <c:pt idx="3">
                  <c:v>Dobrich</c:v>
                </c:pt>
                <c:pt idx="4">
                  <c:v>Montana</c:v>
                </c:pt>
                <c:pt idx="5">
                  <c:v>Pleven</c:v>
                </c:pt>
                <c:pt idx="6">
                  <c:v>Ruse</c:v>
                </c:pt>
                <c:pt idx="7">
                  <c:v>Silistra</c:v>
                </c:pt>
              </c:strCache>
            </c:strRef>
          </c:cat>
          <c:val>
            <c:numRef>
              <c:f>Sheet1!$B$4:$I$4</c:f>
              <c:numCache>
                <c:formatCode>0</c:formatCode>
                <c:ptCount val="8"/>
                <c:pt idx="0">
                  <c:v>98.732999284180423</c:v>
                </c:pt>
                <c:pt idx="1">
                  <c:v>17.99365988342354</c:v>
                </c:pt>
                <c:pt idx="2">
                  <c:v>97.927190919317141</c:v>
                </c:pt>
                <c:pt idx="3">
                  <c:v>75.905000511299619</c:v>
                </c:pt>
                <c:pt idx="4">
                  <c:v>37.415891195418673</c:v>
                </c:pt>
                <c:pt idx="5">
                  <c:v>122.47469066366722</c:v>
                </c:pt>
                <c:pt idx="6">
                  <c:v>90.457613252888862</c:v>
                </c:pt>
                <c:pt idx="7">
                  <c:v>64.089375191737318</c:v>
                </c:pt>
              </c:numCache>
            </c:numRef>
          </c:val>
        </c:ser>
        <c:ser>
          <c:idx val="3"/>
          <c:order val="3"/>
          <c:tx>
            <c:strRef>
              <c:f>Sheet1!$A$5</c:f>
              <c:strCache>
                <c:ptCount val="1"/>
                <c:pt idx="0">
                  <c:v>Services</c:v>
                </c:pt>
              </c:strCache>
            </c:strRef>
          </c:tx>
          <c:invertIfNegative val="0"/>
          <c:cat>
            <c:strRef>
              <c:f>Sheet1!$B$1:$I$1</c:f>
              <c:strCache>
                <c:ptCount val="8"/>
                <c:pt idx="0">
                  <c:v>Veliko Turnovo</c:v>
                </c:pt>
                <c:pt idx="1">
                  <c:v>Vidin</c:v>
                </c:pt>
                <c:pt idx="2">
                  <c:v>Vratsa</c:v>
                </c:pt>
                <c:pt idx="3">
                  <c:v>Dobrich</c:v>
                </c:pt>
                <c:pt idx="4">
                  <c:v>Montana</c:v>
                </c:pt>
                <c:pt idx="5">
                  <c:v>Pleven</c:v>
                </c:pt>
                <c:pt idx="6">
                  <c:v>Ruse</c:v>
                </c:pt>
                <c:pt idx="7">
                  <c:v>Silistra</c:v>
                </c:pt>
              </c:strCache>
            </c:strRef>
          </c:cat>
          <c:val>
            <c:numRef>
              <c:f>Sheet1!$B$5:$I$5</c:f>
              <c:numCache>
                <c:formatCode>0</c:formatCode>
                <c:ptCount val="8"/>
                <c:pt idx="0">
                  <c:v>1117.9931485836998</c:v>
                </c:pt>
                <c:pt idx="1">
                  <c:v>235.34563861335519</c:v>
                </c:pt>
                <c:pt idx="2">
                  <c:v>397.89549033643578</c:v>
                </c:pt>
                <c:pt idx="3">
                  <c:v>884.49892627058114</c:v>
                </c:pt>
                <c:pt idx="4">
                  <c:v>387.53706922998225</c:v>
                </c:pt>
                <c:pt idx="5">
                  <c:v>908.99580734226413</c:v>
                </c:pt>
                <c:pt idx="6">
                  <c:v>1663.9226914817527</c:v>
                </c:pt>
                <c:pt idx="7">
                  <c:v>430.47448614377748</c:v>
                </c:pt>
              </c:numCache>
            </c:numRef>
          </c:val>
        </c:ser>
        <c:dLbls>
          <c:showLegendKey val="0"/>
          <c:showVal val="0"/>
          <c:showCatName val="0"/>
          <c:showSerName val="0"/>
          <c:showPercent val="0"/>
          <c:showBubbleSize val="0"/>
        </c:dLbls>
        <c:gapWidth val="150"/>
        <c:overlap val="100"/>
        <c:axId val="121382784"/>
        <c:axId val="121384320"/>
      </c:barChart>
      <c:catAx>
        <c:axId val="121382784"/>
        <c:scaling>
          <c:orientation val="minMax"/>
        </c:scaling>
        <c:delete val="0"/>
        <c:axPos val="b"/>
        <c:numFmt formatCode="General" sourceLinked="1"/>
        <c:majorTickMark val="out"/>
        <c:minorTickMark val="none"/>
        <c:tickLblPos val="nextTo"/>
        <c:crossAx val="121384320"/>
        <c:crosses val="autoZero"/>
        <c:auto val="1"/>
        <c:lblAlgn val="ctr"/>
        <c:lblOffset val="100"/>
        <c:noMultiLvlLbl val="0"/>
      </c:catAx>
      <c:valAx>
        <c:axId val="121384320"/>
        <c:scaling>
          <c:orientation val="minMax"/>
        </c:scaling>
        <c:delete val="0"/>
        <c:axPos val="l"/>
        <c:majorGridlines/>
        <c:numFmt formatCode="0" sourceLinked="1"/>
        <c:majorTickMark val="out"/>
        <c:minorTickMark val="none"/>
        <c:tickLblPos val="nextTo"/>
        <c:crossAx val="121382784"/>
        <c:crosses val="autoZero"/>
        <c:crossBetween val="between"/>
      </c:valAx>
    </c:plotArea>
    <c:legend>
      <c:legendPos val="r"/>
      <c:overlay val="0"/>
    </c:legend>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en-US" sz="1200"/>
              <a:t>Romanian cross-border region - turnover of companies 2011 - EUR (%)</a:t>
            </a:r>
          </a:p>
        </c:rich>
      </c:tx>
      <c:overlay val="0"/>
    </c:title>
    <c:autoTitleDeleted val="0"/>
    <c:plotArea>
      <c:layout/>
      <c:pieChart>
        <c:varyColors val="1"/>
        <c:ser>
          <c:idx val="0"/>
          <c:order val="0"/>
          <c:tx>
            <c:strRef>
              <c:f>Sheet1!$B$1</c:f>
              <c:strCache>
                <c:ptCount val="1"/>
                <c:pt idx="0">
                  <c:v>Romanian cross-border region</c:v>
                </c:pt>
              </c:strCache>
            </c:strRef>
          </c:tx>
          <c:explosion val="7"/>
          <c:dLbls>
            <c:spPr>
              <a:noFill/>
              <a:ln>
                <a:noFill/>
              </a:ln>
              <a:effectLst/>
            </c:spPr>
            <c:dLblPos val="ctr"/>
            <c:showLegendKey val="0"/>
            <c:showVal val="1"/>
            <c:showCatName val="0"/>
            <c:showSerName val="0"/>
            <c:showPercent val="0"/>
            <c:showBubbleSize val="0"/>
            <c:showLeaderLines val="1"/>
            <c:extLst>
              <c:ext xmlns:c15="http://schemas.microsoft.com/office/drawing/2012/chart" uri="{CE6537A1-D6FC-4f65-9D91-7224C49458BB}"/>
            </c:extLst>
          </c:dLbls>
          <c:cat>
            <c:strRef>
              <c:f>Sheet1!$A$2:$A$5</c:f>
              <c:strCache>
                <c:ptCount val="4"/>
                <c:pt idx="0">
                  <c:v>Agriculture</c:v>
                </c:pt>
                <c:pt idx="1">
                  <c:v>Industry</c:v>
                </c:pt>
                <c:pt idx="2">
                  <c:v>Constructions</c:v>
                </c:pt>
                <c:pt idx="3">
                  <c:v>Services</c:v>
                </c:pt>
              </c:strCache>
            </c:strRef>
          </c:cat>
          <c:val>
            <c:numRef>
              <c:f>Sheet1!$B$2:$B$5</c:f>
              <c:numCache>
                <c:formatCode>0.0</c:formatCode>
                <c:ptCount val="4"/>
                <c:pt idx="0">
                  <c:v>18.622990000000001</c:v>
                </c:pt>
                <c:pt idx="1">
                  <c:v>32.5154</c:v>
                </c:pt>
                <c:pt idx="2">
                  <c:v>6.6006139999999967</c:v>
                </c:pt>
                <c:pt idx="3">
                  <c:v>42.260990000000071</c:v>
                </c:pt>
              </c:numCache>
            </c:numRef>
          </c:val>
        </c:ser>
        <c:dLbls>
          <c:showLegendKey val="0"/>
          <c:showVal val="0"/>
          <c:showCatName val="0"/>
          <c:showSerName val="0"/>
          <c:showPercent val="0"/>
          <c:showBubbleSize val="0"/>
          <c:showLeaderLines val="1"/>
        </c:dLbls>
        <c:firstSliceAng val="0"/>
      </c:pieChart>
      <c:spPr>
        <a:noFill/>
        <a:ln w="25396">
          <a:noFill/>
        </a:ln>
      </c:spPr>
    </c:plotArea>
    <c:legend>
      <c:legendPos val="r"/>
      <c:overlay val="0"/>
    </c:legend>
    <c:plotVisOnly val="1"/>
    <c:dispBlanksAs val="zero"/>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a:pPr>
            <a:r>
              <a:rPr lang="en-US" sz="1400"/>
              <a:t>Bulgarian</a:t>
            </a:r>
            <a:r>
              <a:rPr lang="en-US" sz="1400" baseline="0"/>
              <a:t> cross-border region - turnover of companies 2011 - EUR (%)</a:t>
            </a:r>
            <a:endParaRPr lang="en-US" sz="1400"/>
          </a:p>
        </c:rich>
      </c:tx>
      <c:overlay val="0"/>
    </c:title>
    <c:autoTitleDeleted val="0"/>
    <c:plotArea>
      <c:layout/>
      <c:pieChart>
        <c:varyColors val="1"/>
        <c:ser>
          <c:idx val="0"/>
          <c:order val="0"/>
          <c:dLbls>
            <c:spPr>
              <a:noFill/>
              <a:ln>
                <a:noFill/>
              </a:ln>
              <a:effectLst/>
            </c:spPr>
            <c:dLblPos val="ctr"/>
            <c:showLegendKey val="0"/>
            <c:showVal val="1"/>
            <c:showCatName val="0"/>
            <c:showSerName val="0"/>
            <c:showPercent val="0"/>
            <c:showBubbleSize val="0"/>
            <c:showLeaderLines val="1"/>
            <c:extLst>
              <c:ext xmlns:c15="http://schemas.microsoft.com/office/drawing/2012/chart" uri="{CE6537A1-D6FC-4f65-9D91-7224C49458BB}"/>
            </c:extLst>
          </c:dLbls>
          <c:cat>
            <c:strRef>
              <c:f>'[Chart in Microsoft Word]Sheet1'!$A$17:$A$20</c:f>
              <c:strCache>
                <c:ptCount val="4"/>
                <c:pt idx="0">
                  <c:v>Agriculture</c:v>
                </c:pt>
                <c:pt idx="1">
                  <c:v>Industry</c:v>
                </c:pt>
                <c:pt idx="2">
                  <c:v>Constructions</c:v>
                </c:pt>
                <c:pt idx="3">
                  <c:v>Services</c:v>
                </c:pt>
              </c:strCache>
            </c:strRef>
          </c:cat>
          <c:val>
            <c:numRef>
              <c:f>'[Chart in Microsoft Word]Sheet1'!$B$17:$B$20</c:f>
              <c:numCache>
                <c:formatCode>0</c:formatCode>
                <c:ptCount val="4"/>
                <c:pt idx="0">
                  <c:v>14.127369138294601</c:v>
                </c:pt>
                <c:pt idx="1">
                  <c:v>28.745076292958899</c:v>
                </c:pt>
                <c:pt idx="2">
                  <c:v>5.211661593389362</c:v>
                </c:pt>
                <c:pt idx="3">
                  <c:v>51.915892975357096</c:v>
                </c:pt>
              </c:numCache>
            </c:numRef>
          </c:val>
        </c:ser>
        <c:dLbls>
          <c:showLegendKey val="0"/>
          <c:showVal val="1"/>
          <c:showCatName val="0"/>
          <c:showSerName val="0"/>
          <c:showPercent val="0"/>
          <c:showBubbleSize val="0"/>
          <c:showLeaderLines val="1"/>
        </c:dLbls>
        <c:firstSliceAng val="0"/>
      </c:pieChart>
    </c:plotArea>
    <c:legend>
      <c:legendPos val="r"/>
      <c:overlay val="0"/>
      <c:txPr>
        <a:bodyPr/>
        <a:lstStyle/>
        <a:p>
          <a:pPr rtl="0">
            <a:defRPr/>
          </a:pPr>
          <a:endParaRPr lang="bg-BG"/>
        </a:p>
      </c:txPr>
    </c:legend>
    <c:plotVisOnly val="1"/>
    <c:dispBlanksAs val="zero"/>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98"/>
            </a:pPr>
            <a:r>
              <a:rPr lang="en-US" sz="1198"/>
              <a:t>Occupied persons in the Romanian cross-border area - distribution between economic sectors - 2011</a:t>
            </a:r>
          </a:p>
        </c:rich>
      </c:tx>
      <c:overlay val="0"/>
    </c:title>
    <c:autoTitleDeleted val="0"/>
    <c:plotArea>
      <c:layout/>
      <c:doughnutChart>
        <c:varyColors val="1"/>
        <c:ser>
          <c:idx val="0"/>
          <c:order val="0"/>
          <c:tx>
            <c:strRef>
              <c:f>Sheet1!$B$1</c:f>
              <c:strCache>
                <c:ptCount val="1"/>
                <c:pt idx="0">
                  <c:v>Occupied persons in the Romanian cross-border area - distribution between economic sectors (%)</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extLst>
          </c:dLbls>
          <c:cat>
            <c:strRef>
              <c:f>Sheet1!$A$2:$A$5</c:f>
              <c:strCache>
                <c:ptCount val="4"/>
                <c:pt idx="0">
                  <c:v>Agriculture</c:v>
                </c:pt>
                <c:pt idx="1">
                  <c:v>Industry</c:v>
                </c:pt>
                <c:pt idx="2">
                  <c:v>Constructions</c:v>
                </c:pt>
                <c:pt idx="3">
                  <c:v>Services</c:v>
                </c:pt>
              </c:strCache>
            </c:strRef>
          </c:cat>
          <c:val>
            <c:numRef>
              <c:f>Sheet1!$B$2:$B$5</c:f>
              <c:numCache>
                <c:formatCode>0</c:formatCode>
                <c:ptCount val="4"/>
                <c:pt idx="0">
                  <c:v>35.963603818615752</c:v>
                </c:pt>
                <c:pt idx="1">
                  <c:v>27.610381861575181</c:v>
                </c:pt>
                <c:pt idx="2">
                  <c:v>5.6899999999999986</c:v>
                </c:pt>
                <c:pt idx="3">
                  <c:v>30.7</c:v>
                </c:pt>
              </c:numCache>
            </c:numRef>
          </c:val>
        </c:ser>
        <c:dLbls>
          <c:showLegendKey val="0"/>
          <c:showVal val="0"/>
          <c:showCatName val="0"/>
          <c:showSerName val="0"/>
          <c:showPercent val="0"/>
          <c:showBubbleSize val="0"/>
          <c:showLeaderLines val="0"/>
        </c:dLbls>
        <c:firstSliceAng val="0"/>
        <c:holeSize val="50"/>
      </c:doughnutChart>
      <c:spPr>
        <a:noFill/>
        <a:ln w="25351">
          <a:noFill/>
        </a:ln>
      </c:spPr>
    </c:plotArea>
    <c:legend>
      <c:legendPos val="r"/>
      <c:overlay val="0"/>
    </c:legend>
    <c:plotVisOnly val="1"/>
    <c:dispBlanksAs val="zero"/>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000"/>
          </a:pPr>
          <a:endParaRPr lang="bg-BG"/>
        </a:p>
      </c:txPr>
    </c:title>
    <c:autoTitleDeleted val="0"/>
    <c:plotArea>
      <c:layout/>
      <c:doughnutChart>
        <c:varyColors val="1"/>
        <c:ser>
          <c:idx val="0"/>
          <c:order val="0"/>
          <c:tx>
            <c:strRef>
              <c:f>Sheet1!$B$1</c:f>
              <c:strCache>
                <c:ptCount val="1"/>
                <c:pt idx="0">
                  <c:v>Employed persons in the Bulgarian cross-border area - distribution between economic sectors - 2011 (%)</c:v>
                </c:pt>
              </c:strCache>
            </c:strRef>
          </c:tx>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extLst>
          </c:dLbls>
          <c:cat>
            <c:strRef>
              <c:f>Sheet1!$A$2:$A$5</c:f>
              <c:strCache>
                <c:ptCount val="4"/>
                <c:pt idx="0">
                  <c:v>Agriculture</c:v>
                </c:pt>
                <c:pt idx="1">
                  <c:v>Industry</c:v>
                </c:pt>
                <c:pt idx="2">
                  <c:v>Construction</c:v>
                </c:pt>
                <c:pt idx="3">
                  <c:v>Services</c:v>
                </c:pt>
              </c:strCache>
            </c:strRef>
          </c:cat>
          <c:val>
            <c:numRef>
              <c:f>Sheet1!$B$2:$B$5</c:f>
              <c:numCache>
                <c:formatCode>0</c:formatCode>
                <c:ptCount val="4"/>
                <c:pt idx="0">
                  <c:v>6.7683298697319776</c:v>
                </c:pt>
                <c:pt idx="1">
                  <c:v>27.17043519982429</c:v>
                </c:pt>
                <c:pt idx="2">
                  <c:v>5.1361498819292501</c:v>
                </c:pt>
                <c:pt idx="3">
                  <c:v>60.925085048514511</c:v>
                </c:pt>
              </c:numCache>
            </c:numRef>
          </c:val>
        </c:ser>
        <c:dLbls>
          <c:showLegendKey val="0"/>
          <c:showVal val="0"/>
          <c:showCatName val="0"/>
          <c:showSerName val="0"/>
          <c:showPercent val="0"/>
          <c:showBubbleSize val="0"/>
          <c:showLeaderLines val="0"/>
        </c:dLbls>
        <c:firstSliceAng val="0"/>
        <c:holeSize val="50"/>
      </c:doughnutChart>
      <c:spPr>
        <a:noFill/>
        <a:ln w="25394">
          <a:noFill/>
        </a:ln>
      </c:spPr>
    </c:plotArea>
    <c:legend>
      <c:legendPos val="r"/>
      <c:overlay val="0"/>
    </c:legend>
    <c:plotVisOnly val="1"/>
    <c:dispBlanksAs val="zero"/>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bg-BG"/>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a:pPr>
            <a:r>
              <a:rPr lang="en-US" sz="1000"/>
              <a:t>Labor</a:t>
            </a:r>
            <a:r>
              <a:rPr lang="en-US" sz="1000" baseline="0"/>
              <a:t> productivity per hour worked evolution - EUR/hour</a:t>
            </a:r>
            <a:endParaRPr lang="en-US" sz="1000"/>
          </a:p>
        </c:rich>
      </c:tx>
      <c:overlay val="0"/>
    </c:title>
    <c:autoTitleDeleted val="0"/>
    <c:plotArea>
      <c:layout/>
      <c:lineChart>
        <c:grouping val="standard"/>
        <c:varyColors val="0"/>
        <c:ser>
          <c:idx val="0"/>
          <c:order val="0"/>
          <c:tx>
            <c:strRef>
              <c:f>[nama_aux_lp.xls]Data!$A$78</c:f>
              <c:strCache>
                <c:ptCount val="1"/>
                <c:pt idx="0">
                  <c:v>Bulgaria</c:v>
                </c:pt>
              </c:strCache>
            </c:strRef>
          </c:tx>
          <c:cat>
            <c:multiLvlStrRef>
              <c:f>[nama_aux_lp.xls]Data!$B$76:$L$77</c:f>
              <c:multiLvlStrCache>
                <c:ptCount val="11"/>
                <c:lvl>
                  <c:pt idx="0">
                    <c:v>:</c:v>
                  </c:pt>
                  <c:pt idx="1">
                    <c:v>:</c:v>
                  </c:pt>
                  <c:pt idx="2">
                    <c:v>:</c:v>
                  </c:pt>
                  <c:pt idx="3">
                    <c:v>:</c:v>
                  </c:pt>
                  <c:pt idx="4">
                    <c:v>:</c:v>
                  </c:pt>
                  <c:pt idx="5">
                    <c:v>:</c:v>
                  </c:pt>
                  <c:pt idx="6">
                    <c:v>:</c:v>
                  </c:pt>
                  <c:pt idx="7">
                    <c:v>:</c:v>
                  </c:pt>
                  <c:pt idx="8">
                    <c:v>:</c:v>
                  </c:pt>
                  <c:pt idx="9">
                    <c:v>:</c:v>
                  </c:pt>
                  <c:pt idx="10">
                    <c:v>:</c:v>
                  </c:pt>
                </c:lvl>
                <c:lvl>
                  <c:pt idx="0">
                    <c:v>2002</c:v>
                  </c:pt>
                  <c:pt idx="1">
                    <c:v>2003</c:v>
                  </c:pt>
                  <c:pt idx="2">
                    <c:v>2004</c:v>
                  </c:pt>
                  <c:pt idx="3">
                    <c:v>2005</c:v>
                  </c:pt>
                  <c:pt idx="4">
                    <c:v>2006</c:v>
                  </c:pt>
                  <c:pt idx="5">
                    <c:v>2007</c:v>
                  </c:pt>
                  <c:pt idx="6">
                    <c:v>2008</c:v>
                  </c:pt>
                  <c:pt idx="7">
                    <c:v>2009</c:v>
                  </c:pt>
                  <c:pt idx="8">
                    <c:v>2010</c:v>
                  </c:pt>
                  <c:pt idx="9">
                    <c:v>2011</c:v>
                  </c:pt>
                  <c:pt idx="10">
                    <c:v>2012</c:v>
                  </c:pt>
                </c:lvl>
              </c:multiLvlStrCache>
            </c:multiLvlStrRef>
          </c:cat>
          <c:val>
            <c:numRef>
              <c:f>[nama_aux_lp.xls]Data!$B$78:$L$78</c:f>
              <c:numCache>
                <c:formatCode>#,##0.0</c:formatCode>
                <c:ptCount val="11"/>
                <c:pt idx="0">
                  <c:v>3.6</c:v>
                </c:pt>
                <c:pt idx="1">
                  <c:v>3.8</c:v>
                </c:pt>
                <c:pt idx="2">
                  <c:v>3.9</c:v>
                </c:pt>
                <c:pt idx="3">
                  <c:v>4</c:v>
                </c:pt>
                <c:pt idx="4">
                  <c:v>4.0999999999999996</c:v>
                </c:pt>
                <c:pt idx="5">
                  <c:v>4.3</c:v>
                </c:pt>
                <c:pt idx="6">
                  <c:v>4.3</c:v>
                </c:pt>
                <c:pt idx="7">
                  <c:v>4.3</c:v>
                </c:pt>
                <c:pt idx="8">
                  <c:v>4.5</c:v>
                </c:pt>
                <c:pt idx="9">
                  <c:v>4.7</c:v>
                </c:pt>
                <c:pt idx="10">
                  <c:v>4.8</c:v>
                </c:pt>
              </c:numCache>
            </c:numRef>
          </c:val>
          <c:smooth val="0"/>
        </c:ser>
        <c:ser>
          <c:idx val="1"/>
          <c:order val="1"/>
          <c:tx>
            <c:strRef>
              <c:f>[nama_aux_lp.xls]Data!$A$79</c:f>
              <c:strCache>
                <c:ptCount val="1"/>
                <c:pt idx="0">
                  <c:v>Romania</c:v>
                </c:pt>
              </c:strCache>
            </c:strRef>
          </c:tx>
          <c:cat>
            <c:multiLvlStrRef>
              <c:f>[nama_aux_lp.xls]Data!$B$76:$L$77</c:f>
              <c:multiLvlStrCache>
                <c:ptCount val="11"/>
                <c:lvl>
                  <c:pt idx="0">
                    <c:v>:</c:v>
                  </c:pt>
                  <c:pt idx="1">
                    <c:v>:</c:v>
                  </c:pt>
                  <c:pt idx="2">
                    <c:v>:</c:v>
                  </c:pt>
                  <c:pt idx="3">
                    <c:v>:</c:v>
                  </c:pt>
                  <c:pt idx="4">
                    <c:v>:</c:v>
                  </c:pt>
                  <c:pt idx="5">
                    <c:v>:</c:v>
                  </c:pt>
                  <c:pt idx="6">
                    <c:v>:</c:v>
                  </c:pt>
                  <c:pt idx="7">
                    <c:v>:</c:v>
                  </c:pt>
                  <c:pt idx="8">
                    <c:v>:</c:v>
                  </c:pt>
                  <c:pt idx="9">
                    <c:v>:</c:v>
                  </c:pt>
                  <c:pt idx="10">
                    <c:v>:</c:v>
                  </c:pt>
                </c:lvl>
                <c:lvl>
                  <c:pt idx="0">
                    <c:v>2002</c:v>
                  </c:pt>
                  <c:pt idx="1">
                    <c:v>2003</c:v>
                  </c:pt>
                  <c:pt idx="2">
                    <c:v>2004</c:v>
                  </c:pt>
                  <c:pt idx="3">
                    <c:v>2005</c:v>
                  </c:pt>
                  <c:pt idx="4">
                    <c:v>2006</c:v>
                  </c:pt>
                  <c:pt idx="5">
                    <c:v>2007</c:v>
                  </c:pt>
                  <c:pt idx="6">
                    <c:v>2008</c:v>
                  </c:pt>
                  <c:pt idx="7">
                    <c:v>2009</c:v>
                  </c:pt>
                  <c:pt idx="8">
                    <c:v>2010</c:v>
                  </c:pt>
                  <c:pt idx="9">
                    <c:v>2011</c:v>
                  </c:pt>
                  <c:pt idx="10">
                    <c:v>2012</c:v>
                  </c:pt>
                </c:lvl>
              </c:multiLvlStrCache>
            </c:multiLvlStrRef>
          </c:cat>
          <c:val>
            <c:numRef>
              <c:f>[nama_aux_lp.xls]Data!$B$79:$L$79</c:f>
              <c:numCache>
                <c:formatCode>#,##0.0</c:formatCode>
                <c:ptCount val="11"/>
                <c:pt idx="0">
                  <c:v>3.8</c:v>
                </c:pt>
                <c:pt idx="1">
                  <c:v>4</c:v>
                </c:pt>
                <c:pt idx="2">
                  <c:v>4.4000000000000004</c:v>
                </c:pt>
                <c:pt idx="3">
                  <c:v>4.5999999999999996</c:v>
                </c:pt>
                <c:pt idx="4">
                  <c:v>4.9000000000000004</c:v>
                </c:pt>
                <c:pt idx="5">
                  <c:v>5.2</c:v>
                </c:pt>
                <c:pt idx="6">
                  <c:v>5.6</c:v>
                </c:pt>
                <c:pt idx="7">
                  <c:v>5.4</c:v>
                </c:pt>
                <c:pt idx="8">
                  <c:v>5.3</c:v>
                </c:pt>
                <c:pt idx="9">
                  <c:v>5.5</c:v>
                </c:pt>
                <c:pt idx="10">
                  <c:v>5.7</c:v>
                </c:pt>
              </c:numCache>
            </c:numRef>
          </c:val>
          <c:smooth val="0"/>
        </c:ser>
        <c:dLbls>
          <c:showLegendKey val="0"/>
          <c:showVal val="0"/>
          <c:showCatName val="0"/>
          <c:showSerName val="0"/>
          <c:showPercent val="0"/>
          <c:showBubbleSize val="0"/>
        </c:dLbls>
        <c:marker val="1"/>
        <c:smooth val="0"/>
        <c:axId val="121449472"/>
        <c:axId val="121578240"/>
      </c:lineChart>
      <c:catAx>
        <c:axId val="121449472"/>
        <c:scaling>
          <c:orientation val="minMax"/>
        </c:scaling>
        <c:delete val="0"/>
        <c:axPos val="b"/>
        <c:numFmt formatCode="General" sourceLinked="0"/>
        <c:majorTickMark val="out"/>
        <c:minorTickMark val="none"/>
        <c:tickLblPos val="nextTo"/>
        <c:crossAx val="121578240"/>
        <c:crosses val="autoZero"/>
        <c:auto val="1"/>
        <c:lblAlgn val="ctr"/>
        <c:lblOffset val="100"/>
        <c:noMultiLvlLbl val="0"/>
      </c:catAx>
      <c:valAx>
        <c:axId val="121578240"/>
        <c:scaling>
          <c:orientation val="minMax"/>
        </c:scaling>
        <c:delete val="0"/>
        <c:axPos val="l"/>
        <c:majorGridlines/>
        <c:numFmt formatCode="#,##0.0" sourceLinked="1"/>
        <c:majorTickMark val="out"/>
        <c:minorTickMark val="none"/>
        <c:tickLblPos val="nextTo"/>
        <c:crossAx val="121449472"/>
        <c:crosses val="autoZero"/>
        <c:crossBetween val="between"/>
      </c:valAx>
    </c:plotArea>
    <c:legend>
      <c:legendPos val="r"/>
      <c:overlay val="0"/>
    </c:legend>
    <c:plotVisOnly val="1"/>
    <c:dispBlanksAs val="gap"/>
    <c:showDLblsOverMax val="0"/>
  </c:chart>
  <c:externalData r:id="rId2">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4">
  <dgm:title val=""/>
  <dgm:desc val=""/>
  <dgm:catLst>
    <dgm:cat type="accent1" pri="11400"/>
  </dgm:catLst>
  <dgm:styleLbl name="node0">
    <dgm:fillClrLst meth="cycle">
      <a:schemeClr val="accent1">
        <a:shade val="60000"/>
      </a:schemeClr>
    </dgm:fillClrLst>
    <dgm:linClrLst meth="repeat">
      <a:schemeClr val="lt1"/>
    </dgm:linClrLst>
    <dgm:effectClrLst/>
    <dgm:txLinClrLst/>
    <dgm:txFillClrLst/>
    <dgm:txEffectClrLst/>
  </dgm:styleLbl>
  <dgm:styleLbl name="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alignNode1">
    <dgm:fillClrLst meth="cycle">
      <a:schemeClr val="accent1">
        <a:shade val="50000"/>
      </a:schemeClr>
      <a:schemeClr val="accent1">
        <a:tint val="55000"/>
      </a:schemeClr>
    </dgm:fillClrLst>
    <dgm:linClrLst meth="cycle">
      <a:schemeClr val="accent1">
        <a:shade val="50000"/>
      </a:schemeClr>
      <a:schemeClr val="accent1">
        <a:tint val="55000"/>
      </a:schemeClr>
    </dgm:linClrLst>
    <dgm:effectClrLst/>
    <dgm:txLinClrLst/>
    <dgm:txFillClrLst/>
    <dgm:txEffectClrLst/>
  </dgm:styleLbl>
  <dgm:styleLbl name="lnNode1">
    <dgm:fillClrLst meth="cycle">
      <a:schemeClr val="accent1">
        <a:shade val="50000"/>
      </a:schemeClr>
      <a:schemeClr val="accent1">
        <a:tint val="55000"/>
      </a:schemeClr>
    </dgm:fillClrLst>
    <dgm:linClrLst meth="repeat">
      <a:schemeClr val="lt1"/>
    </dgm:linClrLst>
    <dgm:effectClrLst/>
    <dgm:txLinClrLst/>
    <dgm:txFillClrLst/>
    <dgm:txEffectClrLst/>
  </dgm:styleLbl>
  <dgm:styleLbl name="vennNode1">
    <dgm:fillClrLst meth="cycle">
      <a:schemeClr val="accent1">
        <a:shade val="80000"/>
        <a:alpha val="50000"/>
      </a:schemeClr>
      <a:schemeClr val="accent1">
        <a:tint val="50000"/>
        <a:alpha val="50000"/>
      </a:schemeClr>
    </dgm:fillClrLst>
    <dgm:linClrLst meth="repeat">
      <a:schemeClr val="lt1"/>
    </dgm:linClrLst>
    <dgm:effectClrLst/>
    <dgm:txLinClrLst/>
    <dgm:txFillClrLst/>
    <dgm:txEffectClrLst/>
  </dgm:styleLbl>
  <dgm:styleLbl name="node2">
    <dgm:fillClrLst>
      <a:schemeClr val="accent1">
        <a:shade val="80000"/>
      </a:schemeClr>
    </dgm:fillClrLst>
    <dgm:linClrLst meth="repeat">
      <a:schemeClr val="lt1"/>
    </dgm:linClrLst>
    <dgm:effectClrLst/>
    <dgm:txLinClrLst/>
    <dgm:txFillClrLst/>
    <dgm:txEffectClrLst/>
  </dgm:styleLbl>
  <dgm:styleLbl name="node3">
    <dgm:fillClrLst>
      <a:schemeClr val="accent1">
        <a:tint val="99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55000"/>
      </a:schemeClr>
    </dgm:fillClrLst>
    <dgm:linClrLst meth="repeat">
      <a:schemeClr val="lt1"/>
    </dgm:linClrLst>
    <dgm:effectClrLst/>
    <dgm:txLinClrLst/>
    <dgm:txFillClrLst meth="repeat">
      <a:schemeClr val="lt1"/>
    </dgm:txFillClrLst>
    <dgm:txEffectClrLst/>
  </dgm:styleLbl>
  <dgm:styleLbl name="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f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bgSibTrans2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dgm:txEffectClrLst/>
  </dgm:styleLbl>
  <dgm:styleLbl name="sibTrans1D1">
    <dgm:fillClrLst meth="cycle">
      <a:schemeClr val="accent1">
        <a:shade val="90000"/>
      </a:schemeClr>
      <a:schemeClr val="accent1">
        <a:tint val="50000"/>
      </a:schemeClr>
    </dgm:fillClrLst>
    <dgm:linClrLst meth="cycle">
      <a:schemeClr val="accent1">
        <a:shade val="90000"/>
      </a:schemeClr>
      <a:schemeClr val="accent1">
        <a:tint val="5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0000"/>
      </a:schemeClr>
    </dgm:fillClrLst>
    <dgm:linClrLst meth="repeat">
      <a:schemeClr val="lt1"/>
    </dgm:linClrLst>
    <dgm:effectClrLst/>
    <dgm:txLinClrLst/>
    <dgm:txFillClrLst/>
    <dgm:txEffectClrLst/>
  </dgm:styleLbl>
  <dgm:styleLbl name="asst3">
    <dgm:fillClrLst>
      <a:schemeClr val="accent1">
        <a:tint val="70000"/>
      </a:schemeClr>
    </dgm:fillClrLst>
    <dgm:linClrLst meth="repeat">
      <a:schemeClr val="lt1"/>
    </dgm:linClrLst>
    <dgm:effectClrLst/>
    <dgm:txLinClrLst/>
    <dgm:txFillClrLst/>
    <dgm:txEffectClrLst/>
  </dgm:styleLbl>
  <dgm:styleLbl name="asst4">
    <dgm:fillClrLst>
      <a:schemeClr val="accent1">
        <a:tint val="5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shade val="80000"/>
      </a:schemeClr>
    </dgm:linClrLst>
    <dgm:effectClrLst/>
    <dgm:txLinClrLst/>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dk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0000"/>
      </a:schemeClr>
    </dgm:fillClrLst>
    <dgm:linClrLst meth="repeat">
      <a:schemeClr val="accent1">
        <a:tint val="90000"/>
      </a:schemeClr>
    </dgm:linClrLst>
    <dgm:effectClrLst/>
    <dgm:txLinClrLst/>
    <dgm:txFillClrLst meth="repeat">
      <a:schemeClr val="tx1"/>
    </dgm:txFillClrLst>
    <dgm:txEffectClrLst/>
  </dgm:styleLbl>
  <dgm:styleLbl name="parChTrans1D3">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parChTrans1D4">
    <dgm:fillClrLst meth="repeat">
      <a:schemeClr val="accent1">
        <a:tint val="50000"/>
      </a:schemeClr>
    </dgm:fillClrLst>
    <dgm:linClrLst meth="repeat">
      <a:schemeClr val="accent1">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conF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align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trAlignAcc1">
    <dgm:fillClrLst meth="repeat">
      <a:schemeClr val="lt1">
        <a:alpha val="55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FgAcc1">
    <dgm:fillClrLst meth="repeat">
      <a:schemeClr val="lt1"/>
    </dgm:fillClrLst>
    <dgm:linClrLst meth="cycle">
      <a:schemeClr val="accent1">
        <a:shade val="50000"/>
      </a:schemeClr>
      <a:schemeClr val="accent1">
        <a:tint val="55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alignAccFollowNode1">
    <dgm:fillClrLst meth="repeat">
      <a:schemeClr val="accent1">
        <a:alpha val="90000"/>
        <a:tint val="55000"/>
      </a:schemeClr>
    </dgm:fillClrLst>
    <dgm:linClrLst meth="repeat">
      <a:schemeClr val="accent1">
        <a:alpha val="90000"/>
        <a:tint val="55000"/>
      </a:schemeClr>
    </dgm:linClrLst>
    <dgm:effectClrLst/>
    <dgm:txLinClrLst/>
    <dgm:txFillClrLst meth="repeat">
      <a:schemeClr val="dk1"/>
    </dgm:txFillClrLst>
    <dgm:txEffectClrLst/>
  </dgm:styleLbl>
  <dgm:styleLbl name="bgAccFollowNode1">
    <dgm:fillClrLst meth="repeat">
      <a:schemeClr val="accent1">
        <a:alpha val="90000"/>
        <a:tint val="55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50000"/>
      </a:schemeClr>
    </dgm:linClrLst>
    <dgm:effectClrLst/>
    <dgm:txLinClrLst/>
    <dgm:txFillClrLst meth="repeat">
      <a:schemeClr val="dk1"/>
    </dgm:txFillClrLst>
    <dgm:txEffectClrLst/>
  </dgm:styleLbl>
  <dgm:styleLbl name="bgShp">
    <dgm:fillClrLst meth="repeat">
      <a:schemeClr val="accent1">
        <a:tint val="55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55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55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F034336-1965-5949-BCAA-64D3D664132C}" type="doc">
      <dgm:prSet loTypeId="urn:microsoft.com/office/officeart/2005/8/layout/vList2" loCatId="" qsTypeId="urn:microsoft.com/office/officeart/2005/8/quickstyle/3D3" qsCatId="3D" csTypeId="urn:microsoft.com/office/officeart/2005/8/colors/accent1_4" csCatId="accent1" phldr="1"/>
      <dgm:spPr/>
      <dgm:t>
        <a:bodyPr/>
        <a:lstStyle/>
        <a:p>
          <a:endParaRPr lang="en-US"/>
        </a:p>
      </dgm:t>
    </dgm:pt>
    <dgm:pt modelId="{E3F9858F-DC6A-9049-8780-1BAD78382C95}">
      <dgm:prSet phldrT="[Text]" custT="1"/>
      <dgm:spPr>
        <a:xfrm>
          <a:off x="0" y="1323"/>
          <a:ext cx="5201919" cy="355680"/>
        </a:xfrm>
        <a:solidFill>
          <a:srgbClr val="4F81BD">
            <a:shade val="50000"/>
            <a:hueOff val="0"/>
            <a:satOff val="0"/>
            <a:lumOff val="0"/>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l"/>
          <a:r>
            <a:rPr lang="en-GB" sz="1200" b="1" i="1">
              <a:solidFill>
                <a:sysClr val="window" lastClr="FFFFFF"/>
              </a:solidFill>
              <a:latin typeface="Calibri"/>
              <a:ea typeface="+mn-ea"/>
              <a:cs typeface="+mn-cs"/>
            </a:rPr>
            <a:t>1) </a:t>
          </a:r>
          <a:r>
            <a:rPr lang="en-GB" sz="1100" b="1" i="1">
              <a:solidFill>
                <a:sysClr val="window" lastClr="FFFFFF"/>
              </a:solidFill>
              <a:latin typeface="Calibri"/>
              <a:ea typeface="+mn-ea"/>
              <a:cs typeface="+mn-cs"/>
            </a:rPr>
            <a:t>Connecting the Danube Region</a:t>
          </a:r>
          <a:endParaRPr lang="en-US" sz="1100">
            <a:solidFill>
              <a:sysClr val="window" lastClr="FFFFFF"/>
            </a:solidFill>
            <a:latin typeface="Calibri"/>
            <a:ea typeface="+mn-ea"/>
            <a:cs typeface="+mn-cs"/>
          </a:endParaRPr>
        </a:p>
      </dgm:t>
    </dgm:pt>
    <dgm:pt modelId="{BF55A4A8-42E5-E544-89F7-3C9D7331B3C8}" type="parTrans" cxnId="{1ABED10D-47CF-7E45-989B-4FD70D6295EA}">
      <dgm:prSet/>
      <dgm:spPr/>
      <dgm:t>
        <a:bodyPr/>
        <a:lstStyle/>
        <a:p>
          <a:pPr algn="l"/>
          <a:endParaRPr lang="en-US"/>
        </a:p>
      </dgm:t>
    </dgm:pt>
    <dgm:pt modelId="{C1ED7041-BFAD-E946-AF4C-4B1036979929}" type="sibTrans" cxnId="{1ABED10D-47CF-7E45-989B-4FD70D6295EA}">
      <dgm:prSet/>
      <dgm:spPr/>
      <dgm:t>
        <a:bodyPr/>
        <a:lstStyle/>
        <a:p>
          <a:pPr algn="l"/>
          <a:endParaRPr lang="en-US"/>
        </a:p>
      </dgm:t>
    </dgm:pt>
    <dgm:pt modelId="{383CD03A-1E1E-7741-B50B-FB7871E51060}">
      <dgm:prSet phldrT="[Text]" custT="1"/>
      <dgm:spPr>
        <a:xfrm>
          <a:off x="0" y="357003"/>
          <a:ext cx="5201919" cy="943919"/>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To improve mobility and multimodality;</a:t>
          </a:r>
          <a:endParaRPr lang="en-US" sz="1100">
            <a:solidFill>
              <a:sysClr val="windowText" lastClr="000000">
                <a:hueOff val="0"/>
                <a:satOff val="0"/>
                <a:lumOff val="0"/>
                <a:alphaOff val="0"/>
              </a:sysClr>
            </a:solidFill>
            <a:latin typeface="Calibri"/>
            <a:ea typeface="+mn-ea"/>
            <a:cs typeface="+mn-cs"/>
          </a:endParaRPr>
        </a:p>
      </dgm:t>
    </dgm:pt>
    <dgm:pt modelId="{0A40BB26-6FB4-6F4F-A31C-E7B2A28BB289}" type="parTrans" cxnId="{3E83FE1E-02B6-C641-AF01-CC318361388D}">
      <dgm:prSet/>
      <dgm:spPr/>
      <dgm:t>
        <a:bodyPr/>
        <a:lstStyle/>
        <a:p>
          <a:pPr algn="l"/>
          <a:endParaRPr lang="en-US"/>
        </a:p>
      </dgm:t>
    </dgm:pt>
    <dgm:pt modelId="{3B95E7B9-66A6-3D45-977E-AA8BE87C97F8}" type="sibTrans" cxnId="{3E83FE1E-02B6-C641-AF01-CC318361388D}">
      <dgm:prSet/>
      <dgm:spPr/>
      <dgm:t>
        <a:bodyPr/>
        <a:lstStyle/>
        <a:p>
          <a:pPr algn="l"/>
          <a:endParaRPr lang="en-US"/>
        </a:p>
      </dgm:t>
    </dgm:pt>
    <dgm:pt modelId="{0A3D1619-5AF4-6442-A03D-018EAFB7D4C3}">
      <dgm:prSet phldrT="[Text]" custT="1"/>
      <dgm:spPr>
        <a:xfrm>
          <a:off x="0" y="1300923"/>
          <a:ext cx="5201919" cy="355680"/>
        </a:xfrm>
        <a:solidFill>
          <a:srgbClr val="4F81BD">
            <a:shade val="50000"/>
            <a:hueOff val="180719"/>
            <a:satOff val="-3780"/>
            <a:lumOff val="21031"/>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l"/>
          <a:r>
            <a:rPr lang="en-GB" sz="1100" b="1" i="1">
              <a:solidFill>
                <a:sysClr val="window" lastClr="FFFFFF"/>
              </a:solidFill>
              <a:latin typeface="Calibri"/>
              <a:ea typeface="+mn-ea"/>
              <a:cs typeface="+mn-cs"/>
            </a:rPr>
            <a:t>2) Protecting the Environment in the Danube Region.</a:t>
          </a:r>
          <a:endParaRPr lang="en-US" sz="1100">
            <a:solidFill>
              <a:sysClr val="window" lastClr="FFFFFF"/>
            </a:solidFill>
            <a:latin typeface="Calibri"/>
            <a:ea typeface="+mn-ea"/>
            <a:cs typeface="+mn-cs"/>
          </a:endParaRPr>
        </a:p>
      </dgm:t>
    </dgm:pt>
    <dgm:pt modelId="{211FD3AA-6ABE-5444-A90E-BBD779FCA29B}" type="parTrans" cxnId="{BB492CCA-13ED-9341-8519-6F9C7DB89461}">
      <dgm:prSet/>
      <dgm:spPr/>
      <dgm:t>
        <a:bodyPr/>
        <a:lstStyle/>
        <a:p>
          <a:pPr algn="l"/>
          <a:endParaRPr lang="en-US"/>
        </a:p>
      </dgm:t>
    </dgm:pt>
    <dgm:pt modelId="{89E426CA-59E2-2448-ACA3-1F06C3074898}" type="sibTrans" cxnId="{BB492CCA-13ED-9341-8519-6F9C7DB89461}">
      <dgm:prSet/>
      <dgm:spPr/>
      <dgm:t>
        <a:bodyPr/>
        <a:lstStyle/>
        <a:p>
          <a:pPr algn="l"/>
          <a:endParaRPr lang="en-US"/>
        </a:p>
      </dgm:t>
    </dgm:pt>
    <dgm:pt modelId="{8DC346EB-F9A1-1E41-A51D-E9B6212F7045}">
      <dgm:prSet phldrT="[Text]" custT="1"/>
      <dgm:spPr>
        <a:xfrm>
          <a:off x="0" y="1656603"/>
          <a:ext cx="5201919" cy="560452"/>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To restore and maintain the quality of waters;</a:t>
          </a:r>
          <a:endParaRPr lang="en-US" sz="1100">
            <a:solidFill>
              <a:sysClr val="windowText" lastClr="000000">
                <a:hueOff val="0"/>
                <a:satOff val="0"/>
                <a:lumOff val="0"/>
                <a:alphaOff val="0"/>
              </a:sysClr>
            </a:solidFill>
            <a:latin typeface="Calibri"/>
            <a:ea typeface="+mn-ea"/>
            <a:cs typeface="+mn-cs"/>
          </a:endParaRPr>
        </a:p>
      </dgm:t>
    </dgm:pt>
    <dgm:pt modelId="{53F477A4-8344-2548-84AB-6CC9BEB754B0}" type="parTrans" cxnId="{00AA061D-C7EC-694E-B7D7-15D135B67780}">
      <dgm:prSet/>
      <dgm:spPr/>
      <dgm:t>
        <a:bodyPr/>
        <a:lstStyle/>
        <a:p>
          <a:pPr algn="l"/>
          <a:endParaRPr lang="en-US"/>
        </a:p>
      </dgm:t>
    </dgm:pt>
    <dgm:pt modelId="{95A0A2A4-5B1F-F748-8180-FEA6FC7E11FC}" type="sibTrans" cxnId="{00AA061D-C7EC-694E-B7D7-15D135B67780}">
      <dgm:prSet/>
      <dgm:spPr/>
      <dgm:t>
        <a:bodyPr/>
        <a:lstStyle/>
        <a:p>
          <a:pPr algn="l"/>
          <a:endParaRPr lang="en-US"/>
        </a:p>
      </dgm:t>
    </dgm:pt>
    <dgm:pt modelId="{5EBAEFC8-7DD7-B542-9B14-F92B9A76B33D}">
      <dgm:prSet phldrT="[Text]" custT="1"/>
      <dgm:spPr>
        <a:xfrm>
          <a:off x="0" y="2217056"/>
          <a:ext cx="5201919" cy="355680"/>
        </a:xfrm>
        <a:solidFill>
          <a:srgbClr val="4F81BD">
            <a:shade val="50000"/>
            <a:hueOff val="361437"/>
            <a:satOff val="-7560"/>
            <a:lumOff val="42063"/>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l"/>
          <a:r>
            <a:rPr lang="en-GB" sz="1100" b="1" i="1">
              <a:solidFill>
                <a:sysClr val="window" lastClr="FFFFFF"/>
              </a:solidFill>
              <a:latin typeface="Calibri"/>
              <a:ea typeface="+mn-ea"/>
              <a:cs typeface="+mn-cs"/>
            </a:rPr>
            <a:t>3) Building Prosperity in the Danube Region.</a:t>
          </a:r>
          <a:endParaRPr lang="en-US" sz="1100">
            <a:solidFill>
              <a:sysClr val="window" lastClr="FFFFFF"/>
            </a:solidFill>
            <a:latin typeface="Calibri"/>
            <a:ea typeface="+mn-ea"/>
            <a:cs typeface="+mn-cs"/>
          </a:endParaRPr>
        </a:p>
      </dgm:t>
    </dgm:pt>
    <dgm:pt modelId="{0A2C17AE-8D13-EC4C-AA4E-984EEA9E6C35}" type="parTrans" cxnId="{2F604BA1-8008-8E4D-BE41-407A196B069F}">
      <dgm:prSet/>
      <dgm:spPr/>
      <dgm:t>
        <a:bodyPr/>
        <a:lstStyle/>
        <a:p>
          <a:pPr algn="l"/>
          <a:endParaRPr lang="en-US"/>
        </a:p>
      </dgm:t>
    </dgm:pt>
    <dgm:pt modelId="{0E57FCAB-492F-5D47-B187-7C192A450DB3}" type="sibTrans" cxnId="{2F604BA1-8008-8E4D-BE41-407A196B069F}">
      <dgm:prSet/>
      <dgm:spPr/>
      <dgm:t>
        <a:bodyPr/>
        <a:lstStyle/>
        <a:p>
          <a:pPr algn="l"/>
          <a:endParaRPr lang="en-US"/>
        </a:p>
      </dgm:t>
    </dgm:pt>
    <dgm:pt modelId="{25FC794A-ED11-AE41-8269-538DF750DB75}">
      <dgm:prSet phldrT="[Text]" custT="1"/>
      <dgm:spPr>
        <a:xfrm>
          <a:off x="0" y="2572736"/>
          <a:ext cx="5201919" cy="727604"/>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To develop the knowledge society through research, education and information technologies;</a:t>
          </a:r>
          <a:endParaRPr lang="en-US" sz="1100">
            <a:solidFill>
              <a:sysClr val="windowText" lastClr="000000">
                <a:hueOff val="0"/>
                <a:satOff val="0"/>
                <a:lumOff val="0"/>
                <a:alphaOff val="0"/>
              </a:sysClr>
            </a:solidFill>
            <a:latin typeface="Calibri"/>
            <a:ea typeface="+mn-ea"/>
            <a:cs typeface="+mn-cs"/>
          </a:endParaRPr>
        </a:p>
      </dgm:t>
    </dgm:pt>
    <dgm:pt modelId="{423417AA-7533-8E49-BDA7-93E4C0458815}" type="parTrans" cxnId="{90621D0B-678C-FC48-BC25-D3351E3945A3}">
      <dgm:prSet/>
      <dgm:spPr/>
      <dgm:t>
        <a:bodyPr/>
        <a:lstStyle/>
        <a:p>
          <a:pPr algn="l"/>
          <a:endParaRPr lang="en-US"/>
        </a:p>
      </dgm:t>
    </dgm:pt>
    <dgm:pt modelId="{3919C940-9FB5-5442-B563-7D6AC69871C9}" type="sibTrans" cxnId="{90621D0B-678C-FC48-BC25-D3351E3945A3}">
      <dgm:prSet/>
      <dgm:spPr/>
      <dgm:t>
        <a:bodyPr/>
        <a:lstStyle/>
        <a:p>
          <a:pPr algn="l"/>
          <a:endParaRPr lang="en-US"/>
        </a:p>
      </dgm:t>
    </dgm:pt>
    <dgm:pt modelId="{7CB592DD-7EE7-1249-9B40-9C73FB4D9463}">
      <dgm:prSet phldrT="[Text]" custT="1"/>
      <dgm:spPr>
        <a:xfrm>
          <a:off x="0" y="3300341"/>
          <a:ext cx="5201919" cy="355680"/>
        </a:xfrm>
        <a:solidFill>
          <a:srgbClr val="4F81BD">
            <a:shade val="50000"/>
            <a:hueOff val="180719"/>
            <a:satOff val="-3780"/>
            <a:lumOff val="21031"/>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l"/>
          <a:r>
            <a:rPr lang="en-GB" sz="1100" b="1" i="1">
              <a:solidFill>
                <a:sysClr val="window" lastClr="FFFFFF"/>
              </a:solidFill>
              <a:latin typeface="Calibri"/>
              <a:ea typeface="+mn-ea"/>
              <a:cs typeface="+mn-cs"/>
            </a:rPr>
            <a:t>4) Strengthening the Danube Region.</a:t>
          </a:r>
          <a:endParaRPr lang="en-US" sz="1100">
            <a:solidFill>
              <a:sysClr val="window" lastClr="FFFFFF"/>
            </a:solidFill>
            <a:latin typeface="Calibri"/>
            <a:ea typeface="+mn-ea"/>
            <a:cs typeface="+mn-cs"/>
          </a:endParaRPr>
        </a:p>
      </dgm:t>
    </dgm:pt>
    <dgm:pt modelId="{B8D3E50D-9186-EB46-93F6-897AE270695E}" type="parTrans" cxnId="{09983B72-5181-6A43-ADDC-3908D2C1B742}">
      <dgm:prSet/>
      <dgm:spPr/>
      <dgm:t>
        <a:bodyPr/>
        <a:lstStyle/>
        <a:p>
          <a:pPr algn="l"/>
          <a:endParaRPr lang="en-US"/>
        </a:p>
      </dgm:t>
    </dgm:pt>
    <dgm:pt modelId="{3AEB772D-702A-D742-97EE-728A4BBDF3EE}" type="sibTrans" cxnId="{09983B72-5181-6A43-ADDC-3908D2C1B742}">
      <dgm:prSet/>
      <dgm:spPr/>
      <dgm:t>
        <a:bodyPr/>
        <a:lstStyle/>
        <a:p>
          <a:pPr algn="l"/>
          <a:endParaRPr lang="en-US"/>
        </a:p>
      </dgm:t>
    </dgm:pt>
    <dgm:pt modelId="{ACD24518-EF47-4443-8088-FF3D4E880615}">
      <dgm:prSet custT="1"/>
      <dgm:spPr>
        <a:xfrm>
          <a:off x="0" y="357003"/>
          <a:ext cx="5201919" cy="943919"/>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(a) Inland Waterways;</a:t>
          </a:r>
          <a:endParaRPr lang="fr-FR" sz="1100">
            <a:solidFill>
              <a:sysClr val="windowText" lastClr="000000">
                <a:hueOff val="0"/>
                <a:satOff val="0"/>
                <a:lumOff val="0"/>
                <a:alphaOff val="0"/>
              </a:sysClr>
            </a:solidFill>
            <a:latin typeface="Calibri"/>
            <a:ea typeface="+mn-ea"/>
            <a:cs typeface="+mn-cs"/>
          </a:endParaRPr>
        </a:p>
      </dgm:t>
    </dgm:pt>
    <dgm:pt modelId="{BCDD381E-CCE4-2C4E-AB67-733382D252BD}" type="parTrans" cxnId="{41AE6244-3E2C-344A-81C2-2C56CAABFF9C}">
      <dgm:prSet/>
      <dgm:spPr/>
      <dgm:t>
        <a:bodyPr/>
        <a:lstStyle/>
        <a:p>
          <a:pPr algn="l"/>
          <a:endParaRPr lang="en-US"/>
        </a:p>
      </dgm:t>
    </dgm:pt>
    <dgm:pt modelId="{AF0B48F9-72EE-9A40-9393-DF7CB9D31F82}" type="sibTrans" cxnId="{41AE6244-3E2C-344A-81C2-2C56CAABFF9C}">
      <dgm:prSet/>
      <dgm:spPr/>
      <dgm:t>
        <a:bodyPr/>
        <a:lstStyle/>
        <a:p>
          <a:pPr algn="l"/>
          <a:endParaRPr lang="en-US"/>
        </a:p>
      </dgm:t>
    </dgm:pt>
    <dgm:pt modelId="{7871092C-139C-1E4F-8E16-84C765EAB185}">
      <dgm:prSet custT="1"/>
      <dgm:spPr>
        <a:xfrm>
          <a:off x="0" y="357003"/>
          <a:ext cx="5201919" cy="943919"/>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(b) Road, rail and air links;</a:t>
          </a:r>
          <a:endParaRPr lang="fr-FR" sz="1100">
            <a:solidFill>
              <a:sysClr val="windowText" lastClr="000000">
                <a:hueOff val="0"/>
                <a:satOff val="0"/>
                <a:lumOff val="0"/>
                <a:alphaOff val="0"/>
              </a:sysClr>
            </a:solidFill>
            <a:latin typeface="Calibri"/>
            <a:ea typeface="+mn-ea"/>
            <a:cs typeface="+mn-cs"/>
          </a:endParaRPr>
        </a:p>
      </dgm:t>
    </dgm:pt>
    <dgm:pt modelId="{AF945178-5FEE-E449-B22F-8CF21CE569B0}" type="parTrans" cxnId="{65E26D54-01DB-9F4F-977E-C3FCF5B0FB1F}">
      <dgm:prSet/>
      <dgm:spPr/>
      <dgm:t>
        <a:bodyPr/>
        <a:lstStyle/>
        <a:p>
          <a:pPr algn="l"/>
          <a:endParaRPr lang="en-US"/>
        </a:p>
      </dgm:t>
    </dgm:pt>
    <dgm:pt modelId="{941C453E-AC1B-1047-BB16-2A8E52045CDE}" type="sibTrans" cxnId="{65E26D54-01DB-9F4F-977E-C3FCF5B0FB1F}">
      <dgm:prSet/>
      <dgm:spPr/>
      <dgm:t>
        <a:bodyPr/>
        <a:lstStyle/>
        <a:p>
          <a:pPr algn="l"/>
          <a:endParaRPr lang="en-US"/>
        </a:p>
      </dgm:t>
    </dgm:pt>
    <dgm:pt modelId="{4AD732B1-1021-384B-9EDB-8F5198B37527}">
      <dgm:prSet custT="1"/>
      <dgm:spPr>
        <a:xfrm>
          <a:off x="0" y="357003"/>
          <a:ext cx="5201919" cy="943919"/>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To encourage reliance on more sustainable sources of energy;</a:t>
          </a:r>
          <a:endParaRPr lang="fr-FR" sz="1100">
            <a:solidFill>
              <a:sysClr val="windowText" lastClr="000000">
                <a:hueOff val="0"/>
                <a:satOff val="0"/>
                <a:lumOff val="0"/>
                <a:alphaOff val="0"/>
              </a:sysClr>
            </a:solidFill>
            <a:latin typeface="Calibri"/>
            <a:ea typeface="+mn-ea"/>
            <a:cs typeface="+mn-cs"/>
          </a:endParaRPr>
        </a:p>
      </dgm:t>
    </dgm:pt>
    <dgm:pt modelId="{A78838AB-C96E-9747-A5BF-F8F77BDF82F0}" type="parTrans" cxnId="{F93D15FE-C26B-E24E-88E5-B4B226D55290}">
      <dgm:prSet/>
      <dgm:spPr/>
      <dgm:t>
        <a:bodyPr/>
        <a:lstStyle/>
        <a:p>
          <a:pPr algn="l"/>
          <a:endParaRPr lang="en-US"/>
        </a:p>
      </dgm:t>
    </dgm:pt>
    <dgm:pt modelId="{E348D4E7-239A-0F44-B3F3-7CBBF9D33271}" type="sibTrans" cxnId="{F93D15FE-C26B-E24E-88E5-B4B226D55290}">
      <dgm:prSet/>
      <dgm:spPr/>
      <dgm:t>
        <a:bodyPr/>
        <a:lstStyle/>
        <a:p>
          <a:pPr algn="l"/>
          <a:endParaRPr lang="en-US"/>
        </a:p>
      </dgm:t>
    </dgm:pt>
    <dgm:pt modelId="{DC49ABB9-D364-1D49-AA60-5DDF271B9475}">
      <dgm:prSet custT="1"/>
      <dgm:spPr>
        <a:xfrm>
          <a:off x="0" y="357003"/>
          <a:ext cx="5201919" cy="943919"/>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To promote culture and tourism, people to people contacts;</a:t>
          </a:r>
          <a:endParaRPr lang="fr-FR" sz="1100">
            <a:solidFill>
              <a:sysClr val="windowText" lastClr="000000">
                <a:hueOff val="0"/>
                <a:satOff val="0"/>
                <a:lumOff val="0"/>
                <a:alphaOff val="0"/>
              </a:sysClr>
            </a:solidFill>
            <a:latin typeface="Calibri"/>
            <a:ea typeface="+mn-ea"/>
            <a:cs typeface="+mn-cs"/>
          </a:endParaRPr>
        </a:p>
      </dgm:t>
    </dgm:pt>
    <dgm:pt modelId="{1387027C-9DC2-7F49-ADC6-7259DCE47715}" type="parTrans" cxnId="{DB864E4C-024A-464E-B4C4-066CC529D8D9}">
      <dgm:prSet/>
      <dgm:spPr/>
      <dgm:t>
        <a:bodyPr/>
        <a:lstStyle/>
        <a:p>
          <a:pPr algn="l"/>
          <a:endParaRPr lang="en-US"/>
        </a:p>
      </dgm:t>
    </dgm:pt>
    <dgm:pt modelId="{BA556632-81D5-2A4D-B83A-F49FD35CBBAD}" type="sibTrans" cxnId="{DB864E4C-024A-464E-B4C4-066CC529D8D9}">
      <dgm:prSet/>
      <dgm:spPr/>
      <dgm:t>
        <a:bodyPr/>
        <a:lstStyle/>
        <a:p>
          <a:pPr algn="l"/>
          <a:endParaRPr lang="en-US"/>
        </a:p>
      </dgm:t>
    </dgm:pt>
    <dgm:pt modelId="{27A40995-6C1D-B44A-84D8-6D5E537DB2C5}">
      <dgm:prSet custT="1"/>
      <dgm:spPr>
        <a:xfrm>
          <a:off x="0" y="1656603"/>
          <a:ext cx="5201919" cy="560452"/>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To manage environmental risks;</a:t>
          </a:r>
          <a:endParaRPr lang="fr-FR" sz="1100">
            <a:solidFill>
              <a:sysClr val="windowText" lastClr="000000">
                <a:hueOff val="0"/>
                <a:satOff val="0"/>
                <a:lumOff val="0"/>
                <a:alphaOff val="0"/>
              </a:sysClr>
            </a:solidFill>
            <a:latin typeface="Calibri"/>
            <a:ea typeface="+mn-ea"/>
            <a:cs typeface="+mn-cs"/>
          </a:endParaRPr>
        </a:p>
      </dgm:t>
    </dgm:pt>
    <dgm:pt modelId="{C1AF0912-F419-694B-A931-FD7F01A74518}" type="parTrans" cxnId="{6D09B141-AC99-1647-B596-4BB166C56B97}">
      <dgm:prSet/>
      <dgm:spPr/>
      <dgm:t>
        <a:bodyPr/>
        <a:lstStyle/>
        <a:p>
          <a:pPr algn="l"/>
          <a:endParaRPr lang="en-US"/>
        </a:p>
      </dgm:t>
    </dgm:pt>
    <dgm:pt modelId="{E13AAA0B-411E-6048-8A8C-9EE18E63BFFE}" type="sibTrans" cxnId="{6D09B141-AC99-1647-B596-4BB166C56B97}">
      <dgm:prSet/>
      <dgm:spPr/>
      <dgm:t>
        <a:bodyPr/>
        <a:lstStyle/>
        <a:p>
          <a:pPr algn="l"/>
          <a:endParaRPr lang="en-US"/>
        </a:p>
      </dgm:t>
    </dgm:pt>
    <dgm:pt modelId="{6083E325-70B0-B340-BD44-8DEAB4D36EDC}">
      <dgm:prSet custT="1"/>
      <dgm:spPr>
        <a:xfrm>
          <a:off x="0" y="1656603"/>
          <a:ext cx="5201919" cy="560452"/>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To preserve biodiversity, landscapes and the quality of air and soils;</a:t>
          </a:r>
          <a:endParaRPr lang="fr-FR" sz="1100">
            <a:solidFill>
              <a:sysClr val="windowText" lastClr="000000">
                <a:hueOff val="0"/>
                <a:satOff val="0"/>
                <a:lumOff val="0"/>
                <a:alphaOff val="0"/>
              </a:sysClr>
            </a:solidFill>
            <a:latin typeface="Calibri"/>
            <a:ea typeface="+mn-ea"/>
            <a:cs typeface="+mn-cs"/>
          </a:endParaRPr>
        </a:p>
      </dgm:t>
    </dgm:pt>
    <dgm:pt modelId="{FBB8B319-4EF5-1240-A236-6666CD68744E}" type="parTrans" cxnId="{1241C94C-FC63-B441-B239-EB90338C78E8}">
      <dgm:prSet/>
      <dgm:spPr/>
      <dgm:t>
        <a:bodyPr/>
        <a:lstStyle/>
        <a:p>
          <a:pPr algn="l"/>
          <a:endParaRPr lang="en-US"/>
        </a:p>
      </dgm:t>
    </dgm:pt>
    <dgm:pt modelId="{322BF6A2-C807-264C-9380-79A384CFD66A}" type="sibTrans" cxnId="{1241C94C-FC63-B441-B239-EB90338C78E8}">
      <dgm:prSet/>
      <dgm:spPr/>
      <dgm:t>
        <a:bodyPr/>
        <a:lstStyle/>
        <a:p>
          <a:pPr algn="l"/>
          <a:endParaRPr lang="en-US"/>
        </a:p>
      </dgm:t>
    </dgm:pt>
    <dgm:pt modelId="{8BB5909E-078B-4947-BC02-B42C91D14FBA}">
      <dgm:prSet custT="1"/>
      <dgm:spPr>
        <a:xfrm>
          <a:off x="0" y="2572736"/>
          <a:ext cx="5201919" cy="727604"/>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To support the competitiveness of enterprises, including cluster development;</a:t>
          </a:r>
          <a:endParaRPr lang="fr-FR" sz="1100">
            <a:solidFill>
              <a:sysClr val="windowText" lastClr="000000">
                <a:hueOff val="0"/>
                <a:satOff val="0"/>
                <a:lumOff val="0"/>
                <a:alphaOff val="0"/>
              </a:sysClr>
            </a:solidFill>
            <a:latin typeface="Calibri"/>
            <a:ea typeface="+mn-ea"/>
            <a:cs typeface="+mn-cs"/>
          </a:endParaRPr>
        </a:p>
      </dgm:t>
    </dgm:pt>
    <dgm:pt modelId="{E576AB7E-4F5E-2B4F-A636-14D0940F2B20}" type="parTrans" cxnId="{BBEA53E7-730C-3041-A538-8749A7B0A62F}">
      <dgm:prSet/>
      <dgm:spPr/>
      <dgm:t>
        <a:bodyPr/>
        <a:lstStyle/>
        <a:p>
          <a:pPr algn="l"/>
          <a:endParaRPr lang="en-US"/>
        </a:p>
      </dgm:t>
    </dgm:pt>
    <dgm:pt modelId="{6165DA42-6382-AD46-A71F-40EBDD5C1E5F}" type="sibTrans" cxnId="{BBEA53E7-730C-3041-A538-8749A7B0A62F}">
      <dgm:prSet/>
      <dgm:spPr/>
      <dgm:t>
        <a:bodyPr/>
        <a:lstStyle/>
        <a:p>
          <a:pPr algn="l"/>
          <a:endParaRPr lang="en-US"/>
        </a:p>
      </dgm:t>
    </dgm:pt>
    <dgm:pt modelId="{D8BDB366-17CA-BE4A-859C-CE1ACAE566F2}">
      <dgm:prSet custT="1"/>
      <dgm:spPr>
        <a:xfrm>
          <a:off x="0" y="2572736"/>
          <a:ext cx="5201919" cy="727604"/>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To invest in people and skills;</a:t>
          </a:r>
          <a:endParaRPr lang="fr-FR" sz="1100">
            <a:solidFill>
              <a:sysClr val="windowText" lastClr="000000">
                <a:hueOff val="0"/>
                <a:satOff val="0"/>
                <a:lumOff val="0"/>
                <a:alphaOff val="0"/>
              </a:sysClr>
            </a:solidFill>
            <a:latin typeface="Calibri"/>
            <a:ea typeface="+mn-ea"/>
            <a:cs typeface="+mn-cs"/>
          </a:endParaRPr>
        </a:p>
      </dgm:t>
    </dgm:pt>
    <dgm:pt modelId="{2EE7FBAE-65C1-D142-9DBA-3C583FF9DAE4}" type="parTrans" cxnId="{BC4C0C9C-9DE2-EE43-AD3F-721CA0591B77}">
      <dgm:prSet/>
      <dgm:spPr/>
      <dgm:t>
        <a:bodyPr/>
        <a:lstStyle/>
        <a:p>
          <a:pPr algn="l"/>
          <a:endParaRPr lang="en-US"/>
        </a:p>
      </dgm:t>
    </dgm:pt>
    <dgm:pt modelId="{C5CD3EBE-5C67-DD49-88F7-35166CF7E1B9}" type="sibTrans" cxnId="{BC4C0C9C-9DE2-EE43-AD3F-721CA0591B77}">
      <dgm:prSet/>
      <dgm:spPr/>
      <dgm:t>
        <a:bodyPr/>
        <a:lstStyle/>
        <a:p>
          <a:pPr algn="l"/>
          <a:endParaRPr lang="en-US"/>
        </a:p>
      </dgm:t>
    </dgm:pt>
    <dgm:pt modelId="{BCE0EC48-B78E-7F48-A346-6EB80532B524}">
      <dgm:prSet phldrT="[Text]" custT="1"/>
      <dgm:spPr>
        <a:xfrm>
          <a:off x="0" y="3656021"/>
          <a:ext cx="5201919" cy="373635"/>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To step up institutional capacity and cooperation;</a:t>
          </a:r>
          <a:endParaRPr lang="en-US" sz="1100">
            <a:solidFill>
              <a:sysClr val="windowText" lastClr="000000">
                <a:hueOff val="0"/>
                <a:satOff val="0"/>
                <a:lumOff val="0"/>
                <a:alphaOff val="0"/>
              </a:sysClr>
            </a:solidFill>
            <a:latin typeface="Calibri"/>
            <a:ea typeface="+mn-ea"/>
            <a:cs typeface="+mn-cs"/>
          </a:endParaRPr>
        </a:p>
      </dgm:t>
    </dgm:pt>
    <dgm:pt modelId="{3EE235BD-6688-A440-8C21-4000C0C3C01C}" type="parTrans" cxnId="{88533471-EAE9-C04C-A5B9-519A3CF88D7F}">
      <dgm:prSet/>
      <dgm:spPr/>
      <dgm:t>
        <a:bodyPr/>
        <a:lstStyle/>
        <a:p>
          <a:pPr algn="l"/>
          <a:endParaRPr lang="en-US"/>
        </a:p>
      </dgm:t>
    </dgm:pt>
    <dgm:pt modelId="{3570D0A5-F4E4-5748-B2B4-0AF218DF8D51}" type="sibTrans" cxnId="{88533471-EAE9-C04C-A5B9-519A3CF88D7F}">
      <dgm:prSet/>
      <dgm:spPr/>
      <dgm:t>
        <a:bodyPr/>
        <a:lstStyle/>
        <a:p>
          <a:pPr algn="l"/>
          <a:endParaRPr lang="en-US"/>
        </a:p>
      </dgm:t>
    </dgm:pt>
    <dgm:pt modelId="{65EE511E-8C43-BF40-95EC-977F4FAB9BC9}">
      <dgm:prSet custT="1"/>
      <dgm:spPr>
        <a:xfrm>
          <a:off x="0" y="3656021"/>
          <a:ext cx="5201919" cy="373635"/>
        </a:xfrm>
        <a:noFill/>
        <a:ln w="9525" cap="flat" cmpd="sng" algn="ctr">
          <a:solidFill>
            <a:sysClr val="windowText" lastClr="000000">
              <a:alpha val="0"/>
              <a:hueOff val="0"/>
              <a:satOff val="0"/>
              <a:lumOff val="0"/>
              <a:alphaOff val="0"/>
            </a:sysClr>
          </a:solidFill>
          <a:prstDash val="solid"/>
        </a:ln>
        <a:effectLst/>
      </dgm:spPr>
      <dgm:t>
        <a:bodyPr/>
        <a:lstStyle/>
        <a:p>
          <a:pPr algn="l"/>
          <a:r>
            <a:rPr lang="en-GB" sz="1100">
              <a:solidFill>
                <a:sysClr val="windowText" lastClr="000000">
                  <a:hueOff val="0"/>
                  <a:satOff val="0"/>
                  <a:lumOff val="0"/>
                  <a:alphaOff val="0"/>
                </a:sysClr>
              </a:solidFill>
              <a:latin typeface="Calibri"/>
              <a:ea typeface="+mn-ea"/>
              <a:cs typeface="+mn-cs"/>
            </a:rPr>
            <a:t>To work together to promote security and tackle organised and serious crime.</a:t>
          </a:r>
          <a:endParaRPr lang="fr-FR" sz="1100">
            <a:solidFill>
              <a:sysClr val="windowText" lastClr="000000">
                <a:hueOff val="0"/>
                <a:satOff val="0"/>
                <a:lumOff val="0"/>
                <a:alphaOff val="0"/>
              </a:sysClr>
            </a:solidFill>
            <a:latin typeface="Calibri"/>
            <a:ea typeface="+mn-ea"/>
            <a:cs typeface="+mn-cs"/>
          </a:endParaRPr>
        </a:p>
      </dgm:t>
    </dgm:pt>
    <dgm:pt modelId="{6D2EEAE2-E4E2-F148-9D14-EB91B2268FF5}" type="parTrans" cxnId="{6AD713FF-3199-0A47-BCC0-649594A20080}">
      <dgm:prSet/>
      <dgm:spPr/>
      <dgm:t>
        <a:bodyPr/>
        <a:lstStyle/>
        <a:p>
          <a:pPr algn="l"/>
          <a:endParaRPr lang="en-US"/>
        </a:p>
      </dgm:t>
    </dgm:pt>
    <dgm:pt modelId="{B115B9D7-1BEE-0A49-902B-13F55C793A00}" type="sibTrans" cxnId="{6AD713FF-3199-0A47-BCC0-649594A20080}">
      <dgm:prSet/>
      <dgm:spPr/>
      <dgm:t>
        <a:bodyPr/>
        <a:lstStyle/>
        <a:p>
          <a:pPr algn="l"/>
          <a:endParaRPr lang="en-US"/>
        </a:p>
      </dgm:t>
    </dgm:pt>
    <dgm:pt modelId="{F2932D74-85E5-FE4A-BCB9-ACA794E328EC}" type="pres">
      <dgm:prSet presAssocID="{9F034336-1965-5949-BCAA-64D3D664132C}" presName="linear" presStyleCnt="0">
        <dgm:presLayoutVars>
          <dgm:animLvl val="lvl"/>
          <dgm:resizeHandles val="exact"/>
        </dgm:presLayoutVars>
      </dgm:prSet>
      <dgm:spPr/>
      <dgm:t>
        <a:bodyPr/>
        <a:lstStyle/>
        <a:p>
          <a:endParaRPr lang="en-US"/>
        </a:p>
      </dgm:t>
    </dgm:pt>
    <dgm:pt modelId="{992884A3-66A5-AD44-8B8F-1358FC9A6E41}" type="pres">
      <dgm:prSet presAssocID="{E3F9858F-DC6A-9049-8780-1BAD78382C95}" presName="parentText" presStyleLbl="node1" presStyleIdx="0" presStyleCnt="4">
        <dgm:presLayoutVars>
          <dgm:chMax val="0"/>
          <dgm:bulletEnabled val="1"/>
        </dgm:presLayoutVars>
      </dgm:prSet>
      <dgm:spPr>
        <a:prstGeom prst="roundRect">
          <a:avLst/>
        </a:prstGeom>
      </dgm:spPr>
      <dgm:t>
        <a:bodyPr/>
        <a:lstStyle/>
        <a:p>
          <a:endParaRPr lang="en-US"/>
        </a:p>
      </dgm:t>
    </dgm:pt>
    <dgm:pt modelId="{E8044FF7-9E9F-EA43-96CE-6CBA2556E6CD}" type="pres">
      <dgm:prSet presAssocID="{E3F9858F-DC6A-9049-8780-1BAD78382C95}" presName="childText" presStyleLbl="revTx" presStyleIdx="0" presStyleCnt="4">
        <dgm:presLayoutVars>
          <dgm:bulletEnabled val="1"/>
        </dgm:presLayoutVars>
      </dgm:prSet>
      <dgm:spPr>
        <a:prstGeom prst="rect">
          <a:avLst/>
        </a:prstGeom>
      </dgm:spPr>
      <dgm:t>
        <a:bodyPr/>
        <a:lstStyle/>
        <a:p>
          <a:endParaRPr lang="en-US"/>
        </a:p>
      </dgm:t>
    </dgm:pt>
    <dgm:pt modelId="{6FD84539-AA1B-8B46-99CC-DA6818F08AF2}" type="pres">
      <dgm:prSet presAssocID="{0A3D1619-5AF4-6442-A03D-018EAFB7D4C3}" presName="parentText" presStyleLbl="node1" presStyleIdx="1" presStyleCnt="4">
        <dgm:presLayoutVars>
          <dgm:chMax val="0"/>
          <dgm:bulletEnabled val="1"/>
        </dgm:presLayoutVars>
      </dgm:prSet>
      <dgm:spPr>
        <a:prstGeom prst="roundRect">
          <a:avLst/>
        </a:prstGeom>
      </dgm:spPr>
      <dgm:t>
        <a:bodyPr/>
        <a:lstStyle/>
        <a:p>
          <a:endParaRPr lang="en-US"/>
        </a:p>
      </dgm:t>
    </dgm:pt>
    <dgm:pt modelId="{BBA6D54F-028F-8C43-A95E-7A91E3654A0D}" type="pres">
      <dgm:prSet presAssocID="{0A3D1619-5AF4-6442-A03D-018EAFB7D4C3}" presName="childText" presStyleLbl="revTx" presStyleIdx="1" presStyleCnt="4">
        <dgm:presLayoutVars>
          <dgm:bulletEnabled val="1"/>
        </dgm:presLayoutVars>
      </dgm:prSet>
      <dgm:spPr>
        <a:prstGeom prst="rect">
          <a:avLst/>
        </a:prstGeom>
      </dgm:spPr>
      <dgm:t>
        <a:bodyPr/>
        <a:lstStyle/>
        <a:p>
          <a:endParaRPr lang="en-US"/>
        </a:p>
      </dgm:t>
    </dgm:pt>
    <dgm:pt modelId="{95467BD2-50C7-584A-906B-B2864DCD9469}" type="pres">
      <dgm:prSet presAssocID="{5EBAEFC8-7DD7-B542-9B14-F92B9A76B33D}" presName="parentText" presStyleLbl="node1" presStyleIdx="2" presStyleCnt="4">
        <dgm:presLayoutVars>
          <dgm:chMax val="0"/>
          <dgm:bulletEnabled val="1"/>
        </dgm:presLayoutVars>
      </dgm:prSet>
      <dgm:spPr>
        <a:prstGeom prst="roundRect">
          <a:avLst/>
        </a:prstGeom>
      </dgm:spPr>
      <dgm:t>
        <a:bodyPr/>
        <a:lstStyle/>
        <a:p>
          <a:endParaRPr lang="en-US"/>
        </a:p>
      </dgm:t>
    </dgm:pt>
    <dgm:pt modelId="{8953ECE1-52F5-7741-B77F-BA17ED701C3F}" type="pres">
      <dgm:prSet presAssocID="{5EBAEFC8-7DD7-B542-9B14-F92B9A76B33D}" presName="childText" presStyleLbl="revTx" presStyleIdx="2" presStyleCnt="4">
        <dgm:presLayoutVars>
          <dgm:bulletEnabled val="1"/>
        </dgm:presLayoutVars>
      </dgm:prSet>
      <dgm:spPr>
        <a:prstGeom prst="rect">
          <a:avLst/>
        </a:prstGeom>
      </dgm:spPr>
      <dgm:t>
        <a:bodyPr/>
        <a:lstStyle/>
        <a:p>
          <a:endParaRPr lang="en-US"/>
        </a:p>
      </dgm:t>
    </dgm:pt>
    <dgm:pt modelId="{936EEC82-AB87-7F41-A05E-F5F39F69D6CB}" type="pres">
      <dgm:prSet presAssocID="{7CB592DD-7EE7-1249-9B40-9C73FB4D9463}" presName="parentText" presStyleLbl="node1" presStyleIdx="3" presStyleCnt="4">
        <dgm:presLayoutVars>
          <dgm:chMax val="0"/>
          <dgm:bulletEnabled val="1"/>
        </dgm:presLayoutVars>
      </dgm:prSet>
      <dgm:spPr>
        <a:prstGeom prst="roundRect">
          <a:avLst/>
        </a:prstGeom>
      </dgm:spPr>
      <dgm:t>
        <a:bodyPr/>
        <a:lstStyle/>
        <a:p>
          <a:endParaRPr lang="en-US"/>
        </a:p>
      </dgm:t>
    </dgm:pt>
    <dgm:pt modelId="{9C3A6774-5779-DA43-A93A-63840D008349}" type="pres">
      <dgm:prSet presAssocID="{7CB592DD-7EE7-1249-9B40-9C73FB4D9463}" presName="childText" presStyleLbl="revTx" presStyleIdx="3" presStyleCnt="4">
        <dgm:presLayoutVars>
          <dgm:bulletEnabled val="1"/>
        </dgm:presLayoutVars>
      </dgm:prSet>
      <dgm:spPr>
        <a:prstGeom prst="rect">
          <a:avLst/>
        </a:prstGeom>
      </dgm:spPr>
      <dgm:t>
        <a:bodyPr/>
        <a:lstStyle/>
        <a:p>
          <a:endParaRPr lang="en-US"/>
        </a:p>
      </dgm:t>
    </dgm:pt>
  </dgm:ptLst>
  <dgm:cxnLst>
    <dgm:cxn modelId="{1ABED10D-47CF-7E45-989B-4FD70D6295EA}" srcId="{9F034336-1965-5949-BCAA-64D3D664132C}" destId="{E3F9858F-DC6A-9049-8780-1BAD78382C95}" srcOrd="0" destOrd="0" parTransId="{BF55A4A8-42E5-E544-89F7-3C9D7331B3C8}" sibTransId="{C1ED7041-BFAD-E946-AF4C-4B1036979929}"/>
    <dgm:cxn modelId="{ED39136C-FFF1-4E6F-8044-3016F24CC317}" type="presOf" srcId="{8BB5909E-078B-4947-BC02-B42C91D14FBA}" destId="{8953ECE1-52F5-7741-B77F-BA17ED701C3F}" srcOrd="0" destOrd="1" presId="urn:microsoft.com/office/officeart/2005/8/layout/vList2"/>
    <dgm:cxn modelId="{6D897E41-B0CD-454F-8E15-7546361C46A5}" type="presOf" srcId="{25FC794A-ED11-AE41-8269-538DF750DB75}" destId="{8953ECE1-52F5-7741-B77F-BA17ED701C3F}" srcOrd="0" destOrd="0" presId="urn:microsoft.com/office/officeart/2005/8/layout/vList2"/>
    <dgm:cxn modelId="{6ED3227A-EB69-4DE8-B999-B2C562C69BD8}" type="presOf" srcId="{27A40995-6C1D-B44A-84D8-6D5E537DB2C5}" destId="{BBA6D54F-028F-8C43-A95E-7A91E3654A0D}" srcOrd="0" destOrd="1" presId="urn:microsoft.com/office/officeart/2005/8/layout/vList2"/>
    <dgm:cxn modelId="{09983B72-5181-6A43-ADDC-3908D2C1B742}" srcId="{9F034336-1965-5949-BCAA-64D3D664132C}" destId="{7CB592DD-7EE7-1249-9B40-9C73FB4D9463}" srcOrd="3" destOrd="0" parTransId="{B8D3E50D-9186-EB46-93F6-897AE270695E}" sibTransId="{3AEB772D-702A-D742-97EE-728A4BBDF3EE}"/>
    <dgm:cxn modelId="{2F604BA1-8008-8E4D-BE41-407A196B069F}" srcId="{9F034336-1965-5949-BCAA-64D3D664132C}" destId="{5EBAEFC8-7DD7-B542-9B14-F92B9A76B33D}" srcOrd="2" destOrd="0" parTransId="{0A2C17AE-8D13-EC4C-AA4E-984EEA9E6C35}" sibTransId="{0E57FCAB-492F-5D47-B187-7C192A450DB3}"/>
    <dgm:cxn modelId="{C566C1D6-B56F-4AF9-BBEA-D71F85E12D91}" type="presOf" srcId="{E3F9858F-DC6A-9049-8780-1BAD78382C95}" destId="{992884A3-66A5-AD44-8B8F-1358FC9A6E41}" srcOrd="0" destOrd="0" presId="urn:microsoft.com/office/officeart/2005/8/layout/vList2"/>
    <dgm:cxn modelId="{BBEA53E7-730C-3041-A538-8749A7B0A62F}" srcId="{5EBAEFC8-7DD7-B542-9B14-F92B9A76B33D}" destId="{8BB5909E-078B-4947-BC02-B42C91D14FBA}" srcOrd="1" destOrd="0" parTransId="{E576AB7E-4F5E-2B4F-A636-14D0940F2B20}" sibTransId="{6165DA42-6382-AD46-A71F-40EBDD5C1E5F}"/>
    <dgm:cxn modelId="{00AA061D-C7EC-694E-B7D7-15D135B67780}" srcId="{0A3D1619-5AF4-6442-A03D-018EAFB7D4C3}" destId="{8DC346EB-F9A1-1E41-A51D-E9B6212F7045}" srcOrd="0" destOrd="0" parTransId="{53F477A4-8344-2548-84AB-6CC9BEB754B0}" sibTransId="{95A0A2A4-5B1F-F748-8180-FEA6FC7E11FC}"/>
    <dgm:cxn modelId="{2152E4C1-287E-4FBC-91C9-FC6198CBDDF3}" type="presOf" srcId="{0A3D1619-5AF4-6442-A03D-018EAFB7D4C3}" destId="{6FD84539-AA1B-8B46-99CC-DA6818F08AF2}" srcOrd="0" destOrd="0" presId="urn:microsoft.com/office/officeart/2005/8/layout/vList2"/>
    <dgm:cxn modelId="{1241C94C-FC63-B441-B239-EB90338C78E8}" srcId="{0A3D1619-5AF4-6442-A03D-018EAFB7D4C3}" destId="{6083E325-70B0-B340-BD44-8DEAB4D36EDC}" srcOrd="2" destOrd="0" parTransId="{FBB8B319-4EF5-1240-A236-6666CD68744E}" sibTransId="{322BF6A2-C807-264C-9380-79A384CFD66A}"/>
    <dgm:cxn modelId="{BC4C0C9C-9DE2-EE43-AD3F-721CA0591B77}" srcId="{5EBAEFC8-7DD7-B542-9B14-F92B9A76B33D}" destId="{D8BDB366-17CA-BE4A-859C-CE1ACAE566F2}" srcOrd="2" destOrd="0" parTransId="{2EE7FBAE-65C1-D142-9DBA-3C583FF9DAE4}" sibTransId="{C5CD3EBE-5C67-DD49-88F7-35166CF7E1B9}"/>
    <dgm:cxn modelId="{65E26D54-01DB-9F4F-977E-C3FCF5B0FB1F}" srcId="{383CD03A-1E1E-7741-B50B-FB7871E51060}" destId="{7871092C-139C-1E4F-8E16-84C765EAB185}" srcOrd="1" destOrd="0" parTransId="{AF945178-5FEE-E449-B22F-8CF21CE569B0}" sibTransId="{941C453E-AC1B-1047-BB16-2A8E52045CDE}"/>
    <dgm:cxn modelId="{F93D15FE-C26B-E24E-88E5-B4B226D55290}" srcId="{E3F9858F-DC6A-9049-8780-1BAD78382C95}" destId="{4AD732B1-1021-384B-9EDB-8F5198B37527}" srcOrd="1" destOrd="0" parTransId="{A78838AB-C96E-9747-A5BF-F8F77BDF82F0}" sibTransId="{E348D4E7-239A-0F44-B3F3-7CBBF9D33271}"/>
    <dgm:cxn modelId="{72757B7B-9218-480B-8533-1BBEFC571E0C}" type="presOf" srcId="{9F034336-1965-5949-BCAA-64D3D664132C}" destId="{F2932D74-85E5-FE4A-BCB9-ACA794E328EC}" srcOrd="0" destOrd="0" presId="urn:microsoft.com/office/officeart/2005/8/layout/vList2"/>
    <dgm:cxn modelId="{BB492CCA-13ED-9341-8519-6F9C7DB89461}" srcId="{9F034336-1965-5949-BCAA-64D3D664132C}" destId="{0A3D1619-5AF4-6442-A03D-018EAFB7D4C3}" srcOrd="1" destOrd="0" parTransId="{211FD3AA-6ABE-5444-A90E-BBD779FCA29B}" sibTransId="{89E426CA-59E2-2448-ACA3-1F06C3074898}"/>
    <dgm:cxn modelId="{73762501-6FCD-42A0-8B52-8516BD62F392}" type="presOf" srcId="{7871092C-139C-1E4F-8E16-84C765EAB185}" destId="{E8044FF7-9E9F-EA43-96CE-6CBA2556E6CD}" srcOrd="0" destOrd="2" presId="urn:microsoft.com/office/officeart/2005/8/layout/vList2"/>
    <dgm:cxn modelId="{816D2C7C-AEE6-4655-A83D-003DCF91C6C5}" type="presOf" srcId="{DC49ABB9-D364-1D49-AA60-5DDF271B9475}" destId="{E8044FF7-9E9F-EA43-96CE-6CBA2556E6CD}" srcOrd="0" destOrd="4" presId="urn:microsoft.com/office/officeart/2005/8/layout/vList2"/>
    <dgm:cxn modelId="{9BC5A68A-D76D-47E6-8D92-3F1AB1B9C8E1}" type="presOf" srcId="{7CB592DD-7EE7-1249-9B40-9C73FB4D9463}" destId="{936EEC82-AB87-7F41-A05E-F5F39F69D6CB}" srcOrd="0" destOrd="0" presId="urn:microsoft.com/office/officeart/2005/8/layout/vList2"/>
    <dgm:cxn modelId="{3E83FE1E-02B6-C641-AF01-CC318361388D}" srcId="{E3F9858F-DC6A-9049-8780-1BAD78382C95}" destId="{383CD03A-1E1E-7741-B50B-FB7871E51060}" srcOrd="0" destOrd="0" parTransId="{0A40BB26-6FB4-6F4F-A31C-E7B2A28BB289}" sibTransId="{3B95E7B9-66A6-3D45-977E-AA8BE87C97F8}"/>
    <dgm:cxn modelId="{CC977454-685F-41F6-837C-6F5393B2EB3D}" type="presOf" srcId="{BCE0EC48-B78E-7F48-A346-6EB80532B524}" destId="{9C3A6774-5779-DA43-A93A-63840D008349}" srcOrd="0" destOrd="0" presId="urn:microsoft.com/office/officeart/2005/8/layout/vList2"/>
    <dgm:cxn modelId="{1F988363-46CD-4645-8ADF-30DE2C56E583}" type="presOf" srcId="{ACD24518-EF47-4443-8088-FF3D4E880615}" destId="{E8044FF7-9E9F-EA43-96CE-6CBA2556E6CD}" srcOrd="0" destOrd="1" presId="urn:microsoft.com/office/officeart/2005/8/layout/vList2"/>
    <dgm:cxn modelId="{90621D0B-678C-FC48-BC25-D3351E3945A3}" srcId="{5EBAEFC8-7DD7-B542-9B14-F92B9A76B33D}" destId="{25FC794A-ED11-AE41-8269-538DF750DB75}" srcOrd="0" destOrd="0" parTransId="{423417AA-7533-8E49-BDA7-93E4C0458815}" sibTransId="{3919C940-9FB5-5442-B563-7D6AC69871C9}"/>
    <dgm:cxn modelId="{6D09B141-AC99-1647-B596-4BB166C56B97}" srcId="{0A3D1619-5AF4-6442-A03D-018EAFB7D4C3}" destId="{27A40995-6C1D-B44A-84D8-6D5E537DB2C5}" srcOrd="1" destOrd="0" parTransId="{C1AF0912-F419-694B-A931-FD7F01A74518}" sibTransId="{E13AAA0B-411E-6048-8A8C-9EE18E63BFFE}"/>
    <dgm:cxn modelId="{317EE2EE-E95F-4E82-8909-1CBE27593DA9}" type="presOf" srcId="{5EBAEFC8-7DD7-B542-9B14-F92B9A76B33D}" destId="{95467BD2-50C7-584A-906B-B2864DCD9469}" srcOrd="0" destOrd="0" presId="urn:microsoft.com/office/officeart/2005/8/layout/vList2"/>
    <dgm:cxn modelId="{CE0CB3AA-D631-4A20-AF7A-DB38AA048730}" type="presOf" srcId="{8DC346EB-F9A1-1E41-A51D-E9B6212F7045}" destId="{BBA6D54F-028F-8C43-A95E-7A91E3654A0D}" srcOrd="0" destOrd="0" presId="urn:microsoft.com/office/officeart/2005/8/layout/vList2"/>
    <dgm:cxn modelId="{650F29BC-5D45-4AFE-B273-92CAC224A1D7}" type="presOf" srcId="{D8BDB366-17CA-BE4A-859C-CE1ACAE566F2}" destId="{8953ECE1-52F5-7741-B77F-BA17ED701C3F}" srcOrd="0" destOrd="2" presId="urn:microsoft.com/office/officeart/2005/8/layout/vList2"/>
    <dgm:cxn modelId="{4F3FAE4B-8A17-4DF9-950F-C7EB2C938786}" type="presOf" srcId="{383CD03A-1E1E-7741-B50B-FB7871E51060}" destId="{E8044FF7-9E9F-EA43-96CE-6CBA2556E6CD}" srcOrd="0" destOrd="0" presId="urn:microsoft.com/office/officeart/2005/8/layout/vList2"/>
    <dgm:cxn modelId="{88533471-EAE9-C04C-A5B9-519A3CF88D7F}" srcId="{7CB592DD-7EE7-1249-9B40-9C73FB4D9463}" destId="{BCE0EC48-B78E-7F48-A346-6EB80532B524}" srcOrd="0" destOrd="0" parTransId="{3EE235BD-6688-A440-8C21-4000C0C3C01C}" sibTransId="{3570D0A5-F4E4-5748-B2B4-0AF218DF8D51}"/>
    <dgm:cxn modelId="{41AE6244-3E2C-344A-81C2-2C56CAABFF9C}" srcId="{383CD03A-1E1E-7741-B50B-FB7871E51060}" destId="{ACD24518-EF47-4443-8088-FF3D4E880615}" srcOrd="0" destOrd="0" parTransId="{BCDD381E-CCE4-2C4E-AB67-733382D252BD}" sibTransId="{AF0B48F9-72EE-9A40-9393-DF7CB9D31F82}"/>
    <dgm:cxn modelId="{6AD713FF-3199-0A47-BCC0-649594A20080}" srcId="{7CB592DD-7EE7-1249-9B40-9C73FB4D9463}" destId="{65EE511E-8C43-BF40-95EC-977F4FAB9BC9}" srcOrd="1" destOrd="0" parTransId="{6D2EEAE2-E4E2-F148-9D14-EB91B2268FF5}" sibTransId="{B115B9D7-1BEE-0A49-902B-13F55C793A00}"/>
    <dgm:cxn modelId="{1637F3A7-9AB9-4672-B567-5C62D7A2DDE7}" type="presOf" srcId="{4AD732B1-1021-384B-9EDB-8F5198B37527}" destId="{E8044FF7-9E9F-EA43-96CE-6CBA2556E6CD}" srcOrd="0" destOrd="3" presId="urn:microsoft.com/office/officeart/2005/8/layout/vList2"/>
    <dgm:cxn modelId="{4A24416D-66CD-498B-9F20-7F91BD2AF46A}" type="presOf" srcId="{65EE511E-8C43-BF40-95EC-977F4FAB9BC9}" destId="{9C3A6774-5779-DA43-A93A-63840D008349}" srcOrd="0" destOrd="1" presId="urn:microsoft.com/office/officeart/2005/8/layout/vList2"/>
    <dgm:cxn modelId="{DB864E4C-024A-464E-B4C4-066CC529D8D9}" srcId="{E3F9858F-DC6A-9049-8780-1BAD78382C95}" destId="{DC49ABB9-D364-1D49-AA60-5DDF271B9475}" srcOrd="2" destOrd="0" parTransId="{1387027C-9DC2-7F49-ADC6-7259DCE47715}" sibTransId="{BA556632-81D5-2A4D-B83A-F49FD35CBBAD}"/>
    <dgm:cxn modelId="{99C26BD5-6909-4A26-B1DD-31A69E7A61CD}" type="presOf" srcId="{6083E325-70B0-B340-BD44-8DEAB4D36EDC}" destId="{BBA6D54F-028F-8C43-A95E-7A91E3654A0D}" srcOrd="0" destOrd="2" presId="urn:microsoft.com/office/officeart/2005/8/layout/vList2"/>
    <dgm:cxn modelId="{D8C129F1-F12F-48FC-96A9-4B6683E71242}" type="presParOf" srcId="{F2932D74-85E5-FE4A-BCB9-ACA794E328EC}" destId="{992884A3-66A5-AD44-8B8F-1358FC9A6E41}" srcOrd="0" destOrd="0" presId="urn:microsoft.com/office/officeart/2005/8/layout/vList2"/>
    <dgm:cxn modelId="{83EDD2BA-CEF0-42BE-A464-9BEDEA805C7B}" type="presParOf" srcId="{F2932D74-85E5-FE4A-BCB9-ACA794E328EC}" destId="{E8044FF7-9E9F-EA43-96CE-6CBA2556E6CD}" srcOrd="1" destOrd="0" presId="urn:microsoft.com/office/officeart/2005/8/layout/vList2"/>
    <dgm:cxn modelId="{AE963198-63F1-4E40-AA88-D534971EFD4F}" type="presParOf" srcId="{F2932D74-85E5-FE4A-BCB9-ACA794E328EC}" destId="{6FD84539-AA1B-8B46-99CC-DA6818F08AF2}" srcOrd="2" destOrd="0" presId="urn:microsoft.com/office/officeart/2005/8/layout/vList2"/>
    <dgm:cxn modelId="{1B7B457E-2DC5-40BE-AD1D-9B0C2726C25E}" type="presParOf" srcId="{F2932D74-85E5-FE4A-BCB9-ACA794E328EC}" destId="{BBA6D54F-028F-8C43-A95E-7A91E3654A0D}" srcOrd="3" destOrd="0" presId="urn:microsoft.com/office/officeart/2005/8/layout/vList2"/>
    <dgm:cxn modelId="{63BB8C21-3B23-4D24-B797-EF56136B58B7}" type="presParOf" srcId="{F2932D74-85E5-FE4A-BCB9-ACA794E328EC}" destId="{95467BD2-50C7-584A-906B-B2864DCD9469}" srcOrd="4" destOrd="0" presId="urn:microsoft.com/office/officeart/2005/8/layout/vList2"/>
    <dgm:cxn modelId="{D4D56B17-351C-4829-ACD5-F06889F4DFB6}" type="presParOf" srcId="{F2932D74-85E5-FE4A-BCB9-ACA794E328EC}" destId="{8953ECE1-52F5-7741-B77F-BA17ED701C3F}" srcOrd="5" destOrd="0" presId="urn:microsoft.com/office/officeart/2005/8/layout/vList2"/>
    <dgm:cxn modelId="{D37FFAFF-AA74-40EF-A608-FE1186885CD2}" type="presParOf" srcId="{F2932D74-85E5-FE4A-BCB9-ACA794E328EC}" destId="{936EEC82-AB87-7F41-A05E-F5F39F69D6CB}" srcOrd="6" destOrd="0" presId="urn:microsoft.com/office/officeart/2005/8/layout/vList2"/>
    <dgm:cxn modelId="{AF988BEA-B0BD-49B0-A933-5ABF844DDFCF}" type="presParOf" srcId="{F2932D74-85E5-FE4A-BCB9-ACA794E328EC}" destId="{9C3A6774-5779-DA43-A93A-63840D008349}" srcOrd="7" destOrd="0" presId="urn:microsoft.com/office/officeart/2005/8/layout/vList2"/>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57B9AE2A-E521-423A-9420-9248E2ABAEB9}" type="doc">
      <dgm:prSet loTypeId="urn:microsoft.com/office/officeart/2005/8/layout/hierarchy1" loCatId="hierarchy" qsTypeId="urn:microsoft.com/office/officeart/2005/8/quickstyle/simple4" qsCatId="simple" csTypeId="urn:microsoft.com/office/officeart/2005/8/colors/colorful5" csCatId="colorful" phldr="1"/>
      <dgm:spPr/>
      <dgm:t>
        <a:bodyPr/>
        <a:lstStyle/>
        <a:p>
          <a:endParaRPr lang="en-US"/>
        </a:p>
      </dgm:t>
    </dgm:pt>
    <dgm:pt modelId="{A58BA6A5-A16A-47B2-B835-A7D2C2E7FCE2}">
      <dgm:prSet phldrT="[Text]" custT="1"/>
      <dgm:spPr/>
      <dgm:t>
        <a:bodyPr/>
        <a:lstStyle/>
        <a:p>
          <a:pPr algn="ctr">
            <a:lnSpc>
              <a:spcPct val="100000"/>
            </a:lnSpc>
            <a:spcBef>
              <a:spcPts val="0"/>
            </a:spcBef>
            <a:spcAft>
              <a:spcPts val="0"/>
            </a:spcAft>
          </a:pPr>
          <a:r>
            <a:rPr lang="en-US" sz="1400" b="1"/>
            <a:t>CBC ROBG 2014-2020</a:t>
          </a:r>
        </a:p>
      </dgm:t>
    </dgm:pt>
    <dgm:pt modelId="{BCEE7C91-B60B-42A1-8B22-D3B50524B882}" type="parTrans" cxnId="{2E0464A5-CF13-4F17-9CB9-C5DC662DA8D7}">
      <dgm:prSet/>
      <dgm:spPr/>
      <dgm:t>
        <a:bodyPr/>
        <a:lstStyle/>
        <a:p>
          <a:pPr algn="ctr">
            <a:lnSpc>
              <a:spcPct val="100000"/>
            </a:lnSpc>
            <a:spcBef>
              <a:spcPts val="0"/>
            </a:spcBef>
            <a:spcAft>
              <a:spcPts val="0"/>
            </a:spcAft>
          </a:pPr>
          <a:endParaRPr lang="en-US"/>
        </a:p>
      </dgm:t>
    </dgm:pt>
    <dgm:pt modelId="{A7091F16-522E-40DD-AAC0-E72B5D00782D}" type="sibTrans" cxnId="{2E0464A5-CF13-4F17-9CB9-C5DC662DA8D7}">
      <dgm:prSet/>
      <dgm:spPr/>
      <dgm:t>
        <a:bodyPr/>
        <a:lstStyle/>
        <a:p>
          <a:pPr algn="ctr">
            <a:lnSpc>
              <a:spcPct val="100000"/>
            </a:lnSpc>
            <a:spcBef>
              <a:spcPts val="0"/>
            </a:spcBef>
            <a:spcAft>
              <a:spcPts val="0"/>
            </a:spcAft>
          </a:pPr>
          <a:endParaRPr lang="en-US"/>
        </a:p>
      </dgm:t>
    </dgm:pt>
    <dgm:pt modelId="{7D1FEB1F-DEDC-4236-A79C-4C7FABBD7816}">
      <dgm:prSet phldrT="[Text]" custT="1"/>
      <dgm:spPr/>
      <dgm:t>
        <a:bodyPr/>
        <a:lstStyle/>
        <a:p>
          <a:pPr algn="ctr">
            <a:lnSpc>
              <a:spcPct val="100000"/>
            </a:lnSpc>
            <a:spcBef>
              <a:spcPts val="0"/>
            </a:spcBef>
            <a:spcAft>
              <a:spcPts val="0"/>
            </a:spcAft>
          </a:pPr>
          <a:r>
            <a:rPr lang="en-US" sz="1100" b="1"/>
            <a:t>Priority Axis 1</a:t>
          </a:r>
        </a:p>
        <a:p>
          <a:pPr algn="ctr">
            <a:lnSpc>
              <a:spcPct val="100000"/>
            </a:lnSpc>
            <a:spcBef>
              <a:spcPts val="0"/>
            </a:spcBef>
            <a:spcAft>
              <a:spcPts val="0"/>
            </a:spcAft>
          </a:pPr>
          <a:r>
            <a:rPr lang="en-US" sz="1100" b="1"/>
            <a:t>A well connected region</a:t>
          </a:r>
        </a:p>
      </dgm:t>
    </dgm:pt>
    <dgm:pt modelId="{5FE67D17-03EE-460A-935D-0C515DB5D62A}" type="parTrans" cxnId="{09747256-B8E8-499E-A28B-64AE8F3A1F03}">
      <dgm:prSet/>
      <dgm:spPr/>
      <dgm:t>
        <a:bodyPr/>
        <a:lstStyle/>
        <a:p>
          <a:pPr algn="ctr">
            <a:lnSpc>
              <a:spcPct val="100000"/>
            </a:lnSpc>
            <a:spcBef>
              <a:spcPts val="0"/>
            </a:spcBef>
            <a:spcAft>
              <a:spcPts val="0"/>
            </a:spcAft>
          </a:pPr>
          <a:endParaRPr lang="en-US" sz="2400"/>
        </a:p>
      </dgm:t>
    </dgm:pt>
    <dgm:pt modelId="{71AF7D41-81C5-40FF-9078-A908C368A9A8}" type="sibTrans" cxnId="{09747256-B8E8-499E-A28B-64AE8F3A1F03}">
      <dgm:prSet/>
      <dgm:spPr/>
      <dgm:t>
        <a:bodyPr/>
        <a:lstStyle/>
        <a:p>
          <a:pPr algn="ctr">
            <a:lnSpc>
              <a:spcPct val="100000"/>
            </a:lnSpc>
            <a:spcBef>
              <a:spcPts val="0"/>
            </a:spcBef>
            <a:spcAft>
              <a:spcPts val="0"/>
            </a:spcAft>
          </a:pPr>
          <a:endParaRPr lang="en-US"/>
        </a:p>
      </dgm:t>
    </dgm:pt>
    <dgm:pt modelId="{B9659CD6-14FE-4C1B-BCD4-8925FE43A0FE}">
      <dgm:prSet phldrT="[Text]" custT="1"/>
      <dgm:spPr/>
      <dgm:t>
        <a:bodyPr/>
        <a:lstStyle/>
        <a:p>
          <a:pPr algn="ctr">
            <a:lnSpc>
              <a:spcPct val="100000"/>
            </a:lnSpc>
            <a:spcBef>
              <a:spcPts val="0"/>
            </a:spcBef>
            <a:spcAft>
              <a:spcPts val="0"/>
            </a:spcAft>
          </a:pPr>
          <a:r>
            <a:rPr lang="en-US" sz="1100" b="1"/>
            <a:t>Priority Axis 2</a:t>
          </a:r>
        </a:p>
        <a:p>
          <a:pPr algn="ctr">
            <a:lnSpc>
              <a:spcPct val="100000"/>
            </a:lnSpc>
            <a:spcBef>
              <a:spcPts val="0"/>
            </a:spcBef>
            <a:spcAft>
              <a:spcPts val="0"/>
            </a:spcAft>
          </a:pPr>
          <a:r>
            <a:rPr lang="en-US" sz="1100" b="1"/>
            <a:t>A green region</a:t>
          </a:r>
        </a:p>
      </dgm:t>
    </dgm:pt>
    <dgm:pt modelId="{3E13B60E-8C07-4678-87F0-420A139D870E}" type="parTrans" cxnId="{2F48A710-8203-44B6-AC8E-430CE1FE1C61}">
      <dgm:prSet/>
      <dgm:spPr/>
      <dgm:t>
        <a:bodyPr/>
        <a:lstStyle/>
        <a:p>
          <a:pPr algn="ctr">
            <a:lnSpc>
              <a:spcPct val="100000"/>
            </a:lnSpc>
            <a:spcBef>
              <a:spcPts val="0"/>
            </a:spcBef>
            <a:spcAft>
              <a:spcPts val="0"/>
            </a:spcAft>
          </a:pPr>
          <a:endParaRPr lang="en-US" sz="2400"/>
        </a:p>
      </dgm:t>
    </dgm:pt>
    <dgm:pt modelId="{4318DA56-A327-4A5A-BB2A-190793F3E35C}" type="sibTrans" cxnId="{2F48A710-8203-44B6-AC8E-430CE1FE1C61}">
      <dgm:prSet/>
      <dgm:spPr/>
      <dgm:t>
        <a:bodyPr/>
        <a:lstStyle/>
        <a:p>
          <a:pPr algn="ctr">
            <a:lnSpc>
              <a:spcPct val="100000"/>
            </a:lnSpc>
            <a:spcBef>
              <a:spcPts val="0"/>
            </a:spcBef>
            <a:spcAft>
              <a:spcPts val="0"/>
            </a:spcAft>
          </a:pPr>
          <a:endParaRPr lang="en-US"/>
        </a:p>
      </dgm:t>
    </dgm:pt>
    <dgm:pt modelId="{6D513D9E-4C3F-4106-8A78-C67BD0BAC4EB}">
      <dgm:prSet phldrT="[Text]" custT="1"/>
      <dgm:spPr/>
      <dgm:t>
        <a:bodyPr/>
        <a:lstStyle/>
        <a:p>
          <a:pPr algn="ctr">
            <a:lnSpc>
              <a:spcPct val="100000"/>
            </a:lnSpc>
            <a:spcBef>
              <a:spcPts val="0"/>
            </a:spcBef>
            <a:spcAft>
              <a:spcPts val="0"/>
            </a:spcAft>
          </a:pPr>
          <a:r>
            <a:rPr lang="en-US" sz="1100" b="1"/>
            <a:t>Priority Axis 3</a:t>
          </a:r>
        </a:p>
        <a:p>
          <a:pPr algn="ctr">
            <a:lnSpc>
              <a:spcPct val="100000"/>
            </a:lnSpc>
            <a:spcBef>
              <a:spcPts val="0"/>
            </a:spcBef>
            <a:spcAft>
              <a:spcPts val="0"/>
            </a:spcAft>
          </a:pPr>
          <a:r>
            <a:rPr lang="en-US" sz="1100" b="1"/>
            <a:t>A safe region</a:t>
          </a:r>
        </a:p>
      </dgm:t>
    </dgm:pt>
    <dgm:pt modelId="{CF75A8A4-5A6F-4A14-BC16-DADF7427EB74}" type="parTrans" cxnId="{D2532A42-43B9-431E-97FC-D529CE2EFFE4}">
      <dgm:prSet/>
      <dgm:spPr/>
      <dgm:t>
        <a:bodyPr/>
        <a:lstStyle/>
        <a:p>
          <a:pPr algn="ctr">
            <a:lnSpc>
              <a:spcPct val="100000"/>
            </a:lnSpc>
            <a:spcBef>
              <a:spcPts val="0"/>
            </a:spcBef>
            <a:spcAft>
              <a:spcPts val="0"/>
            </a:spcAft>
          </a:pPr>
          <a:endParaRPr lang="en-US" sz="2400"/>
        </a:p>
      </dgm:t>
    </dgm:pt>
    <dgm:pt modelId="{733AF754-7974-42DB-9B2F-21FF14ECB028}" type="sibTrans" cxnId="{D2532A42-43B9-431E-97FC-D529CE2EFFE4}">
      <dgm:prSet/>
      <dgm:spPr/>
      <dgm:t>
        <a:bodyPr/>
        <a:lstStyle/>
        <a:p>
          <a:pPr algn="ctr">
            <a:lnSpc>
              <a:spcPct val="100000"/>
            </a:lnSpc>
            <a:spcBef>
              <a:spcPts val="0"/>
            </a:spcBef>
            <a:spcAft>
              <a:spcPts val="0"/>
            </a:spcAft>
          </a:pPr>
          <a:endParaRPr lang="en-US"/>
        </a:p>
      </dgm:t>
    </dgm:pt>
    <dgm:pt modelId="{7A04868F-1A11-446A-85B4-1CFDCEE552D7}">
      <dgm:prSet phldrT="[Text]" custT="1"/>
      <dgm:spPr/>
      <dgm:t>
        <a:bodyPr/>
        <a:lstStyle/>
        <a:p>
          <a:pPr algn="ctr">
            <a:lnSpc>
              <a:spcPct val="100000"/>
            </a:lnSpc>
            <a:spcBef>
              <a:spcPts val="0"/>
            </a:spcBef>
            <a:spcAft>
              <a:spcPts val="0"/>
            </a:spcAft>
          </a:pPr>
          <a:r>
            <a:rPr lang="en-US" sz="1100" b="1"/>
            <a:t>Priority Axis 5</a:t>
          </a:r>
        </a:p>
        <a:p>
          <a:pPr algn="ctr">
            <a:lnSpc>
              <a:spcPct val="100000"/>
            </a:lnSpc>
            <a:spcBef>
              <a:spcPts val="0"/>
            </a:spcBef>
            <a:spcAft>
              <a:spcPts val="0"/>
            </a:spcAft>
          </a:pPr>
          <a:r>
            <a:rPr lang="en-US" sz="1100" b="1"/>
            <a:t>An efficient region</a:t>
          </a:r>
        </a:p>
      </dgm:t>
    </dgm:pt>
    <dgm:pt modelId="{122CF950-E193-4469-A7B4-F8ECFC2366C0}" type="parTrans" cxnId="{5A07FC9E-3C63-42E1-941E-3F04EB96B712}">
      <dgm:prSet/>
      <dgm:spPr/>
      <dgm:t>
        <a:bodyPr/>
        <a:lstStyle/>
        <a:p>
          <a:pPr algn="ctr">
            <a:lnSpc>
              <a:spcPct val="100000"/>
            </a:lnSpc>
            <a:spcBef>
              <a:spcPts val="0"/>
            </a:spcBef>
            <a:spcAft>
              <a:spcPts val="0"/>
            </a:spcAft>
          </a:pPr>
          <a:endParaRPr lang="en-US" sz="2400"/>
        </a:p>
      </dgm:t>
    </dgm:pt>
    <dgm:pt modelId="{BD35F5CB-AA42-4881-BF16-2C4D49E1B4B3}" type="sibTrans" cxnId="{5A07FC9E-3C63-42E1-941E-3F04EB96B712}">
      <dgm:prSet/>
      <dgm:spPr/>
      <dgm:t>
        <a:bodyPr/>
        <a:lstStyle/>
        <a:p>
          <a:pPr algn="ctr">
            <a:lnSpc>
              <a:spcPct val="100000"/>
            </a:lnSpc>
            <a:spcBef>
              <a:spcPts val="0"/>
            </a:spcBef>
            <a:spcAft>
              <a:spcPts val="0"/>
            </a:spcAft>
          </a:pPr>
          <a:endParaRPr lang="en-US"/>
        </a:p>
      </dgm:t>
    </dgm:pt>
    <dgm:pt modelId="{6BA72B1B-C596-48C8-AC8A-9A88EBFB37D9}">
      <dgm:prSet phldrT="[Text]" custT="1"/>
      <dgm:spPr/>
      <dgm:t>
        <a:bodyPr/>
        <a:lstStyle/>
        <a:p>
          <a:pPr algn="ctr">
            <a:lnSpc>
              <a:spcPct val="100000"/>
            </a:lnSpc>
            <a:spcBef>
              <a:spcPts val="0"/>
            </a:spcBef>
            <a:spcAft>
              <a:spcPts val="0"/>
            </a:spcAft>
          </a:pPr>
          <a:r>
            <a:rPr lang="en-US" sz="1100" b="1"/>
            <a:t>TO 5</a:t>
          </a:r>
        </a:p>
      </dgm:t>
    </dgm:pt>
    <dgm:pt modelId="{4928AFD6-97F3-42A4-8826-89CECCF04947}" type="parTrans" cxnId="{104B2492-1405-45DA-ACC3-C2C0B1923819}">
      <dgm:prSet/>
      <dgm:spPr/>
      <dgm:t>
        <a:bodyPr/>
        <a:lstStyle/>
        <a:p>
          <a:pPr algn="ctr">
            <a:lnSpc>
              <a:spcPct val="100000"/>
            </a:lnSpc>
            <a:spcBef>
              <a:spcPts val="0"/>
            </a:spcBef>
            <a:spcAft>
              <a:spcPts val="0"/>
            </a:spcAft>
          </a:pPr>
          <a:endParaRPr lang="en-US" sz="2400"/>
        </a:p>
      </dgm:t>
    </dgm:pt>
    <dgm:pt modelId="{752B210B-A716-4950-8326-EE1257A6729C}" type="sibTrans" cxnId="{104B2492-1405-45DA-ACC3-C2C0B1923819}">
      <dgm:prSet/>
      <dgm:spPr/>
      <dgm:t>
        <a:bodyPr/>
        <a:lstStyle/>
        <a:p>
          <a:pPr algn="ctr">
            <a:lnSpc>
              <a:spcPct val="100000"/>
            </a:lnSpc>
            <a:spcBef>
              <a:spcPts val="0"/>
            </a:spcBef>
            <a:spcAft>
              <a:spcPts val="0"/>
            </a:spcAft>
          </a:pPr>
          <a:endParaRPr lang="en-US"/>
        </a:p>
      </dgm:t>
    </dgm:pt>
    <dgm:pt modelId="{EBA3E6D7-71E5-4D28-B89B-E42DD265911C}">
      <dgm:prSet phldrT="[Text]" custT="1"/>
      <dgm:spPr/>
      <dgm:t>
        <a:bodyPr/>
        <a:lstStyle/>
        <a:p>
          <a:pPr algn="ctr">
            <a:lnSpc>
              <a:spcPct val="100000"/>
            </a:lnSpc>
            <a:spcBef>
              <a:spcPts val="0"/>
            </a:spcBef>
            <a:spcAft>
              <a:spcPts val="0"/>
            </a:spcAft>
          </a:pPr>
          <a:r>
            <a:rPr lang="en-US" sz="1100" b="1"/>
            <a:t>TO 6</a:t>
          </a:r>
        </a:p>
      </dgm:t>
    </dgm:pt>
    <dgm:pt modelId="{9AB0342B-3C6D-4ED3-B539-D0D2C35EA039}" type="parTrans" cxnId="{C1532C55-D300-4E36-81B3-C2C6B51DA3DC}">
      <dgm:prSet/>
      <dgm:spPr/>
      <dgm:t>
        <a:bodyPr/>
        <a:lstStyle/>
        <a:p>
          <a:pPr algn="ctr">
            <a:lnSpc>
              <a:spcPct val="100000"/>
            </a:lnSpc>
            <a:spcBef>
              <a:spcPts val="0"/>
            </a:spcBef>
            <a:spcAft>
              <a:spcPts val="0"/>
            </a:spcAft>
          </a:pPr>
          <a:endParaRPr lang="en-US" sz="2400"/>
        </a:p>
      </dgm:t>
    </dgm:pt>
    <dgm:pt modelId="{E50F50BC-9FB6-4641-8B72-F9F61BB0705B}" type="sibTrans" cxnId="{C1532C55-D300-4E36-81B3-C2C6B51DA3DC}">
      <dgm:prSet/>
      <dgm:spPr/>
      <dgm:t>
        <a:bodyPr/>
        <a:lstStyle/>
        <a:p>
          <a:pPr algn="ctr">
            <a:lnSpc>
              <a:spcPct val="100000"/>
            </a:lnSpc>
            <a:spcBef>
              <a:spcPts val="0"/>
            </a:spcBef>
            <a:spcAft>
              <a:spcPts val="0"/>
            </a:spcAft>
          </a:pPr>
          <a:endParaRPr lang="en-US"/>
        </a:p>
      </dgm:t>
    </dgm:pt>
    <dgm:pt modelId="{846D6B5A-F4A9-432C-8864-2506466D0890}">
      <dgm:prSet phldrT="[Text]" custT="1"/>
      <dgm:spPr/>
      <dgm:t>
        <a:bodyPr/>
        <a:lstStyle/>
        <a:p>
          <a:pPr algn="ctr">
            <a:lnSpc>
              <a:spcPct val="100000"/>
            </a:lnSpc>
            <a:spcBef>
              <a:spcPts val="0"/>
            </a:spcBef>
            <a:spcAft>
              <a:spcPts val="0"/>
            </a:spcAft>
          </a:pPr>
          <a:r>
            <a:rPr lang="en-US" sz="1100" b="1"/>
            <a:t>IP 5 b</a:t>
          </a:r>
        </a:p>
      </dgm:t>
    </dgm:pt>
    <dgm:pt modelId="{AAE5F873-4CA6-4AD4-9D6E-5B03A10C8A33}" type="parTrans" cxnId="{35082D8D-E6A2-4AD9-B597-774DCE37B623}">
      <dgm:prSet/>
      <dgm:spPr/>
      <dgm:t>
        <a:bodyPr/>
        <a:lstStyle/>
        <a:p>
          <a:pPr algn="ctr">
            <a:lnSpc>
              <a:spcPct val="100000"/>
            </a:lnSpc>
            <a:spcBef>
              <a:spcPts val="0"/>
            </a:spcBef>
            <a:spcAft>
              <a:spcPts val="0"/>
            </a:spcAft>
          </a:pPr>
          <a:endParaRPr lang="en-US" sz="2400"/>
        </a:p>
      </dgm:t>
    </dgm:pt>
    <dgm:pt modelId="{6C8CDE43-007E-403C-A10E-F68D6E626902}" type="sibTrans" cxnId="{35082D8D-E6A2-4AD9-B597-774DCE37B623}">
      <dgm:prSet/>
      <dgm:spPr/>
      <dgm:t>
        <a:bodyPr/>
        <a:lstStyle/>
        <a:p>
          <a:pPr algn="ctr">
            <a:lnSpc>
              <a:spcPct val="100000"/>
            </a:lnSpc>
            <a:spcBef>
              <a:spcPts val="0"/>
            </a:spcBef>
            <a:spcAft>
              <a:spcPts val="0"/>
            </a:spcAft>
          </a:pPr>
          <a:endParaRPr lang="en-US"/>
        </a:p>
      </dgm:t>
    </dgm:pt>
    <dgm:pt modelId="{7D1B84BF-C5AC-41E8-B801-7982B870B869}">
      <dgm:prSet phldrT="[Text]" custT="1"/>
      <dgm:spPr/>
      <dgm:t>
        <a:bodyPr/>
        <a:lstStyle/>
        <a:p>
          <a:pPr algn="ctr">
            <a:lnSpc>
              <a:spcPct val="100000"/>
            </a:lnSpc>
            <a:spcBef>
              <a:spcPts val="0"/>
            </a:spcBef>
            <a:spcAft>
              <a:spcPts val="0"/>
            </a:spcAft>
          </a:pPr>
          <a:r>
            <a:rPr lang="en-US" sz="1100" b="1"/>
            <a:t>IP 6 c</a:t>
          </a:r>
        </a:p>
      </dgm:t>
    </dgm:pt>
    <dgm:pt modelId="{7D84E71C-F4BB-46C6-9B25-1709BD78585A}" type="parTrans" cxnId="{27DD7973-9B49-4040-913C-84B1F847507B}">
      <dgm:prSet/>
      <dgm:spPr/>
      <dgm:t>
        <a:bodyPr/>
        <a:lstStyle/>
        <a:p>
          <a:pPr algn="ctr">
            <a:lnSpc>
              <a:spcPct val="100000"/>
            </a:lnSpc>
            <a:spcBef>
              <a:spcPts val="0"/>
            </a:spcBef>
            <a:spcAft>
              <a:spcPts val="0"/>
            </a:spcAft>
          </a:pPr>
          <a:endParaRPr lang="en-US" sz="2400"/>
        </a:p>
      </dgm:t>
    </dgm:pt>
    <dgm:pt modelId="{02476157-90DD-48B7-8424-E4439D74E799}" type="sibTrans" cxnId="{27DD7973-9B49-4040-913C-84B1F847507B}">
      <dgm:prSet/>
      <dgm:spPr/>
      <dgm:t>
        <a:bodyPr/>
        <a:lstStyle/>
        <a:p>
          <a:pPr algn="ctr">
            <a:lnSpc>
              <a:spcPct val="100000"/>
            </a:lnSpc>
            <a:spcBef>
              <a:spcPts val="0"/>
            </a:spcBef>
            <a:spcAft>
              <a:spcPts val="0"/>
            </a:spcAft>
          </a:pPr>
          <a:endParaRPr lang="en-US"/>
        </a:p>
      </dgm:t>
    </dgm:pt>
    <dgm:pt modelId="{13521166-B79A-415A-9075-C054BA4D6F72}">
      <dgm:prSet phldrT="[Text]" custT="1"/>
      <dgm:spPr/>
      <dgm:t>
        <a:bodyPr/>
        <a:lstStyle/>
        <a:p>
          <a:pPr algn="ctr">
            <a:lnSpc>
              <a:spcPct val="100000"/>
            </a:lnSpc>
            <a:spcBef>
              <a:spcPts val="0"/>
            </a:spcBef>
            <a:spcAft>
              <a:spcPts val="0"/>
            </a:spcAft>
          </a:pPr>
          <a:r>
            <a:rPr lang="en-GB" sz="1000"/>
            <a:t>SO 2.1: To improve the protection and sustainable use of natural heritage and resources and cultural heritage</a:t>
          </a:r>
          <a:endParaRPr lang="en-US" sz="1000" b="0"/>
        </a:p>
      </dgm:t>
    </dgm:pt>
    <dgm:pt modelId="{51F8B395-143C-47E3-A5AF-24E963BF326A}" type="parTrans" cxnId="{F73ABE00-D780-4152-8ABC-AC72E9E820A6}">
      <dgm:prSet/>
      <dgm:spPr/>
      <dgm:t>
        <a:bodyPr/>
        <a:lstStyle/>
        <a:p>
          <a:pPr algn="ctr">
            <a:lnSpc>
              <a:spcPct val="100000"/>
            </a:lnSpc>
            <a:spcBef>
              <a:spcPts val="0"/>
            </a:spcBef>
            <a:spcAft>
              <a:spcPts val="0"/>
            </a:spcAft>
          </a:pPr>
          <a:endParaRPr lang="en-US" sz="2400"/>
        </a:p>
      </dgm:t>
    </dgm:pt>
    <dgm:pt modelId="{42EC6F89-CBF0-4CA3-A62E-1B2D046A1DF1}" type="sibTrans" cxnId="{F73ABE00-D780-4152-8ABC-AC72E9E820A6}">
      <dgm:prSet/>
      <dgm:spPr/>
      <dgm:t>
        <a:bodyPr/>
        <a:lstStyle/>
        <a:p>
          <a:pPr algn="ctr">
            <a:lnSpc>
              <a:spcPct val="100000"/>
            </a:lnSpc>
            <a:spcBef>
              <a:spcPts val="0"/>
            </a:spcBef>
            <a:spcAft>
              <a:spcPts val="0"/>
            </a:spcAft>
          </a:pPr>
          <a:endParaRPr lang="en-US"/>
        </a:p>
      </dgm:t>
    </dgm:pt>
    <dgm:pt modelId="{09E204DB-28F9-4214-8335-2E68F17E9C8F}">
      <dgm:prSet phldrT="[Text]" custT="1"/>
      <dgm:spPr/>
      <dgm:t>
        <a:bodyPr/>
        <a:lstStyle/>
        <a:p>
          <a:pPr algn="ctr">
            <a:lnSpc>
              <a:spcPct val="100000"/>
            </a:lnSpc>
            <a:spcBef>
              <a:spcPts val="0"/>
            </a:spcBef>
            <a:spcAft>
              <a:spcPts val="0"/>
            </a:spcAft>
          </a:pPr>
          <a:r>
            <a:rPr lang="en-GB" sz="1000" b="1"/>
            <a:t>SO 2.2: To enhance the sustainable management of the ecosystems from the cross-border area </a:t>
          </a:r>
          <a:endParaRPr lang="en-US" sz="1000" b="1"/>
        </a:p>
      </dgm:t>
    </dgm:pt>
    <dgm:pt modelId="{42A8BD88-E2C6-4533-842A-BF2145E19AA9}" type="parTrans" cxnId="{245FCBC5-D34F-41EB-B2B1-74B794C36AC3}">
      <dgm:prSet/>
      <dgm:spPr/>
      <dgm:t>
        <a:bodyPr/>
        <a:lstStyle/>
        <a:p>
          <a:pPr algn="ctr">
            <a:lnSpc>
              <a:spcPct val="100000"/>
            </a:lnSpc>
            <a:spcBef>
              <a:spcPts val="0"/>
            </a:spcBef>
            <a:spcAft>
              <a:spcPts val="0"/>
            </a:spcAft>
          </a:pPr>
          <a:endParaRPr lang="en-US" sz="2400"/>
        </a:p>
      </dgm:t>
    </dgm:pt>
    <dgm:pt modelId="{523673AC-E7AE-4EDA-8A8D-98190948DF28}" type="sibTrans" cxnId="{245FCBC5-D34F-41EB-B2B1-74B794C36AC3}">
      <dgm:prSet/>
      <dgm:spPr/>
      <dgm:t>
        <a:bodyPr/>
        <a:lstStyle/>
        <a:p>
          <a:pPr algn="ctr">
            <a:lnSpc>
              <a:spcPct val="100000"/>
            </a:lnSpc>
            <a:spcBef>
              <a:spcPts val="0"/>
            </a:spcBef>
            <a:spcAft>
              <a:spcPts val="0"/>
            </a:spcAft>
          </a:pPr>
          <a:endParaRPr lang="en-US"/>
        </a:p>
      </dgm:t>
    </dgm:pt>
    <dgm:pt modelId="{DF48E75C-C276-44C3-9CB6-9C72372041AC}">
      <dgm:prSet phldrT="[Text]" custT="1"/>
      <dgm:spPr/>
      <dgm:t>
        <a:bodyPr/>
        <a:lstStyle/>
        <a:p>
          <a:pPr algn="ctr">
            <a:lnSpc>
              <a:spcPct val="100000"/>
            </a:lnSpc>
            <a:spcBef>
              <a:spcPts val="0"/>
            </a:spcBef>
            <a:spcAft>
              <a:spcPts val="0"/>
            </a:spcAft>
          </a:pPr>
          <a:r>
            <a:rPr lang="en-GB" sz="1000" b="1"/>
            <a:t>SO 5.1: To increase cooperation capacity and the efficiency of public administrations in a CBC context</a:t>
          </a:r>
          <a:endParaRPr lang="en-US" sz="1000" b="1"/>
        </a:p>
      </dgm:t>
    </dgm:pt>
    <dgm:pt modelId="{026F3E4E-7F5F-4E97-A48E-6484D8A5BCD9}" type="parTrans" cxnId="{AC3F5216-1F5F-4D1A-B006-D85C974E34BC}">
      <dgm:prSet/>
      <dgm:spPr/>
      <dgm:t>
        <a:bodyPr/>
        <a:lstStyle/>
        <a:p>
          <a:pPr algn="ctr">
            <a:lnSpc>
              <a:spcPct val="100000"/>
            </a:lnSpc>
            <a:spcBef>
              <a:spcPts val="0"/>
            </a:spcBef>
            <a:spcAft>
              <a:spcPts val="0"/>
            </a:spcAft>
          </a:pPr>
          <a:endParaRPr lang="en-US" sz="2400"/>
        </a:p>
      </dgm:t>
    </dgm:pt>
    <dgm:pt modelId="{E210E2D7-909E-4F9C-8574-E7CB7E57EB75}" type="sibTrans" cxnId="{AC3F5216-1F5F-4D1A-B006-D85C974E34BC}">
      <dgm:prSet/>
      <dgm:spPr/>
      <dgm:t>
        <a:bodyPr/>
        <a:lstStyle/>
        <a:p>
          <a:pPr algn="ctr">
            <a:lnSpc>
              <a:spcPct val="100000"/>
            </a:lnSpc>
            <a:spcBef>
              <a:spcPts val="0"/>
            </a:spcBef>
            <a:spcAft>
              <a:spcPts val="0"/>
            </a:spcAft>
          </a:pPr>
          <a:endParaRPr lang="en-US"/>
        </a:p>
      </dgm:t>
    </dgm:pt>
    <dgm:pt modelId="{35BEC01A-AF99-4FAD-84D6-0E7EE73A19E6}">
      <dgm:prSet phldrT="[Text]" custT="1"/>
      <dgm:spPr/>
      <dgm:t>
        <a:bodyPr/>
        <a:lstStyle/>
        <a:p>
          <a:pPr algn="ctr">
            <a:lnSpc>
              <a:spcPct val="100000"/>
            </a:lnSpc>
            <a:spcBef>
              <a:spcPts val="0"/>
            </a:spcBef>
            <a:spcAft>
              <a:spcPts val="0"/>
            </a:spcAft>
          </a:pPr>
          <a:r>
            <a:rPr lang="en-US" sz="1100" b="1"/>
            <a:t>IP  iv</a:t>
          </a:r>
        </a:p>
      </dgm:t>
    </dgm:pt>
    <dgm:pt modelId="{6CE91D69-68C5-427E-9D95-5B1F678F8BD2}" type="parTrans" cxnId="{25552B1F-5A29-4895-80D2-867E05702A9F}">
      <dgm:prSet/>
      <dgm:spPr/>
      <dgm:t>
        <a:bodyPr/>
        <a:lstStyle/>
        <a:p>
          <a:pPr algn="ctr">
            <a:lnSpc>
              <a:spcPct val="100000"/>
            </a:lnSpc>
            <a:spcBef>
              <a:spcPts val="0"/>
            </a:spcBef>
            <a:spcAft>
              <a:spcPts val="0"/>
            </a:spcAft>
          </a:pPr>
          <a:endParaRPr lang="en-US" sz="2400"/>
        </a:p>
      </dgm:t>
    </dgm:pt>
    <dgm:pt modelId="{51E9374C-AAF0-491E-89DE-8BC34890B843}" type="sibTrans" cxnId="{25552B1F-5A29-4895-80D2-867E05702A9F}">
      <dgm:prSet/>
      <dgm:spPr/>
      <dgm:t>
        <a:bodyPr/>
        <a:lstStyle/>
        <a:p>
          <a:pPr algn="ctr">
            <a:lnSpc>
              <a:spcPct val="100000"/>
            </a:lnSpc>
            <a:spcBef>
              <a:spcPts val="0"/>
            </a:spcBef>
            <a:spcAft>
              <a:spcPts val="0"/>
            </a:spcAft>
          </a:pPr>
          <a:endParaRPr lang="en-US"/>
        </a:p>
      </dgm:t>
    </dgm:pt>
    <dgm:pt modelId="{7E8BE582-EFCB-4754-8069-CDAD2E0D79AC}">
      <dgm:prSet phldrT="[Text]" custT="1"/>
      <dgm:spPr/>
      <dgm:t>
        <a:bodyPr/>
        <a:lstStyle/>
        <a:p>
          <a:pPr algn="ctr">
            <a:lnSpc>
              <a:spcPct val="100000"/>
            </a:lnSpc>
            <a:spcBef>
              <a:spcPts val="0"/>
            </a:spcBef>
            <a:spcAft>
              <a:spcPts val="0"/>
            </a:spcAft>
          </a:pPr>
          <a:r>
            <a:rPr lang="en-US" sz="1100" b="1"/>
            <a:t>Priority Axis 4</a:t>
          </a:r>
          <a:br>
            <a:rPr lang="en-US" sz="1100" b="1"/>
          </a:br>
          <a:r>
            <a:rPr lang="en-US" sz="1100" b="1"/>
            <a:t>A </a:t>
          </a:r>
          <a:r>
            <a:rPr lang="en-GB" sz="1100" b="1"/>
            <a:t>skilled and inclusive region</a:t>
          </a:r>
          <a:endParaRPr lang="en-US" sz="1100" b="1"/>
        </a:p>
      </dgm:t>
    </dgm:pt>
    <dgm:pt modelId="{9EEECCBD-9C6C-4ED4-818C-646192963F62}" type="parTrans" cxnId="{2ECD64CB-0264-4071-9BF6-D4689C99489A}">
      <dgm:prSet/>
      <dgm:spPr/>
      <dgm:t>
        <a:bodyPr/>
        <a:lstStyle/>
        <a:p>
          <a:pPr algn="ctr">
            <a:lnSpc>
              <a:spcPct val="100000"/>
            </a:lnSpc>
            <a:spcBef>
              <a:spcPts val="0"/>
            </a:spcBef>
            <a:spcAft>
              <a:spcPts val="0"/>
            </a:spcAft>
          </a:pPr>
          <a:endParaRPr lang="en-US"/>
        </a:p>
      </dgm:t>
    </dgm:pt>
    <dgm:pt modelId="{7B794440-4509-4A0B-8D99-FBC100AD9E45}" type="sibTrans" cxnId="{2ECD64CB-0264-4071-9BF6-D4689C99489A}">
      <dgm:prSet/>
      <dgm:spPr/>
      <dgm:t>
        <a:bodyPr/>
        <a:lstStyle/>
        <a:p>
          <a:pPr algn="ctr">
            <a:lnSpc>
              <a:spcPct val="100000"/>
            </a:lnSpc>
            <a:spcBef>
              <a:spcPts val="0"/>
            </a:spcBef>
            <a:spcAft>
              <a:spcPts val="0"/>
            </a:spcAft>
          </a:pPr>
          <a:endParaRPr lang="en-US"/>
        </a:p>
      </dgm:t>
    </dgm:pt>
    <dgm:pt modelId="{5CA7A9EA-ACB6-4885-A4DF-01DC16B1087B}">
      <dgm:prSet phldrT="[Text]" custT="1"/>
      <dgm:spPr/>
      <dgm:t>
        <a:bodyPr/>
        <a:lstStyle/>
        <a:p>
          <a:pPr algn="ctr">
            <a:lnSpc>
              <a:spcPct val="100000"/>
            </a:lnSpc>
            <a:spcBef>
              <a:spcPts val="0"/>
            </a:spcBef>
            <a:spcAft>
              <a:spcPts val="0"/>
            </a:spcAft>
          </a:pPr>
          <a:r>
            <a:rPr lang="en-US" sz="1100" b="1"/>
            <a:t>TO8</a:t>
          </a:r>
        </a:p>
      </dgm:t>
    </dgm:pt>
    <dgm:pt modelId="{A7CD346C-576F-4507-A8FE-3EB97F3304E5}" type="parTrans" cxnId="{0C25BF5F-181F-43FE-A5D5-83759AF63A7D}">
      <dgm:prSet/>
      <dgm:spPr/>
      <dgm:t>
        <a:bodyPr/>
        <a:lstStyle/>
        <a:p>
          <a:pPr algn="ctr">
            <a:lnSpc>
              <a:spcPct val="100000"/>
            </a:lnSpc>
            <a:spcBef>
              <a:spcPts val="0"/>
            </a:spcBef>
            <a:spcAft>
              <a:spcPts val="0"/>
            </a:spcAft>
          </a:pPr>
          <a:endParaRPr lang="en-US"/>
        </a:p>
      </dgm:t>
    </dgm:pt>
    <dgm:pt modelId="{31BC5F58-163C-401B-874F-C9F911C9266E}" type="sibTrans" cxnId="{0C25BF5F-181F-43FE-A5D5-83759AF63A7D}">
      <dgm:prSet/>
      <dgm:spPr/>
      <dgm:t>
        <a:bodyPr/>
        <a:lstStyle/>
        <a:p>
          <a:pPr algn="ctr">
            <a:lnSpc>
              <a:spcPct val="100000"/>
            </a:lnSpc>
            <a:spcBef>
              <a:spcPts val="0"/>
            </a:spcBef>
            <a:spcAft>
              <a:spcPts val="0"/>
            </a:spcAft>
          </a:pPr>
          <a:endParaRPr lang="en-US"/>
        </a:p>
      </dgm:t>
    </dgm:pt>
    <dgm:pt modelId="{486328E9-8FBC-44FF-A9DA-978F55596BCF}">
      <dgm:prSet phldrT="[Text]" custT="1"/>
      <dgm:spPr/>
      <dgm:t>
        <a:bodyPr/>
        <a:lstStyle/>
        <a:p>
          <a:pPr algn="ctr">
            <a:lnSpc>
              <a:spcPct val="100000"/>
            </a:lnSpc>
            <a:spcBef>
              <a:spcPts val="0"/>
            </a:spcBef>
            <a:spcAft>
              <a:spcPts val="0"/>
            </a:spcAft>
          </a:pPr>
          <a:r>
            <a:rPr lang="en-US" sz="1100" b="1"/>
            <a:t>IP i</a:t>
          </a:r>
        </a:p>
      </dgm:t>
    </dgm:pt>
    <dgm:pt modelId="{5F5E4BC7-A209-43F1-A51C-82AAEAD35882}" type="parTrans" cxnId="{4C6B954A-1DD4-4F14-80E7-BDF651CAC52C}">
      <dgm:prSet/>
      <dgm:spPr/>
      <dgm:t>
        <a:bodyPr/>
        <a:lstStyle/>
        <a:p>
          <a:pPr algn="ctr">
            <a:lnSpc>
              <a:spcPct val="100000"/>
            </a:lnSpc>
            <a:spcBef>
              <a:spcPts val="0"/>
            </a:spcBef>
            <a:spcAft>
              <a:spcPts val="0"/>
            </a:spcAft>
          </a:pPr>
          <a:endParaRPr lang="en-US"/>
        </a:p>
      </dgm:t>
    </dgm:pt>
    <dgm:pt modelId="{396C1CAA-F65D-432A-87D6-945AE76DA61B}" type="sibTrans" cxnId="{4C6B954A-1DD4-4F14-80E7-BDF651CAC52C}">
      <dgm:prSet/>
      <dgm:spPr/>
      <dgm:t>
        <a:bodyPr/>
        <a:lstStyle/>
        <a:p>
          <a:pPr algn="ctr">
            <a:lnSpc>
              <a:spcPct val="100000"/>
            </a:lnSpc>
            <a:spcBef>
              <a:spcPts val="0"/>
            </a:spcBef>
            <a:spcAft>
              <a:spcPts val="0"/>
            </a:spcAft>
          </a:pPr>
          <a:endParaRPr lang="en-US"/>
        </a:p>
      </dgm:t>
    </dgm:pt>
    <dgm:pt modelId="{8AC7E4B7-52E5-4B83-8555-138165CAC2F2}">
      <dgm:prSet phldrT="[Text]" custT="1"/>
      <dgm:spPr/>
      <dgm:t>
        <a:bodyPr/>
        <a:lstStyle/>
        <a:p>
          <a:pPr algn="ctr">
            <a:lnSpc>
              <a:spcPct val="100000"/>
            </a:lnSpc>
            <a:spcBef>
              <a:spcPts val="0"/>
            </a:spcBef>
            <a:spcAft>
              <a:spcPts val="0"/>
            </a:spcAft>
          </a:pPr>
          <a:r>
            <a:rPr lang="en-GB" sz="1000" b="1"/>
            <a:t>SO 4.1: To encourage the integration of the cross-border area in terms of employment and labour mobility</a:t>
          </a:r>
          <a:endParaRPr lang="en-US" sz="1000" b="1"/>
        </a:p>
      </dgm:t>
    </dgm:pt>
    <dgm:pt modelId="{E07DAAC1-6875-40E9-8FB6-33FAED9E02BC}" type="parTrans" cxnId="{44DDB9A4-2555-4257-8E67-87FC20C18AB5}">
      <dgm:prSet/>
      <dgm:spPr/>
      <dgm:t>
        <a:bodyPr/>
        <a:lstStyle/>
        <a:p>
          <a:pPr algn="ctr">
            <a:lnSpc>
              <a:spcPct val="100000"/>
            </a:lnSpc>
            <a:spcBef>
              <a:spcPts val="0"/>
            </a:spcBef>
            <a:spcAft>
              <a:spcPts val="0"/>
            </a:spcAft>
          </a:pPr>
          <a:endParaRPr lang="en-US"/>
        </a:p>
      </dgm:t>
    </dgm:pt>
    <dgm:pt modelId="{4C09E5BF-9068-4732-AC7E-5F6FED529D4A}" type="sibTrans" cxnId="{44DDB9A4-2555-4257-8E67-87FC20C18AB5}">
      <dgm:prSet/>
      <dgm:spPr/>
      <dgm:t>
        <a:bodyPr/>
        <a:lstStyle/>
        <a:p>
          <a:pPr algn="ctr">
            <a:lnSpc>
              <a:spcPct val="100000"/>
            </a:lnSpc>
            <a:spcBef>
              <a:spcPts val="0"/>
            </a:spcBef>
            <a:spcAft>
              <a:spcPts val="0"/>
            </a:spcAft>
          </a:pPr>
          <a:endParaRPr lang="en-US"/>
        </a:p>
      </dgm:t>
    </dgm:pt>
    <dgm:pt modelId="{92314DC7-FAF1-45EA-8FDC-EA4740821A60}">
      <dgm:prSet phldrT="[Text]" custT="1"/>
      <dgm:spPr/>
      <dgm:t>
        <a:bodyPr/>
        <a:lstStyle/>
        <a:p>
          <a:pPr algn="ctr">
            <a:lnSpc>
              <a:spcPct val="100000"/>
            </a:lnSpc>
            <a:spcBef>
              <a:spcPts val="0"/>
            </a:spcBef>
            <a:spcAft>
              <a:spcPts val="0"/>
            </a:spcAft>
          </a:pPr>
          <a:r>
            <a:rPr lang="en-US" sz="1100" b="1"/>
            <a:t>TO1 1</a:t>
          </a:r>
        </a:p>
      </dgm:t>
    </dgm:pt>
    <dgm:pt modelId="{CC8E8620-5044-41AD-BB92-82464250A485}" type="parTrans" cxnId="{2F4C1C04-BBE7-48EF-BD65-3F13FB1642C8}">
      <dgm:prSet/>
      <dgm:spPr/>
      <dgm:t>
        <a:bodyPr/>
        <a:lstStyle/>
        <a:p>
          <a:pPr algn="ctr">
            <a:lnSpc>
              <a:spcPct val="100000"/>
            </a:lnSpc>
            <a:spcBef>
              <a:spcPts val="0"/>
            </a:spcBef>
            <a:spcAft>
              <a:spcPts val="0"/>
            </a:spcAft>
          </a:pPr>
          <a:endParaRPr lang="en-US"/>
        </a:p>
      </dgm:t>
    </dgm:pt>
    <dgm:pt modelId="{638CFB94-F9D9-4827-A223-950EDC79FA0F}" type="sibTrans" cxnId="{2F4C1C04-BBE7-48EF-BD65-3F13FB1642C8}">
      <dgm:prSet/>
      <dgm:spPr/>
      <dgm:t>
        <a:bodyPr/>
        <a:lstStyle/>
        <a:p>
          <a:pPr algn="ctr">
            <a:lnSpc>
              <a:spcPct val="100000"/>
            </a:lnSpc>
            <a:spcBef>
              <a:spcPts val="0"/>
            </a:spcBef>
            <a:spcAft>
              <a:spcPts val="0"/>
            </a:spcAft>
          </a:pPr>
          <a:endParaRPr lang="en-US"/>
        </a:p>
      </dgm:t>
    </dgm:pt>
    <dgm:pt modelId="{3B5C259E-2982-48E9-9676-EAFF22705D88}">
      <dgm:prSet phldrT="[Text]" custT="1"/>
      <dgm:spPr/>
      <dgm:t>
        <a:bodyPr/>
        <a:lstStyle/>
        <a:p>
          <a:pPr algn="ctr">
            <a:lnSpc>
              <a:spcPct val="100000"/>
            </a:lnSpc>
            <a:spcBef>
              <a:spcPts val="0"/>
            </a:spcBef>
            <a:spcAft>
              <a:spcPts val="0"/>
            </a:spcAft>
          </a:pPr>
          <a:r>
            <a:rPr lang="en-US" sz="1100" b="1"/>
            <a:t>TO 7</a:t>
          </a:r>
        </a:p>
      </dgm:t>
    </dgm:pt>
    <dgm:pt modelId="{6BA4274A-25D0-48E2-A51D-C4DBA56C4751}" type="parTrans" cxnId="{B9E125BC-A966-4F05-8384-8BC02BF98F45}">
      <dgm:prSet/>
      <dgm:spPr/>
      <dgm:t>
        <a:bodyPr/>
        <a:lstStyle/>
        <a:p>
          <a:pPr algn="ctr">
            <a:lnSpc>
              <a:spcPct val="100000"/>
            </a:lnSpc>
            <a:spcBef>
              <a:spcPts val="0"/>
            </a:spcBef>
            <a:spcAft>
              <a:spcPts val="0"/>
            </a:spcAft>
          </a:pPr>
          <a:endParaRPr lang="en-US"/>
        </a:p>
      </dgm:t>
    </dgm:pt>
    <dgm:pt modelId="{BB2BA640-5075-4C79-B9A5-7965A659E577}" type="sibTrans" cxnId="{B9E125BC-A966-4F05-8384-8BC02BF98F45}">
      <dgm:prSet/>
      <dgm:spPr/>
      <dgm:t>
        <a:bodyPr/>
        <a:lstStyle/>
        <a:p>
          <a:pPr algn="ctr">
            <a:lnSpc>
              <a:spcPct val="100000"/>
            </a:lnSpc>
            <a:spcBef>
              <a:spcPts val="0"/>
            </a:spcBef>
            <a:spcAft>
              <a:spcPts val="0"/>
            </a:spcAft>
          </a:pPr>
          <a:endParaRPr lang="en-US"/>
        </a:p>
      </dgm:t>
    </dgm:pt>
    <dgm:pt modelId="{591BE324-0E24-49E1-A6FF-81E0E9B984B3}">
      <dgm:prSet phldrT="[Text]" custT="1"/>
      <dgm:spPr/>
      <dgm:t>
        <a:bodyPr/>
        <a:lstStyle/>
        <a:p>
          <a:pPr algn="ctr">
            <a:lnSpc>
              <a:spcPct val="100000"/>
            </a:lnSpc>
            <a:spcBef>
              <a:spcPts val="0"/>
            </a:spcBef>
            <a:spcAft>
              <a:spcPts val="0"/>
            </a:spcAft>
          </a:pPr>
          <a:r>
            <a:rPr lang="en-GB" sz="1000" b="1"/>
            <a:t>SO 1.1: To sustain the planning, development and coordination of cross-border transport systems for better connections to TEN-T transport networks </a:t>
          </a:r>
          <a:endParaRPr lang="en-US" sz="1000" b="1"/>
        </a:p>
      </dgm:t>
    </dgm:pt>
    <dgm:pt modelId="{D410B2E2-CFD4-4D96-BFDE-B722BC934275}" type="parTrans" cxnId="{7B4B27E6-1300-451F-BDDA-350D5274D76A}">
      <dgm:prSet/>
      <dgm:spPr/>
      <dgm:t>
        <a:bodyPr/>
        <a:lstStyle/>
        <a:p>
          <a:pPr algn="ctr">
            <a:lnSpc>
              <a:spcPct val="100000"/>
            </a:lnSpc>
            <a:spcBef>
              <a:spcPts val="0"/>
            </a:spcBef>
            <a:spcAft>
              <a:spcPts val="0"/>
            </a:spcAft>
          </a:pPr>
          <a:endParaRPr lang="en-US"/>
        </a:p>
      </dgm:t>
    </dgm:pt>
    <dgm:pt modelId="{D260126E-70F3-46F6-A4B7-E829C033036D}" type="sibTrans" cxnId="{7B4B27E6-1300-451F-BDDA-350D5274D76A}">
      <dgm:prSet/>
      <dgm:spPr/>
      <dgm:t>
        <a:bodyPr/>
        <a:lstStyle/>
        <a:p>
          <a:pPr algn="ctr">
            <a:lnSpc>
              <a:spcPct val="100000"/>
            </a:lnSpc>
            <a:spcBef>
              <a:spcPts val="0"/>
            </a:spcBef>
            <a:spcAft>
              <a:spcPts val="0"/>
            </a:spcAft>
          </a:pPr>
          <a:endParaRPr lang="en-US"/>
        </a:p>
      </dgm:t>
    </dgm:pt>
    <dgm:pt modelId="{2DD054D3-5C6A-4E05-A9A1-6D0900276A53}">
      <dgm:prSet phldrT="[Text]" custT="1"/>
      <dgm:spPr>
        <a:solidFill>
          <a:schemeClr val="bg1">
            <a:lumMod val="95000"/>
          </a:schemeClr>
        </a:solidFill>
      </dgm:spPr>
      <dgm:t>
        <a:bodyPr/>
        <a:lstStyle/>
        <a:p>
          <a:pPr algn="ctr">
            <a:lnSpc>
              <a:spcPct val="100000"/>
            </a:lnSpc>
            <a:spcBef>
              <a:spcPts val="0"/>
            </a:spcBef>
            <a:spcAft>
              <a:spcPts val="0"/>
            </a:spcAft>
          </a:pPr>
          <a:r>
            <a:rPr lang="en-GB" sz="1000" b="1">
              <a:solidFill>
                <a:sysClr val="windowText" lastClr="000000"/>
              </a:solidFill>
            </a:rPr>
            <a:t>SO 3.1: To improve joint risk management in the cross-border area </a:t>
          </a:r>
          <a:endParaRPr lang="en-US" sz="1000" b="1">
            <a:solidFill>
              <a:sysClr val="windowText" lastClr="000000"/>
            </a:solidFill>
          </a:endParaRPr>
        </a:p>
      </dgm:t>
    </dgm:pt>
    <dgm:pt modelId="{876C7957-CBDA-437B-8D68-E150086DEFE0}" type="sibTrans" cxnId="{002FBF62-4EE9-4E7A-A674-AE83801E0634}">
      <dgm:prSet/>
      <dgm:spPr/>
      <dgm:t>
        <a:bodyPr/>
        <a:lstStyle/>
        <a:p>
          <a:pPr algn="ctr">
            <a:lnSpc>
              <a:spcPct val="100000"/>
            </a:lnSpc>
            <a:spcBef>
              <a:spcPts val="0"/>
            </a:spcBef>
            <a:spcAft>
              <a:spcPts val="0"/>
            </a:spcAft>
          </a:pPr>
          <a:endParaRPr lang="en-US"/>
        </a:p>
      </dgm:t>
    </dgm:pt>
    <dgm:pt modelId="{A628D045-D4F9-4A03-9139-D675A7D5719E}" type="parTrans" cxnId="{002FBF62-4EE9-4E7A-A674-AE83801E0634}">
      <dgm:prSet/>
      <dgm:spPr>
        <a:ln w="19050"/>
      </dgm:spPr>
      <dgm:t>
        <a:bodyPr/>
        <a:lstStyle/>
        <a:p>
          <a:pPr algn="ctr">
            <a:lnSpc>
              <a:spcPct val="100000"/>
            </a:lnSpc>
            <a:spcBef>
              <a:spcPts val="0"/>
            </a:spcBef>
            <a:spcAft>
              <a:spcPts val="0"/>
            </a:spcAft>
          </a:pPr>
          <a:endParaRPr lang="en-US" sz="2400"/>
        </a:p>
      </dgm:t>
    </dgm:pt>
    <dgm:pt modelId="{1B60692B-F8FF-4DE7-A49B-314109FA5738}">
      <dgm:prSet phldrT="[Text]" custT="1"/>
      <dgm:spPr/>
      <dgm:t>
        <a:bodyPr/>
        <a:lstStyle/>
        <a:p>
          <a:pPr algn="ctr">
            <a:lnSpc>
              <a:spcPct val="100000"/>
            </a:lnSpc>
            <a:spcBef>
              <a:spcPts val="0"/>
            </a:spcBef>
            <a:spcAft>
              <a:spcPts val="0"/>
            </a:spcAft>
          </a:pPr>
          <a:r>
            <a:rPr lang="en-US" sz="1100" b="1"/>
            <a:t>IP 7 b</a:t>
          </a:r>
        </a:p>
      </dgm:t>
    </dgm:pt>
    <dgm:pt modelId="{138FBCF6-C3BE-46D1-BFA2-DD8F3718B4A4}" type="sibTrans" cxnId="{759A9969-7D9F-4DC2-A9E0-4A53151FEE02}">
      <dgm:prSet/>
      <dgm:spPr/>
      <dgm:t>
        <a:bodyPr/>
        <a:lstStyle/>
        <a:p>
          <a:pPr algn="ctr">
            <a:lnSpc>
              <a:spcPct val="100000"/>
            </a:lnSpc>
            <a:spcBef>
              <a:spcPts val="0"/>
            </a:spcBef>
            <a:spcAft>
              <a:spcPts val="0"/>
            </a:spcAft>
          </a:pPr>
          <a:endParaRPr lang="en-US"/>
        </a:p>
      </dgm:t>
    </dgm:pt>
    <dgm:pt modelId="{9DD81E73-6B51-4898-B64C-27AE9F89A880}" type="parTrans" cxnId="{759A9969-7D9F-4DC2-A9E0-4A53151FEE02}">
      <dgm:prSet>
        <dgm:style>
          <a:lnRef idx="1">
            <a:schemeClr val="dk1"/>
          </a:lnRef>
          <a:fillRef idx="0">
            <a:schemeClr val="dk1"/>
          </a:fillRef>
          <a:effectRef idx="0">
            <a:schemeClr val="dk1"/>
          </a:effectRef>
          <a:fontRef idx="minor">
            <a:schemeClr val="tx1"/>
          </a:fontRef>
        </dgm:style>
      </dgm:prSet>
      <dgm:spPr>
        <a:ln w="19050"/>
      </dgm:spPr>
      <dgm:t>
        <a:bodyPr/>
        <a:lstStyle/>
        <a:p>
          <a:pPr algn="ctr">
            <a:lnSpc>
              <a:spcPct val="100000"/>
            </a:lnSpc>
            <a:spcBef>
              <a:spcPts val="0"/>
            </a:spcBef>
            <a:spcAft>
              <a:spcPts val="0"/>
            </a:spcAft>
          </a:pPr>
          <a:endParaRPr lang="en-US"/>
        </a:p>
      </dgm:t>
    </dgm:pt>
    <dgm:pt modelId="{196D2182-7014-4820-9203-4A5FE9426E30}">
      <dgm:prSet phldrT="[Text]" custT="1"/>
      <dgm:spPr>
        <a:solidFill>
          <a:schemeClr val="bg1">
            <a:lumMod val="95000"/>
          </a:schemeClr>
        </a:solidFill>
      </dgm:spPr>
      <dgm:t>
        <a:bodyPr/>
        <a:lstStyle/>
        <a:p>
          <a:pPr algn="ctr">
            <a:lnSpc>
              <a:spcPct val="100000"/>
            </a:lnSpc>
            <a:spcBef>
              <a:spcPts val="0"/>
            </a:spcBef>
            <a:spcAft>
              <a:spcPts val="0"/>
            </a:spcAft>
          </a:pPr>
          <a:r>
            <a:rPr lang="en-US" sz="1100" b="1">
              <a:solidFill>
                <a:schemeClr val="tx1"/>
              </a:solidFill>
            </a:rPr>
            <a:t>IP 7 c</a:t>
          </a:r>
        </a:p>
      </dgm:t>
    </dgm:pt>
    <dgm:pt modelId="{AA9FA1CE-A67B-4C3D-992B-849502AFFACD}" type="parTrans" cxnId="{33C2128E-5C90-4513-A006-4B902D4EB803}">
      <dgm:prSet/>
      <dgm:spPr/>
      <dgm:t>
        <a:bodyPr/>
        <a:lstStyle/>
        <a:p>
          <a:endParaRPr lang="en-US"/>
        </a:p>
      </dgm:t>
    </dgm:pt>
    <dgm:pt modelId="{46ACF9F9-EFE9-450E-AF8C-C326F1535E94}" type="sibTrans" cxnId="{33C2128E-5C90-4513-A006-4B902D4EB803}">
      <dgm:prSet/>
      <dgm:spPr/>
      <dgm:t>
        <a:bodyPr/>
        <a:lstStyle/>
        <a:p>
          <a:endParaRPr lang="en-US"/>
        </a:p>
      </dgm:t>
    </dgm:pt>
    <dgm:pt modelId="{DC22A7BB-20FC-4959-A50F-A3E17CF1F3E2}">
      <dgm:prSet phldrT="[Text]" custT="1"/>
      <dgm:spPr>
        <a:solidFill>
          <a:schemeClr val="bg1">
            <a:lumMod val="95000"/>
          </a:schemeClr>
        </a:solidFill>
      </dgm:spPr>
      <dgm:t>
        <a:bodyPr/>
        <a:lstStyle/>
        <a:p>
          <a:pPr algn="ctr">
            <a:lnSpc>
              <a:spcPct val="100000"/>
            </a:lnSpc>
            <a:spcBef>
              <a:spcPts val="0"/>
            </a:spcBef>
            <a:spcAft>
              <a:spcPts val="0"/>
            </a:spcAft>
          </a:pPr>
          <a:r>
            <a:rPr lang="en-GB" sz="1000" b="1">
              <a:solidFill>
                <a:sysClr val="windowText" lastClr="000000"/>
              </a:solidFill>
            </a:rPr>
            <a:t>SO 1.2: To increase the level of coordination in terms of transport safety</a:t>
          </a:r>
          <a:endParaRPr lang="en-US" sz="1000" b="1">
            <a:solidFill>
              <a:sysClr val="windowText" lastClr="000000"/>
            </a:solidFill>
          </a:endParaRPr>
        </a:p>
      </dgm:t>
    </dgm:pt>
    <dgm:pt modelId="{C047A15F-6913-48D8-AF72-D02F1E2A5214}" type="parTrans" cxnId="{932782EA-9F97-4C3B-8176-558FFA3E2F14}">
      <dgm:prSet/>
      <dgm:spPr/>
      <dgm:t>
        <a:bodyPr/>
        <a:lstStyle/>
        <a:p>
          <a:endParaRPr lang="en-US"/>
        </a:p>
      </dgm:t>
    </dgm:pt>
    <dgm:pt modelId="{9BBAFB8A-A167-46F6-A4CF-8170AD201949}" type="sibTrans" cxnId="{932782EA-9F97-4C3B-8176-558FFA3E2F14}">
      <dgm:prSet/>
      <dgm:spPr/>
      <dgm:t>
        <a:bodyPr/>
        <a:lstStyle/>
        <a:p>
          <a:endParaRPr lang="en-US"/>
        </a:p>
      </dgm:t>
    </dgm:pt>
    <dgm:pt modelId="{ABB7524A-694D-434B-984B-8C4B7054A1E6}">
      <dgm:prSet phldrT="[Text]" custT="1"/>
      <dgm:spPr/>
      <dgm:t>
        <a:bodyPr/>
        <a:lstStyle/>
        <a:p>
          <a:pPr algn="ctr">
            <a:lnSpc>
              <a:spcPct val="100000"/>
            </a:lnSpc>
            <a:spcBef>
              <a:spcPts val="0"/>
            </a:spcBef>
            <a:spcAft>
              <a:spcPts val="0"/>
            </a:spcAft>
          </a:pPr>
          <a:r>
            <a:rPr lang="en-US" sz="1100" b="1"/>
            <a:t>IP 6 d</a:t>
          </a:r>
        </a:p>
      </dgm:t>
    </dgm:pt>
    <dgm:pt modelId="{F27E95E5-17F6-44FD-A0BC-D9F920E271ED}" type="sibTrans" cxnId="{C1810CC0-2FF6-41FF-B081-566ABF3F05B5}">
      <dgm:prSet/>
      <dgm:spPr/>
      <dgm:t>
        <a:bodyPr/>
        <a:lstStyle/>
        <a:p>
          <a:pPr algn="ctr">
            <a:lnSpc>
              <a:spcPct val="100000"/>
            </a:lnSpc>
            <a:spcBef>
              <a:spcPts val="0"/>
            </a:spcBef>
            <a:spcAft>
              <a:spcPts val="0"/>
            </a:spcAft>
          </a:pPr>
          <a:endParaRPr lang="en-US"/>
        </a:p>
      </dgm:t>
    </dgm:pt>
    <dgm:pt modelId="{691595E5-A84B-4680-9B48-5650EEBCDC10}" type="parTrans" cxnId="{C1810CC0-2FF6-41FF-B081-566ABF3F05B5}">
      <dgm:prSet/>
      <dgm:spPr>
        <a:ln w="19050"/>
      </dgm:spPr>
      <dgm:t>
        <a:bodyPr/>
        <a:lstStyle/>
        <a:p>
          <a:pPr algn="ctr">
            <a:lnSpc>
              <a:spcPct val="100000"/>
            </a:lnSpc>
            <a:spcBef>
              <a:spcPts val="0"/>
            </a:spcBef>
            <a:spcAft>
              <a:spcPts val="0"/>
            </a:spcAft>
          </a:pPr>
          <a:endParaRPr lang="en-US" sz="2400"/>
        </a:p>
      </dgm:t>
    </dgm:pt>
    <dgm:pt modelId="{8D1562BE-1282-4EE6-B4FD-5D41E8074153}" type="pres">
      <dgm:prSet presAssocID="{57B9AE2A-E521-423A-9420-9248E2ABAEB9}" presName="hierChild1" presStyleCnt="0">
        <dgm:presLayoutVars>
          <dgm:chPref val="1"/>
          <dgm:dir/>
          <dgm:animOne val="branch"/>
          <dgm:animLvl val="lvl"/>
          <dgm:resizeHandles/>
        </dgm:presLayoutVars>
      </dgm:prSet>
      <dgm:spPr/>
      <dgm:t>
        <a:bodyPr/>
        <a:lstStyle/>
        <a:p>
          <a:endParaRPr lang="en-US"/>
        </a:p>
      </dgm:t>
    </dgm:pt>
    <dgm:pt modelId="{8C90723F-26F3-4679-951B-7C46ECE8284C}" type="pres">
      <dgm:prSet presAssocID="{A58BA6A5-A16A-47B2-B835-A7D2C2E7FCE2}" presName="hierRoot1" presStyleCnt="0"/>
      <dgm:spPr/>
    </dgm:pt>
    <dgm:pt modelId="{672E5542-1C69-4E63-839B-9EFC3A69C067}" type="pres">
      <dgm:prSet presAssocID="{A58BA6A5-A16A-47B2-B835-A7D2C2E7FCE2}" presName="composite" presStyleCnt="0"/>
      <dgm:spPr/>
    </dgm:pt>
    <dgm:pt modelId="{D4D9003D-2BE0-4AC3-9E64-1505E3246577}" type="pres">
      <dgm:prSet presAssocID="{A58BA6A5-A16A-47B2-B835-A7D2C2E7FCE2}" presName="background" presStyleLbl="node0" presStyleIdx="0" presStyleCnt="1"/>
      <dgm:spPr/>
    </dgm:pt>
    <dgm:pt modelId="{DF07CE95-32D6-40ED-BEDB-88ECF326FA35}" type="pres">
      <dgm:prSet presAssocID="{A58BA6A5-A16A-47B2-B835-A7D2C2E7FCE2}" presName="text" presStyleLbl="fgAcc0" presStyleIdx="0" presStyleCnt="1">
        <dgm:presLayoutVars>
          <dgm:chPref val="3"/>
        </dgm:presLayoutVars>
      </dgm:prSet>
      <dgm:spPr/>
      <dgm:t>
        <a:bodyPr/>
        <a:lstStyle/>
        <a:p>
          <a:endParaRPr lang="en-US"/>
        </a:p>
      </dgm:t>
    </dgm:pt>
    <dgm:pt modelId="{D2FF687F-64F1-417C-BD9C-DF8E5072D4AC}" type="pres">
      <dgm:prSet presAssocID="{A58BA6A5-A16A-47B2-B835-A7D2C2E7FCE2}" presName="hierChild2" presStyleCnt="0"/>
      <dgm:spPr/>
    </dgm:pt>
    <dgm:pt modelId="{12E85C18-D29B-467D-B151-B4DD676EF754}" type="pres">
      <dgm:prSet presAssocID="{5FE67D17-03EE-460A-935D-0C515DB5D62A}" presName="Name10" presStyleLbl="parChTrans1D2" presStyleIdx="0" presStyleCnt="5"/>
      <dgm:spPr/>
      <dgm:t>
        <a:bodyPr/>
        <a:lstStyle/>
        <a:p>
          <a:endParaRPr lang="en-US"/>
        </a:p>
      </dgm:t>
    </dgm:pt>
    <dgm:pt modelId="{34E593E6-97AF-485A-882B-9B8C034B6325}" type="pres">
      <dgm:prSet presAssocID="{7D1FEB1F-DEDC-4236-A79C-4C7FABBD7816}" presName="hierRoot2" presStyleCnt="0"/>
      <dgm:spPr/>
    </dgm:pt>
    <dgm:pt modelId="{D1CF391B-CD5B-40A0-BEA4-D058F41C7508}" type="pres">
      <dgm:prSet presAssocID="{7D1FEB1F-DEDC-4236-A79C-4C7FABBD7816}" presName="composite2" presStyleCnt="0"/>
      <dgm:spPr/>
    </dgm:pt>
    <dgm:pt modelId="{19601285-E6A4-4CA2-9116-EDC32F416A57}" type="pres">
      <dgm:prSet presAssocID="{7D1FEB1F-DEDC-4236-A79C-4C7FABBD7816}" presName="background2" presStyleLbl="node2" presStyleIdx="0" presStyleCnt="5"/>
      <dgm:spPr/>
    </dgm:pt>
    <dgm:pt modelId="{A7AC52E7-0BD3-46E0-97B4-2DE4A3525121}" type="pres">
      <dgm:prSet presAssocID="{7D1FEB1F-DEDC-4236-A79C-4C7FABBD7816}" presName="text2" presStyleLbl="fgAcc2" presStyleIdx="0" presStyleCnt="5" custScaleX="125670">
        <dgm:presLayoutVars>
          <dgm:chPref val="3"/>
        </dgm:presLayoutVars>
      </dgm:prSet>
      <dgm:spPr/>
      <dgm:t>
        <a:bodyPr/>
        <a:lstStyle/>
        <a:p>
          <a:endParaRPr lang="en-US"/>
        </a:p>
      </dgm:t>
    </dgm:pt>
    <dgm:pt modelId="{A95C0AB6-180C-4E82-818B-A9D86C87D3F0}" type="pres">
      <dgm:prSet presAssocID="{7D1FEB1F-DEDC-4236-A79C-4C7FABBD7816}" presName="hierChild3" presStyleCnt="0"/>
      <dgm:spPr/>
    </dgm:pt>
    <dgm:pt modelId="{F3767812-99FC-435E-81C5-2852CF99EFCC}" type="pres">
      <dgm:prSet presAssocID="{6BA4274A-25D0-48E2-A51D-C4DBA56C4751}" presName="Name17" presStyleLbl="parChTrans1D3" presStyleIdx="0" presStyleCnt="5"/>
      <dgm:spPr/>
      <dgm:t>
        <a:bodyPr/>
        <a:lstStyle/>
        <a:p>
          <a:endParaRPr lang="en-US"/>
        </a:p>
      </dgm:t>
    </dgm:pt>
    <dgm:pt modelId="{011F16B5-E5E6-452F-B375-1765BB37EF9A}" type="pres">
      <dgm:prSet presAssocID="{3B5C259E-2982-48E9-9676-EAFF22705D88}" presName="hierRoot3" presStyleCnt="0"/>
      <dgm:spPr/>
    </dgm:pt>
    <dgm:pt modelId="{5F10F017-87AF-4B27-9C35-F15277FA2E4C}" type="pres">
      <dgm:prSet presAssocID="{3B5C259E-2982-48E9-9676-EAFF22705D88}" presName="composite3" presStyleCnt="0"/>
      <dgm:spPr/>
    </dgm:pt>
    <dgm:pt modelId="{E4D2F05E-9657-4A60-AF60-28E6A26A8726}" type="pres">
      <dgm:prSet presAssocID="{3B5C259E-2982-48E9-9676-EAFF22705D88}" presName="background3" presStyleLbl="node3" presStyleIdx="0" presStyleCnt="5"/>
      <dgm:spPr/>
    </dgm:pt>
    <dgm:pt modelId="{34BADCD5-5115-4E29-8CD9-D633570B986A}" type="pres">
      <dgm:prSet presAssocID="{3B5C259E-2982-48E9-9676-EAFF22705D88}" presName="text3" presStyleLbl="fgAcc3" presStyleIdx="0" presStyleCnt="5">
        <dgm:presLayoutVars>
          <dgm:chPref val="3"/>
        </dgm:presLayoutVars>
      </dgm:prSet>
      <dgm:spPr/>
      <dgm:t>
        <a:bodyPr/>
        <a:lstStyle/>
        <a:p>
          <a:endParaRPr lang="en-US"/>
        </a:p>
      </dgm:t>
    </dgm:pt>
    <dgm:pt modelId="{838C0A75-A1BF-402E-B04C-CFD01E0A533D}" type="pres">
      <dgm:prSet presAssocID="{3B5C259E-2982-48E9-9676-EAFF22705D88}" presName="hierChild4" presStyleCnt="0"/>
      <dgm:spPr/>
    </dgm:pt>
    <dgm:pt modelId="{08A63C6D-140C-4B0C-A8BF-FD32988B8581}" type="pres">
      <dgm:prSet presAssocID="{9DD81E73-6B51-4898-B64C-27AE9F89A880}" presName="Name23" presStyleLbl="parChTrans1D4" presStyleIdx="0" presStyleCnt="14"/>
      <dgm:spPr/>
      <dgm:t>
        <a:bodyPr/>
        <a:lstStyle/>
        <a:p>
          <a:endParaRPr lang="en-US"/>
        </a:p>
      </dgm:t>
    </dgm:pt>
    <dgm:pt modelId="{22296958-C4FD-411D-9A99-0942159107A2}" type="pres">
      <dgm:prSet presAssocID="{1B60692B-F8FF-4DE7-A49B-314109FA5738}" presName="hierRoot4" presStyleCnt="0"/>
      <dgm:spPr/>
    </dgm:pt>
    <dgm:pt modelId="{5B6F6B23-5E4D-4A7C-8EE6-27C8F083C27B}" type="pres">
      <dgm:prSet presAssocID="{1B60692B-F8FF-4DE7-A49B-314109FA5738}" presName="composite4" presStyleCnt="0"/>
      <dgm:spPr/>
    </dgm:pt>
    <dgm:pt modelId="{F0567B15-5E49-4B0F-81DB-7199C74774DC}" type="pres">
      <dgm:prSet presAssocID="{1B60692B-F8FF-4DE7-A49B-314109FA5738}" presName="background4" presStyleLbl="node4" presStyleIdx="0" presStyleCnt="14"/>
      <dgm:spPr/>
    </dgm:pt>
    <dgm:pt modelId="{6F4544EC-DCC7-44AB-8747-2643E8719F77}" type="pres">
      <dgm:prSet presAssocID="{1B60692B-F8FF-4DE7-A49B-314109FA5738}" presName="text4" presStyleLbl="fgAcc4" presStyleIdx="0" presStyleCnt="14">
        <dgm:presLayoutVars>
          <dgm:chPref val="3"/>
        </dgm:presLayoutVars>
      </dgm:prSet>
      <dgm:spPr/>
      <dgm:t>
        <a:bodyPr/>
        <a:lstStyle/>
        <a:p>
          <a:endParaRPr lang="en-US"/>
        </a:p>
      </dgm:t>
    </dgm:pt>
    <dgm:pt modelId="{295DFA62-F8FA-44D9-83F5-961B3764BF36}" type="pres">
      <dgm:prSet presAssocID="{1B60692B-F8FF-4DE7-A49B-314109FA5738}" presName="hierChild5" presStyleCnt="0"/>
      <dgm:spPr/>
    </dgm:pt>
    <dgm:pt modelId="{86DBABD0-36C1-4C70-8CA6-AB328F190870}" type="pres">
      <dgm:prSet presAssocID="{D410B2E2-CFD4-4D96-BFDE-B722BC934275}" presName="Name23" presStyleLbl="parChTrans1D4" presStyleIdx="1" presStyleCnt="14"/>
      <dgm:spPr/>
      <dgm:t>
        <a:bodyPr/>
        <a:lstStyle/>
        <a:p>
          <a:endParaRPr lang="en-US"/>
        </a:p>
      </dgm:t>
    </dgm:pt>
    <dgm:pt modelId="{9C9C23A2-18DE-40D4-A997-231BAA338D90}" type="pres">
      <dgm:prSet presAssocID="{591BE324-0E24-49E1-A6FF-81E0E9B984B3}" presName="hierRoot4" presStyleCnt="0"/>
      <dgm:spPr/>
    </dgm:pt>
    <dgm:pt modelId="{B930F58D-A4A8-481C-BCFE-D06136483922}" type="pres">
      <dgm:prSet presAssocID="{591BE324-0E24-49E1-A6FF-81E0E9B984B3}" presName="composite4" presStyleCnt="0"/>
      <dgm:spPr/>
    </dgm:pt>
    <dgm:pt modelId="{6F8FD969-5433-4C41-B2C5-D6CAA62FE696}" type="pres">
      <dgm:prSet presAssocID="{591BE324-0E24-49E1-A6FF-81E0E9B984B3}" presName="background4" presStyleLbl="node4" presStyleIdx="1" presStyleCnt="14"/>
      <dgm:spPr/>
    </dgm:pt>
    <dgm:pt modelId="{772D11AD-7442-4DE9-AF34-E9E267D4259E}" type="pres">
      <dgm:prSet presAssocID="{591BE324-0E24-49E1-A6FF-81E0E9B984B3}" presName="text4" presStyleLbl="fgAcc4" presStyleIdx="1" presStyleCnt="14" custScaleX="139110" custScaleY="237171">
        <dgm:presLayoutVars>
          <dgm:chPref val="3"/>
        </dgm:presLayoutVars>
      </dgm:prSet>
      <dgm:spPr/>
      <dgm:t>
        <a:bodyPr/>
        <a:lstStyle/>
        <a:p>
          <a:endParaRPr lang="en-US"/>
        </a:p>
      </dgm:t>
    </dgm:pt>
    <dgm:pt modelId="{FB3677EC-8724-49AD-8557-AEFFAEAC94AD}" type="pres">
      <dgm:prSet presAssocID="{591BE324-0E24-49E1-A6FF-81E0E9B984B3}" presName="hierChild5" presStyleCnt="0"/>
      <dgm:spPr/>
    </dgm:pt>
    <dgm:pt modelId="{38B2A3DF-AD20-4732-8B56-F4722E4A9CCA}" type="pres">
      <dgm:prSet presAssocID="{AA9FA1CE-A67B-4C3D-992B-849502AFFACD}" presName="Name23" presStyleLbl="parChTrans1D4" presStyleIdx="2" presStyleCnt="14"/>
      <dgm:spPr/>
      <dgm:t>
        <a:bodyPr/>
        <a:lstStyle/>
        <a:p>
          <a:endParaRPr lang="en-US"/>
        </a:p>
      </dgm:t>
    </dgm:pt>
    <dgm:pt modelId="{97713034-E286-44F1-9908-04773F56D797}" type="pres">
      <dgm:prSet presAssocID="{196D2182-7014-4820-9203-4A5FE9426E30}" presName="hierRoot4" presStyleCnt="0"/>
      <dgm:spPr/>
    </dgm:pt>
    <dgm:pt modelId="{87380911-BFF0-48B3-96E8-73974D122D6A}" type="pres">
      <dgm:prSet presAssocID="{196D2182-7014-4820-9203-4A5FE9426E30}" presName="composite4" presStyleCnt="0"/>
      <dgm:spPr/>
    </dgm:pt>
    <dgm:pt modelId="{110B5793-2646-41C5-93D6-7588328DEDDE}" type="pres">
      <dgm:prSet presAssocID="{196D2182-7014-4820-9203-4A5FE9426E30}" presName="background4" presStyleLbl="node4" presStyleIdx="2" presStyleCnt="14"/>
      <dgm:spPr/>
    </dgm:pt>
    <dgm:pt modelId="{D8355BD5-DF7C-413B-BA20-63357DD1E0E3}" type="pres">
      <dgm:prSet presAssocID="{196D2182-7014-4820-9203-4A5FE9426E30}" presName="text4" presStyleLbl="fgAcc4" presStyleIdx="2" presStyleCnt="14">
        <dgm:presLayoutVars>
          <dgm:chPref val="3"/>
        </dgm:presLayoutVars>
      </dgm:prSet>
      <dgm:spPr/>
      <dgm:t>
        <a:bodyPr/>
        <a:lstStyle/>
        <a:p>
          <a:endParaRPr lang="en-US"/>
        </a:p>
      </dgm:t>
    </dgm:pt>
    <dgm:pt modelId="{4D110900-97B8-4A41-98E4-B32176A4BE10}" type="pres">
      <dgm:prSet presAssocID="{196D2182-7014-4820-9203-4A5FE9426E30}" presName="hierChild5" presStyleCnt="0"/>
      <dgm:spPr/>
    </dgm:pt>
    <dgm:pt modelId="{16D92DCE-8761-4635-9869-6AA11A79E524}" type="pres">
      <dgm:prSet presAssocID="{C047A15F-6913-48D8-AF72-D02F1E2A5214}" presName="Name23" presStyleLbl="parChTrans1D4" presStyleIdx="3" presStyleCnt="14"/>
      <dgm:spPr/>
      <dgm:t>
        <a:bodyPr/>
        <a:lstStyle/>
        <a:p>
          <a:endParaRPr lang="en-US"/>
        </a:p>
      </dgm:t>
    </dgm:pt>
    <dgm:pt modelId="{3FA18A55-75D8-4564-B671-83F96C6A3A14}" type="pres">
      <dgm:prSet presAssocID="{DC22A7BB-20FC-4959-A50F-A3E17CF1F3E2}" presName="hierRoot4" presStyleCnt="0"/>
      <dgm:spPr/>
    </dgm:pt>
    <dgm:pt modelId="{2888C8A2-ADE2-4B48-9730-058458AE37D2}" type="pres">
      <dgm:prSet presAssocID="{DC22A7BB-20FC-4959-A50F-A3E17CF1F3E2}" presName="composite4" presStyleCnt="0"/>
      <dgm:spPr/>
    </dgm:pt>
    <dgm:pt modelId="{D43D2E14-BA29-4836-8180-C7EEB8D88274}" type="pres">
      <dgm:prSet presAssocID="{DC22A7BB-20FC-4959-A50F-A3E17CF1F3E2}" presName="background4" presStyleLbl="node4" presStyleIdx="3" presStyleCnt="14"/>
      <dgm:spPr/>
    </dgm:pt>
    <dgm:pt modelId="{9F49CEEC-E3D8-4803-91F2-E60130E76315}" type="pres">
      <dgm:prSet presAssocID="{DC22A7BB-20FC-4959-A50F-A3E17CF1F3E2}" presName="text4" presStyleLbl="fgAcc4" presStyleIdx="3" presStyleCnt="14" custScaleY="206905">
        <dgm:presLayoutVars>
          <dgm:chPref val="3"/>
        </dgm:presLayoutVars>
      </dgm:prSet>
      <dgm:spPr/>
      <dgm:t>
        <a:bodyPr/>
        <a:lstStyle/>
        <a:p>
          <a:endParaRPr lang="en-US"/>
        </a:p>
      </dgm:t>
    </dgm:pt>
    <dgm:pt modelId="{99225412-6DE5-41F2-ABBA-B58B2B7E8C5B}" type="pres">
      <dgm:prSet presAssocID="{DC22A7BB-20FC-4959-A50F-A3E17CF1F3E2}" presName="hierChild5" presStyleCnt="0"/>
      <dgm:spPr/>
    </dgm:pt>
    <dgm:pt modelId="{43901FDC-2C80-4CDF-8A72-AD2ADC4335D9}" type="pres">
      <dgm:prSet presAssocID="{3E13B60E-8C07-4678-87F0-420A139D870E}" presName="Name10" presStyleLbl="parChTrans1D2" presStyleIdx="1" presStyleCnt="5"/>
      <dgm:spPr/>
      <dgm:t>
        <a:bodyPr/>
        <a:lstStyle/>
        <a:p>
          <a:endParaRPr lang="en-US"/>
        </a:p>
      </dgm:t>
    </dgm:pt>
    <dgm:pt modelId="{8537234F-2761-4363-9FB6-1DCA8D5FDED7}" type="pres">
      <dgm:prSet presAssocID="{B9659CD6-14FE-4C1B-BCD4-8925FE43A0FE}" presName="hierRoot2" presStyleCnt="0"/>
      <dgm:spPr/>
    </dgm:pt>
    <dgm:pt modelId="{ED9A862D-8E01-4716-822F-F48469F058D6}" type="pres">
      <dgm:prSet presAssocID="{B9659CD6-14FE-4C1B-BCD4-8925FE43A0FE}" presName="composite2" presStyleCnt="0"/>
      <dgm:spPr/>
    </dgm:pt>
    <dgm:pt modelId="{910ED7F4-0CDE-46B3-8040-EF2F3C702776}" type="pres">
      <dgm:prSet presAssocID="{B9659CD6-14FE-4C1B-BCD4-8925FE43A0FE}" presName="background2" presStyleLbl="node2" presStyleIdx="1" presStyleCnt="5"/>
      <dgm:spPr/>
    </dgm:pt>
    <dgm:pt modelId="{A9A32415-D5F9-4B4C-9300-0A40C9D69492}" type="pres">
      <dgm:prSet presAssocID="{B9659CD6-14FE-4C1B-BCD4-8925FE43A0FE}" presName="text2" presStyleLbl="fgAcc2" presStyleIdx="1" presStyleCnt="5">
        <dgm:presLayoutVars>
          <dgm:chPref val="3"/>
        </dgm:presLayoutVars>
      </dgm:prSet>
      <dgm:spPr/>
      <dgm:t>
        <a:bodyPr/>
        <a:lstStyle/>
        <a:p>
          <a:endParaRPr lang="en-US"/>
        </a:p>
      </dgm:t>
    </dgm:pt>
    <dgm:pt modelId="{CFC0F57F-3884-469D-AC10-94F1131DF9FF}" type="pres">
      <dgm:prSet presAssocID="{B9659CD6-14FE-4C1B-BCD4-8925FE43A0FE}" presName="hierChild3" presStyleCnt="0"/>
      <dgm:spPr/>
    </dgm:pt>
    <dgm:pt modelId="{4A3F1C7A-A791-4237-8C0A-16F4592A7F20}" type="pres">
      <dgm:prSet presAssocID="{9AB0342B-3C6D-4ED3-B539-D0D2C35EA039}" presName="Name17" presStyleLbl="parChTrans1D3" presStyleIdx="1" presStyleCnt="5"/>
      <dgm:spPr/>
      <dgm:t>
        <a:bodyPr/>
        <a:lstStyle/>
        <a:p>
          <a:endParaRPr lang="en-US"/>
        </a:p>
      </dgm:t>
    </dgm:pt>
    <dgm:pt modelId="{10EF6C9A-1A96-426C-A53A-114E2C5B4C4D}" type="pres">
      <dgm:prSet presAssocID="{EBA3E6D7-71E5-4D28-B89B-E42DD265911C}" presName="hierRoot3" presStyleCnt="0"/>
      <dgm:spPr/>
    </dgm:pt>
    <dgm:pt modelId="{80188BCC-88B4-4078-9399-6CD829C3B86E}" type="pres">
      <dgm:prSet presAssocID="{EBA3E6D7-71E5-4D28-B89B-E42DD265911C}" presName="composite3" presStyleCnt="0"/>
      <dgm:spPr/>
    </dgm:pt>
    <dgm:pt modelId="{5E2285E4-6F23-4DC8-AD6A-6947D038FE16}" type="pres">
      <dgm:prSet presAssocID="{EBA3E6D7-71E5-4D28-B89B-E42DD265911C}" presName="background3" presStyleLbl="node3" presStyleIdx="1" presStyleCnt="5"/>
      <dgm:spPr/>
    </dgm:pt>
    <dgm:pt modelId="{0C5D0290-044E-4719-9431-EBC65C2E2B48}" type="pres">
      <dgm:prSet presAssocID="{EBA3E6D7-71E5-4D28-B89B-E42DD265911C}" presName="text3" presStyleLbl="fgAcc3" presStyleIdx="1" presStyleCnt="5">
        <dgm:presLayoutVars>
          <dgm:chPref val="3"/>
        </dgm:presLayoutVars>
      </dgm:prSet>
      <dgm:spPr/>
      <dgm:t>
        <a:bodyPr/>
        <a:lstStyle/>
        <a:p>
          <a:endParaRPr lang="en-US"/>
        </a:p>
      </dgm:t>
    </dgm:pt>
    <dgm:pt modelId="{C27BA8E1-4BCA-4E82-B395-8E3CA09B2AA0}" type="pres">
      <dgm:prSet presAssocID="{EBA3E6D7-71E5-4D28-B89B-E42DD265911C}" presName="hierChild4" presStyleCnt="0"/>
      <dgm:spPr/>
    </dgm:pt>
    <dgm:pt modelId="{967CF723-3D81-47EA-A07C-DE918B4C3DE0}" type="pres">
      <dgm:prSet presAssocID="{7D84E71C-F4BB-46C6-9B25-1709BD78585A}" presName="Name23" presStyleLbl="parChTrans1D4" presStyleIdx="4" presStyleCnt="14"/>
      <dgm:spPr/>
      <dgm:t>
        <a:bodyPr/>
        <a:lstStyle/>
        <a:p>
          <a:endParaRPr lang="en-US"/>
        </a:p>
      </dgm:t>
    </dgm:pt>
    <dgm:pt modelId="{3C15F222-83AC-4553-B260-B1AAA324D36E}" type="pres">
      <dgm:prSet presAssocID="{7D1B84BF-C5AC-41E8-B801-7982B870B869}" presName="hierRoot4" presStyleCnt="0"/>
      <dgm:spPr/>
    </dgm:pt>
    <dgm:pt modelId="{26421729-D54A-4E8C-A3BD-8E1BD18B5853}" type="pres">
      <dgm:prSet presAssocID="{7D1B84BF-C5AC-41E8-B801-7982B870B869}" presName="composite4" presStyleCnt="0"/>
      <dgm:spPr/>
    </dgm:pt>
    <dgm:pt modelId="{531C206A-A717-4E35-BF8B-456CBD082343}" type="pres">
      <dgm:prSet presAssocID="{7D1B84BF-C5AC-41E8-B801-7982B870B869}" presName="background4" presStyleLbl="node4" presStyleIdx="4" presStyleCnt="14"/>
      <dgm:spPr/>
    </dgm:pt>
    <dgm:pt modelId="{0E9AA9B9-1378-413C-B0A6-E1C8CCB0CA66}" type="pres">
      <dgm:prSet presAssocID="{7D1B84BF-C5AC-41E8-B801-7982B870B869}" presName="text4" presStyleLbl="fgAcc4" presStyleIdx="4" presStyleCnt="14">
        <dgm:presLayoutVars>
          <dgm:chPref val="3"/>
        </dgm:presLayoutVars>
      </dgm:prSet>
      <dgm:spPr/>
      <dgm:t>
        <a:bodyPr/>
        <a:lstStyle/>
        <a:p>
          <a:endParaRPr lang="en-US"/>
        </a:p>
      </dgm:t>
    </dgm:pt>
    <dgm:pt modelId="{DBBBB210-7FC2-413D-B6DA-495076FC91B6}" type="pres">
      <dgm:prSet presAssocID="{7D1B84BF-C5AC-41E8-B801-7982B870B869}" presName="hierChild5" presStyleCnt="0"/>
      <dgm:spPr/>
    </dgm:pt>
    <dgm:pt modelId="{54582095-807B-4758-A31F-EA5684CF8EB8}" type="pres">
      <dgm:prSet presAssocID="{51F8B395-143C-47E3-A5AF-24E963BF326A}" presName="Name23" presStyleLbl="parChTrans1D4" presStyleIdx="5" presStyleCnt="14"/>
      <dgm:spPr/>
      <dgm:t>
        <a:bodyPr/>
        <a:lstStyle/>
        <a:p>
          <a:endParaRPr lang="en-US"/>
        </a:p>
      </dgm:t>
    </dgm:pt>
    <dgm:pt modelId="{7E37D8E9-9198-4BA3-BF8D-B9158BEE454C}" type="pres">
      <dgm:prSet presAssocID="{13521166-B79A-415A-9075-C054BA4D6F72}" presName="hierRoot4" presStyleCnt="0"/>
      <dgm:spPr/>
    </dgm:pt>
    <dgm:pt modelId="{85C52678-CA4E-4B0A-A3B1-E7ABD2C67FB2}" type="pres">
      <dgm:prSet presAssocID="{13521166-B79A-415A-9075-C054BA4D6F72}" presName="composite4" presStyleCnt="0"/>
      <dgm:spPr/>
    </dgm:pt>
    <dgm:pt modelId="{23A1E6AD-AF6F-4D71-A2AF-AB35FED4AC51}" type="pres">
      <dgm:prSet presAssocID="{13521166-B79A-415A-9075-C054BA4D6F72}" presName="background4" presStyleLbl="node4" presStyleIdx="5" presStyleCnt="14"/>
      <dgm:spPr/>
    </dgm:pt>
    <dgm:pt modelId="{4FB15BC0-9464-47C4-AA35-779A6FFBD7BA}" type="pres">
      <dgm:prSet presAssocID="{13521166-B79A-415A-9075-C054BA4D6F72}" presName="text4" presStyleLbl="fgAcc4" presStyleIdx="5" presStyleCnt="14" custScaleY="234308">
        <dgm:presLayoutVars>
          <dgm:chPref val="3"/>
        </dgm:presLayoutVars>
      </dgm:prSet>
      <dgm:spPr/>
      <dgm:t>
        <a:bodyPr/>
        <a:lstStyle/>
        <a:p>
          <a:endParaRPr lang="en-US"/>
        </a:p>
      </dgm:t>
    </dgm:pt>
    <dgm:pt modelId="{F5D8141D-58A9-4122-9128-18F36ACD0222}" type="pres">
      <dgm:prSet presAssocID="{13521166-B79A-415A-9075-C054BA4D6F72}" presName="hierChild5" presStyleCnt="0"/>
      <dgm:spPr/>
    </dgm:pt>
    <dgm:pt modelId="{92014085-250A-48AA-B198-2AA312B1809D}" type="pres">
      <dgm:prSet presAssocID="{691595E5-A84B-4680-9B48-5650EEBCDC10}" presName="Name23" presStyleLbl="parChTrans1D4" presStyleIdx="6" presStyleCnt="14"/>
      <dgm:spPr/>
      <dgm:t>
        <a:bodyPr/>
        <a:lstStyle/>
        <a:p>
          <a:endParaRPr lang="en-US"/>
        </a:p>
      </dgm:t>
    </dgm:pt>
    <dgm:pt modelId="{E38B65A0-4790-4362-8B42-E4053ECD2591}" type="pres">
      <dgm:prSet presAssocID="{ABB7524A-694D-434B-984B-8C4B7054A1E6}" presName="hierRoot4" presStyleCnt="0"/>
      <dgm:spPr/>
    </dgm:pt>
    <dgm:pt modelId="{5B708E76-4B60-4411-9897-11B91853B602}" type="pres">
      <dgm:prSet presAssocID="{ABB7524A-694D-434B-984B-8C4B7054A1E6}" presName="composite4" presStyleCnt="0"/>
      <dgm:spPr/>
    </dgm:pt>
    <dgm:pt modelId="{8F4B5EC7-4E10-4F62-9551-5B62D26927F0}" type="pres">
      <dgm:prSet presAssocID="{ABB7524A-694D-434B-984B-8C4B7054A1E6}" presName="background4" presStyleLbl="node4" presStyleIdx="6" presStyleCnt="14"/>
      <dgm:spPr/>
    </dgm:pt>
    <dgm:pt modelId="{9E04EB92-ACBF-4031-BE19-58F0DBE200C6}" type="pres">
      <dgm:prSet presAssocID="{ABB7524A-694D-434B-984B-8C4B7054A1E6}" presName="text4" presStyleLbl="fgAcc4" presStyleIdx="6" presStyleCnt="14">
        <dgm:presLayoutVars>
          <dgm:chPref val="3"/>
        </dgm:presLayoutVars>
      </dgm:prSet>
      <dgm:spPr/>
      <dgm:t>
        <a:bodyPr/>
        <a:lstStyle/>
        <a:p>
          <a:endParaRPr lang="en-US"/>
        </a:p>
      </dgm:t>
    </dgm:pt>
    <dgm:pt modelId="{74FBE07F-5E18-4B86-99E6-D64A521EABB0}" type="pres">
      <dgm:prSet presAssocID="{ABB7524A-694D-434B-984B-8C4B7054A1E6}" presName="hierChild5" presStyleCnt="0"/>
      <dgm:spPr/>
    </dgm:pt>
    <dgm:pt modelId="{09E8687B-DB25-4DE5-84FD-E0C9D74B8AA5}" type="pres">
      <dgm:prSet presAssocID="{42A8BD88-E2C6-4533-842A-BF2145E19AA9}" presName="Name23" presStyleLbl="parChTrans1D4" presStyleIdx="7" presStyleCnt="14"/>
      <dgm:spPr/>
      <dgm:t>
        <a:bodyPr/>
        <a:lstStyle/>
        <a:p>
          <a:endParaRPr lang="en-US"/>
        </a:p>
      </dgm:t>
    </dgm:pt>
    <dgm:pt modelId="{4DC0E699-0A9C-4216-8366-388153B61C58}" type="pres">
      <dgm:prSet presAssocID="{09E204DB-28F9-4214-8335-2E68F17E9C8F}" presName="hierRoot4" presStyleCnt="0"/>
      <dgm:spPr/>
    </dgm:pt>
    <dgm:pt modelId="{F16FD6F3-1D42-4135-BDEB-657C0E2FA7AD}" type="pres">
      <dgm:prSet presAssocID="{09E204DB-28F9-4214-8335-2E68F17E9C8F}" presName="composite4" presStyleCnt="0"/>
      <dgm:spPr/>
    </dgm:pt>
    <dgm:pt modelId="{1631BBE5-1F04-4E2A-BCA4-CD27B3980148}" type="pres">
      <dgm:prSet presAssocID="{09E204DB-28F9-4214-8335-2E68F17E9C8F}" presName="background4" presStyleLbl="node4" presStyleIdx="7" presStyleCnt="14"/>
      <dgm:spPr/>
    </dgm:pt>
    <dgm:pt modelId="{C5B98E4C-2095-41F4-B628-B87E8A4603FA}" type="pres">
      <dgm:prSet presAssocID="{09E204DB-28F9-4214-8335-2E68F17E9C8F}" presName="text4" presStyleLbl="fgAcc4" presStyleIdx="7" presStyleCnt="14" custScaleY="237622">
        <dgm:presLayoutVars>
          <dgm:chPref val="3"/>
        </dgm:presLayoutVars>
      </dgm:prSet>
      <dgm:spPr/>
      <dgm:t>
        <a:bodyPr/>
        <a:lstStyle/>
        <a:p>
          <a:endParaRPr lang="en-US"/>
        </a:p>
      </dgm:t>
    </dgm:pt>
    <dgm:pt modelId="{0A73DFC4-FAD2-453F-BF87-5C454433D97C}" type="pres">
      <dgm:prSet presAssocID="{09E204DB-28F9-4214-8335-2E68F17E9C8F}" presName="hierChild5" presStyleCnt="0"/>
      <dgm:spPr/>
    </dgm:pt>
    <dgm:pt modelId="{D67949A8-5DCF-453F-B30C-92DF4D4B33F5}" type="pres">
      <dgm:prSet presAssocID="{CF75A8A4-5A6F-4A14-BC16-DADF7427EB74}" presName="Name10" presStyleLbl="parChTrans1D2" presStyleIdx="2" presStyleCnt="5"/>
      <dgm:spPr/>
      <dgm:t>
        <a:bodyPr/>
        <a:lstStyle/>
        <a:p>
          <a:endParaRPr lang="en-US"/>
        </a:p>
      </dgm:t>
    </dgm:pt>
    <dgm:pt modelId="{7C873FF9-D7FE-412F-AD3A-244FEF6A4655}" type="pres">
      <dgm:prSet presAssocID="{6D513D9E-4C3F-4106-8A78-C67BD0BAC4EB}" presName="hierRoot2" presStyleCnt="0"/>
      <dgm:spPr/>
    </dgm:pt>
    <dgm:pt modelId="{5F106B75-8CA2-4666-8FAB-686390DE1169}" type="pres">
      <dgm:prSet presAssocID="{6D513D9E-4C3F-4106-8A78-C67BD0BAC4EB}" presName="composite2" presStyleCnt="0"/>
      <dgm:spPr/>
    </dgm:pt>
    <dgm:pt modelId="{79DB3B6B-39D0-4D40-A871-C49B4A16C95F}" type="pres">
      <dgm:prSet presAssocID="{6D513D9E-4C3F-4106-8A78-C67BD0BAC4EB}" presName="background2" presStyleLbl="node2" presStyleIdx="2" presStyleCnt="5"/>
      <dgm:spPr/>
    </dgm:pt>
    <dgm:pt modelId="{36EFCF8E-B013-4111-B514-D9EFB6EB911D}" type="pres">
      <dgm:prSet presAssocID="{6D513D9E-4C3F-4106-8A78-C67BD0BAC4EB}" presName="text2" presStyleLbl="fgAcc2" presStyleIdx="2" presStyleCnt="5">
        <dgm:presLayoutVars>
          <dgm:chPref val="3"/>
        </dgm:presLayoutVars>
      </dgm:prSet>
      <dgm:spPr/>
      <dgm:t>
        <a:bodyPr/>
        <a:lstStyle/>
        <a:p>
          <a:endParaRPr lang="en-US"/>
        </a:p>
      </dgm:t>
    </dgm:pt>
    <dgm:pt modelId="{85E9D98C-C9EB-46A6-9EDA-6CBA853818BF}" type="pres">
      <dgm:prSet presAssocID="{6D513D9E-4C3F-4106-8A78-C67BD0BAC4EB}" presName="hierChild3" presStyleCnt="0"/>
      <dgm:spPr/>
    </dgm:pt>
    <dgm:pt modelId="{9D7DFA31-FC23-4F2E-8D0E-1B6045B4FF75}" type="pres">
      <dgm:prSet presAssocID="{4928AFD6-97F3-42A4-8826-89CECCF04947}" presName="Name17" presStyleLbl="parChTrans1D3" presStyleIdx="2" presStyleCnt="5"/>
      <dgm:spPr/>
      <dgm:t>
        <a:bodyPr/>
        <a:lstStyle/>
        <a:p>
          <a:endParaRPr lang="en-US"/>
        </a:p>
      </dgm:t>
    </dgm:pt>
    <dgm:pt modelId="{463E670B-BBFA-4385-B0FC-12F2013BA3C6}" type="pres">
      <dgm:prSet presAssocID="{6BA72B1B-C596-48C8-AC8A-9A88EBFB37D9}" presName="hierRoot3" presStyleCnt="0"/>
      <dgm:spPr/>
    </dgm:pt>
    <dgm:pt modelId="{256BE049-5141-4BDF-BD11-93D3D1F8E676}" type="pres">
      <dgm:prSet presAssocID="{6BA72B1B-C596-48C8-AC8A-9A88EBFB37D9}" presName="composite3" presStyleCnt="0"/>
      <dgm:spPr/>
    </dgm:pt>
    <dgm:pt modelId="{D9224746-AAA0-48E0-BE50-F6BCADE4E248}" type="pres">
      <dgm:prSet presAssocID="{6BA72B1B-C596-48C8-AC8A-9A88EBFB37D9}" presName="background3" presStyleLbl="node3" presStyleIdx="2" presStyleCnt="5"/>
      <dgm:spPr/>
    </dgm:pt>
    <dgm:pt modelId="{D47A6815-70CD-432B-B08C-9B9E0D7BAAE0}" type="pres">
      <dgm:prSet presAssocID="{6BA72B1B-C596-48C8-AC8A-9A88EBFB37D9}" presName="text3" presStyleLbl="fgAcc3" presStyleIdx="2" presStyleCnt="5">
        <dgm:presLayoutVars>
          <dgm:chPref val="3"/>
        </dgm:presLayoutVars>
      </dgm:prSet>
      <dgm:spPr/>
      <dgm:t>
        <a:bodyPr/>
        <a:lstStyle/>
        <a:p>
          <a:endParaRPr lang="en-US"/>
        </a:p>
      </dgm:t>
    </dgm:pt>
    <dgm:pt modelId="{3514C70B-AC99-4B2A-89D0-6500D17A8465}" type="pres">
      <dgm:prSet presAssocID="{6BA72B1B-C596-48C8-AC8A-9A88EBFB37D9}" presName="hierChild4" presStyleCnt="0"/>
      <dgm:spPr/>
    </dgm:pt>
    <dgm:pt modelId="{1951B5BA-39D1-45F7-B7A2-6D27D7873402}" type="pres">
      <dgm:prSet presAssocID="{AAE5F873-4CA6-4AD4-9D6E-5B03A10C8A33}" presName="Name23" presStyleLbl="parChTrans1D4" presStyleIdx="8" presStyleCnt="14"/>
      <dgm:spPr/>
      <dgm:t>
        <a:bodyPr/>
        <a:lstStyle/>
        <a:p>
          <a:endParaRPr lang="en-US"/>
        </a:p>
      </dgm:t>
    </dgm:pt>
    <dgm:pt modelId="{74FB041D-0A81-408B-BE9E-DEE712C5B1A8}" type="pres">
      <dgm:prSet presAssocID="{846D6B5A-F4A9-432C-8864-2506466D0890}" presName="hierRoot4" presStyleCnt="0"/>
      <dgm:spPr/>
    </dgm:pt>
    <dgm:pt modelId="{F1D78F94-1F84-4D3A-9333-3B39551EF3BB}" type="pres">
      <dgm:prSet presAssocID="{846D6B5A-F4A9-432C-8864-2506466D0890}" presName="composite4" presStyleCnt="0"/>
      <dgm:spPr/>
    </dgm:pt>
    <dgm:pt modelId="{A7409F16-C577-4D8D-A960-53C2B2E2E66C}" type="pres">
      <dgm:prSet presAssocID="{846D6B5A-F4A9-432C-8864-2506466D0890}" presName="background4" presStyleLbl="node4" presStyleIdx="8" presStyleCnt="14"/>
      <dgm:spPr/>
    </dgm:pt>
    <dgm:pt modelId="{08F21C94-69EF-4ED6-B9D9-702D93001D6F}" type="pres">
      <dgm:prSet presAssocID="{846D6B5A-F4A9-432C-8864-2506466D0890}" presName="text4" presStyleLbl="fgAcc4" presStyleIdx="8" presStyleCnt="14">
        <dgm:presLayoutVars>
          <dgm:chPref val="3"/>
        </dgm:presLayoutVars>
      </dgm:prSet>
      <dgm:spPr/>
      <dgm:t>
        <a:bodyPr/>
        <a:lstStyle/>
        <a:p>
          <a:endParaRPr lang="en-US"/>
        </a:p>
      </dgm:t>
    </dgm:pt>
    <dgm:pt modelId="{611E9A78-AF16-43B2-8701-26C165E89758}" type="pres">
      <dgm:prSet presAssocID="{846D6B5A-F4A9-432C-8864-2506466D0890}" presName="hierChild5" presStyleCnt="0"/>
      <dgm:spPr/>
    </dgm:pt>
    <dgm:pt modelId="{3F42404F-AC81-47D1-9133-54378B8D1EE1}" type="pres">
      <dgm:prSet presAssocID="{A628D045-D4F9-4A03-9139-D675A7D5719E}" presName="Name23" presStyleLbl="parChTrans1D4" presStyleIdx="9" presStyleCnt="14"/>
      <dgm:spPr/>
      <dgm:t>
        <a:bodyPr/>
        <a:lstStyle/>
        <a:p>
          <a:endParaRPr lang="en-US"/>
        </a:p>
      </dgm:t>
    </dgm:pt>
    <dgm:pt modelId="{E79D119D-2942-4E94-8F92-0C99CF9D6015}" type="pres">
      <dgm:prSet presAssocID="{2DD054D3-5C6A-4E05-A9A1-6D0900276A53}" presName="hierRoot4" presStyleCnt="0"/>
      <dgm:spPr/>
    </dgm:pt>
    <dgm:pt modelId="{39283FDA-6F33-4293-9F62-DE8CC15BDDEA}" type="pres">
      <dgm:prSet presAssocID="{2DD054D3-5C6A-4E05-A9A1-6D0900276A53}" presName="composite4" presStyleCnt="0"/>
      <dgm:spPr/>
    </dgm:pt>
    <dgm:pt modelId="{3AA1A814-B2B9-4559-9C1F-8BCF8035699A}" type="pres">
      <dgm:prSet presAssocID="{2DD054D3-5C6A-4E05-A9A1-6D0900276A53}" presName="background4" presStyleLbl="node4" presStyleIdx="9" presStyleCnt="14"/>
      <dgm:spPr/>
    </dgm:pt>
    <dgm:pt modelId="{D0F3B0C9-D8B5-4559-B32B-F43325351D70}" type="pres">
      <dgm:prSet presAssocID="{2DD054D3-5C6A-4E05-A9A1-6D0900276A53}" presName="text4" presStyleLbl="fgAcc4" presStyleIdx="9" presStyleCnt="14" custScaleY="187072">
        <dgm:presLayoutVars>
          <dgm:chPref val="3"/>
        </dgm:presLayoutVars>
      </dgm:prSet>
      <dgm:spPr/>
      <dgm:t>
        <a:bodyPr/>
        <a:lstStyle/>
        <a:p>
          <a:endParaRPr lang="en-US"/>
        </a:p>
      </dgm:t>
    </dgm:pt>
    <dgm:pt modelId="{CDF6C2AB-B054-4F92-8CD1-E8284E4003F3}" type="pres">
      <dgm:prSet presAssocID="{2DD054D3-5C6A-4E05-A9A1-6D0900276A53}" presName="hierChild5" presStyleCnt="0"/>
      <dgm:spPr/>
    </dgm:pt>
    <dgm:pt modelId="{6F40CE24-E3CE-4F76-BAB7-E5E2C960958D}" type="pres">
      <dgm:prSet presAssocID="{9EEECCBD-9C6C-4ED4-818C-646192963F62}" presName="Name10" presStyleLbl="parChTrans1D2" presStyleIdx="3" presStyleCnt="5"/>
      <dgm:spPr/>
      <dgm:t>
        <a:bodyPr/>
        <a:lstStyle/>
        <a:p>
          <a:endParaRPr lang="en-US"/>
        </a:p>
      </dgm:t>
    </dgm:pt>
    <dgm:pt modelId="{7A083173-A70A-4D22-B7A7-E8B837A1B909}" type="pres">
      <dgm:prSet presAssocID="{7E8BE582-EFCB-4754-8069-CDAD2E0D79AC}" presName="hierRoot2" presStyleCnt="0"/>
      <dgm:spPr/>
    </dgm:pt>
    <dgm:pt modelId="{78AB1069-E247-4B31-B386-8678CBBD0886}" type="pres">
      <dgm:prSet presAssocID="{7E8BE582-EFCB-4754-8069-CDAD2E0D79AC}" presName="composite2" presStyleCnt="0"/>
      <dgm:spPr/>
    </dgm:pt>
    <dgm:pt modelId="{9E2D0E26-20F5-42BE-B36A-52192D521E27}" type="pres">
      <dgm:prSet presAssocID="{7E8BE582-EFCB-4754-8069-CDAD2E0D79AC}" presName="background2" presStyleLbl="node2" presStyleIdx="3" presStyleCnt="5"/>
      <dgm:spPr/>
    </dgm:pt>
    <dgm:pt modelId="{697B1153-3CA6-4052-9CC8-D599B864E18A}" type="pres">
      <dgm:prSet presAssocID="{7E8BE582-EFCB-4754-8069-CDAD2E0D79AC}" presName="text2" presStyleLbl="fgAcc2" presStyleIdx="3" presStyleCnt="5" custScaleX="125596">
        <dgm:presLayoutVars>
          <dgm:chPref val="3"/>
        </dgm:presLayoutVars>
      </dgm:prSet>
      <dgm:spPr/>
      <dgm:t>
        <a:bodyPr/>
        <a:lstStyle/>
        <a:p>
          <a:endParaRPr lang="en-US"/>
        </a:p>
      </dgm:t>
    </dgm:pt>
    <dgm:pt modelId="{855BB2DE-E7AC-4A1E-A032-7816031A70C0}" type="pres">
      <dgm:prSet presAssocID="{7E8BE582-EFCB-4754-8069-CDAD2E0D79AC}" presName="hierChild3" presStyleCnt="0"/>
      <dgm:spPr/>
    </dgm:pt>
    <dgm:pt modelId="{9A841863-714B-4D74-BDCD-461A4E88B8B3}" type="pres">
      <dgm:prSet presAssocID="{A7CD346C-576F-4507-A8FE-3EB97F3304E5}" presName="Name17" presStyleLbl="parChTrans1D3" presStyleIdx="3" presStyleCnt="5"/>
      <dgm:spPr/>
      <dgm:t>
        <a:bodyPr/>
        <a:lstStyle/>
        <a:p>
          <a:endParaRPr lang="en-US"/>
        </a:p>
      </dgm:t>
    </dgm:pt>
    <dgm:pt modelId="{BC33272A-4708-4DF7-96AC-E79BBE75C15A}" type="pres">
      <dgm:prSet presAssocID="{5CA7A9EA-ACB6-4885-A4DF-01DC16B1087B}" presName="hierRoot3" presStyleCnt="0"/>
      <dgm:spPr/>
    </dgm:pt>
    <dgm:pt modelId="{9FD9512D-A552-4894-8855-B2FD74B89AFA}" type="pres">
      <dgm:prSet presAssocID="{5CA7A9EA-ACB6-4885-A4DF-01DC16B1087B}" presName="composite3" presStyleCnt="0"/>
      <dgm:spPr/>
    </dgm:pt>
    <dgm:pt modelId="{71988537-8523-424B-877F-BB9FF9850151}" type="pres">
      <dgm:prSet presAssocID="{5CA7A9EA-ACB6-4885-A4DF-01DC16B1087B}" presName="background3" presStyleLbl="node3" presStyleIdx="3" presStyleCnt="5"/>
      <dgm:spPr/>
    </dgm:pt>
    <dgm:pt modelId="{269F521E-4A9D-4CAC-9956-C6D5F7749609}" type="pres">
      <dgm:prSet presAssocID="{5CA7A9EA-ACB6-4885-A4DF-01DC16B1087B}" presName="text3" presStyleLbl="fgAcc3" presStyleIdx="3" presStyleCnt="5">
        <dgm:presLayoutVars>
          <dgm:chPref val="3"/>
        </dgm:presLayoutVars>
      </dgm:prSet>
      <dgm:spPr/>
      <dgm:t>
        <a:bodyPr/>
        <a:lstStyle/>
        <a:p>
          <a:endParaRPr lang="en-US"/>
        </a:p>
      </dgm:t>
    </dgm:pt>
    <dgm:pt modelId="{94CCC827-DA3D-479A-892A-60E90EC0F0E4}" type="pres">
      <dgm:prSet presAssocID="{5CA7A9EA-ACB6-4885-A4DF-01DC16B1087B}" presName="hierChild4" presStyleCnt="0"/>
      <dgm:spPr/>
    </dgm:pt>
    <dgm:pt modelId="{25DEBDA6-DD24-4446-B739-EE5D1596C80D}" type="pres">
      <dgm:prSet presAssocID="{5F5E4BC7-A209-43F1-A51C-82AAEAD35882}" presName="Name23" presStyleLbl="parChTrans1D4" presStyleIdx="10" presStyleCnt="14"/>
      <dgm:spPr/>
      <dgm:t>
        <a:bodyPr/>
        <a:lstStyle/>
        <a:p>
          <a:endParaRPr lang="en-US"/>
        </a:p>
      </dgm:t>
    </dgm:pt>
    <dgm:pt modelId="{6DE48D98-994A-4460-8EFE-D1C5205FBCB3}" type="pres">
      <dgm:prSet presAssocID="{486328E9-8FBC-44FF-A9DA-978F55596BCF}" presName="hierRoot4" presStyleCnt="0"/>
      <dgm:spPr/>
    </dgm:pt>
    <dgm:pt modelId="{42B7D377-7295-4B92-B297-2DD1E31CC2B6}" type="pres">
      <dgm:prSet presAssocID="{486328E9-8FBC-44FF-A9DA-978F55596BCF}" presName="composite4" presStyleCnt="0"/>
      <dgm:spPr/>
    </dgm:pt>
    <dgm:pt modelId="{A69E6BA6-AE46-4ACE-AAD3-01A43215EBB4}" type="pres">
      <dgm:prSet presAssocID="{486328E9-8FBC-44FF-A9DA-978F55596BCF}" presName="background4" presStyleLbl="node4" presStyleIdx="10" presStyleCnt="14"/>
      <dgm:spPr/>
    </dgm:pt>
    <dgm:pt modelId="{23C3AF6C-03B3-40EA-ADCA-69EAA454D1DF}" type="pres">
      <dgm:prSet presAssocID="{486328E9-8FBC-44FF-A9DA-978F55596BCF}" presName="text4" presStyleLbl="fgAcc4" presStyleIdx="10" presStyleCnt="14">
        <dgm:presLayoutVars>
          <dgm:chPref val="3"/>
        </dgm:presLayoutVars>
      </dgm:prSet>
      <dgm:spPr/>
      <dgm:t>
        <a:bodyPr/>
        <a:lstStyle/>
        <a:p>
          <a:endParaRPr lang="en-US"/>
        </a:p>
      </dgm:t>
    </dgm:pt>
    <dgm:pt modelId="{AADD951E-6F66-45D9-9C78-AD0CA78E3812}" type="pres">
      <dgm:prSet presAssocID="{486328E9-8FBC-44FF-A9DA-978F55596BCF}" presName="hierChild5" presStyleCnt="0"/>
      <dgm:spPr/>
    </dgm:pt>
    <dgm:pt modelId="{E251DD57-5DD1-438F-830F-02E77E9F4B0B}" type="pres">
      <dgm:prSet presAssocID="{E07DAAC1-6875-40E9-8FB6-33FAED9E02BC}" presName="Name23" presStyleLbl="parChTrans1D4" presStyleIdx="11" presStyleCnt="14"/>
      <dgm:spPr/>
      <dgm:t>
        <a:bodyPr/>
        <a:lstStyle/>
        <a:p>
          <a:endParaRPr lang="en-US"/>
        </a:p>
      </dgm:t>
    </dgm:pt>
    <dgm:pt modelId="{5E33A876-8A2C-4474-BAC6-5F1A845823FD}" type="pres">
      <dgm:prSet presAssocID="{8AC7E4B7-52E5-4B83-8555-138165CAC2F2}" presName="hierRoot4" presStyleCnt="0"/>
      <dgm:spPr/>
    </dgm:pt>
    <dgm:pt modelId="{528492F6-CAE8-4760-8F69-17E9C2ADC9F4}" type="pres">
      <dgm:prSet presAssocID="{8AC7E4B7-52E5-4B83-8555-138165CAC2F2}" presName="composite4" presStyleCnt="0"/>
      <dgm:spPr/>
    </dgm:pt>
    <dgm:pt modelId="{B4C9CBB8-76A4-4EF7-92BB-3B171E478415}" type="pres">
      <dgm:prSet presAssocID="{8AC7E4B7-52E5-4B83-8555-138165CAC2F2}" presName="background4" presStyleLbl="node4" presStyleIdx="11" presStyleCnt="14"/>
      <dgm:spPr/>
    </dgm:pt>
    <dgm:pt modelId="{E7998F9A-09AE-4428-A27B-B12071DA61FC}" type="pres">
      <dgm:prSet presAssocID="{8AC7E4B7-52E5-4B83-8555-138165CAC2F2}" presName="text4" presStyleLbl="fgAcc4" presStyleIdx="11" presStyleCnt="14" custScaleY="226303">
        <dgm:presLayoutVars>
          <dgm:chPref val="3"/>
        </dgm:presLayoutVars>
      </dgm:prSet>
      <dgm:spPr/>
      <dgm:t>
        <a:bodyPr/>
        <a:lstStyle/>
        <a:p>
          <a:endParaRPr lang="en-US"/>
        </a:p>
      </dgm:t>
    </dgm:pt>
    <dgm:pt modelId="{77C15242-5ACF-46E9-BF38-14C48536CD14}" type="pres">
      <dgm:prSet presAssocID="{8AC7E4B7-52E5-4B83-8555-138165CAC2F2}" presName="hierChild5" presStyleCnt="0"/>
      <dgm:spPr/>
    </dgm:pt>
    <dgm:pt modelId="{B40669F7-0082-4355-B25A-9710D3011ABC}" type="pres">
      <dgm:prSet presAssocID="{122CF950-E193-4469-A7B4-F8ECFC2366C0}" presName="Name10" presStyleLbl="parChTrans1D2" presStyleIdx="4" presStyleCnt="5"/>
      <dgm:spPr/>
      <dgm:t>
        <a:bodyPr/>
        <a:lstStyle/>
        <a:p>
          <a:endParaRPr lang="en-US"/>
        </a:p>
      </dgm:t>
    </dgm:pt>
    <dgm:pt modelId="{EB2D002A-B78F-46EA-B919-A94897FCA677}" type="pres">
      <dgm:prSet presAssocID="{7A04868F-1A11-446A-85B4-1CFDCEE552D7}" presName="hierRoot2" presStyleCnt="0"/>
      <dgm:spPr/>
    </dgm:pt>
    <dgm:pt modelId="{064C4E39-7D0A-4445-B809-2B53BF0DA36C}" type="pres">
      <dgm:prSet presAssocID="{7A04868F-1A11-446A-85B4-1CFDCEE552D7}" presName="composite2" presStyleCnt="0"/>
      <dgm:spPr/>
    </dgm:pt>
    <dgm:pt modelId="{53F25D72-2741-4EE7-8AB9-F0C9A23691CF}" type="pres">
      <dgm:prSet presAssocID="{7A04868F-1A11-446A-85B4-1CFDCEE552D7}" presName="background2" presStyleLbl="node2" presStyleIdx="4" presStyleCnt="5"/>
      <dgm:spPr/>
    </dgm:pt>
    <dgm:pt modelId="{6C46F372-88B2-4648-A76E-FAD0CB08C45E}" type="pres">
      <dgm:prSet presAssocID="{7A04868F-1A11-446A-85B4-1CFDCEE552D7}" presName="text2" presStyleLbl="fgAcc2" presStyleIdx="4" presStyleCnt="5">
        <dgm:presLayoutVars>
          <dgm:chPref val="3"/>
        </dgm:presLayoutVars>
      </dgm:prSet>
      <dgm:spPr/>
      <dgm:t>
        <a:bodyPr/>
        <a:lstStyle/>
        <a:p>
          <a:endParaRPr lang="en-US"/>
        </a:p>
      </dgm:t>
    </dgm:pt>
    <dgm:pt modelId="{4DD0F608-6EE8-470F-BB9A-401CE0E211C8}" type="pres">
      <dgm:prSet presAssocID="{7A04868F-1A11-446A-85B4-1CFDCEE552D7}" presName="hierChild3" presStyleCnt="0"/>
      <dgm:spPr/>
    </dgm:pt>
    <dgm:pt modelId="{0EE3CFB3-EE11-4801-8A6F-D530860BC979}" type="pres">
      <dgm:prSet presAssocID="{CC8E8620-5044-41AD-BB92-82464250A485}" presName="Name17" presStyleLbl="parChTrans1D3" presStyleIdx="4" presStyleCnt="5"/>
      <dgm:spPr/>
      <dgm:t>
        <a:bodyPr/>
        <a:lstStyle/>
        <a:p>
          <a:endParaRPr lang="en-US"/>
        </a:p>
      </dgm:t>
    </dgm:pt>
    <dgm:pt modelId="{40A53BAE-3594-4F4B-9111-799315795294}" type="pres">
      <dgm:prSet presAssocID="{92314DC7-FAF1-45EA-8FDC-EA4740821A60}" presName="hierRoot3" presStyleCnt="0"/>
      <dgm:spPr/>
    </dgm:pt>
    <dgm:pt modelId="{9AFDFF9E-0E70-483E-8A94-A8936C859E83}" type="pres">
      <dgm:prSet presAssocID="{92314DC7-FAF1-45EA-8FDC-EA4740821A60}" presName="composite3" presStyleCnt="0"/>
      <dgm:spPr/>
    </dgm:pt>
    <dgm:pt modelId="{F8DE3B20-9E1B-42C4-AB74-EF6F2445F0E2}" type="pres">
      <dgm:prSet presAssocID="{92314DC7-FAF1-45EA-8FDC-EA4740821A60}" presName="background3" presStyleLbl="node3" presStyleIdx="4" presStyleCnt="5"/>
      <dgm:spPr/>
    </dgm:pt>
    <dgm:pt modelId="{5747D47C-AF2A-4236-A6AF-FC6CA9B47CC5}" type="pres">
      <dgm:prSet presAssocID="{92314DC7-FAF1-45EA-8FDC-EA4740821A60}" presName="text3" presStyleLbl="fgAcc3" presStyleIdx="4" presStyleCnt="5">
        <dgm:presLayoutVars>
          <dgm:chPref val="3"/>
        </dgm:presLayoutVars>
      </dgm:prSet>
      <dgm:spPr/>
      <dgm:t>
        <a:bodyPr/>
        <a:lstStyle/>
        <a:p>
          <a:endParaRPr lang="en-US"/>
        </a:p>
      </dgm:t>
    </dgm:pt>
    <dgm:pt modelId="{801BCBCB-ECF1-471F-8EE5-D494AE9913E3}" type="pres">
      <dgm:prSet presAssocID="{92314DC7-FAF1-45EA-8FDC-EA4740821A60}" presName="hierChild4" presStyleCnt="0"/>
      <dgm:spPr/>
    </dgm:pt>
    <dgm:pt modelId="{BE1E9703-D485-4048-AAB4-37956990B26F}" type="pres">
      <dgm:prSet presAssocID="{6CE91D69-68C5-427E-9D95-5B1F678F8BD2}" presName="Name23" presStyleLbl="parChTrans1D4" presStyleIdx="12" presStyleCnt="14"/>
      <dgm:spPr/>
      <dgm:t>
        <a:bodyPr/>
        <a:lstStyle/>
        <a:p>
          <a:endParaRPr lang="en-US"/>
        </a:p>
      </dgm:t>
    </dgm:pt>
    <dgm:pt modelId="{FF994F01-51F0-4F02-BB98-A78A87C39BBA}" type="pres">
      <dgm:prSet presAssocID="{35BEC01A-AF99-4FAD-84D6-0E7EE73A19E6}" presName="hierRoot4" presStyleCnt="0"/>
      <dgm:spPr/>
    </dgm:pt>
    <dgm:pt modelId="{E6F7DED8-2CC4-43EC-9F2E-9BD7F8D3796F}" type="pres">
      <dgm:prSet presAssocID="{35BEC01A-AF99-4FAD-84D6-0E7EE73A19E6}" presName="composite4" presStyleCnt="0"/>
      <dgm:spPr/>
    </dgm:pt>
    <dgm:pt modelId="{78516F67-712F-4BA0-A4F4-EB6DB70F6B4A}" type="pres">
      <dgm:prSet presAssocID="{35BEC01A-AF99-4FAD-84D6-0E7EE73A19E6}" presName="background4" presStyleLbl="node4" presStyleIdx="12" presStyleCnt="14"/>
      <dgm:spPr/>
    </dgm:pt>
    <dgm:pt modelId="{F2D5E7CE-EE25-4677-9493-01B9913C0CEA}" type="pres">
      <dgm:prSet presAssocID="{35BEC01A-AF99-4FAD-84D6-0E7EE73A19E6}" presName="text4" presStyleLbl="fgAcc4" presStyleIdx="12" presStyleCnt="14">
        <dgm:presLayoutVars>
          <dgm:chPref val="3"/>
        </dgm:presLayoutVars>
      </dgm:prSet>
      <dgm:spPr/>
      <dgm:t>
        <a:bodyPr/>
        <a:lstStyle/>
        <a:p>
          <a:endParaRPr lang="en-US"/>
        </a:p>
      </dgm:t>
    </dgm:pt>
    <dgm:pt modelId="{1656A863-94CD-4ED2-AFD8-443097E19A18}" type="pres">
      <dgm:prSet presAssocID="{35BEC01A-AF99-4FAD-84D6-0E7EE73A19E6}" presName="hierChild5" presStyleCnt="0"/>
      <dgm:spPr/>
    </dgm:pt>
    <dgm:pt modelId="{1A68673C-E225-465E-97F0-EDC5F0096D34}" type="pres">
      <dgm:prSet presAssocID="{026F3E4E-7F5F-4E97-A48E-6484D8A5BCD9}" presName="Name23" presStyleLbl="parChTrans1D4" presStyleIdx="13" presStyleCnt="14"/>
      <dgm:spPr/>
      <dgm:t>
        <a:bodyPr/>
        <a:lstStyle/>
        <a:p>
          <a:endParaRPr lang="en-US"/>
        </a:p>
      </dgm:t>
    </dgm:pt>
    <dgm:pt modelId="{37BC2018-2AF7-485B-AD7B-54DE27AEBF24}" type="pres">
      <dgm:prSet presAssocID="{DF48E75C-C276-44C3-9CB6-9C72372041AC}" presName="hierRoot4" presStyleCnt="0"/>
      <dgm:spPr/>
    </dgm:pt>
    <dgm:pt modelId="{3F97CA6F-6D2C-4EBA-92C3-E0B559C71910}" type="pres">
      <dgm:prSet presAssocID="{DF48E75C-C276-44C3-9CB6-9C72372041AC}" presName="composite4" presStyleCnt="0"/>
      <dgm:spPr/>
    </dgm:pt>
    <dgm:pt modelId="{0532C248-404A-4A92-8FA8-B5A279207D8A}" type="pres">
      <dgm:prSet presAssocID="{DF48E75C-C276-44C3-9CB6-9C72372041AC}" presName="background4" presStyleLbl="node4" presStyleIdx="13" presStyleCnt="14"/>
      <dgm:spPr/>
    </dgm:pt>
    <dgm:pt modelId="{02943C76-B448-4084-AA65-A7587B36ED8B}" type="pres">
      <dgm:prSet presAssocID="{DF48E75C-C276-44C3-9CB6-9C72372041AC}" presName="text4" presStyleLbl="fgAcc4" presStyleIdx="13" presStyleCnt="14" custScaleY="245920">
        <dgm:presLayoutVars>
          <dgm:chPref val="3"/>
        </dgm:presLayoutVars>
      </dgm:prSet>
      <dgm:spPr/>
      <dgm:t>
        <a:bodyPr/>
        <a:lstStyle/>
        <a:p>
          <a:endParaRPr lang="en-US"/>
        </a:p>
      </dgm:t>
    </dgm:pt>
    <dgm:pt modelId="{01D66522-C80A-46B3-9F35-49730CFF05CB}" type="pres">
      <dgm:prSet presAssocID="{DF48E75C-C276-44C3-9CB6-9C72372041AC}" presName="hierChild5" presStyleCnt="0"/>
      <dgm:spPr/>
    </dgm:pt>
  </dgm:ptLst>
  <dgm:cxnLst>
    <dgm:cxn modelId="{0C25BF5F-181F-43FE-A5D5-83759AF63A7D}" srcId="{7E8BE582-EFCB-4754-8069-CDAD2E0D79AC}" destId="{5CA7A9EA-ACB6-4885-A4DF-01DC16B1087B}" srcOrd="0" destOrd="0" parTransId="{A7CD346C-576F-4507-A8FE-3EB97F3304E5}" sibTransId="{31BC5F58-163C-401B-874F-C9F911C9266E}"/>
    <dgm:cxn modelId="{7C24F356-C614-4D92-8C68-B85CDB2C4EAD}" type="presOf" srcId="{ABB7524A-694D-434B-984B-8C4B7054A1E6}" destId="{9E04EB92-ACBF-4031-BE19-58F0DBE200C6}" srcOrd="0" destOrd="0" presId="urn:microsoft.com/office/officeart/2005/8/layout/hierarchy1"/>
    <dgm:cxn modelId="{2D9A51DC-BAEA-43B3-84F1-8F582CC176F0}" type="presOf" srcId="{691595E5-A84B-4680-9B48-5650EEBCDC10}" destId="{92014085-250A-48AA-B198-2AA312B1809D}" srcOrd="0" destOrd="0" presId="urn:microsoft.com/office/officeart/2005/8/layout/hierarchy1"/>
    <dgm:cxn modelId="{5A07FC9E-3C63-42E1-941E-3F04EB96B712}" srcId="{A58BA6A5-A16A-47B2-B835-A7D2C2E7FCE2}" destId="{7A04868F-1A11-446A-85B4-1CFDCEE552D7}" srcOrd="4" destOrd="0" parTransId="{122CF950-E193-4469-A7B4-F8ECFC2366C0}" sibTransId="{BD35F5CB-AA42-4881-BF16-2C4D49E1B4B3}"/>
    <dgm:cxn modelId="{91DC250E-D02B-4CAE-9901-513D8EAE027C}" type="presOf" srcId="{A628D045-D4F9-4A03-9139-D675A7D5719E}" destId="{3F42404F-AC81-47D1-9133-54378B8D1EE1}" srcOrd="0" destOrd="0" presId="urn:microsoft.com/office/officeart/2005/8/layout/hierarchy1"/>
    <dgm:cxn modelId="{0BF6861F-BC29-4E1B-9B4D-1F683952F3FF}" type="presOf" srcId="{196D2182-7014-4820-9203-4A5FE9426E30}" destId="{D8355BD5-DF7C-413B-BA20-63357DD1E0E3}" srcOrd="0" destOrd="0" presId="urn:microsoft.com/office/officeart/2005/8/layout/hierarchy1"/>
    <dgm:cxn modelId="{AC3F5216-1F5F-4D1A-B006-D85C974E34BC}" srcId="{35BEC01A-AF99-4FAD-84D6-0E7EE73A19E6}" destId="{DF48E75C-C276-44C3-9CB6-9C72372041AC}" srcOrd="0" destOrd="0" parTransId="{026F3E4E-7F5F-4E97-A48E-6484D8A5BCD9}" sibTransId="{E210E2D7-909E-4F9C-8574-E7CB7E57EB75}"/>
    <dgm:cxn modelId="{22C55533-3CE9-499E-9DB3-965FC33CA3F1}" type="presOf" srcId="{3B5C259E-2982-48E9-9676-EAFF22705D88}" destId="{34BADCD5-5115-4E29-8CD9-D633570B986A}" srcOrd="0" destOrd="0" presId="urn:microsoft.com/office/officeart/2005/8/layout/hierarchy1"/>
    <dgm:cxn modelId="{7E080415-4FC7-4390-B039-A34F1F10C1DD}" type="presOf" srcId="{846D6B5A-F4A9-432C-8864-2506466D0890}" destId="{08F21C94-69EF-4ED6-B9D9-702D93001D6F}" srcOrd="0" destOrd="0" presId="urn:microsoft.com/office/officeart/2005/8/layout/hierarchy1"/>
    <dgm:cxn modelId="{35082D8D-E6A2-4AD9-B597-774DCE37B623}" srcId="{6BA72B1B-C596-48C8-AC8A-9A88EBFB37D9}" destId="{846D6B5A-F4A9-432C-8864-2506466D0890}" srcOrd="0" destOrd="0" parTransId="{AAE5F873-4CA6-4AD4-9D6E-5B03A10C8A33}" sibTransId="{6C8CDE43-007E-403C-A10E-F68D6E626902}"/>
    <dgm:cxn modelId="{F73ABE00-D780-4152-8ABC-AC72E9E820A6}" srcId="{7D1B84BF-C5AC-41E8-B801-7982B870B869}" destId="{13521166-B79A-415A-9075-C054BA4D6F72}" srcOrd="0" destOrd="0" parTransId="{51F8B395-143C-47E3-A5AF-24E963BF326A}" sibTransId="{42EC6F89-CBF0-4CA3-A62E-1B2D046A1DF1}"/>
    <dgm:cxn modelId="{2F4C1C04-BBE7-48EF-BD65-3F13FB1642C8}" srcId="{7A04868F-1A11-446A-85B4-1CFDCEE552D7}" destId="{92314DC7-FAF1-45EA-8FDC-EA4740821A60}" srcOrd="0" destOrd="0" parTransId="{CC8E8620-5044-41AD-BB92-82464250A485}" sibTransId="{638CFB94-F9D9-4827-A223-950EDC79FA0F}"/>
    <dgm:cxn modelId="{3661B191-08E9-495C-B5C8-E99AEB3EE40D}" type="presOf" srcId="{7D1FEB1F-DEDC-4236-A79C-4C7FABBD7816}" destId="{A7AC52E7-0BD3-46E0-97B4-2DE4A3525121}" srcOrd="0" destOrd="0" presId="urn:microsoft.com/office/officeart/2005/8/layout/hierarchy1"/>
    <dgm:cxn modelId="{C38DB385-97A0-435B-8F98-8B86B029F03A}" type="presOf" srcId="{A7CD346C-576F-4507-A8FE-3EB97F3304E5}" destId="{9A841863-714B-4D74-BDCD-461A4E88B8B3}" srcOrd="0" destOrd="0" presId="urn:microsoft.com/office/officeart/2005/8/layout/hierarchy1"/>
    <dgm:cxn modelId="{61864FA0-37E3-4BFB-9935-E54438020A69}" type="presOf" srcId="{42A8BD88-E2C6-4533-842A-BF2145E19AA9}" destId="{09E8687B-DB25-4DE5-84FD-E0C9D74B8AA5}" srcOrd="0" destOrd="0" presId="urn:microsoft.com/office/officeart/2005/8/layout/hierarchy1"/>
    <dgm:cxn modelId="{2EABD396-74D3-4A0C-B22E-F59B25F0A6CD}" type="presOf" srcId="{4928AFD6-97F3-42A4-8826-89CECCF04947}" destId="{9D7DFA31-FC23-4F2E-8D0E-1B6045B4FF75}" srcOrd="0" destOrd="0" presId="urn:microsoft.com/office/officeart/2005/8/layout/hierarchy1"/>
    <dgm:cxn modelId="{131EBAB2-C45A-4ED5-A110-C35BAB3B132A}" type="presOf" srcId="{92314DC7-FAF1-45EA-8FDC-EA4740821A60}" destId="{5747D47C-AF2A-4236-A6AF-FC6CA9B47CC5}" srcOrd="0" destOrd="0" presId="urn:microsoft.com/office/officeart/2005/8/layout/hierarchy1"/>
    <dgm:cxn modelId="{2F48A710-8203-44B6-AC8E-430CE1FE1C61}" srcId="{A58BA6A5-A16A-47B2-B835-A7D2C2E7FCE2}" destId="{B9659CD6-14FE-4C1B-BCD4-8925FE43A0FE}" srcOrd="1" destOrd="0" parTransId="{3E13B60E-8C07-4678-87F0-420A139D870E}" sibTransId="{4318DA56-A327-4A5A-BB2A-190793F3E35C}"/>
    <dgm:cxn modelId="{C1532C55-D300-4E36-81B3-C2C6B51DA3DC}" srcId="{B9659CD6-14FE-4C1B-BCD4-8925FE43A0FE}" destId="{EBA3E6D7-71E5-4D28-B89B-E42DD265911C}" srcOrd="0" destOrd="0" parTransId="{9AB0342B-3C6D-4ED3-B539-D0D2C35EA039}" sibTransId="{E50F50BC-9FB6-4641-8B72-F9F61BB0705B}"/>
    <dgm:cxn modelId="{4F3B33E7-311F-44E6-B8FC-120E9D0E9756}" type="presOf" srcId="{122CF950-E193-4469-A7B4-F8ECFC2366C0}" destId="{B40669F7-0082-4355-B25A-9710D3011ABC}" srcOrd="0" destOrd="0" presId="urn:microsoft.com/office/officeart/2005/8/layout/hierarchy1"/>
    <dgm:cxn modelId="{AF050646-1EBE-437E-9DAC-4E44E9288D2C}" type="presOf" srcId="{5F5E4BC7-A209-43F1-A51C-82AAEAD35882}" destId="{25DEBDA6-DD24-4446-B739-EE5D1596C80D}" srcOrd="0" destOrd="0" presId="urn:microsoft.com/office/officeart/2005/8/layout/hierarchy1"/>
    <dgm:cxn modelId="{44DDB9A4-2555-4257-8E67-87FC20C18AB5}" srcId="{486328E9-8FBC-44FF-A9DA-978F55596BCF}" destId="{8AC7E4B7-52E5-4B83-8555-138165CAC2F2}" srcOrd="0" destOrd="0" parTransId="{E07DAAC1-6875-40E9-8FB6-33FAED9E02BC}" sibTransId="{4C09E5BF-9068-4732-AC7E-5F6FED529D4A}"/>
    <dgm:cxn modelId="{C5A0371D-05C6-4BF1-BEAB-CAE03DFA63E9}" type="presOf" srcId="{3E13B60E-8C07-4678-87F0-420A139D870E}" destId="{43901FDC-2C80-4CDF-8A72-AD2ADC4335D9}" srcOrd="0" destOrd="0" presId="urn:microsoft.com/office/officeart/2005/8/layout/hierarchy1"/>
    <dgm:cxn modelId="{71A2777A-9CB3-494C-9017-9053C0095658}" type="presOf" srcId="{CF75A8A4-5A6F-4A14-BC16-DADF7427EB74}" destId="{D67949A8-5DCF-453F-B30C-92DF4D4B33F5}" srcOrd="0" destOrd="0" presId="urn:microsoft.com/office/officeart/2005/8/layout/hierarchy1"/>
    <dgm:cxn modelId="{BFF1435F-0B18-4D0D-9D92-2E204D9D1767}" type="presOf" srcId="{51F8B395-143C-47E3-A5AF-24E963BF326A}" destId="{54582095-807B-4758-A31F-EA5684CF8EB8}" srcOrd="0" destOrd="0" presId="urn:microsoft.com/office/officeart/2005/8/layout/hierarchy1"/>
    <dgm:cxn modelId="{27DD7973-9B49-4040-913C-84B1F847507B}" srcId="{EBA3E6D7-71E5-4D28-B89B-E42DD265911C}" destId="{7D1B84BF-C5AC-41E8-B801-7982B870B869}" srcOrd="0" destOrd="0" parTransId="{7D84E71C-F4BB-46C6-9B25-1709BD78585A}" sibTransId="{02476157-90DD-48B7-8424-E4439D74E799}"/>
    <dgm:cxn modelId="{D80E6F0F-FE67-43AD-BF97-DF9AD87B611D}" type="presOf" srcId="{C047A15F-6913-48D8-AF72-D02F1E2A5214}" destId="{16D92DCE-8761-4635-9869-6AA11A79E524}" srcOrd="0" destOrd="0" presId="urn:microsoft.com/office/officeart/2005/8/layout/hierarchy1"/>
    <dgm:cxn modelId="{1C118D1B-AA81-42F7-9B3E-116ABF1BB330}" type="presOf" srcId="{35BEC01A-AF99-4FAD-84D6-0E7EE73A19E6}" destId="{F2D5E7CE-EE25-4677-9493-01B9913C0CEA}" srcOrd="0" destOrd="0" presId="urn:microsoft.com/office/officeart/2005/8/layout/hierarchy1"/>
    <dgm:cxn modelId="{A0ABDC1B-B0BE-4ED6-9D4A-E19CDBD6D72A}" type="presOf" srcId="{026F3E4E-7F5F-4E97-A48E-6484D8A5BCD9}" destId="{1A68673C-E225-465E-97F0-EDC5F0096D34}" srcOrd="0" destOrd="0" presId="urn:microsoft.com/office/officeart/2005/8/layout/hierarchy1"/>
    <dgm:cxn modelId="{1654D3AC-8B1C-474C-BD85-186EE7FAA3D1}" type="presOf" srcId="{A58BA6A5-A16A-47B2-B835-A7D2C2E7FCE2}" destId="{DF07CE95-32D6-40ED-BEDB-88ECF326FA35}" srcOrd="0" destOrd="0" presId="urn:microsoft.com/office/officeart/2005/8/layout/hierarchy1"/>
    <dgm:cxn modelId="{96C9C8E2-FD5B-4A81-885D-321B2DA62020}" type="presOf" srcId="{DF48E75C-C276-44C3-9CB6-9C72372041AC}" destId="{02943C76-B448-4084-AA65-A7587B36ED8B}" srcOrd="0" destOrd="0" presId="urn:microsoft.com/office/officeart/2005/8/layout/hierarchy1"/>
    <dgm:cxn modelId="{0B214B20-3172-4908-A02B-4768C13B1BBB}" type="presOf" srcId="{09E204DB-28F9-4214-8335-2E68F17E9C8F}" destId="{C5B98E4C-2095-41F4-B628-B87E8A4603FA}" srcOrd="0" destOrd="0" presId="urn:microsoft.com/office/officeart/2005/8/layout/hierarchy1"/>
    <dgm:cxn modelId="{87E75B34-D297-4CA1-AD15-64AB20BF3EFF}" type="presOf" srcId="{B9659CD6-14FE-4C1B-BCD4-8925FE43A0FE}" destId="{A9A32415-D5F9-4B4C-9300-0A40C9D69492}" srcOrd="0" destOrd="0" presId="urn:microsoft.com/office/officeart/2005/8/layout/hierarchy1"/>
    <dgm:cxn modelId="{A7FF7D5B-6A82-4838-9217-DF7837349AE6}" type="presOf" srcId="{AA9FA1CE-A67B-4C3D-992B-849502AFFACD}" destId="{38B2A3DF-AD20-4732-8B56-F4722E4A9CCA}" srcOrd="0" destOrd="0" presId="urn:microsoft.com/office/officeart/2005/8/layout/hierarchy1"/>
    <dgm:cxn modelId="{09747256-B8E8-499E-A28B-64AE8F3A1F03}" srcId="{A58BA6A5-A16A-47B2-B835-A7D2C2E7FCE2}" destId="{7D1FEB1F-DEDC-4236-A79C-4C7FABBD7816}" srcOrd="0" destOrd="0" parTransId="{5FE67D17-03EE-460A-935D-0C515DB5D62A}" sibTransId="{71AF7D41-81C5-40FF-9078-A908C368A9A8}"/>
    <dgm:cxn modelId="{4C6B954A-1DD4-4F14-80E7-BDF651CAC52C}" srcId="{5CA7A9EA-ACB6-4885-A4DF-01DC16B1087B}" destId="{486328E9-8FBC-44FF-A9DA-978F55596BCF}" srcOrd="0" destOrd="0" parTransId="{5F5E4BC7-A209-43F1-A51C-82AAEAD35882}" sibTransId="{396C1CAA-F65D-432A-87D6-945AE76DA61B}"/>
    <dgm:cxn modelId="{759A9969-7D9F-4DC2-A9E0-4A53151FEE02}" srcId="{3B5C259E-2982-48E9-9676-EAFF22705D88}" destId="{1B60692B-F8FF-4DE7-A49B-314109FA5738}" srcOrd="0" destOrd="0" parTransId="{9DD81E73-6B51-4898-B64C-27AE9F89A880}" sibTransId="{138FBCF6-C3BE-46D1-BFA2-DD8F3718B4A4}"/>
    <dgm:cxn modelId="{9D9196C4-19A7-4275-8FC1-CF39F1A62D63}" type="presOf" srcId="{6D513D9E-4C3F-4106-8A78-C67BD0BAC4EB}" destId="{36EFCF8E-B013-4111-B514-D9EFB6EB911D}" srcOrd="0" destOrd="0" presId="urn:microsoft.com/office/officeart/2005/8/layout/hierarchy1"/>
    <dgm:cxn modelId="{6AC9F7FB-A9B5-484A-B7AC-31BA8FB6C346}" type="presOf" srcId="{6BA4274A-25D0-48E2-A51D-C4DBA56C4751}" destId="{F3767812-99FC-435E-81C5-2852CF99EFCC}" srcOrd="0" destOrd="0" presId="urn:microsoft.com/office/officeart/2005/8/layout/hierarchy1"/>
    <dgm:cxn modelId="{B9E125BC-A966-4F05-8384-8BC02BF98F45}" srcId="{7D1FEB1F-DEDC-4236-A79C-4C7FABBD7816}" destId="{3B5C259E-2982-48E9-9676-EAFF22705D88}" srcOrd="0" destOrd="0" parTransId="{6BA4274A-25D0-48E2-A51D-C4DBA56C4751}" sibTransId="{BB2BA640-5075-4C79-B9A5-7965A659E577}"/>
    <dgm:cxn modelId="{FC4B8A35-59DE-4B82-93EB-A303B982EF2C}" type="presOf" srcId="{1B60692B-F8FF-4DE7-A49B-314109FA5738}" destId="{6F4544EC-DCC7-44AB-8747-2643E8719F77}" srcOrd="0" destOrd="0" presId="urn:microsoft.com/office/officeart/2005/8/layout/hierarchy1"/>
    <dgm:cxn modelId="{104B2492-1405-45DA-ACC3-C2C0B1923819}" srcId="{6D513D9E-4C3F-4106-8A78-C67BD0BAC4EB}" destId="{6BA72B1B-C596-48C8-AC8A-9A88EBFB37D9}" srcOrd="0" destOrd="0" parTransId="{4928AFD6-97F3-42A4-8826-89CECCF04947}" sibTransId="{752B210B-A716-4950-8326-EE1257A6729C}"/>
    <dgm:cxn modelId="{E3CC45BD-EE2C-4F70-B060-A6E67B6ABE05}" type="presOf" srcId="{E07DAAC1-6875-40E9-8FB6-33FAED9E02BC}" destId="{E251DD57-5DD1-438F-830F-02E77E9F4B0B}" srcOrd="0" destOrd="0" presId="urn:microsoft.com/office/officeart/2005/8/layout/hierarchy1"/>
    <dgm:cxn modelId="{CC8F684A-5524-4267-8E36-65886DBC2E66}" type="presOf" srcId="{7D1B84BF-C5AC-41E8-B801-7982B870B869}" destId="{0E9AA9B9-1378-413C-B0A6-E1C8CCB0CA66}" srcOrd="0" destOrd="0" presId="urn:microsoft.com/office/officeart/2005/8/layout/hierarchy1"/>
    <dgm:cxn modelId="{C1810CC0-2FF6-41FF-B081-566ABF3F05B5}" srcId="{EBA3E6D7-71E5-4D28-B89B-E42DD265911C}" destId="{ABB7524A-694D-434B-984B-8C4B7054A1E6}" srcOrd="1" destOrd="0" parTransId="{691595E5-A84B-4680-9B48-5650EEBCDC10}" sibTransId="{F27E95E5-17F6-44FD-A0BC-D9F920E271ED}"/>
    <dgm:cxn modelId="{32E0D349-8444-40B3-95EB-D1F7928DCED5}" type="presOf" srcId="{CC8E8620-5044-41AD-BB92-82464250A485}" destId="{0EE3CFB3-EE11-4801-8A6F-D530860BC979}" srcOrd="0" destOrd="0" presId="urn:microsoft.com/office/officeart/2005/8/layout/hierarchy1"/>
    <dgm:cxn modelId="{33C2128E-5C90-4513-A006-4B902D4EB803}" srcId="{3B5C259E-2982-48E9-9676-EAFF22705D88}" destId="{196D2182-7014-4820-9203-4A5FE9426E30}" srcOrd="1" destOrd="0" parTransId="{AA9FA1CE-A67B-4C3D-992B-849502AFFACD}" sibTransId="{46ACF9F9-EFE9-450E-AF8C-C326F1535E94}"/>
    <dgm:cxn modelId="{03266D0E-50EC-450A-8533-78EFE2485F4D}" type="presOf" srcId="{AAE5F873-4CA6-4AD4-9D6E-5B03A10C8A33}" destId="{1951B5BA-39D1-45F7-B7A2-6D27D7873402}" srcOrd="0" destOrd="0" presId="urn:microsoft.com/office/officeart/2005/8/layout/hierarchy1"/>
    <dgm:cxn modelId="{245FCBC5-D34F-41EB-B2B1-74B794C36AC3}" srcId="{ABB7524A-694D-434B-984B-8C4B7054A1E6}" destId="{09E204DB-28F9-4214-8335-2E68F17E9C8F}" srcOrd="0" destOrd="0" parTransId="{42A8BD88-E2C6-4533-842A-BF2145E19AA9}" sibTransId="{523673AC-E7AE-4EDA-8A8D-98190948DF28}"/>
    <dgm:cxn modelId="{DEBE041D-1D86-4B47-81EB-9F4BD5B4A528}" type="presOf" srcId="{13521166-B79A-415A-9075-C054BA4D6F72}" destId="{4FB15BC0-9464-47C4-AA35-779A6FFBD7BA}" srcOrd="0" destOrd="0" presId="urn:microsoft.com/office/officeart/2005/8/layout/hierarchy1"/>
    <dgm:cxn modelId="{932782EA-9F97-4C3B-8176-558FFA3E2F14}" srcId="{196D2182-7014-4820-9203-4A5FE9426E30}" destId="{DC22A7BB-20FC-4959-A50F-A3E17CF1F3E2}" srcOrd="0" destOrd="0" parTransId="{C047A15F-6913-48D8-AF72-D02F1E2A5214}" sibTransId="{9BBAFB8A-A167-46F6-A4CF-8170AD201949}"/>
    <dgm:cxn modelId="{8F604308-56A9-4A10-AE51-298B28CC9FF2}" type="presOf" srcId="{591BE324-0E24-49E1-A6FF-81E0E9B984B3}" destId="{772D11AD-7442-4DE9-AF34-E9E267D4259E}" srcOrd="0" destOrd="0" presId="urn:microsoft.com/office/officeart/2005/8/layout/hierarchy1"/>
    <dgm:cxn modelId="{28122278-6A0F-43E9-A9E0-6F61606A443B}" type="presOf" srcId="{8AC7E4B7-52E5-4B83-8555-138165CAC2F2}" destId="{E7998F9A-09AE-4428-A27B-B12071DA61FC}" srcOrd="0" destOrd="0" presId="urn:microsoft.com/office/officeart/2005/8/layout/hierarchy1"/>
    <dgm:cxn modelId="{2E0464A5-CF13-4F17-9CB9-C5DC662DA8D7}" srcId="{57B9AE2A-E521-423A-9420-9248E2ABAEB9}" destId="{A58BA6A5-A16A-47B2-B835-A7D2C2E7FCE2}" srcOrd="0" destOrd="0" parTransId="{BCEE7C91-B60B-42A1-8B22-D3B50524B882}" sibTransId="{A7091F16-522E-40DD-AAC0-E72B5D00782D}"/>
    <dgm:cxn modelId="{DD8144B6-02A1-4A40-A9EB-41E1698523C6}" type="presOf" srcId="{D410B2E2-CFD4-4D96-BFDE-B722BC934275}" destId="{86DBABD0-36C1-4C70-8CA6-AB328F190870}" srcOrd="0" destOrd="0" presId="urn:microsoft.com/office/officeart/2005/8/layout/hierarchy1"/>
    <dgm:cxn modelId="{002FBF62-4EE9-4E7A-A674-AE83801E0634}" srcId="{846D6B5A-F4A9-432C-8864-2506466D0890}" destId="{2DD054D3-5C6A-4E05-A9A1-6D0900276A53}" srcOrd="0" destOrd="0" parTransId="{A628D045-D4F9-4A03-9139-D675A7D5719E}" sibTransId="{876C7957-CBDA-437B-8D68-E150086DEFE0}"/>
    <dgm:cxn modelId="{1DAB330F-5A77-497E-AFA2-346F9CC2ED40}" type="presOf" srcId="{2DD054D3-5C6A-4E05-A9A1-6D0900276A53}" destId="{D0F3B0C9-D8B5-4559-B32B-F43325351D70}" srcOrd="0" destOrd="0" presId="urn:microsoft.com/office/officeart/2005/8/layout/hierarchy1"/>
    <dgm:cxn modelId="{EDB52A27-9537-4C9F-8E2B-B3BF1CD5AC37}" type="presOf" srcId="{EBA3E6D7-71E5-4D28-B89B-E42DD265911C}" destId="{0C5D0290-044E-4719-9431-EBC65C2E2B48}" srcOrd="0" destOrd="0" presId="urn:microsoft.com/office/officeart/2005/8/layout/hierarchy1"/>
    <dgm:cxn modelId="{8F74E826-A1A1-4259-AC86-080BCB14C654}" type="presOf" srcId="{6CE91D69-68C5-427E-9D95-5B1F678F8BD2}" destId="{BE1E9703-D485-4048-AAB4-37956990B26F}" srcOrd="0" destOrd="0" presId="urn:microsoft.com/office/officeart/2005/8/layout/hierarchy1"/>
    <dgm:cxn modelId="{734A4454-DAC9-4728-BF4C-14C57A8BBBDC}" type="presOf" srcId="{5FE67D17-03EE-460A-935D-0C515DB5D62A}" destId="{12E85C18-D29B-467D-B151-B4DD676EF754}" srcOrd="0" destOrd="0" presId="urn:microsoft.com/office/officeart/2005/8/layout/hierarchy1"/>
    <dgm:cxn modelId="{E25CBEF6-4E60-4E4F-AB2C-7C4EC15DEDC4}" type="presOf" srcId="{DC22A7BB-20FC-4959-A50F-A3E17CF1F3E2}" destId="{9F49CEEC-E3D8-4803-91F2-E60130E76315}" srcOrd="0" destOrd="0" presId="urn:microsoft.com/office/officeart/2005/8/layout/hierarchy1"/>
    <dgm:cxn modelId="{E164379D-AE60-41D8-A261-3D8E91F53E60}" type="presOf" srcId="{5CA7A9EA-ACB6-4885-A4DF-01DC16B1087B}" destId="{269F521E-4A9D-4CAC-9956-C6D5F7749609}" srcOrd="0" destOrd="0" presId="urn:microsoft.com/office/officeart/2005/8/layout/hierarchy1"/>
    <dgm:cxn modelId="{09F0E7C4-AB01-417A-BA3B-B83E4B0908E6}" type="presOf" srcId="{7D84E71C-F4BB-46C6-9B25-1709BD78585A}" destId="{967CF723-3D81-47EA-A07C-DE918B4C3DE0}" srcOrd="0" destOrd="0" presId="urn:microsoft.com/office/officeart/2005/8/layout/hierarchy1"/>
    <dgm:cxn modelId="{2ECD64CB-0264-4071-9BF6-D4689C99489A}" srcId="{A58BA6A5-A16A-47B2-B835-A7D2C2E7FCE2}" destId="{7E8BE582-EFCB-4754-8069-CDAD2E0D79AC}" srcOrd="3" destOrd="0" parTransId="{9EEECCBD-9C6C-4ED4-818C-646192963F62}" sibTransId="{7B794440-4509-4A0B-8D99-FBC100AD9E45}"/>
    <dgm:cxn modelId="{CAA0D582-A757-497D-8EF5-EEB563E143A7}" type="presOf" srcId="{6BA72B1B-C596-48C8-AC8A-9A88EBFB37D9}" destId="{D47A6815-70CD-432B-B08C-9B9E0D7BAAE0}" srcOrd="0" destOrd="0" presId="urn:microsoft.com/office/officeart/2005/8/layout/hierarchy1"/>
    <dgm:cxn modelId="{25552B1F-5A29-4895-80D2-867E05702A9F}" srcId="{92314DC7-FAF1-45EA-8FDC-EA4740821A60}" destId="{35BEC01A-AF99-4FAD-84D6-0E7EE73A19E6}" srcOrd="0" destOrd="0" parTransId="{6CE91D69-68C5-427E-9D95-5B1F678F8BD2}" sibTransId="{51E9374C-AAF0-491E-89DE-8BC34890B843}"/>
    <dgm:cxn modelId="{6D06F1C6-473E-4723-AC88-F9D0A01DF742}" type="presOf" srcId="{7E8BE582-EFCB-4754-8069-CDAD2E0D79AC}" destId="{697B1153-3CA6-4052-9CC8-D599B864E18A}" srcOrd="0" destOrd="0" presId="urn:microsoft.com/office/officeart/2005/8/layout/hierarchy1"/>
    <dgm:cxn modelId="{B30BC2C7-8573-4515-99BF-6D3C2830E6B3}" type="presOf" srcId="{9EEECCBD-9C6C-4ED4-818C-646192963F62}" destId="{6F40CE24-E3CE-4F76-BAB7-E5E2C960958D}" srcOrd="0" destOrd="0" presId="urn:microsoft.com/office/officeart/2005/8/layout/hierarchy1"/>
    <dgm:cxn modelId="{7B4B27E6-1300-451F-BDDA-350D5274D76A}" srcId="{1B60692B-F8FF-4DE7-A49B-314109FA5738}" destId="{591BE324-0E24-49E1-A6FF-81E0E9B984B3}" srcOrd="0" destOrd="0" parTransId="{D410B2E2-CFD4-4D96-BFDE-B722BC934275}" sibTransId="{D260126E-70F3-46F6-A4B7-E829C033036D}"/>
    <dgm:cxn modelId="{DD3F3CAC-1674-4000-86A4-7098B52D928B}" type="presOf" srcId="{57B9AE2A-E521-423A-9420-9248E2ABAEB9}" destId="{8D1562BE-1282-4EE6-B4FD-5D41E8074153}" srcOrd="0" destOrd="0" presId="urn:microsoft.com/office/officeart/2005/8/layout/hierarchy1"/>
    <dgm:cxn modelId="{6689BB4A-BAED-44CA-9823-41A4F3E8DAF9}" type="presOf" srcId="{9DD81E73-6B51-4898-B64C-27AE9F89A880}" destId="{08A63C6D-140C-4B0C-A8BF-FD32988B8581}" srcOrd="0" destOrd="0" presId="urn:microsoft.com/office/officeart/2005/8/layout/hierarchy1"/>
    <dgm:cxn modelId="{D2532A42-43B9-431E-97FC-D529CE2EFFE4}" srcId="{A58BA6A5-A16A-47B2-B835-A7D2C2E7FCE2}" destId="{6D513D9E-4C3F-4106-8A78-C67BD0BAC4EB}" srcOrd="2" destOrd="0" parTransId="{CF75A8A4-5A6F-4A14-BC16-DADF7427EB74}" sibTransId="{733AF754-7974-42DB-9B2F-21FF14ECB028}"/>
    <dgm:cxn modelId="{DE149261-661E-40B3-8F26-11E153A334AB}" type="presOf" srcId="{486328E9-8FBC-44FF-A9DA-978F55596BCF}" destId="{23C3AF6C-03B3-40EA-ADCA-69EAA454D1DF}" srcOrd="0" destOrd="0" presId="urn:microsoft.com/office/officeart/2005/8/layout/hierarchy1"/>
    <dgm:cxn modelId="{86F4642A-25C4-44B1-B038-370E873CC5DF}" type="presOf" srcId="{9AB0342B-3C6D-4ED3-B539-D0D2C35EA039}" destId="{4A3F1C7A-A791-4237-8C0A-16F4592A7F20}" srcOrd="0" destOrd="0" presId="urn:microsoft.com/office/officeart/2005/8/layout/hierarchy1"/>
    <dgm:cxn modelId="{C4D3BA92-0CE8-41B1-BBCC-970B61C803D9}" type="presOf" srcId="{7A04868F-1A11-446A-85B4-1CFDCEE552D7}" destId="{6C46F372-88B2-4648-A76E-FAD0CB08C45E}" srcOrd="0" destOrd="0" presId="urn:microsoft.com/office/officeart/2005/8/layout/hierarchy1"/>
    <dgm:cxn modelId="{8EEF867F-6CF0-4F85-9DAC-1CF685D1FAB7}" type="presParOf" srcId="{8D1562BE-1282-4EE6-B4FD-5D41E8074153}" destId="{8C90723F-26F3-4679-951B-7C46ECE8284C}" srcOrd="0" destOrd="0" presId="urn:microsoft.com/office/officeart/2005/8/layout/hierarchy1"/>
    <dgm:cxn modelId="{59E6A0BD-E38A-478C-9527-7EDBBB93CEF1}" type="presParOf" srcId="{8C90723F-26F3-4679-951B-7C46ECE8284C}" destId="{672E5542-1C69-4E63-839B-9EFC3A69C067}" srcOrd="0" destOrd="0" presId="urn:microsoft.com/office/officeart/2005/8/layout/hierarchy1"/>
    <dgm:cxn modelId="{58AFA952-E84E-4691-8509-5F4B46F5A5D4}" type="presParOf" srcId="{672E5542-1C69-4E63-839B-9EFC3A69C067}" destId="{D4D9003D-2BE0-4AC3-9E64-1505E3246577}" srcOrd="0" destOrd="0" presId="urn:microsoft.com/office/officeart/2005/8/layout/hierarchy1"/>
    <dgm:cxn modelId="{44D9C470-01C0-47CE-9AF6-0CA1EF8B9C5A}" type="presParOf" srcId="{672E5542-1C69-4E63-839B-9EFC3A69C067}" destId="{DF07CE95-32D6-40ED-BEDB-88ECF326FA35}" srcOrd="1" destOrd="0" presId="urn:microsoft.com/office/officeart/2005/8/layout/hierarchy1"/>
    <dgm:cxn modelId="{F4A756FC-EA32-410D-A2C1-94495E0FA024}" type="presParOf" srcId="{8C90723F-26F3-4679-951B-7C46ECE8284C}" destId="{D2FF687F-64F1-417C-BD9C-DF8E5072D4AC}" srcOrd="1" destOrd="0" presId="urn:microsoft.com/office/officeart/2005/8/layout/hierarchy1"/>
    <dgm:cxn modelId="{706C1620-2642-4C26-B93B-BA8CC66FB139}" type="presParOf" srcId="{D2FF687F-64F1-417C-BD9C-DF8E5072D4AC}" destId="{12E85C18-D29B-467D-B151-B4DD676EF754}" srcOrd="0" destOrd="0" presId="urn:microsoft.com/office/officeart/2005/8/layout/hierarchy1"/>
    <dgm:cxn modelId="{9CA6F29D-4A04-4D57-9231-F12721BC475E}" type="presParOf" srcId="{D2FF687F-64F1-417C-BD9C-DF8E5072D4AC}" destId="{34E593E6-97AF-485A-882B-9B8C034B6325}" srcOrd="1" destOrd="0" presId="urn:microsoft.com/office/officeart/2005/8/layout/hierarchy1"/>
    <dgm:cxn modelId="{FE4C34D2-41E4-4E63-B02D-7B7CB2289795}" type="presParOf" srcId="{34E593E6-97AF-485A-882B-9B8C034B6325}" destId="{D1CF391B-CD5B-40A0-BEA4-D058F41C7508}" srcOrd="0" destOrd="0" presId="urn:microsoft.com/office/officeart/2005/8/layout/hierarchy1"/>
    <dgm:cxn modelId="{797AA5B7-D430-440E-8897-4F3CBF1E4767}" type="presParOf" srcId="{D1CF391B-CD5B-40A0-BEA4-D058F41C7508}" destId="{19601285-E6A4-4CA2-9116-EDC32F416A57}" srcOrd="0" destOrd="0" presId="urn:microsoft.com/office/officeart/2005/8/layout/hierarchy1"/>
    <dgm:cxn modelId="{C2DD70A7-F762-48F8-A95C-BE27F69FB6C2}" type="presParOf" srcId="{D1CF391B-CD5B-40A0-BEA4-D058F41C7508}" destId="{A7AC52E7-0BD3-46E0-97B4-2DE4A3525121}" srcOrd="1" destOrd="0" presId="urn:microsoft.com/office/officeart/2005/8/layout/hierarchy1"/>
    <dgm:cxn modelId="{420363E8-F326-48B4-B2F0-48EF297A43F7}" type="presParOf" srcId="{34E593E6-97AF-485A-882B-9B8C034B6325}" destId="{A95C0AB6-180C-4E82-818B-A9D86C87D3F0}" srcOrd="1" destOrd="0" presId="urn:microsoft.com/office/officeart/2005/8/layout/hierarchy1"/>
    <dgm:cxn modelId="{1239477E-3C51-47AE-BDBB-633AAB4916E7}" type="presParOf" srcId="{A95C0AB6-180C-4E82-818B-A9D86C87D3F0}" destId="{F3767812-99FC-435E-81C5-2852CF99EFCC}" srcOrd="0" destOrd="0" presId="urn:microsoft.com/office/officeart/2005/8/layout/hierarchy1"/>
    <dgm:cxn modelId="{A7BF74C4-154C-4A75-83EC-4226D7BBF4F5}" type="presParOf" srcId="{A95C0AB6-180C-4E82-818B-A9D86C87D3F0}" destId="{011F16B5-E5E6-452F-B375-1765BB37EF9A}" srcOrd="1" destOrd="0" presId="urn:microsoft.com/office/officeart/2005/8/layout/hierarchy1"/>
    <dgm:cxn modelId="{D71E56EE-84E1-4297-BAF3-7DC61975F040}" type="presParOf" srcId="{011F16B5-E5E6-452F-B375-1765BB37EF9A}" destId="{5F10F017-87AF-4B27-9C35-F15277FA2E4C}" srcOrd="0" destOrd="0" presId="urn:microsoft.com/office/officeart/2005/8/layout/hierarchy1"/>
    <dgm:cxn modelId="{A46CE538-43FA-4D04-B14C-907EF6DA5D44}" type="presParOf" srcId="{5F10F017-87AF-4B27-9C35-F15277FA2E4C}" destId="{E4D2F05E-9657-4A60-AF60-28E6A26A8726}" srcOrd="0" destOrd="0" presId="urn:microsoft.com/office/officeart/2005/8/layout/hierarchy1"/>
    <dgm:cxn modelId="{B4C49711-8EFF-445D-82BF-E1A97F572545}" type="presParOf" srcId="{5F10F017-87AF-4B27-9C35-F15277FA2E4C}" destId="{34BADCD5-5115-4E29-8CD9-D633570B986A}" srcOrd="1" destOrd="0" presId="urn:microsoft.com/office/officeart/2005/8/layout/hierarchy1"/>
    <dgm:cxn modelId="{0293736A-6241-43ED-ACEF-B09F4E13C026}" type="presParOf" srcId="{011F16B5-E5E6-452F-B375-1765BB37EF9A}" destId="{838C0A75-A1BF-402E-B04C-CFD01E0A533D}" srcOrd="1" destOrd="0" presId="urn:microsoft.com/office/officeart/2005/8/layout/hierarchy1"/>
    <dgm:cxn modelId="{B1A2CA2C-01F7-431D-9F0A-E00672EF7232}" type="presParOf" srcId="{838C0A75-A1BF-402E-B04C-CFD01E0A533D}" destId="{08A63C6D-140C-4B0C-A8BF-FD32988B8581}" srcOrd="0" destOrd="0" presId="urn:microsoft.com/office/officeart/2005/8/layout/hierarchy1"/>
    <dgm:cxn modelId="{149775BC-4E97-4DE7-B96B-BB66983EAA67}" type="presParOf" srcId="{838C0A75-A1BF-402E-B04C-CFD01E0A533D}" destId="{22296958-C4FD-411D-9A99-0942159107A2}" srcOrd="1" destOrd="0" presId="urn:microsoft.com/office/officeart/2005/8/layout/hierarchy1"/>
    <dgm:cxn modelId="{8375C136-15E5-452A-A5D7-5996181243CA}" type="presParOf" srcId="{22296958-C4FD-411D-9A99-0942159107A2}" destId="{5B6F6B23-5E4D-4A7C-8EE6-27C8F083C27B}" srcOrd="0" destOrd="0" presId="urn:microsoft.com/office/officeart/2005/8/layout/hierarchy1"/>
    <dgm:cxn modelId="{1E85774C-45E1-4BFF-BB72-E5CB806E89F7}" type="presParOf" srcId="{5B6F6B23-5E4D-4A7C-8EE6-27C8F083C27B}" destId="{F0567B15-5E49-4B0F-81DB-7199C74774DC}" srcOrd="0" destOrd="0" presId="urn:microsoft.com/office/officeart/2005/8/layout/hierarchy1"/>
    <dgm:cxn modelId="{C2C06223-49C9-4DB6-B38C-88D7281C0B4D}" type="presParOf" srcId="{5B6F6B23-5E4D-4A7C-8EE6-27C8F083C27B}" destId="{6F4544EC-DCC7-44AB-8747-2643E8719F77}" srcOrd="1" destOrd="0" presId="urn:microsoft.com/office/officeart/2005/8/layout/hierarchy1"/>
    <dgm:cxn modelId="{AE35CA1C-BE6E-4C01-A3CD-56BB074324F7}" type="presParOf" srcId="{22296958-C4FD-411D-9A99-0942159107A2}" destId="{295DFA62-F8FA-44D9-83F5-961B3764BF36}" srcOrd="1" destOrd="0" presId="urn:microsoft.com/office/officeart/2005/8/layout/hierarchy1"/>
    <dgm:cxn modelId="{088BA93B-21CC-4BD0-9FEF-0679C6917E3A}" type="presParOf" srcId="{295DFA62-F8FA-44D9-83F5-961B3764BF36}" destId="{86DBABD0-36C1-4C70-8CA6-AB328F190870}" srcOrd="0" destOrd="0" presId="urn:microsoft.com/office/officeart/2005/8/layout/hierarchy1"/>
    <dgm:cxn modelId="{8EB62DF3-B36F-409A-9E7C-D4BD8C960A18}" type="presParOf" srcId="{295DFA62-F8FA-44D9-83F5-961B3764BF36}" destId="{9C9C23A2-18DE-40D4-A997-231BAA338D90}" srcOrd="1" destOrd="0" presId="urn:microsoft.com/office/officeart/2005/8/layout/hierarchy1"/>
    <dgm:cxn modelId="{BB77D9CD-4C93-4A8F-BB7A-82B1722185CE}" type="presParOf" srcId="{9C9C23A2-18DE-40D4-A997-231BAA338D90}" destId="{B930F58D-A4A8-481C-BCFE-D06136483922}" srcOrd="0" destOrd="0" presId="urn:microsoft.com/office/officeart/2005/8/layout/hierarchy1"/>
    <dgm:cxn modelId="{8FF369AF-7C12-47CC-9A9B-D44EE7437CA6}" type="presParOf" srcId="{B930F58D-A4A8-481C-BCFE-D06136483922}" destId="{6F8FD969-5433-4C41-B2C5-D6CAA62FE696}" srcOrd="0" destOrd="0" presId="urn:microsoft.com/office/officeart/2005/8/layout/hierarchy1"/>
    <dgm:cxn modelId="{6777F8C7-E9D2-485A-A8FB-A41E688BE701}" type="presParOf" srcId="{B930F58D-A4A8-481C-BCFE-D06136483922}" destId="{772D11AD-7442-4DE9-AF34-E9E267D4259E}" srcOrd="1" destOrd="0" presId="urn:microsoft.com/office/officeart/2005/8/layout/hierarchy1"/>
    <dgm:cxn modelId="{657978CA-F4C1-472D-976E-B011CFDE1EAE}" type="presParOf" srcId="{9C9C23A2-18DE-40D4-A997-231BAA338D90}" destId="{FB3677EC-8724-49AD-8557-AEFFAEAC94AD}" srcOrd="1" destOrd="0" presId="urn:microsoft.com/office/officeart/2005/8/layout/hierarchy1"/>
    <dgm:cxn modelId="{72FB5DBA-ABBD-4C3F-89C3-AB8A46C6578A}" type="presParOf" srcId="{838C0A75-A1BF-402E-B04C-CFD01E0A533D}" destId="{38B2A3DF-AD20-4732-8B56-F4722E4A9CCA}" srcOrd="2" destOrd="0" presId="urn:microsoft.com/office/officeart/2005/8/layout/hierarchy1"/>
    <dgm:cxn modelId="{780981D7-AB41-4538-9A2B-44BB737B774F}" type="presParOf" srcId="{838C0A75-A1BF-402E-B04C-CFD01E0A533D}" destId="{97713034-E286-44F1-9908-04773F56D797}" srcOrd="3" destOrd="0" presId="urn:microsoft.com/office/officeart/2005/8/layout/hierarchy1"/>
    <dgm:cxn modelId="{1C44539D-164D-47F8-B63F-6599AA11B1F6}" type="presParOf" srcId="{97713034-E286-44F1-9908-04773F56D797}" destId="{87380911-BFF0-48B3-96E8-73974D122D6A}" srcOrd="0" destOrd="0" presId="urn:microsoft.com/office/officeart/2005/8/layout/hierarchy1"/>
    <dgm:cxn modelId="{D8D46B6B-9BC1-463F-898F-ACA592B6CA78}" type="presParOf" srcId="{87380911-BFF0-48B3-96E8-73974D122D6A}" destId="{110B5793-2646-41C5-93D6-7588328DEDDE}" srcOrd="0" destOrd="0" presId="urn:microsoft.com/office/officeart/2005/8/layout/hierarchy1"/>
    <dgm:cxn modelId="{F0C3BEE8-BF53-4F0B-8434-BA1B1458F6BE}" type="presParOf" srcId="{87380911-BFF0-48B3-96E8-73974D122D6A}" destId="{D8355BD5-DF7C-413B-BA20-63357DD1E0E3}" srcOrd="1" destOrd="0" presId="urn:microsoft.com/office/officeart/2005/8/layout/hierarchy1"/>
    <dgm:cxn modelId="{228ED048-4C43-4DED-ADC0-6C4E08879A86}" type="presParOf" srcId="{97713034-E286-44F1-9908-04773F56D797}" destId="{4D110900-97B8-4A41-98E4-B32176A4BE10}" srcOrd="1" destOrd="0" presId="urn:microsoft.com/office/officeart/2005/8/layout/hierarchy1"/>
    <dgm:cxn modelId="{42A99885-F38A-4EDC-B475-71106B87CEB5}" type="presParOf" srcId="{4D110900-97B8-4A41-98E4-B32176A4BE10}" destId="{16D92DCE-8761-4635-9869-6AA11A79E524}" srcOrd="0" destOrd="0" presId="urn:microsoft.com/office/officeart/2005/8/layout/hierarchy1"/>
    <dgm:cxn modelId="{29F5FA7D-C003-44C0-923F-D9442C2DA413}" type="presParOf" srcId="{4D110900-97B8-4A41-98E4-B32176A4BE10}" destId="{3FA18A55-75D8-4564-B671-83F96C6A3A14}" srcOrd="1" destOrd="0" presId="urn:microsoft.com/office/officeart/2005/8/layout/hierarchy1"/>
    <dgm:cxn modelId="{32710353-84B9-45AC-B724-8591C722D07F}" type="presParOf" srcId="{3FA18A55-75D8-4564-B671-83F96C6A3A14}" destId="{2888C8A2-ADE2-4B48-9730-058458AE37D2}" srcOrd="0" destOrd="0" presId="urn:microsoft.com/office/officeart/2005/8/layout/hierarchy1"/>
    <dgm:cxn modelId="{B94C786F-A9ED-4AFC-8CF6-37DA5A3BB4FC}" type="presParOf" srcId="{2888C8A2-ADE2-4B48-9730-058458AE37D2}" destId="{D43D2E14-BA29-4836-8180-C7EEB8D88274}" srcOrd="0" destOrd="0" presId="urn:microsoft.com/office/officeart/2005/8/layout/hierarchy1"/>
    <dgm:cxn modelId="{13E3BDE9-173F-4E03-A388-1D184F60F03B}" type="presParOf" srcId="{2888C8A2-ADE2-4B48-9730-058458AE37D2}" destId="{9F49CEEC-E3D8-4803-91F2-E60130E76315}" srcOrd="1" destOrd="0" presId="urn:microsoft.com/office/officeart/2005/8/layout/hierarchy1"/>
    <dgm:cxn modelId="{80EF7661-840D-490E-9966-5FAA87507EFB}" type="presParOf" srcId="{3FA18A55-75D8-4564-B671-83F96C6A3A14}" destId="{99225412-6DE5-41F2-ABBA-B58B2B7E8C5B}" srcOrd="1" destOrd="0" presId="urn:microsoft.com/office/officeart/2005/8/layout/hierarchy1"/>
    <dgm:cxn modelId="{026E5D93-CF62-40FA-B7AD-0A092A5ADEC9}" type="presParOf" srcId="{D2FF687F-64F1-417C-BD9C-DF8E5072D4AC}" destId="{43901FDC-2C80-4CDF-8A72-AD2ADC4335D9}" srcOrd="2" destOrd="0" presId="urn:microsoft.com/office/officeart/2005/8/layout/hierarchy1"/>
    <dgm:cxn modelId="{E71A63FC-C52E-4F28-8EA5-3B4BAF1665E6}" type="presParOf" srcId="{D2FF687F-64F1-417C-BD9C-DF8E5072D4AC}" destId="{8537234F-2761-4363-9FB6-1DCA8D5FDED7}" srcOrd="3" destOrd="0" presId="urn:microsoft.com/office/officeart/2005/8/layout/hierarchy1"/>
    <dgm:cxn modelId="{3836E397-6D6C-4720-8DA8-35771742D352}" type="presParOf" srcId="{8537234F-2761-4363-9FB6-1DCA8D5FDED7}" destId="{ED9A862D-8E01-4716-822F-F48469F058D6}" srcOrd="0" destOrd="0" presId="urn:microsoft.com/office/officeart/2005/8/layout/hierarchy1"/>
    <dgm:cxn modelId="{E96A7358-811C-42A3-9530-626041AD1270}" type="presParOf" srcId="{ED9A862D-8E01-4716-822F-F48469F058D6}" destId="{910ED7F4-0CDE-46B3-8040-EF2F3C702776}" srcOrd="0" destOrd="0" presId="urn:microsoft.com/office/officeart/2005/8/layout/hierarchy1"/>
    <dgm:cxn modelId="{B5C7224C-4D07-4C76-B5CC-360979D23092}" type="presParOf" srcId="{ED9A862D-8E01-4716-822F-F48469F058D6}" destId="{A9A32415-D5F9-4B4C-9300-0A40C9D69492}" srcOrd="1" destOrd="0" presId="urn:microsoft.com/office/officeart/2005/8/layout/hierarchy1"/>
    <dgm:cxn modelId="{6F8B3E9B-8874-43A6-9D14-F46FB761E908}" type="presParOf" srcId="{8537234F-2761-4363-9FB6-1DCA8D5FDED7}" destId="{CFC0F57F-3884-469D-AC10-94F1131DF9FF}" srcOrd="1" destOrd="0" presId="urn:microsoft.com/office/officeart/2005/8/layout/hierarchy1"/>
    <dgm:cxn modelId="{07918EE5-9055-44B3-A68E-4002B5CD67FA}" type="presParOf" srcId="{CFC0F57F-3884-469D-AC10-94F1131DF9FF}" destId="{4A3F1C7A-A791-4237-8C0A-16F4592A7F20}" srcOrd="0" destOrd="0" presId="urn:microsoft.com/office/officeart/2005/8/layout/hierarchy1"/>
    <dgm:cxn modelId="{AE2EF980-7E0F-42E7-90EA-AB8E728A1581}" type="presParOf" srcId="{CFC0F57F-3884-469D-AC10-94F1131DF9FF}" destId="{10EF6C9A-1A96-426C-A53A-114E2C5B4C4D}" srcOrd="1" destOrd="0" presId="urn:microsoft.com/office/officeart/2005/8/layout/hierarchy1"/>
    <dgm:cxn modelId="{F232217A-38E5-46F6-AC00-92C23E7AD31D}" type="presParOf" srcId="{10EF6C9A-1A96-426C-A53A-114E2C5B4C4D}" destId="{80188BCC-88B4-4078-9399-6CD829C3B86E}" srcOrd="0" destOrd="0" presId="urn:microsoft.com/office/officeart/2005/8/layout/hierarchy1"/>
    <dgm:cxn modelId="{E71D847B-74CD-4A73-BF9F-899670AC99D8}" type="presParOf" srcId="{80188BCC-88B4-4078-9399-6CD829C3B86E}" destId="{5E2285E4-6F23-4DC8-AD6A-6947D038FE16}" srcOrd="0" destOrd="0" presId="urn:microsoft.com/office/officeart/2005/8/layout/hierarchy1"/>
    <dgm:cxn modelId="{3852DC1A-7DE0-4C3A-93BF-E513B2E8D916}" type="presParOf" srcId="{80188BCC-88B4-4078-9399-6CD829C3B86E}" destId="{0C5D0290-044E-4719-9431-EBC65C2E2B48}" srcOrd="1" destOrd="0" presId="urn:microsoft.com/office/officeart/2005/8/layout/hierarchy1"/>
    <dgm:cxn modelId="{31EFB7F5-D4A8-4A19-B5C3-C03E9665925D}" type="presParOf" srcId="{10EF6C9A-1A96-426C-A53A-114E2C5B4C4D}" destId="{C27BA8E1-4BCA-4E82-B395-8E3CA09B2AA0}" srcOrd="1" destOrd="0" presId="urn:microsoft.com/office/officeart/2005/8/layout/hierarchy1"/>
    <dgm:cxn modelId="{119F2A60-108C-4B2F-8311-43D6CBAA40CA}" type="presParOf" srcId="{C27BA8E1-4BCA-4E82-B395-8E3CA09B2AA0}" destId="{967CF723-3D81-47EA-A07C-DE918B4C3DE0}" srcOrd="0" destOrd="0" presId="urn:microsoft.com/office/officeart/2005/8/layout/hierarchy1"/>
    <dgm:cxn modelId="{A5BE755A-AC77-4AA1-B1C7-A847CDBBAC09}" type="presParOf" srcId="{C27BA8E1-4BCA-4E82-B395-8E3CA09B2AA0}" destId="{3C15F222-83AC-4553-B260-B1AAA324D36E}" srcOrd="1" destOrd="0" presId="urn:microsoft.com/office/officeart/2005/8/layout/hierarchy1"/>
    <dgm:cxn modelId="{D69068F1-3DE5-4F55-94AB-493BD3275571}" type="presParOf" srcId="{3C15F222-83AC-4553-B260-B1AAA324D36E}" destId="{26421729-D54A-4E8C-A3BD-8E1BD18B5853}" srcOrd="0" destOrd="0" presId="urn:microsoft.com/office/officeart/2005/8/layout/hierarchy1"/>
    <dgm:cxn modelId="{92335D9D-BF38-44EA-B671-2127941E0DA1}" type="presParOf" srcId="{26421729-D54A-4E8C-A3BD-8E1BD18B5853}" destId="{531C206A-A717-4E35-BF8B-456CBD082343}" srcOrd="0" destOrd="0" presId="urn:microsoft.com/office/officeart/2005/8/layout/hierarchy1"/>
    <dgm:cxn modelId="{1E35EC08-4DA8-485C-B268-0236DA2754F1}" type="presParOf" srcId="{26421729-D54A-4E8C-A3BD-8E1BD18B5853}" destId="{0E9AA9B9-1378-413C-B0A6-E1C8CCB0CA66}" srcOrd="1" destOrd="0" presId="urn:microsoft.com/office/officeart/2005/8/layout/hierarchy1"/>
    <dgm:cxn modelId="{484E1C19-658B-443A-86AF-14DEA67083D1}" type="presParOf" srcId="{3C15F222-83AC-4553-B260-B1AAA324D36E}" destId="{DBBBB210-7FC2-413D-B6DA-495076FC91B6}" srcOrd="1" destOrd="0" presId="urn:microsoft.com/office/officeart/2005/8/layout/hierarchy1"/>
    <dgm:cxn modelId="{370165C4-ED19-43DE-97D4-2A3D2569CD38}" type="presParOf" srcId="{DBBBB210-7FC2-413D-B6DA-495076FC91B6}" destId="{54582095-807B-4758-A31F-EA5684CF8EB8}" srcOrd="0" destOrd="0" presId="urn:microsoft.com/office/officeart/2005/8/layout/hierarchy1"/>
    <dgm:cxn modelId="{CFB21E4F-804C-41C6-A1DB-23342A88BD9C}" type="presParOf" srcId="{DBBBB210-7FC2-413D-B6DA-495076FC91B6}" destId="{7E37D8E9-9198-4BA3-BF8D-B9158BEE454C}" srcOrd="1" destOrd="0" presId="urn:microsoft.com/office/officeart/2005/8/layout/hierarchy1"/>
    <dgm:cxn modelId="{FF0BFEC6-3D2D-49EA-A89D-A090B43873EA}" type="presParOf" srcId="{7E37D8E9-9198-4BA3-BF8D-B9158BEE454C}" destId="{85C52678-CA4E-4B0A-A3B1-E7ABD2C67FB2}" srcOrd="0" destOrd="0" presId="urn:microsoft.com/office/officeart/2005/8/layout/hierarchy1"/>
    <dgm:cxn modelId="{2D41EB20-37B2-4980-BA42-F76EB868221E}" type="presParOf" srcId="{85C52678-CA4E-4B0A-A3B1-E7ABD2C67FB2}" destId="{23A1E6AD-AF6F-4D71-A2AF-AB35FED4AC51}" srcOrd="0" destOrd="0" presId="urn:microsoft.com/office/officeart/2005/8/layout/hierarchy1"/>
    <dgm:cxn modelId="{409571A0-A654-4A6B-A92D-96C314FC37F1}" type="presParOf" srcId="{85C52678-CA4E-4B0A-A3B1-E7ABD2C67FB2}" destId="{4FB15BC0-9464-47C4-AA35-779A6FFBD7BA}" srcOrd="1" destOrd="0" presId="urn:microsoft.com/office/officeart/2005/8/layout/hierarchy1"/>
    <dgm:cxn modelId="{B6866EC9-3B22-46C8-88EC-290B96968F17}" type="presParOf" srcId="{7E37D8E9-9198-4BA3-BF8D-B9158BEE454C}" destId="{F5D8141D-58A9-4122-9128-18F36ACD0222}" srcOrd="1" destOrd="0" presId="urn:microsoft.com/office/officeart/2005/8/layout/hierarchy1"/>
    <dgm:cxn modelId="{39C8D6BB-1FD9-44AA-9E23-D444D5AF371A}" type="presParOf" srcId="{C27BA8E1-4BCA-4E82-B395-8E3CA09B2AA0}" destId="{92014085-250A-48AA-B198-2AA312B1809D}" srcOrd="2" destOrd="0" presId="urn:microsoft.com/office/officeart/2005/8/layout/hierarchy1"/>
    <dgm:cxn modelId="{F80460A3-5F74-4211-A44F-91ED2727081E}" type="presParOf" srcId="{C27BA8E1-4BCA-4E82-B395-8E3CA09B2AA0}" destId="{E38B65A0-4790-4362-8B42-E4053ECD2591}" srcOrd="3" destOrd="0" presId="urn:microsoft.com/office/officeart/2005/8/layout/hierarchy1"/>
    <dgm:cxn modelId="{4D456E78-2DD8-4DBD-85CE-113D18625120}" type="presParOf" srcId="{E38B65A0-4790-4362-8B42-E4053ECD2591}" destId="{5B708E76-4B60-4411-9897-11B91853B602}" srcOrd="0" destOrd="0" presId="urn:microsoft.com/office/officeart/2005/8/layout/hierarchy1"/>
    <dgm:cxn modelId="{4C1F522B-D4DA-4961-913B-69165F1391CC}" type="presParOf" srcId="{5B708E76-4B60-4411-9897-11B91853B602}" destId="{8F4B5EC7-4E10-4F62-9551-5B62D26927F0}" srcOrd="0" destOrd="0" presId="urn:microsoft.com/office/officeart/2005/8/layout/hierarchy1"/>
    <dgm:cxn modelId="{0568DF95-782A-457B-8C5F-4A84BC2022B2}" type="presParOf" srcId="{5B708E76-4B60-4411-9897-11B91853B602}" destId="{9E04EB92-ACBF-4031-BE19-58F0DBE200C6}" srcOrd="1" destOrd="0" presId="urn:microsoft.com/office/officeart/2005/8/layout/hierarchy1"/>
    <dgm:cxn modelId="{ED6094A3-89EB-42F9-A290-0CBD24CCCA11}" type="presParOf" srcId="{E38B65A0-4790-4362-8B42-E4053ECD2591}" destId="{74FBE07F-5E18-4B86-99E6-D64A521EABB0}" srcOrd="1" destOrd="0" presId="urn:microsoft.com/office/officeart/2005/8/layout/hierarchy1"/>
    <dgm:cxn modelId="{01CE9E5C-E762-4F4B-B99C-BF4EBDB3FDD2}" type="presParOf" srcId="{74FBE07F-5E18-4B86-99E6-D64A521EABB0}" destId="{09E8687B-DB25-4DE5-84FD-E0C9D74B8AA5}" srcOrd="0" destOrd="0" presId="urn:microsoft.com/office/officeart/2005/8/layout/hierarchy1"/>
    <dgm:cxn modelId="{0A11FD2B-A42A-445A-83B6-52DA8A99F278}" type="presParOf" srcId="{74FBE07F-5E18-4B86-99E6-D64A521EABB0}" destId="{4DC0E699-0A9C-4216-8366-388153B61C58}" srcOrd="1" destOrd="0" presId="urn:microsoft.com/office/officeart/2005/8/layout/hierarchy1"/>
    <dgm:cxn modelId="{EEE7B490-97D1-4F09-8838-A0C6010D66FB}" type="presParOf" srcId="{4DC0E699-0A9C-4216-8366-388153B61C58}" destId="{F16FD6F3-1D42-4135-BDEB-657C0E2FA7AD}" srcOrd="0" destOrd="0" presId="urn:microsoft.com/office/officeart/2005/8/layout/hierarchy1"/>
    <dgm:cxn modelId="{650C09B1-5E0E-4234-8990-1E59ADABC094}" type="presParOf" srcId="{F16FD6F3-1D42-4135-BDEB-657C0E2FA7AD}" destId="{1631BBE5-1F04-4E2A-BCA4-CD27B3980148}" srcOrd="0" destOrd="0" presId="urn:microsoft.com/office/officeart/2005/8/layout/hierarchy1"/>
    <dgm:cxn modelId="{7D6C809A-581D-4973-9E98-2A64E74231D1}" type="presParOf" srcId="{F16FD6F3-1D42-4135-BDEB-657C0E2FA7AD}" destId="{C5B98E4C-2095-41F4-B628-B87E8A4603FA}" srcOrd="1" destOrd="0" presId="urn:microsoft.com/office/officeart/2005/8/layout/hierarchy1"/>
    <dgm:cxn modelId="{4D30A697-ACFD-4396-BAC9-4929489D6F06}" type="presParOf" srcId="{4DC0E699-0A9C-4216-8366-388153B61C58}" destId="{0A73DFC4-FAD2-453F-BF87-5C454433D97C}" srcOrd="1" destOrd="0" presId="urn:microsoft.com/office/officeart/2005/8/layout/hierarchy1"/>
    <dgm:cxn modelId="{2E537D10-1AC5-43B9-846D-52910E5791E4}" type="presParOf" srcId="{D2FF687F-64F1-417C-BD9C-DF8E5072D4AC}" destId="{D67949A8-5DCF-453F-B30C-92DF4D4B33F5}" srcOrd="4" destOrd="0" presId="urn:microsoft.com/office/officeart/2005/8/layout/hierarchy1"/>
    <dgm:cxn modelId="{B88ADCE6-DA81-4D17-9B88-596C75079291}" type="presParOf" srcId="{D2FF687F-64F1-417C-BD9C-DF8E5072D4AC}" destId="{7C873FF9-D7FE-412F-AD3A-244FEF6A4655}" srcOrd="5" destOrd="0" presId="urn:microsoft.com/office/officeart/2005/8/layout/hierarchy1"/>
    <dgm:cxn modelId="{B64401AC-C9DB-4A26-A004-D91A0BCDAA21}" type="presParOf" srcId="{7C873FF9-D7FE-412F-AD3A-244FEF6A4655}" destId="{5F106B75-8CA2-4666-8FAB-686390DE1169}" srcOrd="0" destOrd="0" presId="urn:microsoft.com/office/officeart/2005/8/layout/hierarchy1"/>
    <dgm:cxn modelId="{2C8DB412-21CF-4810-AB11-072C227469CF}" type="presParOf" srcId="{5F106B75-8CA2-4666-8FAB-686390DE1169}" destId="{79DB3B6B-39D0-4D40-A871-C49B4A16C95F}" srcOrd="0" destOrd="0" presId="urn:microsoft.com/office/officeart/2005/8/layout/hierarchy1"/>
    <dgm:cxn modelId="{20848190-BF7F-48C5-8B29-C401B97061D1}" type="presParOf" srcId="{5F106B75-8CA2-4666-8FAB-686390DE1169}" destId="{36EFCF8E-B013-4111-B514-D9EFB6EB911D}" srcOrd="1" destOrd="0" presId="urn:microsoft.com/office/officeart/2005/8/layout/hierarchy1"/>
    <dgm:cxn modelId="{40F72660-13C2-416D-AFE5-03F64D9F3C18}" type="presParOf" srcId="{7C873FF9-D7FE-412F-AD3A-244FEF6A4655}" destId="{85E9D98C-C9EB-46A6-9EDA-6CBA853818BF}" srcOrd="1" destOrd="0" presId="urn:microsoft.com/office/officeart/2005/8/layout/hierarchy1"/>
    <dgm:cxn modelId="{7CC994F6-BA1E-475B-8623-8F9EAE90E4C7}" type="presParOf" srcId="{85E9D98C-C9EB-46A6-9EDA-6CBA853818BF}" destId="{9D7DFA31-FC23-4F2E-8D0E-1B6045B4FF75}" srcOrd="0" destOrd="0" presId="urn:microsoft.com/office/officeart/2005/8/layout/hierarchy1"/>
    <dgm:cxn modelId="{5E4DA415-AFD9-4BEE-8555-4ED04481A8BF}" type="presParOf" srcId="{85E9D98C-C9EB-46A6-9EDA-6CBA853818BF}" destId="{463E670B-BBFA-4385-B0FC-12F2013BA3C6}" srcOrd="1" destOrd="0" presId="urn:microsoft.com/office/officeart/2005/8/layout/hierarchy1"/>
    <dgm:cxn modelId="{2FA3A6C4-0017-4CDA-BF40-5AD324D43A15}" type="presParOf" srcId="{463E670B-BBFA-4385-B0FC-12F2013BA3C6}" destId="{256BE049-5141-4BDF-BD11-93D3D1F8E676}" srcOrd="0" destOrd="0" presId="urn:microsoft.com/office/officeart/2005/8/layout/hierarchy1"/>
    <dgm:cxn modelId="{14AB4D59-0D4F-4D9E-9627-6511B63ECB0F}" type="presParOf" srcId="{256BE049-5141-4BDF-BD11-93D3D1F8E676}" destId="{D9224746-AAA0-48E0-BE50-F6BCADE4E248}" srcOrd="0" destOrd="0" presId="urn:microsoft.com/office/officeart/2005/8/layout/hierarchy1"/>
    <dgm:cxn modelId="{C5CACB28-9E4D-4E42-B05C-E6A6DA4021B9}" type="presParOf" srcId="{256BE049-5141-4BDF-BD11-93D3D1F8E676}" destId="{D47A6815-70CD-432B-B08C-9B9E0D7BAAE0}" srcOrd="1" destOrd="0" presId="urn:microsoft.com/office/officeart/2005/8/layout/hierarchy1"/>
    <dgm:cxn modelId="{3E4AFC29-A410-4DCC-A666-5AD122114875}" type="presParOf" srcId="{463E670B-BBFA-4385-B0FC-12F2013BA3C6}" destId="{3514C70B-AC99-4B2A-89D0-6500D17A8465}" srcOrd="1" destOrd="0" presId="urn:microsoft.com/office/officeart/2005/8/layout/hierarchy1"/>
    <dgm:cxn modelId="{F9B518D7-0110-4E33-A2EF-F84B066BBC07}" type="presParOf" srcId="{3514C70B-AC99-4B2A-89D0-6500D17A8465}" destId="{1951B5BA-39D1-45F7-B7A2-6D27D7873402}" srcOrd="0" destOrd="0" presId="urn:microsoft.com/office/officeart/2005/8/layout/hierarchy1"/>
    <dgm:cxn modelId="{AB20A33F-D451-4AE4-8A03-2F7778A6FF73}" type="presParOf" srcId="{3514C70B-AC99-4B2A-89D0-6500D17A8465}" destId="{74FB041D-0A81-408B-BE9E-DEE712C5B1A8}" srcOrd="1" destOrd="0" presId="urn:microsoft.com/office/officeart/2005/8/layout/hierarchy1"/>
    <dgm:cxn modelId="{3277A8E3-B528-4A4B-AA5C-8828EF3780DC}" type="presParOf" srcId="{74FB041D-0A81-408B-BE9E-DEE712C5B1A8}" destId="{F1D78F94-1F84-4D3A-9333-3B39551EF3BB}" srcOrd="0" destOrd="0" presId="urn:microsoft.com/office/officeart/2005/8/layout/hierarchy1"/>
    <dgm:cxn modelId="{A7C86692-8384-48E7-8A1F-6055B894626B}" type="presParOf" srcId="{F1D78F94-1F84-4D3A-9333-3B39551EF3BB}" destId="{A7409F16-C577-4D8D-A960-53C2B2E2E66C}" srcOrd="0" destOrd="0" presId="urn:microsoft.com/office/officeart/2005/8/layout/hierarchy1"/>
    <dgm:cxn modelId="{BC229B56-9DF0-410A-872C-A396C5BA186C}" type="presParOf" srcId="{F1D78F94-1F84-4D3A-9333-3B39551EF3BB}" destId="{08F21C94-69EF-4ED6-B9D9-702D93001D6F}" srcOrd="1" destOrd="0" presId="urn:microsoft.com/office/officeart/2005/8/layout/hierarchy1"/>
    <dgm:cxn modelId="{0272D69E-D3DB-4891-812E-E0364462BB6F}" type="presParOf" srcId="{74FB041D-0A81-408B-BE9E-DEE712C5B1A8}" destId="{611E9A78-AF16-43B2-8701-26C165E89758}" srcOrd="1" destOrd="0" presId="urn:microsoft.com/office/officeart/2005/8/layout/hierarchy1"/>
    <dgm:cxn modelId="{3D309358-B419-4B80-870A-927F8585004D}" type="presParOf" srcId="{611E9A78-AF16-43B2-8701-26C165E89758}" destId="{3F42404F-AC81-47D1-9133-54378B8D1EE1}" srcOrd="0" destOrd="0" presId="urn:microsoft.com/office/officeart/2005/8/layout/hierarchy1"/>
    <dgm:cxn modelId="{B3803EB1-F492-4D2B-968C-7EEC5344E9AE}" type="presParOf" srcId="{611E9A78-AF16-43B2-8701-26C165E89758}" destId="{E79D119D-2942-4E94-8F92-0C99CF9D6015}" srcOrd="1" destOrd="0" presId="urn:microsoft.com/office/officeart/2005/8/layout/hierarchy1"/>
    <dgm:cxn modelId="{F4F220A9-4569-4536-A969-F2E7F84C989A}" type="presParOf" srcId="{E79D119D-2942-4E94-8F92-0C99CF9D6015}" destId="{39283FDA-6F33-4293-9F62-DE8CC15BDDEA}" srcOrd="0" destOrd="0" presId="urn:microsoft.com/office/officeart/2005/8/layout/hierarchy1"/>
    <dgm:cxn modelId="{F2F30BF8-F1E0-440B-BB50-2302AA77C790}" type="presParOf" srcId="{39283FDA-6F33-4293-9F62-DE8CC15BDDEA}" destId="{3AA1A814-B2B9-4559-9C1F-8BCF8035699A}" srcOrd="0" destOrd="0" presId="urn:microsoft.com/office/officeart/2005/8/layout/hierarchy1"/>
    <dgm:cxn modelId="{73DFD05C-2E80-4630-B1AE-7AE616B1DA82}" type="presParOf" srcId="{39283FDA-6F33-4293-9F62-DE8CC15BDDEA}" destId="{D0F3B0C9-D8B5-4559-B32B-F43325351D70}" srcOrd="1" destOrd="0" presId="urn:microsoft.com/office/officeart/2005/8/layout/hierarchy1"/>
    <dgm:cxn modelId="{A640D788-41A3-4C11-860D-13D7AABF585C}" type="presParOf" srcId="{E79D119D-2942-4E94-8F92-0C99CF9D6015}" destId="{CDF6C2AB-B054-4F92-8CD1-E8284E4003F3}" srcOrd="1" destOrd="0" presId="urn:microsoft.com/office/officeart/2005/8/layout/hierarchy1"/>
    <dgm:cxn modelId="{ACAF4AA2-9046-4E70-9338-0CC3F04F0A20}" type="presParOf" srcId="{D2FF687F-64F1-417C-BD9C-DF8E5072D4AC}" destId="{6F40CE24-E3CE-4F76-BAB7-E5E2C960958D}" srcOrd="6" destOrd="0" presId="urn:microsoft.com/office/officeart/2005/8/layout/hierarchy1"/>
    <dgm:cxn modelId="{9A5B2A53-EE52-4E44-A958-9F3718DB9353}" type="presParOf" srcId="{D2FF687F-64F1-417C-BD9C-DF8E5072D4AC}" destId="{7A083173-A70A-4D22-B7A7-E8B837A1B909}" srcOrd="7" destOrd="0" presId="urn:microsoft.com/office/officeart/2005/8/layout/hierarchy1"/>
    <dgm:cxn modelId="{67040CCE-2137-44E0-BD4C-C7AD3A48B935}" type="presParOf" srcId="{7A083173-A70A-4D22-B7A7-E8B837A1B909}" destId="{78AB1069-E247-4B31-B386-8678CBBD0886}" srcOrd="0" destOrd="0" presId="urn:microsoft.com/office/officeart/2005/8/layout/hierarchy1"/>
    <dgm:cxn modelId="{265EF47B-7840-4C26-92C2-37E87D820486}" type="presParOf" srcId="{78AB1069-E247-4B31-B386-8678CBBD0886}" destId="{9E2D0E26-20F5-42BE-B36A-52192D521E27}" srcOrd="0" destOrd="0" presId="urn:microsoft.com/office/officeart/2005/8/layout/hierarchy1"/>
    <dgm:cxn modelId="{A9DDFC54-D54D-42BE-8067-B9DB60B150E9}" type="presParOf" srcId="{78AB1069-E247-4B31-B386-8678CBBD0886}" destId="{697B1153-3CA6-4052-9CC8-D599B864E18A}" srcOrd="1" destOrd="0" presId="urn:microsoft.com/office/officeart/2005/8/layout/hierarchy1"/>
    <dgm:cxn modelId="{FD1CED6B-F5E1-475E-B741-F219BE5231C9}" type="presParOf" srcId="{7A083173-A70A-4D22-B7A7-E8B837A1B909}" destId="{855BB2DE-E7AC-4A1E-A032-7816031A70C0}" srcOrd="1" destOrd="0" presId="urn:microsoft.com/office/officeart/2005/8/layout/hierarchy1"/>
    <dgm:cxn modelId="{C8D7899F-3A3E-47A4-B3C9-D50B139465E2}" type="presParOf" srcId="{855BB2DE-E7AC-4A1E-A032-7816031A70C0}" destId="{9A841863-714B-4D74-BDCD-461A4E88B8B3}" srcOrd="0" destOrd="0" presId="urn:microsoft.com/office/officeart/2005/8/layout/hierarchy1"/>
    <dgm:cxn modelId="{DCB7538D-5083-43CE-80D1-E3CDD8CB9D54}" type="presParOf" srcId="{855BB2DE-E7AC-4A1E-A032-7816031A70C0}" destId="{BC33272A-4708-4DF7-96AC-E79BBE75C15A}" srcOrd="1" destOrd="0" presId="urn:microsoft.com/office/officeart/2005/8/layout/hierarchy1"/>
    <dgm:cxn modelId="{367A5208-83B2-4FE2-AD32-F54AC89889A0}" type="presParOf" srcId="{BC33272A-4708-4DF7-96AC-E79BBE75C15A}" destId="{9FD9512D-A552-4894-8855-B2FD74B89AFA}" srcOrd="0" destOrd="0" presId="urn:microsoft.com/office/officeart/2005/8/layout/hierarchy1"/>
    <dgm:cxn modelId="{F3B0A229-DCF3-4AE0-A7B0-6475858B43DE}" type="presParOf" srcId="{9FD9512D-A552-4894-8855-B2FD74B89AFA}" destId="{71988537-8523-424B-877F-BB9FF9850151}" srcOrd="0" destOrd="0" presId="urn:microsoft.com/office/officeart/2005/8/layout/hierarchy1"/>
    <dgm:cxn modelId="{43D26DF2-3E67-4559-8C66-5A5B1F1ED1F6}" type="presParOf" srcId="{9FD9512D-A552-4894-8855-B2FD74B89AFA}" destId="{269F521E-4A9D-4CAC-9956-C6D5F7749609}" srcOrd="1" destOrd="0" presId="urn:microsoft.com/office/officeart/2005/8/layout/hierarchy1"/>
    <dgm:cxn modelId="{5D411965-5F31-4453-A2EB-91B4D9A27075}" type="presParOf" srcId="{BC33272A-4708-4DF7-96AC-E79BBE75C15A}" destId="{94CCC827-DA3D-479A-892A-60E90EC0F0E4}" srcOrd="1" destOrd="0" presId="urn:microsoft.com/office/officeart/2005/8/layout/hierarchy1"/>
    <dgm:cxn modelId="{48B57D49-9843-4464-901D-D154EB11A80A}" type="presParOf" srcId="{94CCC827-DA3D-479A-892A-60E90EC0F0E4}" destId="{25DEBDA6-DD24-4446-B739-EE5D1596C80D}" srcOrd="0" destOrd="0" presId="urn:microsoft.com/office/officeart/2005/8/layout/hierarchy1"/>
    <dgm:cxn modelId="{1EBAC204-83A4-4F13-9745-063F4EEA9A41}" type="presParOf" srcId="{94CCC827-DA3D-479A-892A-60E90EC0F0E4}" destId="{6DE48D98-994A-4460-8EFE-D1C5205FBCB3}" srcOrd="1" destOrd="0" presId="urn:microsoft.com/office/officeart/2005/8/layout/hierarchy1"/>
    <dgm:cxn modelId="{278E20A2-F859-4A59-A83E-D2006DF11850}" type="presParOf" srcId="{6DE48D98-994A-4460-8EFE-D1C5205FBCB3}" destId="{42B7D377-7295-4B92-B297-2DD1E31CC2B6}" srcOrd="0" destOrd="0" presId="urn:microsoft.com/office/officeart/2005/8/layout/hierarchy1"/>
    <dgm:cxn modelId="{ACEA22E1-8453-4304-9F0A-7BFD14F14608}" type="presParOf" srcId="{42B7D377-7295-4B92-B297-2DD1E31CC2B6}" destId="{A69E6BA6-AE46-4ACE-AAD3-01A43215EBB4}" srcOrd="0" destOrd="0" presId="urn:microsoft.com/office/officeart/2005/8/layout/hierarchy1"/>
    <dgm:cxn modelId="{194716B4-EC9E-4B48-8C7A-507CDC144B39}" type="presParOf" srcId="{42B7D377-7295-4B92-B297-2DD1E31CC2B6}" destId="{23C3AF6C-03B3-40EA-ADCA-69EAA454D1DF}" srcOrd="1" destOrd="0" presId="urn:microsoft.com/office/officeart/2005/8/layout/hierarchy1"/>
    <dgm:cxn modelId="{3AB00035-3AC2-4F86-B1AE-6B43D3AFF651}" type="presParOf" srcId="{6DE48D98-994A-4460-8EFE-D1C5205FBCB3}" destId="{AADD951E-6F66-45D9-9C78-AD0CA78E3812}" srcOrd="1" destOrd="0" presId="urn:microsoft.com/office/officeart/2005/8/layout/hierarchy1"/>
    <dgm:cxn modelId="{94ECAE7B-4D24-42EF-88A1-A9E349B852E3}" type="presParOf" srcId="{AADD951E-6F66-45D9-9C78-AD0CA78E3812}" destId="{E251DD57-5DD1-438F-830F-02E77E9F4B0B}" srcOrd="0" destOrd="0" presId="urn:microsoft.com/office/officeart/2005/8/layout/hierarchy1"/>
    <dgm:cxn modelId="{3F8128A4-0C39-47BB-9243-5AC6F6B86BBA}" type="presParOf" srcId="{AADD951E-6F66-45D9-9C78-AD0CA78E3812}" destId="{5E33A876-8A2C-4474-BAC6-5F1A845823FD}" srcOrd="1" destOrd="0" presId="urn:microsoft.com/office/officeart/2005/8/layout/hierarchy1"/>
    <dgm:cxn modelId="{46C651D4-91AC-4832-98B4-CBFF6F0EFB8C}" type="presParOf" srcId="{5E33A876-8A2C-4474-BAC6-5F1A845823FD}" destId="{528492F6-CAE8-4760-8F69-17E9C2ADC9F4}" srcOrd="0" destOrd="0" presId="urn:microsoft.com/office/officeart/2005/8/layout/hierarchy1"/>
    <dgm:cxn modelId="{243E1951-6B25-4671-8BC6-83EB99EC70E8}" type="presParOf" srcId="{528492F6-CAE8-4760-8F69-17E9C2ADC9F4}" destId="{B4C9CBB8-76A4-4EF7-92BB-3B171E478415}" srcOrd="0" destOrd="0" presId="urn:microsoft.com/office/officeart/2005/8/layout/hierarchy1"/>
    <dgm:cxn modelId="{E1C25150-4669-45F5-AB2B-2C6C130400FA}" type="presParOf" srcId="{528492F6-CAE8-4760-8F69-17E9C2ADC9F4}" destId="{E7998F9A-09AE-4428-A27B-B12071DA61FC}" srcOrd="1" destOrd="0" presId="urn:microsoft.com/office/officeart/2005/8/layout/hierarchy1"/>
    <dgm:cxn modelId="{CCE686B1-E689-40A9-8134-C026FCE9F1FA}" type="presParOf" srcId="{5E33A876-8A2C-4474-BAC6-5F1A845823FD}" destId="{77C15242-5ACF-46E9-BF38-14C48536CD14}" srcOrd="1" destOrd="0" presId="urn:microsoft.com/office/officeart/2005/8/layout/hierarchy1"/>
    <dgm:cxn modelId="{52158677-F725-4A8D-9F46-9B64E540F89A}" type="presParOf" srcId="{D2FF687F-64F1-417C-BD9C-DF8E5072D4AC}" destId="{B40669F7-0082-4355-B25A-9710D3011ABC}" srcOrd="8" destOrd="0" presId="urn:microsoft.com/office/officeart/2005/8/layout/hierarchy1"/>
    <dgm:cxn modelId="{91062C5F-A494-45DE-9435-114127028B5A}" type="presParOf" srcId="{D2FF687F-64F1-417C-BD9C-DF8E5072D4AC}" destId="{EB2D002A-B78F-46EA-B919-A94897FCA677}" srcOrd="9" destOrd="0" presId="urn:microsoft.com/office/officeart/2005/8/layout/hierarchy1"/>
    <dgm:cxn modelId="{01DA150D-BBE2-4291-9A9A-9E5A1E3FFAD0}" type="presParOf" srcId="{EB2D002A-B78F-46EA-B919-A94897FCA677}" destId="{064C4E39-7D0A-4445-B809-2B53BF0DA36C}" srcOrd="0" destOrd="0" presId="urn:microsoft.com/office/officeart/2005/8/layout/hierarchy1"/>
    <dgm:cxn modelId="{93A9D8E8-D575-479A-A915-32A8AB798529}" type="presParOf" srcId="{064C4E39-7D0A-4445-B809-2B53BF0DA36C}" destId="{53F25D72-2741-4EE7-8AB9-F0C9A23691CF}" srcOrd="0" destOrd="0" presId="urn:microsoft.com/office/officeart/2005/8/layout/hierarchy1"/>
    <dgm:cxn modelId="{CCE56F9B-69B2-4F65-B1B0-658681197F5D}" type="presParOf" srcId="{064C4E39-7D0A-4445-B809-2B53BF0DA36C}" destId="{6C46F372-88B2-4648-A76E-FAD0CB08C45E}" srcOrd="1" destOrd="0" presId="urn:microsoft.com/office/officeart/2005/8/layout/hierarchy1"/>
    <dgm:cxn modelId="{2DB85E3D-3636-482D-896D-EEC3A6683491}" type="presParOf" srcId="{EB2D002A-B78F-46EA-B919-A94897FCA677}" destId="{4DD0F608-6EE8-470F-BB9A-401CE0E211C8}" srcOrd="1" destOrd="0" presId="urn:microsoft.com/office/officeart/2005/8/layout/hierarchy1"/>
    <dgm:cxn modelId="{D3BC3817-9D2E-4CA7-8007-CDCC497634AA}" type="presParOf" srcId="{4DD0F608-6EE8-470F-BB9A-401CE0E211C8}" destId="{0EE3CFB3-EE11-4801-8A6F-D530860BC979}" srcOrd="0" destOrd="0" presId="urn:microsoft.com/office/officeart/2005/8/layout/hierarchy1"/>
    <dgm:cxn modelId="{7A2DEBA1-A6A1-4308-B1DC-316CAEB57047}" type="presParOf" srcId="{4DD0F608-6EE8-470F-BB9A-401CE0E211C8}" destId="{40A53BAE-3594-4F4B-9111-799315795294}" srcOrd="1" destOrd="0" presId="urn:microsoft.com/office/officeart/2005/8/layout/hierarchy1"/>
    <dgm:cxn modelId="{E8E53381-AC18-4273-A07F-AA7EF4128578}" type="presParOf" srcId="{40A53BAE-3594-4F4B-9111-799315795294}" destId="{9AFDFF9E-0E70-483E-8A94-A8936C859E83}" srcOrd="0" destOrd="0" presId="urn:microsoft.com/office/officeart/2005/8/layout/hierarchy1"/>
    <dgm:cxn modelId="{A9C84AD6-3DD9-48B2-A2B6-BD7857D2FB32}" type="presParOf" srcId="{9AFDFF9E-0E70-483E-8A94-A8936C859E83}" destId="{F8DE3B20-9E1B-42C4-AB74-EF6F2445F0E2}" srcOrd="0" destOrd="0" presId="urn:microsoft.com/office/officeart/2005/8/layout/hierarchy1"/>
    <dgm:cxn modelId="{2CD8AAF8-26DE-4534-BFB9-8AF474F1624B}" type="presParOf" srcId="{9AFDFF9E-0E70-483E-8A94-A8936C859E83}" destId="{5747D47C-AF2A-4236-A6AF-FC6CA9B47CC5}" srcOrd="1" destOrd="0" presId="urn:microsoft.com/office/officeart/2005/8/layout/hierarchy1"/>
    <dgm:cxn modelId="{08D09FA9-569C-4826-A0C7-801E6E71FAD2}" type="presParOf" srcId="{40A53BAE-3594-4F4B-9111-799315795294}" destId="{801BCBCB-ECF1-471F-8EE5-D494AE9913E3}" srcOrd="1" destOrd="0" presId="urn:microsoft.com/office/officeart/2005/8/layout/hierarchy1"/>
    <dgm:cxn modelId="{CB7A1276-AE13-4495-A354-E99016D31842}" type="presParOf" srcId="{801BCBCB-ECF1-471F-8EE5-D494AE9913E3}" destId="{BE1E9703-D485-4048-AAB4-37956990B26F}" srcOrd="0" destOrd="0" presId="urn:microsoft.com/office/officeart/2005/8/layout/hierarchy1"/>
    <dgm:cxn modelId="{B8C8F87F-E74D-4FAF-8DEA-A857FE0FF27E}" type="presParOf" srcId="{801BCBCB-ECF1-471F-8EE5-D494AE9913E3}" destId="{FF994F01-51F0-4F02-BB98-A78A87C39BBA}" srcOrd="1" destOrd="0" presId="urn:microsoft.com/office/officeart/2005/8/layout/hierarchy1"/>
    <dgm:cxn modelId="{68D572EC-A18A-4735-8EF7-50E8EE0D7191}" type="presParOf" srcId="{FF994F01-51F0-4F02-BB98-A78A87C39BBA}" destId="{E6F7DED8-2CC4-43EC-9F2E-9BD7F8D3796F}" srcOrd="0" destOrd="0" presId="urn:microsoft.com/office/officeart/2005/8/layout/hierarchy1"/>
    <dgm:cxn modelId="{3BB1C95B-4F26-445A-A934-37ECF39C975C}" type="presParOf" srcId="{E6F7DED8-2CC4-43EC-9F2E-9BD7F8D3796F}" destId="{78516F67-712F-4BA0-A4F4-EB6DB70F6B4A}" srcOrd="0" destOrd="0" presId="urn:microsoft.com/office/officeart/2005/8/layout/hierarchy1"/>
    <dgm:cxn modelId="{9FCDE9B5-F096-4BFA-B8B9-8D58EB556B57}" type="presParOf" srcId="{E6F7DED8-2CC4-43EC-9F2E-9BD7F8D3796F}" destId="{F2D5E7CE-EE25-4677-9493-01B9913C0CEA}" srcOrd="1" destOrd="0" presId="urn:microsoft.com/office/officeart/2005/8/layout/hierarchy1"/>
    <dgm:cxn modelId="{76E13884-99F0-4AA4-B57D-531F50D196E0}" type="presParOf" srcId="{FF994F01-51F0-4F02-BB98-A78A87C39BBA}" destId="{1656A863-94CD-4ED2-AFD8-443097E19A18}" srcOrd="1" destOrd="0" presId="urn:microsoft.com/office/officeart/2005/8/layout/hierarchy1"/>
    <dgm:cxn modelId="{856BD6C9-948C-4245-AC04-3E961C94964A}" type="presParOf" srcId="{1656A863-94CD-4ED2-AFD8-443097E19A18}" destId="{1A68673C-E225-465E-97F0-EDC5F0096D34}" srcOrd="0" destOrd="0" presId="urn:microsoft.com/office/officeart/2005/8/layout/hierarchy1"/>
    <dgm:cxn modelId="{5301D4CD-78E1-4B79-978E-EABA8AA0B957}" type="presParOf" srcId="{1656A863-94CD-4ED2-AFD8-443097E19A18}" destId="{37BC2018-2AF7-485B-AD7B-54DE27AEBF24}" srcOrd="1" destOrd="0" presId="urn:microsoft.com/office/officeart/2005/8/layout/hierarchy1"/>
    <dgm:cxn modelId="{EE6D58F2-95C7-401E-A9F4-1D9FDDB7DCCE}" type="presParOf" srcId="{37BC2018-2AF7-485B-AD7B-54DE27AEBF24}" destId="{3F97CA6F-6D2C-4EBA-92C3-E0B559C71910}" srcOrd="0" destOrd="0" presId="urn:microsoft.com/office/officeart/2005/8/layout/hierarchy1"/>
    <dgm:cxn modelId="{DAF7A5E3-F576-4B83-B91D-1B330C45130E}" type="presParOf" srcId="{3F97CA6F-6D2C-4EBA-92C3-E0B559C71910}" destId="{0532C248-404A-4A92-8FA8-B5A279207D8A}" srcOrd="0" destOrd="0" presId="urn:microsoft.com/office/officeart/2005/8/layout/hierarchy1"/>
    <dgm:cxn modelId="{11FD7D96-6145-4275-BEAA-A102FD8E8A54}" type="presParOf" srcId="{3F97CA6F-6D2C-4EBA-92C3-E0B559C71910}" destId="{02943C76-B448-4084-AA65-A7587B36ED8B}" srcOrd="1" destOrd="0" presId="urn:microsoft.com/office/officeart/2005/8/layout/hierarchy1"/>
    <dgm:cxn modelId="{B8A6C582-85C7-4417-B84B-B52F846F23FB}" type="presParOf" srcId="{37BC2018-2AF7-485B-AD7B-54DE27AEBF24}" destId="{01D66522-C80A-46B3-9F35-49730CFF05CB}" srcOrd="1" destOrd="0" presId="urn:microsoft.com/office/officeart/2005/8/layout/hierarchy1"/>
  </dgm:cxnLst>
  <dgm:bg/>
  <dgm:whole/>
  <dgm:extLst>
    <a:ext uri="http://schemas.microsoft.com/office/drawing/2008/diagram">
      <dsp:dataModelExt xmlns:dsp="http://schemas.microsoft.com/office/drawing/2008/diagram" relId="rId167"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502B2CEA-9EAE-AE43-A466-0BAD93326904}" type="doc">
      <dgm:prSet loTypeId="urn:microsoft.com/office/officeart/2005/8/layout/default#1" loCatId="" qsTypeId="urn:microsoft.com/office/officeart/2005/8/quickstyle/simple4" qsCatId="simple" csTypeId="urn:microsoft.com/office/officeart/2005/8/colors/accent1_2" csCatId="accent1" phldr="1"/>
      <dgm:spPr/>
      <dgm:t>
        <a:bodyPr/>
        <a:lstStyle/>
        <a:p>
          <a:endParaRPr lang="en-US"/>
        </a:p>
      </dgm:t>
    </dgm:pt>
    <dgm:pt modelId="{3B2E6740-DB16-D947-8E47-6BE01A9FAB0C}">
      <dgm:prSet phldrT="[Text]" custT="1"/>
      <dgm:spPr/>
      <dgm:t>
        <a:bodyPr/>
        <a:lstStyle/>
        <a:p>
          <a:r>
            <a:rPr lang="en-GB" sz="1100" b="1" i="1"/>
            <a:t>1) No new institutions: </a:t>
          </a:r>
          <a:r>
            <a:rPr lang="en-GB" sz="1100" i="1"/>
            <a:t>The strategies must be implemented by the existing organisations within the concerned regions.</a:t>
          </a:r>
          <a:endParaRPr lang="en-US" sz="1100"/>
        </a:p>
      </dgm:t>
    </dgm:pt>
    <dgm:pt modelId="{446AF3C2-301D-1D4C-BB39-C73F4178C758}" type="parTrans" cxnId="{11A5469D-69AD-1E45-B7D8-63BA7096CBF1}">
      <dgm:prSet/>
      <dgm:spPr/>
      <dgm:t>
        <a:bodyPr/>
        <a:lstStyle/>
        <a:p>
          <a:endParaRPr lang="en-US" sz="1100"/>
        </a:p>
      </dgm:t>
    </dgm:pt>
    <dgm:pt modelId="{9FA967E7-81FF-BA40-9EE8-630412C7F79B}" type="sibTrans" cxnId="{11A5469D-69AD-1E45-B7D8-63BA7096CBF1}">
      <dgm:prSet/>
      <dgm:spPr/>
      <dgm:t>
        <a:bodyPr/>
        <a:lstStyle/>
        <a:p>
          <a:endParaRPr lang="en-US" sz="1100"/>
        </a:p>
      </dgm:t>
    </dgm:pt>
    <dgm:pt modelId="{DCD1AE52-1F1B-A543-B8B0-D168B249EB1B}">
      <dgm:prSet custT="1"/>
      <dgm:spPr/>
      <dgm:t>
        <a:bodyPr/>
        <a:lstStyle/>
        <a:p>
          <a:r>
            <a:rPr lang="en-GB" sz="1100" b="1" i="1"/>
            <a:t>2) No new legislation: </a:t>
          </a:r>
          <a:r>
            <a:rPr lang="en-GB" sz="1100" i="1"/>
            <a:t>The “No new legislation” principle is for better linking and coordination of existing policies and also for improving cooperation between different sectors.</a:t>
          </a:r>
          <a:endParaRPr lang="en-US" sz="1100"/>
        </a:p>
      </dgm:t>
    </dgm:pt>
    <dgm:pt modelId="{3BDB603F-32B9-B044-A3B4-43AAC23C7A13}" type="parTrans" cxnId="{3B2D944A-4372-9C4E-B0EE-F35772C9A217}">
      <dgm:prSet/>
      <dgm:spPr/>
      <dgm:t>
        <a:bodyPr/>
        <a:lstStyle/>
        <a:p>
          <a:endParaRPr lang="en-US" sz="1100"/>
        </a:p>
      </dgm:t>
    </dgm:pt>
    <dgm:pt modelId="{2DBF1A1F-EEAC-0848-82E6-3FA3DD0BF238}" type="sibTrans" cxnId="{3B2D944A-4372-9C4E-B0EE-F35772C9A217}">
      <dgm:prSet/>
      <dgm:spPr/>
      <dgm:t>
        <a:bodyPr/>
        <a:lstStyle/>
        <a:p>
          <a:endParaRPr lang="en-US" sz="1100"/>
        </a:p>
      </dgm:t>
    </dgm:pt>
    <dgm:pt modelId="{4F9588DC-E522-0C47-85C0-547A1C21DD6F}">
      <dgm:prSet custT="1"/>
      <dgm:spPr/>
      <dgm:t>
        <a:bodyPr/>
        <a:lstStyle/>
        <a:p>
          <a:r>
            <a:rPr lang="en-GB" sz="1100" b="1" i="1"/>
            <a:t>3) No new funding: </a:t>
          </a:r>
          <a:r>
            <a:rPr lang="en-GB" sz="1100" i="1"/>
            <a:t>No new funding has been allocated to the existing EU macro-regional strategies. The principle of “no new funding” requires a better alignment of funding from several existing sources (European Union, national, regional and/or local, public and/or private, established under diverse policy themes and territories), and more efficient use of existing funding available.</a:t>
          </a:r>
          <a:endParaRPr lang="en-US" sz="1100"/>
        </a:p>
      </dgm:t>
    </dgm:pt>
    <dgm:pt modelId="{FF3FE56D-0D9F-9B40-AF8C-BEFF7C1C48F5}" type="parTrans" cxnId="{615D9EE5-0250-2E48-AC0E-1689492EFDF5}">
      <dgm:prSet/>
      <dgm:spPr/>
      <dgm:t>
        <a:bodyPr/>
        <a:lstStyle/>
        <a:p>
          <a:endParaRPr lang="en-US" sz="1100"/>
        </a:p>
      </dgm:t>
    </dgm:pt>
    <dgm:pt modelId="{9031AE54-F1B1-F348-BFA2-0F4A9A18CA5D}" type="sibTrans" cxnId="{615D9EE5-0250-2E48-AC0E-1689492EFDF5}">
      <dgm:prSet/>
      <dgm:spPr/>
      <dgm:t>
        <a:bodyPr/>
        <a:lstStyle/>
        <a:p>
          <a:endParaRPr lang="en-US" sz="1100"/>
        </a:p>
      </dgm:t>
    </dgm:pt>
    <dgm:pt modelId="{B9A9B7CE-F387-A649-B519-2DC0E39B1EAF}" type="pres">
      <dgm:prSet presAssocID="{502B2CEA-9EAE-AE43-A466-0BAD93326904}" presName="diagram" presStyleCnt="0">
        <dgm:presLayoutVars>
          <dgm:dir/>
          <dgm:resizeHandles val="exact"/>
        </dgm:presLayoutVars>
      </dgm:prSet>
      <dgm:spPr/>
      <dgm:t>
        <a:bodyPr/>
        <a:lstStyle/>
        <a:p>
          <a:endParaRPr lang="fr-FR"/>
        </a:p>
      </dgm:t>
    </dgm:pt>
    <dgm:pt modelId="{0AE2AD7B-9860-7645-AFB8-54BED19F52EF}" type="pres">
      <dgm:prSet presAssocID="{3B2E6740-DB16-D947-8E47-6BE01A9FAB0C}" presName="node" presStyleLbl="node1" presStyleIdx="0" presStyleCnt="3">
        <dgm:presLayoutVars>
          <dgm:bulletEnabled val="1"/>
        </dgm:presLayoutVars>
      </dgm:prSet>
      <dgm:spPr/>
      <dgm:t>
        <a:bodyPr/>
        <a:lstStyle/>
        <a:p>
          <a:endParaRPr lang="en-US"/>
        </a:p>
      </dgm:t>
    </dgm:pt>
    <dgm:pt modelId="{5955C136-329B-8840-8D43-7F72806F9CC2}" type="pres">
      <dgm:prSet presAssocID="{9FA967E7-81FF-BA40-9EE8-630412C7F79B}" presName="sibTrans" presStyleCnt="0"/>
      <dgm:spPr/>
    </dgm:pt>
    <dgm:pt modelId="{62999295-5AC8-354A-B0BB-5F888651C2A6}" type="pres">
      <dgm:prSet presAssocID="{DCD1AE52-1F1B-A543-B8B0-D168B249EB1B}" presName="node" presStyleLbl="node1" presStyleIdx="1" presStyleCnt="3">
        <dgm:presLayoutVars>
          <dgm:bulletEnabled val="1"/>
        </dgm:presLayoutVars>
      </dgm:prSet>
      <dgm:spPr/>
      <dgm:t>
        <a:bodyPr/>
        <a:lstStyle/>
        <a:p>
          <a:endParaRPr lang="en-US"/>
        </a:p>
      </dgm:t>
    </dgm:pt>
    <dgm:pt modelId="{253150A1-950B-7344-87F2-39C596D13EE6}" type="pres">
      <dgm:prSet presAssocID="{2DBF1A1F-EEAC-0848-82E6-3FA3DD0BF238}" presName="sibTrans" presStyleCnt="0"/>
      <dgm:spPr/>
    </dgm:pt>
    <dgm:pt modelId="{0A8C7CEA-AA55-3742-A92D-DB5F146CD3E4}" type="pres">
      <dgm:prSet presAssocID="{4F9588DC-E522-0C47-85C0-547A1C21DD6F}" presName="node" presStyleLbl="node1" presStyleIdx="2" presStyleCnt="3" custScaleX="202873">
        <dgm:presLayoutVars>
          <dgm:bulletEnabled val="1"/>
        </dgm:presLayoutVars>
      </dgm:prSet>
      <dgm:spPr/>
      <dgm:t>
        <a:bodyPr/>
        <a:lstStyle/>
        <a:p>
          <a:endParaRPr lang="en-US"/>
        </a:p>
      </dgm:t>
    </dgm:pt>
  </dgm:ptLst>
  <dgm:cxnLst>
    <dgm:cxn modelId="{11A5469D-69AD-1E45-B7D8-63BA7096CBF1}" srcId="{502B2CEA-9EAE-AE43-A466-0BAD93326904}" destId="{3B2E6740-DB16-D947-8E47-6BE01A9FAB0C}" srcOrd="0" destOrd="0" parTransId="{446AF3C2-301D-1D4C-BB39-C73F4178C758}" sibTransId="{9FA967E7-81FF-BA40-9EE8-630412C7F79B}"/>
    <dgm:cxn modelId="{3B2D944A-4372-9C4E-B0EE-F35772C9A217}" srcId="{502B2CEA-9EAE-AE43-A466-0BAD93326904}" destId="{DCD1AE52-1F1B-A543-B8B0-D168B249EB1B}" srcOrd="1" destOrd="0" parTransId="{3BDB603F-32B9-B044-A3B4-43AAC23C7A13}" sibTransId="{2DBF1A1F-EEAC-0848-82E6-3FA3DD0BF238}"/>
    <dgm:cxn modelId="{615D9EE5-0250-2E48-AC0E-1689492EFDF5}" srcId="{502B2CEA-9EAE-AE43-A466-0BAD93326904}" destId="{4F9588DC-E522-0C47-85C0-547A1C21DD6F}" srcOrd="2" destOrd="0" parTransId="{FF3FE56D-0D9F-9B40-AF8C-BEFF7C1C48F5}" sibTransId="{9031AE54-F1B1-F348-BFA2-0F4A9A18CA5D}"/>
    <dgm:cxn modelId="{7F60752A-75F7-47C9-9AFB-E28E153CF2C5}" type="presOf" srcId="{DCD1AE52-1F1B-A543-B8B0-D168B249EB1B}" destId="{62999295-5AC8-354A-B0BB-5F888651C2A6}" srcOrd="0" destOrd="0" presId="urn:microsoft.com/office/officeart/2005/8/layout/default#1"/>
    <dgm:cxn modelId="{64D2E579-3A49-46F2-8A58-11134BEB7906}" type="presOf" srcId="{4F9588DC-E522-0C47-85C0-547A1C21DD6F}" destId="{0A8C7CEA-AA55-3742-A92D-DB5F146CD3E4}" srcOrd="0" destOrd="0" presId="urn:microsoft.com/office/officeart/2005/8/layout/default#1"/>
    <dgm:cxn modelId="{45915A31-57F9-440F-B537-0094622EF6AA}" type="presOf" srcId="{3B2E6740-DB16-D947-8E47-6BE01A9FAB0C}" destId="{0AE2AD7B-9860-7645-AFB8-54BED19F52EF}" srcOrd="0" destOrd="0" presId="urn:microsoft.com/office/officeart/2005/8/layout/default#1"/>
    <dgm:cxn modelId="{379EDD0B-814B-41D1-836B-2E939ECC2922}" type="presOf" srcId="{502B2CEA-9EAE-AE43-A466-0BAD93326904}" destId="{B9A9B7CE-F387-A649-B519-2DC0E39B1EAF}" srcOrd="0" destOrd="0" presId="urn:microsoft.com/office/officeart/2005/8/layout/default#1"/>
    <dgm:cxn modelId="{11337FB0-A49D-4CAF-A548-0D6B57E05EA6}" type="presParOf" srcId="{B9A9B7CE-F387-A649-B519-2DC0E39B1EAF}" destId="{0AE2AD7B-9860-7645-AFB8-54BED19F52EF}" srcOrd="0" destOrd="0" presId="urn:microsoft.com/office/officeart/2005/8/layout/default#1"/>
    <dgm:cxn modelId="{A9482325-5416-4E7E-8A6D-A6757E299952}" type="presParOf" srcId="{B9A9B7CE-F387-A649-B519-2DC0E39B1EAF}" destId="{5955C136-329B-8840-8D43-7F72806F9CC2}" srcOrd="1" destOrd="0" presId="urn:microsoft.com/office/officeart/2005/8/layout/default#1"/>
    <dgm:cxn modelId="{B87C39ED-5FFD-471C-957A-10F3BFA606E1}" type="presParOf" srcId="{B9A9B7CE-F387-A649-B519-2DC0E39B1EAF}" destId="{62999295-5AC8-354A-B0BB-5F888651C2A6}" srcOrd="2" destOrd="0" presId="urn:microsoft.com/office/officeart/2005/8/layout/default#1"/>
    <dgm:cxn modelId="{A49CFDAD-0511-4A45-83A6-14B32C7DE285}" type="presParOf" srcId="{B9A9B7CE-F387-A649-B519-2DC0E39B1EAF}" destId="{253150A1-950B-7344-87F2-39C596D13EE6}" srcOrd="3" destOrd="0" presId="urn:microsoft.com/office/officeart/2005/8/layout/default#1"/>
    <dgm:cxn modelId="{1692E63A-0551-4314-A2B0-C1806DE05673}" type="presParOf" srcId="{B9A9B7CE-F387-A649-B519-2DC0E39B1EAF}" destId="{0A8C7CEA-AA55-3742-A92D-DB5F146CD3E4}" srcOrd="4" destOrd="0" presId="urn:microsoft.com/office/officeart/2005/8/layout/default#1"/>
  </dgm:cxnLst>
  <dgm:bg/>
  <dgm:whole/>
  <dgm:extLst>
    <a:ext uri="http://schemas.microsoft.com/office/drawing/2008/diagram">
      <dsp:dataModelExt xmlns:dsp="http://schemas.microsoft.com/office/drawing/2008/diagram" relId="rId17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92884A3-66A5-AD44-8B8F-1358FC9A6E41}">
      <dsp:nvSpPr>
        <dsp:cNvPr id="0" name=""/>
        <dsp:cNvSpPr/>
      </dsp:nvSpPr>
      <dsp:spPr>
        <a:xfrm>
          <a:off x="0" y="755"/>
          <a:ext cx="5206417" cy="355680"/>
        </a:xfrm>
        <a:prstGeom prst="roundRect">
          <a:avLst/>
        </a:prstGeom>
        <a:solidFill>
          <a:srgbClr val="4F81BD">
            <a:shade val="50000"/>
            <a:hueOff val="0"/>
            <a:satOff val="0"/>
            <a:lumOff val="0"/>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l" defTabSz="533400">
            <a:lnSpc>
              <a:spcPct val="90000"/>
            </a:lnSpc>
            <a:spcBef>
              <a:spcPct val="0"/>
            </a:spcBef>
            <a:spcAft>
              <a:spcPct val="35000"/>
            </a:spcAft>
          </a:pPr>
          <a:r>
            <a:rPr lang="en-GB" sz="1200" b="1" i="1" kern="1200">
              <a:solidFill>
                <a:sysClr val="window" lastClr="FFFFFF"/>
              </a:solidFill>
              <a:latin typeface="Calibri"/>
              <a:ea typeface="+mn-ea"/>
              <a:cs typeface="+mn-cs"/>
            </a:rPr>
            <a:t>1) </a:t>
          </a:r>
          <a:r>
            <a:rPr lang="en-GB" sz="1100" b="1" i="1" kern="1200">
              <a:solidFill>
                <a:sysClr val="window" lastClr="FFFFFF"/>
              </a:solidFill>
              <a:latin typeface="Calibri"/>
              <a:ea typeface="+mn-ea"/>
              <a:cs typeface="+mn-cs"/>
            </a:rPr>
            <a:t>Connecting the Danube Region</a:t>
          </a:r>
          <a:endParaRPr lang="en-US" sz="1100" kern="1200">
            <a:solidFill>
              <a:sysClr val="window" lastClr="FFFFFF"/>
            </a:solidFill>
            <a:latin typeface="Calibri"/>
            <a:ea typeface="+mn-ea"/>
            <a:cs typeface="+mn-cs"/>
          </a:endParaRPr>
        </a:p>
      </dsp:txBody>
      <dsp:txXfrm>
        <a:off x="17363" y="18118"/>
        <a:ext cx="5171691" cy="320954"/>
      </dsp:txXfrm>
    </dsp:sp>
    <dsp:sp modelId="{E8044FF7-9E9F-EA43-96CE-6CBA2556E6CD}">
      <dsp:nvSpPr>
        <dsp:cNvPr id="0" name=""/>
        <dsp:cNvSpPr/>
      </dsp:nvSpPr>
      <dsp:spPr>
        <a:xfrm>
          <a:off x="0" y="356435"/>
          <a:ext cx="5206417" cy="943919"/>
        </a:xfrm>
        <a:prstGeom prst="rect">
          <a:avLst/>
        </a:prstGeom>
        <a:noFill/>
        <a:ln w="9525" cap="flat" cmpd="sng" algn="ctr">
          <a:solidFill>
            <a:sysClr val="windowText" lastClr="000000">
              <a:alpha val="0"/>
              <a:hueOff val="0"/>
              <a:satOff val="0"/>
              <a:lumOff val="0"/>
              <a:alphaOff val="0"/>
            </a:sys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65304" tIns="13970" rIns="78232" bIns="13970" numCol="1" spcCol="1270" anchor="t" anchorCtr="0">
          <a:noAutofit/>
        </a:bodyPr>
        <a:lstStyle/>
        <a:p>
          <a:pPr marL="57150" lvl="1"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To improve mobility and multimodality;</a:t>
          </a:r>
          <a:endParaRPr lang="en-US" sz="1100" kern="1200">
            <a:solidFill>
              <a:sysClr val="windowText" lastClr="000000">
                <a:hueOff val="0"/>
                <a:satOff val="0"/>
                <a:lumOff val="0"/>
                <a:alphaOff val="0"/>
              </a:sysClr>
            </a:solidFill>
            <a:latin typeface="Calibri"/>
            <a:ea typeface="+mn-ea"/>
            <a:cs typeface="+mn-cs"/>
          </a:endParaRPr>
        </a:p>
        <a:p>
          <a:pPr marL="114300" lvl="2"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(a) Inland Waterways;</a:t>
          </a:r>
          <a:endParaRPr lang="fr-FR" sz="1100" kern="1200">
            <a:solidFill>
              <a:sysClr val="windowText" lastClr="000000">
                <a:hueOff val="0"/>
                <a:satOff val="0"/>
                <a:lumOff val="0"/>
                <a:alphaOff val="0"/>
              </a:sysClr>
            </a:solidFill>
            <a:latin typeface="Calibri"/>
            <a:ea typeface="+mn-ea"/>
            <a:cs typeface="+mn-cs"/>
          </a:endParaRPr>
        </a:p>
        <a:p>
          <a:pPr marL="114300" lvl="2"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(b) Road, rail and air links;</a:t>
          </a:r>
          <a:endParaRPr lang="fr-FR" sz="1100" kern="1200">
            <a:solidFill>
              <a:sysClr val="windowText" lastClr="000000">
                <a:hueOff val="0"/>
                <a:satOff val="0"/>
                <a:lumOff val="0"/>
                <a:alphaOff val="0"/>
              </a:sysClr>
            </a:solidFill>
            <a:latin typeface="Calibri"/>
            <a:ea typeface="+mn-ea"/>
            <a:cs typeface="+mn-cs"/>
          </a:endParaRPr>
        </a:p>
        <a:p>
          <a:pPr marL="57150" lvl="1"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To encourage reliance on more sustainable sources of energy;</a:t>
          </a:r>
          <a:endParaRPr lang="fr-FR" sz="1100" kern="1200">
            <a:solidFill>
              <a:sysClr val="windowText" lastClr="000000">
                <a:hueOff val="0"/>
                <a:satOff val="0"/>
                <a:lumOff val="0"/>
                <a:alphaOff val="0"/>
              </a:sysClr>
            </a:solidFill>
            <a:latin typeface="Calibri"/>
            <a:ea typeface="+mn-ea"/>
            <a:cs typeface="+mn-cs"/>
          </a:endParaRPr>
        </a:p>
        <a:p>
          <a:pPr marL="57150" lvl="1"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To promote culture and tourism, people to people contacts;</a:t>
          </a:r>
          <a:endParaRPr lang="fr-FR" sz="1100" kern="1200">
            <a:solidFill>
              <a:sysClr val="windowText" lastClr="000000">
                <a:hueOff val="0"/>
                <a:satOff val="0"/>
                <a:lumOff val="0"/>
                <a:alphaOff val="0"/>
              </a:sysClr>
            </a:solidFill>
            <a:latin typeface="Calibri"/>
            <a:ea typeface="+mn-ea"/>
            <a:cs typeface="+mn-cs"/>
          </a:endParaRPr>
        </a:p>
      </dsp:txBody>
      <dsp:txXfrm>
        <a:off x="0" y="356435"/>
        <a:ext cx="5206417" cy="943919"/>
      </dsp:txXfrm>
    </dsp:sp>
    <dsp:sp modelId="{6FD84539-AA1B-8B46-99CC-DA6818F08AF2}">
      <dsp:nvSpPr>
        <dsp:cNvPr id="0" name=""/>
        <dsp:cNvSpPr/>
      </dsp:nvSpPr>
      <dsp:spPr>
        <a:xfrm>
          <a:off x="0" y="1300355"/>
          <a:ext cx="5206417" cy="355680"/>
        </a:xfrm>
        <a:prstGeom prst="roundRect">
          <a:avLst/>
        </a:prstGeom>
        <a:solidFill>
          <a:srgbClr val="4F81BD">
            <a:shade val="50000"/>
            <a:hueOff val="180719"/>
            <a:satOff val="-3780"/>
            <a:lumOff val="21031"/>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l" defTabSz="488950">
            <a:lnSpc>
              <a:spcPct val="90000"/>
            </a:lnSpc>
            <a:spcBef>
              <a:spcPct val="0"/>
            </a:spcBef>
            <a:spcAft>
              <a:spcPct val="35000"/>
            </a:spcAft>
          </a:pPr>
          <a:r>
            <a:rPr lang="en-GB" sz="1100" b="1" i="1" kern="1200">
              <a:solidFill>
                <a:sysClr val="window" lastClr="FFFFFF"/>
              </a:solidFill>
              <a:latin typeface="Calibri"/>
              <a:ea typeface="+mn-ea"/>
              <a:cs typeface="+mn-cs"/>
            </a:rPr>
            <a:t>2) Protecting the Environment in the Danube Region.</a:t>
          </a:r>
          <a:endParaRPr lang="en-US" sz="1100" kern="1200">
            <a:solidFill>
              <a:sysClr val="window" lastClr="FFFFFF"/>
            </a:solidFill>
            <a:latin typeface="Calibri"/>
            <a:ea typeface="+mn-ea"/>
            <a:cs typeface="+mn-cs"/>
          </a:endParaRPr>
        </a:p>
      </dsp:txBody>
      <dsp:txXfrm>
        <a:off x="17363" y="1317718"/>
        <a:ext cx="5171691" cy="320954"/>
      </dsp:txXfrm>
    </dsp:sp>
    <dsp:sp modelId="{BBA6D54F-028F-8C43-A95E-7A91E3654A0D}">
      <dsp:nvSpPr>
        <dsp:cNvPr id="0" name=""/>
        <dsp:cNvSpPr/>
      </dsp:nvSpPr>
      <dsp:spPr>
        <a:xfrm>
          <a:off x="0" y="1656035"/>
          <a:ext cx="5206417" cy="560452"/>
        </a:xfrm>
        <a:prstGeom prst="rect">
          <a:avLst/>
        </a:prstGeom>
        <a:noFill/>
        <a:ln w="9525" cap="flat" cmpd="sng" algn="ctr">
          <a:solidFill>
            <a:sysClr val="windowText" lastClr="000000">
              <a:alpha val="0"/>
              <a:hueOff val="0"/>
              <a:satOff val="0"/>
              <a:lumOff val="0"/>
              <a:alphaOff val="0"/>
            </a:sys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65304" tIns="13970" rIns="78232" bIns="13970" numCol="1" spcCol="1270" anchor="t" anchorCtr="0">
          <a:noAutofit/>
        </a:bodyPr>
        <a:lstStyle/>
        <a:p>
          <a:pPr marL="57150" lvl="1"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To restore and maintain the quality of waters;</a:t>
          </a:r>
          <a:endParaRPr lang="en-US" sz="1100" kern="1200">
            <a:solidFill>
              <a:sysClr val="windowText" lastClr="000000">
                <a:hueOff val="0"/>
                <a:satOff val="0"/>
                <a:lumOff val="0"/>
                <a:alphaOff val="0"/>
              </a:sysClr>
            </a:solidFill>
            <a:latin typeface="Calibri"/>
            <a:ea typeface="+mn-ea"/>
            <a:cs typeface="+mn-cs"/>
          </a:endParaRPr>
        </a:p>
        <a:p>
          <a:pPr marL="57150" lvl="1"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To manage environmental risks;</a:t>
          </a:r>
          <a:endParaRPr lang="fr-FR" sz="1100" kern="1200">
            <a:solidFill>
              <a:sysClr val="windowText" lastClr="000000">
                <a:hueOff val="0"/>
                <a:satOff val="0"/>
                <a:lumOff val="0"/>
                <a:alphaOff val="0"/>
              </a:sysClr>
            </a:solidFill>
            <a:latin typeface="Calibri"/>
            <a:ea typeface="+mn-ea"/>
            <a:cs typeface="+mn-cs"/>
          </a:endParaRPr>
        </a:p>
        <a:p>
          <a:pPr marL="57150" lvl="1"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To preserve biodiversity, landscapes and the quality of air and soils;</a:t>
          </a:r>
          <a:endParaRPr lang="fr-FR" sz="1100" kern="1200">
            <a:solidFill>
              <a:sysClr val="windowText" lastClr="000000">
                <a:hueOff val="0"/>
                <a:satOff val="0"/>
                <a:lumOff val="0"/>
                <a:alphaOff val="0"/>
              </a:sysClr>
            </a:solidFill>
            <a:latin typeface="Calibri"/>
            <a:ea typeface="+mn-ea"/>
            <a:cs typeface="+mn-cs"/>
          </a:endParaRPr>
        </a:p>
      </dsp:txBody>
      <dsp:txXfrm>
        <a:off x="0" y="1656035"/>
        <a:ext cx="5206417" cy="560452"/>
      </dsp:txXfrm>
    </dsp:sp>
    <dsp:sp modelId="{95467BD2-50C7-584A-906B-B2864DCD9469}">
      <dsp:nvSpPr>
        <dsp:cNvPr id="0" name=""/>
        <dsp:cNvSpPr/>
      </dsp:nvSpPr>
      <dsp:spPr>
        <a:xfrm>
          <a:off x="0" y="2216487"/>
          <a:ext cx="5206417" cy="355680"/>
        </a:xfrm>
        <a:prstGeom prst="roundRect">
          <a:avLst/>
        </a:prstGeom>
        <a:solidFill>
          <a:srgbClr val="4F81BD">
            <a:shade val="50000"/>
            <a:hueOff val="361437"/>
            <a:satOff val="-7560"/>
            <a:lumOff val="42063"/>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l" defTabSz="488950">
            <a:lnSpc>
              <a:spcPct val="90000"/>
            </a:lnSpc>
            <a:spcBef>
              <a:spcPct val="0"/>
            </a:spcBef>
            <a:spcAft>
              <a:spcPct val="35000"/>
            </a:spcAft>
          </a:pPr>
          <a:r>
            <a:rPr lang="en-GB" sz="1100" b="1" i="1" kern="1200">
              <a:solidFill>
                <a:sysClr val="window" lastClr="FFFFFF"/>
              </a:solidFill>
              <a:latin typeface="Calibri"/>
              <a:ea typeface="+mn-ea"/>
              <a:cs typeface="+mn-cs"/>
            </a:rPr>
            <a:t>3) Building Prosperity in the Danube Region.</a:t>
          </a:r>
          <a:endParaRPr lang="en-US" sz="1100" kern="1200">
            <a:solidFill>
              <a:sysClr val="window" lastClr="FFFFFF"/>
            </a:solidFill>
            <a:latin typeface="Calibri"/>
            <a:ea typeface="+mn-ea"/>
            <a:cs typeface="+mn-cs"/>
          </a:endParaRPr>
        </a:p>
      </dsp:txBody>
      <dsp:txXfrm>
        <a:off x="17363" y="2233850"/>
        <a:ext cx="5171691" cy="320954"/>
      </dsp:txXfrm>
    </dsp:sp>
    <dsp:sp modelId="{8953ECE1-52F5-7741-B77F-BA17ED701C3F}">
      <dsp:nvSpPr>
        <dsp:cNvPr id="0" name=""/>
        <dsp:cNvSpPr/>
      </dsp:nvSpPr>
      <dsp:spPr>
        <a:xfrm>
          <a:off x="0" y="2572167"/>
          <a:ext cx="5206417" cy="727604"/>
        </a:xfrm>
        <a:prstGeom prst="rect">
          <a:avLst/>
        </a:prstGeom>
        <a:noFill/>
        <a:ln w="9525" cap="flat" cmpd="sng" algn="ctr">
          <a:solidFill>
            <a:sysClr val="windowText" lastClr="000000">
              <a:alpha val="0"/>
              <a:hueOff val="0"/>
              <a:satOff val="0"/>
              <a:lumOff val="0"/>
              <a:alphaOff val="0"/>
            </a:sys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65304" tIns="13970" rIns="78232" bIns="13970" numCol="1" spcCol="1270" anchor="t" anchorCtr="0">
          <a:noAutofit/>
        </a:bodyPr>
        <a:lstStyle/>
        <a:p>
          <a:pPr marL="57150" lvl="1"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To develop the knowledge society through research, education and information technologies;</a:t>
          </a:r>
          <a:endParaRPr lang="en-US" sz="1100" kern="1200">
            <a:solidFill>
              <a:sysClr val="windowText" lastClr="000000">
                <a:hueOff val="0"/>
                <a:satOff val="0"/>
                <a:lumOff val="0"/>
                <a:alphaOff val="0"/>
              </a:sysClr>
            </a:solidFill>
            <a:latin typeface="Calibri"/>
            <a:ea typeface="+mn-ea"/>
            <a:cs typeface="+mn-cs"/>
          </a:endParaRPr>
        </a:p>
        <a:p>
          <a:pPr marL="57150" lvl="1"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To support the competitiveness of enterprises, including cluster development;</a:t>
          </a:r>
          <a:endParaRPr lang="fr-FR" sz="1100" kern="1200">
            <a:solidFill>
              <a:sysClr val="windowText" lastClr="000000">
                <a:hueOff val="0"/>
                <a:satOff val="0"/>
                <a:lumOff val="0"/>
                <a:alphaOff val="0"/>
              </a:sysClr>
            </a:solidFill>
            <a:latin typeface="Calibri"/>
            <a:ea typeface="+mn-ea"/>
            <a:cs typeface="+mn-cs"/>
          </a:endParaRPr>
        </a:p>
        <a:p>
          <a:pPr marL="57150" lvl="1"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To invest in people and skills;</a:t>
          </a:r>
          <a:endParaRPr lang="fr-FR" sz="1100" kern="1200">
            <a:solidFill>
              <a:sysClr val="windowText" lastClr="000000">
                <a:hueOff val="0"/>
                <a:satOff val="0"/>
                <a:lumOff val="0"/>
                <a:alphaOff val="0"/>
              </a:sysClr>
            </a:solidFill>
            <a:latin typeface="Calibri"/>
            <a:ea typeface="+mn-ea"/>
            <a:cs typeface="+mn-cs"/>
          </a:endParaRPr>
        </a:p>
      </dsp:txBody>
      <dsp:txXfrm>
        <a:off x="0" y="2572167"/>
        <a:ext cx="5206417" cy="727604"/>
      </dsp:txXfrm>
    </dsp:sp>
    <dsp:sp modelId="{936EEC82-AB87-7F41-A05E-F5F39F69D6CB}">
      <dsp:nvSpPr>
        <dsp:cNvPr id="0" name=""/>
        <dsp:cNvSpPr/>
      </dsp:nvSpPr>
      <dsp:spPr>
        <a:xfrm>
          <a:off x="0" y="3299772"/>
          <a:ext cx="5206417" cy="355680"/>
        </a:xfrm>
        <a:prstGeom prst="roundRect">
          <a:avLst/>
        </a:prstGeom>
        <a:solidFill>
          <a:srgbClr val="4F81BD">
            <a:shade val="50000"/>
            <a:hueOff val="180719"/>
            <a:satOff val="-3780"/>
            <a:lumOff val="21031"/>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l" defTabSz="488950">
            <a:lnSpc>
              <a:spcPct val="90000"/>
            </a:lnSpc>
            <a:spcBef>
              <a:spcPct val="0"/>
            </a:spcBef>
            <a:spcAft>
              <a:spcPct val="35000"/>
            </a:spcAft>
          </a:pPr>
          <a:r>
            <a:rPr lang="en-GB" sz="1100" b="1" i="1" kern="1200">
              <a:solidFill>
                <a:sysClr val="window" lastClr="FFFFFF"/>
              </a:solidFill>
              <a:latin typeface="Calibri"/>
              <a:ea typeface="+mn-ea"/>
              <a:cs typeface="+mn-cs"/>
            </a:rPr>
            <a:t>4) Strengthening the Danube Region.</a:t>
          </a:r>
          <a:endParaRPr lang="en-US" sz="1100" kern="1200">
            <a:solidFill>
              <a:sysClr val="window" lastClr="FFFFFF"/>
            </a:solidFill>
            <a:latin typeface="Calibri"/>
            <a:ea typeface="+mn-ea"/>
            <a:cs typeface="+mn-cs"/>
          </a:endParaRPr>
        </a:p>
      </dsp:txBody>
      <dsp:txXfrm>
        <a:off x="17363" y="3317135"/>
        <a:ext cx="5171691" cy="320954"/>
      </dsp:txXfrm>
    </dsp:sp>
    <dsp:sp modelId="{9C3A6774-5779-DA43-A93A-63840D008349}">
      <dsp:nvSpPr>
        <dsp:cNvPr id="0" name=""/>
        <dsp:cNvSpPr/>
      </dsp:nvSpPr>
      <dsp:spPr>
        <a:xfrm>
          <a:off x="0" y="3655452"/>
          <a:ext cx="5206417" cy="373635"/>
        </a:xfrm>
        <a:prstGeom prst="rect">
          <a:avLst/>
        </a:prstGeom>
        <a:noFill/>
        <a:ln w="9525" cap="flat" cmpd="sng" algn="ctr">
          <a:solidFill>
            <a:sysClr val="windowText" lastClr="000000">
              <a:alpha val="0"/>
              <a:hueOff val="0"/>
              <a:satOff val="0"/>
              <a:lumOff val="0"/>
              <a:alphaOff val="0"/>
            </a:sys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65304" tIns="13970" rIns="78232" bIns="13970" numCol="1" spcCol="1270" anchor="t" anchorCtr="0">
          <a:noAutofit/>
        </a:bodyPr>
        <a:lstStyle/>
        <a:p>
          <a:pPr marL="57150" lvl="1"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To step up institutional capacity and cooperation;</a:t>
          </a:r>
          <a:endParaRPr lang="en-US" sz="1100" kern="1200">
            <a:solidFill>
              <a:sysClr val="windowText" lastClr="000000">
                <a:hueOff val="0"/>
                <a:satOff val="0"/>
                <a:lumOff val="0"/>
                <a:alphaOff val="0"/>
              </a:sysClr>
            </a:solidFill>
            <a:latin typeface="Calibri"/>
            <a:ea typeface="+mn-ea"/>
            <a:cs typeface="+mn-cs"/>
          </a:endParaRPr>
        </a:p>
        <a:p>
          <a:pPr marL="57150" lvl="1" indent="-57150" algn="l" defTabSz="488950">
            <a:lnSpc>
              <a:spcPct val="90000"/>
            </a:lnSpc>
            <a:spcBef>
              <a:spcPct val="0"/>
            </a:spcBef>
            <a:spcAft>
              <a:spcPct val="20000"/>
            </a:spcAft>
            <a:buChar char="••"/>
          </a:pPr>
          <a:r>
            <a:rPr lang="en-GB" sz="1100" kern="1200">
              <a:solidFill>
                <a:sysClr val="windowText" lastClr="000000">
                  <a:hueOff val="0"/>
                  <a:satOff val="0"/>
                  <a:lumOff val="0"/>
                  <a:alphaOff val="0"/>
                </a:sysClr>
              </a:solidFill>
              <a:latin typeface="Calibri"/>
              <a:ea typeface="+mn-ea"/>
              <a:cs typeface="+mn-cs"/>
            </a:rPr>
            <a:t>To work together to promote security and tackle organised and serious crime.</a:t>
          </a:r>
          <a:endParaRPr lang="fr-FR" sz="1100" kern="1200">
            <a:solidFill>
              <a:sysClr val="windowText" lastClr="000000">
                <a:hueOff val="0"/>
                <a:satOff val="0"/>
                <a:lumOff val="0"/>
                <a:alphaOff val="0"/>
              </a:sysClr>
            </a:solidFill>
            <a:latin typeface="Calibri"/>
            <a:ea typeface="+mn-ea"/>
            <a:cs typeface="+mn-cs"/>
          </a:endParaRPr>
        </a:p>
      </dsp:txBody>
      <dsp:txXfrm>
        <a:off x="0" y="3655452"/>
        <a:ext cx="5206417" cy="37363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A68673C-E225-465E-97F0-EDC5F0096D34}">
      <dsp:nvSpPr>
        <dsp:cNvPr id="0" name=""/>
        <dsp:cNvSpPr/>
      </dsp:nvSpPr>
      <dsp:spPr>
        <a:xfrm>
          <a:off x="8205751" y="3331697"/>
          <a:ext cx="91440" cy="282955"/>
        </a:xfrm>
        <a:custGeom>
          <a:avLst/>
          <a:gdLst/>
          <a:ahLst/>
          <a:cxnLst/>
          <a:rect l="0" t="0" r="0" b="0"/>
          <a:pathLst>
            <a:path>
              <a:moveTo>
                <a:pt x="45720" y="0"/>
              </a:moveTo>
              <a:lnTo>
                <a:pt x="45720" y="282955"/>
              </a:lnTo>
            </a:path>
          </a:pathLst>
        </a:custGeom>
        <a:noFill/>
        <a:ln w="9525" cap="flat" cmpd="sng" algn="ctr">
          <a:solidFill>
            <a:schemeClr val="accent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BE1E9703-D485-4048-AAB4-37956990B26F}">
      <dsp:nvSpPr>
        <dsp:cNvPr id="0" name=""/>
        <dsp:cNvSpPr/>
      </dsp:nvSpPr>
      <dsp:spPr>
        <a:xfrm>
          <a:off x="8205751" y="2430942"/>
          <a:ext cx="91440" cy="282955"/>
        </a:xfrm>
        <a:custGeom>
          <a:avLst/>
          <a:gdLst/>
          <a:ahLst/>
          <a:cxnLst/>
          <a:rect l="0" t="0" r="0" b="0"/>
          <a:pathLst>
            <a:path>
              <a:moveTo>
                <a:pt x="45720" y="0"/>
              </a:moveTo>
              <a:lnTo>
                <a:pt x="45720" y="282955"/>
              </a:lnTo>
            </a:path>
          </a:pathLst>
        </a:custGeom>
        <a:noFill/>
        <a:ln w="9525" cap="flat" cmpd="sng" algn="ctr">
          <a:solidFill>
            <a:schemeClr val="accent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0EE3CFB3-EE11-4801-8A6F-D530860BC979}">
      <dsp:nvSpPr>
        <dsp:cNvPr id="0" name=""/>
        <dsp:cNvSpPr/>
      </dsp:nvSpPr>
      <dsp:spPr>
        <a:xfrm>
          <a:off x="8205751" y="1530187"/>
          <a:ext cx="91440" cy="282955"/>
        </a:xfrm>
        <a:custGeom>
          <a:avLst/>
          <a:gdLst/>
          <a:ahLst/>
          <a:cxnLst/>
          <a:rect l="0" t="0" r="0" b="0"/>
          <a:pathLst>
            <a:path>
              <a:moveTo>
                <a:pt x="45720" y="0"/>
              </a:moveTo>
              <a:lnTo>
                <a:pt x="45720" y="282955"/>
              </a:lnTo>
            </a:path>
          </a:pathLst>
        </a:custGeom>
        <a:noFill/>
        <a:ln w="9525" cap="flat" cmpd="sng" algn="ctr">
          <a:solidFill>
            <a:schemeClr val="accent1">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B40669F7-0082-4355-B25A-9710D3011ABC}">
      <dsp:nvSpPr>
        <dsp:cNvPr id="0" name=""/>
        <dsp:cNvSpPr/>
      </dsp:nvSpPr>
      <dsp:spPr>
        <a:xfrm>
          <a:off x="4746891" y="629432"/>
          <a:ext cx="3504580" cy="282955"/>
        </a:xfrm>
        <a:custGeom>
          <a:avLst/>
          <a:gdLst/>
          <a:ahLst/>
          <a:cxnLst/>
          <a:rect l="0" t="0" r="0" b="0"/>
          <a:pathLst>
            <a:path>
              <a:moveTo>
                <a:pt x="0" y="0"/>
              </a:moveTo>
              <a:lnTo>
                <a:pt x="0" y="192825"/>
              </a:lnTo>
              <a:lnTo>
                <a:pt x="3504580" y="192825"/>
              </a:lnTo>
              <a:lnTo>
                <a:pt x="3504580" y="282955"/>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E251DD57-5DD1-438F-830F-02E77E9F4B0B}">
      <dsp:nvSpPr>
        <dsp:cNvPr id="0" name=""/>
        <dsp:cNvSpPr/>
      </dsp:nvSpPr>
      <dsp:spPr>
        <a:xfrm>
          <a:off x="6892123" y="3331697"/>
          <a:ext cx="91440" cy="282955"/>
        </a:xfrm>
        <a:custGeom>
          <a:avLst/>
          <a:gdLst/>
          <a:ahLst/>
          <a:cxnLst/>
          <a:rect l="0" t="0" r="0" b="0"/>
          <a:pathLst>
            <a:path>
              <a:moveTo>
                <a:pt x="45720" y="0"/>
              </a:moveTo>
              <a:lnTo>
                <a:pt x="45720" y="282955"/>
              </a:lnTo>
            </a:path>
          </a:pathLst>
        </a:custGeom>
        <a:noFill/>
        <a:ln w="9525" cap="flat" cmpd="sng" algn="ctr">
          <a:solidFill>
            <a:schemeClr val="accent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25DEBDA6-DD24-4446-B739-EE5D1596C80D}">
      <dsp:nvSpPr>
        <dsp:cNvPr id="0" name=""/>
        <dsp:cNvSpPr/>
      </dsp:nvSpPr>
      <dsp:spPr>
        <a:xfrm>
          <a:off x="6892123" y="2430942"/>
          <a:ext cx="91440" cy="282955"/>
        </a:xfrm>
        <a:custGeom>
          <a:avLst/>
          <a:gdLst/>
          <a:ahLst/>
          <a:cxnLst/>
          <a:rect l="0" t="0" r="0" b="0"/>
          <a:pathLst>
            <a:path>
              <a:moveTo>
                <a:pt x="45720" y="0"/>
              </a:moveTo>
              <a:lnTo>
                <a:pt x="45720" y="282955"/>
              </a:lnTo>
            </a:path>
          </a:pathLst>
        </a:custGeom>
        <a:noFill/>
        <a:ln w="9525" cap="flat" cmpd="sng" algn="ctr">
          <a:solidFill>
            <a:schemeClr val="accent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9A841863-714B-4D74-BDCD-461A4E88B8B3}">
      <dsp:nvSpPr>
        <dsp:cNvPr id="0" name=""/>
        <dsp:cNvSpPr/>
      </dsp:nvSpPr>
      <dsp:spPr>
        <a:xfrm>
          <a:off x="6892123" y="1530187"/>
          <a:ext cx="91440" cy="282955"/>
        </a:xfrm>
        <a:custGeom>
          <a:avLst/>
          <a:gdLst/>
          <a:ahLst/>
          <a:cxnLst/>
          <a:rect l="0" t="0" r="0" b="0"/>
          <a:pathLst>
            <a:path>
              <a:moveTo>
                <a:pt x="45720" y="0"/>
              </a:moveTo>
              <a:lnTo>
                <a:pt x="45720" y="282955"/>
              </a:lnTo>
            </a:path>
          </a:pathLst>
        </a:custGeom>
        <a:noFill/>
        <a:ln w="9525" cap="flat" cmpd="sng" algn="ctr">
          <a:solidFill>
            <a:schemeClr val="accent1">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6F40CE24-E3CE-4F76-BAB7-E5E2C960958D}">
      <dsp:nvSpPr>
        <dsp:cNvPr id="0" name=""/>
        <dsp:cNvSpPr/>
      </dsp:nvSpPr>
      <dsp:spPr>
        <a:xfrm>
          <a:off x="4746891" y="629432"/>
          <a:ext cx="2190951" cy="282955"/>
        </a:xfrm>
        <a:custGeom>
          <a:avLst/>
          <a:gdLst/>
          <a:ahLst/>
          <a:cxnLst/>
          <a:rect l="0" t="0" r="0" b="0"/>
          <a:pathLst>
            <a:path>
              <a:moveTo>
                <a:pt x="0" y="0"/>
              </a:moveTo>
              <a:lnTo>
                <a:pt x="0" y="192825"/>
              </a:lnTo>
              <a:lnTo>
                <a:pt x="2190951" y="192825"/>
              </a:lnTo>
              <a:lnTo>
                <a:pt x="2190951" y="282955"/>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3F42404F-AC81-47D1-9133-54378B8D1EE1}">
      <dsp:nvSpPr>
        <dsp:cNvPr id="0" name=""/>
        <dsp:cNvSpPr/>
      </dsp:nvSpPr>
      <dsp:spPr>
        <a:xfrm>
          <a:off x="5578494" y="3331697"/>
          <a:ext cx="91440" cy="282955"/>
        </a:xfrm>
        <a:custGeom>
          <a:avLst/>
          <a:gdLst/>
          <a:ahLst/>
          <a:cxnLst/>
          <a:rect l="0" t="0" r="0" b="0"/>
          <a:pathLst>
            <a:path>
              <a:moveTo>
                <a:pt x="45720" y="0"/>
              </a:moveTo>
              <a:lnTo>
                <a:pt x="45720" y="282955"/>
              </a:lnTo>
            </a:path>
          </a:pathLst>
        </a:custGeom>
        <a:noFill/>
        <a:ln w="19050" cap="flat" cmpd="sng" algn="ctr">
          <a:solidFill>
            <a:scrgbClr r="0" g="0" b="0">
              <a:shade val="95000"/>
              <a:satMod val="105000"/>
            </a:scrgbClr>
          </a:solidFill>
          <a:prstDash val="solid"/>
        </a:ln>
        <a:effectLst/>
      </dsp:spPr>
      <dsp:style>
        <a:lnRef idx="1">
          <a:scrgbClr r="0" g="0" b="0"/>
        </a:lnRef>
        <a:fillRef idx="0">
          <a:scrgbClr r="0" g="0" b="0"/>
        </a:fillRef>
        <a:effectRef idx="0">
          <a:scrgbClr r="0" g="0" b="0"/>
        </a:effectRef>
        <a:fontRef idx="minor"/>
      </dsp:style>
    </dsp:sp>
    <dsp:sp modelId="{1951B5BA-39D1-45F7-B7A2-6D27D7873402}">
      <dsp:nvSpPr>
        <dsp:cNvPr id="0" name=""/>
        <dsp:cNvSpPr/>
      </dsp:nvSpPr>
      <dsp:spPr>
        <a:xfrm>
          <a:off x="5578494" y="2430942"/>
          <a:ext cx="91440" cy="282955"/>
        </a:xfrm>
        <a:custGeom>
          <a:avLst/>
          <a:gdLst/>
          <a:ahLst/>
          <a:cxnLst/>
          <a:rect l="0" t="0" r="0" b="0"/>
          <a:pathLst>
            <a:path>
              <a:moveTo>
                <a:pt x="45720" y="0"/>
              </a:moveTo>
              <a:lnTo>
                <a:pt x="45720" y="282955"/>
              </a:lnTo>
            </a:path>
          </a:pathLst>
        </a:custGeom>
        <a:noFill/>
        <a:ln w="9525" cap="flat" cmpd="sng" algn="ctr">
          <a:solidFill>
            <a:schemeClr val="accent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9D7DFA31-FC23-4F2E-8D0E-1B6045B4FF75}">
      <dsp:nvSpPr>
        <dsp:cNvPr id="0" name=""/>
        <dsp:cNvSpPr/>
      </dsp:nvSpPr>
      <dsp:spPr>
        <a:xfrm>
          <a:off x="5578494" y="1530187"/>
          <a:ext cx="91440" cy="282955"/>
        </a:xfrm>
        <a:custGeom>
          <a:avLst/>
          <a:gdLst/>
          <a:ahLst/>
          <a:cxnLst/>
          <a:rect l="0" t="0" r="0" b="0"/>
          <a:pathLst>
            <a:path>
              <a:moveTo>
                <a:pt x="45720" y="0"/>
              </a:moveTo>
              <a:lnTo>
                <a:pt x="45720" y="282955"/>
              </a:lnTo>
            </a:path>
          </a:pathLst>
        </a:custGeom>
        <a:noFill/>
        <a:ln w="9525" cap="flat" cmpd="sng" algn="ctr">
          <a:solidFill>
            <a:schemeClr val="accent1">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D67949A8-5DCF-453F-B30C-92DF4D4B33F5}">
      <dsp:nvSpPr>
        <dsp:cNvPr id="0" name=""/>
        <dsp:cNvSpPr/>
      </dsp:nvSpPr>
      <dsp:spPr>
        <a:xfrm>
          <a:off x="4746891" y="629432"/>
          <a:ext cx="877323" cy="282955"/>
        </a:xfrm>
        <a:custGeom>
          <a:avLst/>
          <a:gdLst/>
          <a:ahLst/>
          <a:cxnLst/>
          <a:rect l="0" t="0" r="0" b="0"/>
          <a:pathLst>
            <a:path>
              <a:moveTo>
                <a:pt x="0" y="0"/>
              </a:moveTo>
              <a:lnTo>
                <a:pt x="0" y="192825"/>
              </a:lnTo>
              <a:lnTo>
                <a:pt x="877323" y="192825"/>
              </a:lnTo>
              <a:lnTo>
                <a:pt x="877323" y="282955"/>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09E8687B-DB25-4DE5-84FD-E0C9D74B8AA5}">
      <dsp:nvSpPr>
        <dsp:cNvPr id="0" name=""/>
        <dsp:cNvSpPr/>
      </dsp:nvSpPr>
      <dsp:spPr>
        <a:xfrm>
          <a:off x="4389379" y="3331697"/>
          <a:ext cx="91440" cy="282955"/>
        </a:xfrm>
        <a:custGeom>
          <a:avLst/>
          <a:gdLst/>
          <a:ahLst/>
          <a:cxnLst/>
          <a:rect l="0" t="0" r="0" b="0"/>
          <a:pathLst>
            <a:path>
              <a:moveTo>
                <a:pt x="45720" y="0"/>
              </a:moveTo>
              <a:lnTo>
                <a:pt x="45720" y="282955"/>
              </a:lnTo>
            </a:path>
          </a:pathLst>
        </a:custGeom>
        <a:noFill/>
        <a:ln w="9525" cap="flat" cmpd="sng" algn="ctr">
          <a:solidFill>
            <a:schemeClr val="accent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92014085-250A-48AA-B198-2AA312B1809D}">
      <dsp:nvSpPr>
        <dsp:cNvPr id="0" name=""/>
        <dsp:cNvSpPr/>
      </dsp:nvSpPr>
      <dsp:spPr>
        <a:xfrm>
          <a:off x="3840541" y="2430942"/>
          <a:ext cx="594557" cy="282955"/>
        </a:xfrm>
        <a:custGeom>
          <a:avLst/>
          <a:gdLst/>
          <a:ahLst/>
          <a:cxnLst/>
          <a:rect l="0" t="0" r="0" b="0"/>
          <a:pathLst>
            <a:path>
              <a:moveTo>
                <a:pt x="0" y="0"/>
              </a:moveTo>
              <a:lnTo>
                <a:pt x="0" y="192825"/>
              </a:lnTo>
              <a:lnTo>
                <a:pt x="594557" y="192825"/>
              </a:lnTo>
              <a:lnTo>
                <a:pt x="594557" y="282955"/>
              </a:lnTo>
            </a:path>
          </a:pathLst>
        </a:custGeom>
        <a:noFill/>
        <a:ln w="19050" cap="flat" cmpd="sng" algn="ctr">
          <a:solidFill>
            <a:scrgbClr r="0" g="0" b="0">
              <a:shade val="95000"/>
              <a:satMod val="105000"/>
            </a:scrgbClr>
          </a:solidFill>
          <a:prstDash val="solid"/>
        </a:ln>
        <a:effectLst/>
      </dsp:spPr>
      <dsp:style>
        <a:lnRef idx="1">
          <a:scrgbClr r="0" g="0" b="0"/>
        </a:lnRef>
        <a:fillRef idx="0">
          <a:scrgbClr r="0" g="0" b="0"/>
        </a:fillRef>
        <a:effectRef idx="0">
          <a:scrgbClr r="0" g="0" b="0"/>
        </a:effectRef>
        <a:fontRef idx="minor"/>
      </dsp:style>
    </dsp:sp>
    <dsp:sp modelId="{54582095-807B-4758-A31F-EA5684CF8EB8}">
      <dsp:nvSpPr>
        <dsp:cNvPr id="0" name=""/>
        <dsp:cNvSpPr/>
      </dsp:nvSpPr>
      <dsp:spPr>
        <a:xfrm>
          <a:off x="3200263" y="3331697"/>
          <a:ext cx="91440" cy="282955"/>
        </a:xfrm>
        <a:custGeom>
          <a:avLst/>
          <a:gdLst/>
          <a:ahLst/>
          <a:cxnLst/>
          <a:rect l="0" t="0" r="0" b="0"/>
          <a:pathLst>
            <a:path>
              <a:moveTo>
                <a:pt x="45720" y="0"/>
              </a:moveTo>
              <a:lnTo>
                <a:pt x="45720" y="282955"/>
              </a:lnTo>
            </a:path>
          </a:pathLst>
        </a:custGeom>
        <a:noFill/>
        <a:ln w="9525" cap="flat" cmpd="sng" algn="ctr">
          <a:solidFill>
            <a:schemeClr val="accent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967CF723-3D81-47EA-A07C-DE918B4C3DE0}">
      <dsp:nvSpPr>
        <dsp:cNvPr id="0" name=""/>
        <dsp:cNvSpPr/>
      </dsp:nvSpPr>
      <dsp:spPr>
        <a:xfrm>
          <a:off x="3245983" y="2430942"/>
          <a:ext cx="594557" cy="282955"/>
        </a:xfrm>
        <a:custGeom>
          <a:avLst/>
          <a:gdLst/>
          <a:ahLst/>
          <a:cxnLst/>
          <a:rect l="0" t="0" r="0" b="0"/>
          <a:pathLst>
            <a:path>
              <a:moveTo>
                <a:pt x="594557" y="0"/>
              </a:moveTo>
              <a:lnTo>
                <a:pt x="594557" y="192825"/>
              </a:lnTo>
              <a:lnTo>
                <a:pt x="0" y="192825"/>
              </a:lnTo>
              <a:lnTo>
                <a:pt x="0" y="282955"/>
              </a:lnTo>
            </a:path>
          </a:pathLst>
        </a:custGeom>
        <a:noFill/>
        <a:ln w="9525" cap="flat" cmpd="sng" algn="ctr">
          <a:solidFill>
            <a:schemeClr val="accent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4A3F1C7A-A791-4237-8C0A-16F4592A7F20}">
      <dsp:nvSpPr>
        <dsp:cNvPr id="0" name=""/>
        <dsp:cNvSpPr/>
      </dsp:nvSpPr>
      <dsp:spPr>
        <a:xfrm>
          <a:off x="3794821" y="1530187"/>
          <a:ext cx="91440" cy="282955"/>
        </a:xfrm>
        <a:custGeom>
          <a:avLst/>
          <a:gdLst/>
          <a:ahLst/>
          <a:cxnLst/>
          <a:rect l="0" t="0" r="0" b="0"/>
          <a:pathLst>
            <a:path>
              <a:moveTo>
                <a:pt x="45720" y="0"/>
              </a:moveTo>
              <a:lnTo>
                <a:pt x="45720" y="282955"/>
              </a:lnTo>
            </a:path>
          </a:pathLst>
        </a:custGeom>
        <a:noFill/>
        <a:ln w="9525" cap="flat" cmpd="sng" algn="ctr">
          <a:solidFill>
            <a:schemeClr val="accent1">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43901FDC-2C80-4CDF-8A72-AD2ADC4335D9}">
      <dsp:nvSpPr>
        <dsp:cNvPr id="0" name=""/>
        <dsp:cNvSpPr/>
      </dsp:nvSpPr>
      <dsp:spPr>
        <a:xfrm>
          <a:off x="3840541" y="629432"/>
          <a:ext cx="906349" cy="282955"/>
        </a:xfrm>
        <a:custGeom>
          <a:avLst/>
          <a:gdLst/>
          <a:ahLst/>
          <a:cxnLst/>
          <a:rect l="0" t="0" r="0" b="0"/>
          <a:pathLst>
            <a:path>
              <a:moveTo>
                <a:pt x="906349" y="0"/>
              </a:moveTo>
              <a:lnTo>
                <a:pt x="906349" y="192825"/>
              </a:lnTo>
              <a:lnTo>
                <a:pt x="0" y="192825"/>
              </a:lnTo>
              <a:lnTo>
                <a:pt x="0" y="282955"/>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16D92DCE-8761-4635-9869-6AA11A79E524}">
      <dsp:nvSpPr>
        <dsp:cNvPr id="0" name=""/>
        <dsp:cNvSpPr/>
      </dsp:nvSpPr>
      <dsp:spPr>
        <a:xfrm>
          <a:off x="2011148" y="3331697"/>
          <a:ext cx="91440" cy="282955"/>
        </a:xfrm>
        <a:custGeom>
          <a:avLst/>
          <a:gdLst/>
          <a:ahLst/>
          <a:cxnLst/>
          <a:rect l="0" t="0" r="0" b="0"/>
          <a:pathLst>
            <a:path>
              <a:moveTo>
                <a:pt x="45720" y="0"/>
              </a:moveTo>
              <a:lnTo>
                <a:pt x="45720" y="282955"/>
              </a:lnTo>
            </a:path>
          </a:pathLst>
        </a:custGeom>
        <a:noFill/>
        <a:ln w="9525" cap="flat" cmpd="sng" algn="ctr">
          <a:solidFill>
            <a:schemeClr val="accent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38B2A3DF-AD20-4732-8B56-F4722E4A9CCA}">
      <dsp:nvSpPr>
        <dsp:cNvPr id="0" name=""/>
        <dsp:cNvSpPr/>
      </dsp:nvSpPr>
      <dsp:spPr>
        <a:xfrm>
          <a:off x="1367183" y="2430942"/>
          <a:ext cx="689684" cy="282955"/>
        </a:xfrm>
        <a:custGeom>
          <a:avLst/>
          <a:gdLst/>
          <a:ahLst/>
          <a:cxnLst/>
          <a:rect l="0" t="0" r="0" b="0"/>
          <a:pathLst>
            <a:path>
              <a:moveTo>
                <a:pt x="0" y="0"/>
              </a:moveTo>
              <a:lnTo>
                <a:pt x="0" y="192825"/>
              </a:lnTo>
              <a:lnTo>
                <a:pt x="689684" y="192825"/>
              </a:lnTo>
              <a:lnTo>
                <a:pt x="689684" y="282955"/>
              </a:lnTo>
            </a:path>
          </a:pathLst>
        </a:custGeom>
        <a:noFill/>
        <a:ln w="9525" cap="flat" cmpd="sng" algn="ctr">
          <a:solidFill>
            <a:schemeClr val="accent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86DBABD0-36C1-4C70-8CA6-AB328F190870}">
      <dsp:nvSpPr>
        <dsp:cNvPr id="0" name=""/>
        <dsp:cNvSpPr/>
      </dsp:nvSpPr>
      <dsp:spPr>
        <a:xfrm>
          <a:off x="631779" y="3331697"/>
          <a:ext cx="91440" cy="282955"/>
        </a:xfrm>
        <a:custGeom>
          <a:avLst/>
          <a:gdLst/>
          <a:ahLst/>
          <a:cxnLst/>
          <a:rect l="0" t="0" r="0" b="0"/>
          <a:pathLst>
            <a:path>
              <a:moveTo>
                <a:pt x="45720" y="0"/>
              </a:moveTo>
              <a:lnTo>
                <a:pt x="45720" y="282955"/>
              </a:lnTo>
            </a:path>
          </a:pathLst>
        </a:custGeom>
        <a:noFill/>
        <a:ln w="9525" cap="flat" cmpd="sng" algn="ctr">
          <a:solidFill>
            <a:schemeClr val="accent2">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08A63C6D-140C-4B0C-A8BF-FD32988B8581}">
      <dsp:nvSpPr>
        <dsp:cNvPr id="0" name=""/>
        <dsp:cNvSpPr/>
      </dsp:nvSpPr>
      <dsp:spPr>
        <a:xfrm>
          <a:off x="677499" y="2430942"/>
          <a:ext cx="689684" cy="282955"/>
        </a:xfrm>
        <a:custGeom>
          <a:avLst/>
          <a:gdLst/>
          <a:ahLst/>
          <a:cxnLst/>
          <a:rect l="0" t="0" r="0" b="0"/>
          <a:pathLst>
            <a:path>
              <a:moveTo>
                <a:pt x="689684" y="0"/>
              </a:moveTo>
              <a:lnTo>
                <a:pt x="689684" y="192825"/>
              </a:lnTo>
              <a:lnTo>
                <a:pt x="0" y="192825"/>
              </a:lnTo>
              <a:lnTo>
                <a:pt x="0" y="282955"/>
              </a:lnTo>
            </a:path>
          </a:pathLst>
        </a:custGeom>
        <a:noFill/>
        <a:ln w="19050" cap="flat" cmpd="sng" algn="ctr">
          <a:solidFill>
            <a:schemeClr val="dk1">
              <a:shade val="95000"/>
              <a:satMod val="105000"/>
            </a:schemeClr>
          </a:solidFill>
          <a:prstDash val="solid"/>
        </a:ln>
        <a:effectLst/>
      </dsp:spPr>
      <dsp:style>
        <a:lnRef idx="1">
          <a:schemeClr val="dk1"/>
        </a:lnRef>
        <a:fillRef idx="0">
          <a:schemeClr val="dk1"/>
        </a:fillRef>
        <a:effectRef idx="0">
          <a:schemeClr val="dk1"/>
        </a:effectRef>
        <a:fontRef idx="minor">
          <a:schemeClr val="tx1"/>
        </a:fontRef>
      </dsp:style>
    </dsp:sp>
    <dsp:sp modelId="{F3767812-99FC-435E-81C5-2852CF99EFCC}">
      <dsp:nvSpPr>
        <dsp:cNvPr id="0" name=""/>
        <dsp:cNvSpPr/>
      </dsp:nvSpPr>
      <dsp:spPr>
        <a:xfrm>
          <a:off x="1321463" y="1530187"/>
          <a:ext cx="91440" cy="282955"/>
        </a:xfrm>
        <a:custGeom>
          <a:avLst/>
          <a:gdLst/>
          <a:ahLst/>
          <a:cxnLst/>
          <a:rect l="0" t="0" r="0" b="0"/>
          <a:pathLst>
            <a:path>
              <a:moveTo>
                <a:pt x="45720" y="0"/>
              </a:moveTo>
              <a:lnTo>
                <a:pt x="45720" y="282955"/>
              </a:lnTo>
            </a:path>
          </a:pathLst>
        </a:custGeom>
        <a:noFill/>
        <a:ln w="9525" cap="flat" cmpd="sng" algn="ctr">
          <a:solidFill>
            <a:schemeClr val="accent1">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12E85C18-D29B-467D-B151-B4DD676EF754}">
      <dsp:nvSpPr>
        <dsp:cNvPr id="0" name=""/>
        <dsp:cNvSpPr/>
      </dsp:nvSpPr>
      <dsp:spPr>
        <a:xfrm>
          <a:off x="1367183" y="629432"/>
          <a:ext cx="3379707" cy="282955"/>
        </a:xfrm>
        <a:custGeom>
          <a:avLst/>
          <a:gdLst/>
          <a:ahLst/>
          <a:cxnLst/>
          <a:rect l="0" t="0" r="0" b="0"/>
          <a:pathLst>
            <a:path>
              <a:moveTo>
                <a:pt x="3379707" y="0"/>
              </a:moveTo>
              <a:lnTo>
                <a:pt x="3379707" y="192825"/>
              </a:lnTo>
              <a:lnTo>
                <a:pt x="0" y="192825"/>
              </a:lnTo>
              <a:lnTo>
                <a:pt x="0" y="282955"/>
              </a:lnTo>
            </a:path>
          </a:pathLst>
        </a:custGeom>
        <a:noFill/>
        <a:ln w="9525" cap="flat" cmpd="sng" algn="ctr">
          <a:solidFill>
            <a:schemeClr val="accent6">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sp>
    <dsp:sp modelId="{D4D9003D-2BE0-4AC3-9E64-1505E3246577}">
      <dsp:nvSpPr>
        <dsp:cNvPr id="0" name=""/>
        <dsp:cNvSpPr/>
      </dsp:nvSpPr>
      <dsp:spPr>
        <a:xfrm>
          <a:off x="4260434" y="11633"/>
          <a:ext cx="972912" cy="617799"/>
        </a:xfrm>
        <a:prstGeom prst="roundRect">
          <a:avLst>
            <a:gd name="adj" fmla="val 10000"/>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DF07CE95-32D6-40ED-BEDB-88ECF326FA35}">
      <dsp:nvSpPr>
        <dsp:cNvPr id="0" name=""/>
        <dsp:cNvSpPr/>
      </dsp:nvSpPr>
      <dsp:spPr>
        <a:xfrm>
          <a:off x="4368536" y="114329"/>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4">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lvl="0" algn="ctr" defTabSz="622300">
            <a:lnSpc>
              <a:spcPct val="100000"/>
            </a:lnSpc>
            <a:spcBef>
              <a:spcPct val="0"/>
            </a:spcBef>
            <a:spcAft>
              <a:spcPts val="0"/>
            </a:spcAft>
          </a:pPr>
          <a:r>
            <a:rPr lang="en-US" sz="1400" b="1" kern="1200"/>
            <a:t>CBC ROBG 2014-2020</a:t>
          </a:r>
        </a:p>
      </dsp:txBody>
      <dsp:txXfrm>
        <a:off x="4386631" y="132424"/>
        <a:ext cx="936722" cy="581609"/>
      </dsp:txXfrm>
    </dsp:sp>
    <dsp:sp modelId="{19601285-E6A4-4CA2-9116-EDC32F416A57}">
      <dsp:nvSpPr>
        <dsp:cNvPr id="0" name=""/>
        <dsp:cNvSpPr/>
      </dsp:nvSpPr>
      <dsp:spPr>
        <a:xfrm>
          <a:off x="755854" y="912388"/>
          <a:ext cx="1222659" cy="617799"/>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A7AC52E7-0BD3-46E0-97B4-2DE4A3525121}">
      <dsp:nvSpPr>
        <dsp:cNvPr id="0" name=""/>
        <dsp:cNvSpPr/>
      </dsp:nvSpPr>
      <dsp:spPr>
        <a:xfrm>
          <a:off x="863955" y="1015084"/>
          <a:ext cx="1222659" cy="617799"/>
        </a:xfrm>
        <a:prstGeom prst="roundRect">
          <a:avLst>
            <a:gd name="adj" fmla="val 10000"/>
          </a:avLst>
        </a:prstGeom>
        <a:solidFill>
          <a:schemeClr val="lt1">
            <a:alpha val="90000"/>
            <a:hueOff val="0"/>
            <a:satOff val="0"/>
            <a:lumOff val="0"/>
            <a:alphaOff val="0"/>
          </a:schemeClr>
        </a:solidFill>
        <a:ln w="9525" cap="flat" cmpd="sng" algn="ctr">
          <a:solidFill>
            <a:schemeClr val="accent6">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Priority Axis 1</a:t>
          </a:r>
        </a:p>
        <a:p>
          <a:pPr lvl="0" algn="ctr" defTabSz="488950">
            <a:lnSpc>
              <a:spcPct val="100000"/>
            </a:lnSpc>
            <a:spcBef>
              <a:spcPct val="0"/>
            </a:spcBef>
            <a:spcAft>
              <a:spcPts val="0"/>
            </a:spcAft>
          </a:pPr>
          <a:r>
            <a:rPr lang="en-US" sz="1100" b="1" kern="1200"/>
            <a:t>A well connected region</a:t>
          </a:r>
        </a:p>
      </dsp:txBody>
      <dsp:txXfrm>
        <a:off x="882050" y="1033179"/>
        <a:ext cx="1186469" cy="581609"/>
      </dsp:txXfrm>
    </dsp:sp>
    <dsp:sp modelId="{E4D2F05E-9657-4A60-AF60-28E6A26A8726}">
      <dsp:nvSpPr>
        <dsp:cNvPr id="0" name=""/>
        <dsp:cNvSpPr/>
      </dsp:nvSpPr>
      <dsp:spPr>
        <a:xfrm>
          <a:off x="880727" y="1813143"/>
          <a:ext cx="972912" cy="617799"/>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34BADCD5-5115-4E29-8CD9-D633570B986A}">
      <dsp:nvSpPr>
        <dsp:cNvPr id="0" name=""/>
        <dsp:cNvSpPr/>
      </dsp:nvSpPr>
      <dsp:spPr>
        <a:xfrm>
          <a:off x="988829" y="1915839"/>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TO 7</a:t>
          </a:r>
        </a:p>
      </dsp:txBody>
      <dsp:txXfrm>
        <a:off x="1006924" y="1933934"/>
        <a:ext cx="936722" cy="581609"/>
      </dsp:txXfrm>
    </dsp:sp>
    <dsp:sp modelId="{F0567B15-5E49-4B0F-81DB-7199C74774DC}">
      <dsp:nvSpPr>
        <dsp:cNvPr id="0" name=""/>
        <dsp:cNvSpPr/>
      </dsp:nvSpPr>
      <dsp:spPr>
        <a:xfrm>
          <a:off x="191043" y="2713897"/>
          <a:ext cx="972912" cy="617799"/>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6F4544EC-DCC7-44AB-8747-2643E8719F77}">
      <dsp:nvSpPr>
        <dsp:cNvPr id="0" name=""/>
        <dsp:cNvSpPr/>
      </dsp:nvSpPr>
      <dsp:spPr>
        <a:xfrm>
          <a:off x="299144" y="2816594"/>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IP 7 b</a:t>
          </a:r>
        </a:p>
      </dsp:txBody>
      <dsp:txXfrm>
        <a:off x="317239" y="2834689"/>
        <a:ext cx="936722" cy="581609"/>
      </dsp:txXfrm>
    </dsp:sp>
    <dsp:sp modelId="{6F8FD969-5433-4C41-B2C5-D6CAA62FE696}">
      <dsp:nvSpPr>
        <dsp:cNvPr id="0" name=""/>
        <dsp:cNvSpPr/>
      </dsp:nvSpPr>
      <dsp:spPr>
        <a:xfrm>
          <a:off x="790" y="3614652"/>
          <a:ext cx="1353418" cy="1465241"/>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772D11AD-7442-4DE9-AF34-E9E267D4259E}">
      <dsp:nvSpPr>
        <dsp:cNvPr id="0" name=""/>
        <dsp:cNvSpPr/>
      </dsp:nvSpPr>
      <dsp:spPr>
        <a:xfrm>
          <a:off x="108891" y="3717349"/>
          <a:ext cx="1353418" cy="1465241"/>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100000"/>
            </a:lnSpc>
            <a:spcBef>
              <a:spcPct val="0"/>
            </a:spcBef>
            <a:spcAft>
              <a:spcPts val="0"/>
            </a:spcAft>
          </a:pPr>
          <a:r>
            <a:rPr lang="en-GB" sz="1000" b="1" kern="1200"/>
            <a:t>SO 1.1: To sustain the planning, development and coordination of cross-border transport systems for better connections to TEN-T transport networks </a:t>
          </a:r>
          <a:endParaRPr lang="en-US" sz="1000" b="1" kern="1200"/>
        </a:p>
      </dsp:txBody>
      <dsp:txXfrm>
        <a:off x="148531" y="3756989"/>
        <a:ext cx="1274138" cy="1385961"/>
      </dsp:txXfrm>
    </dsp:sp>
    <dsp:sp modelId="{110B5793-2646-41C5-93D6-7588328DEDDE}">
      <dsp:nvSpPr>
        <dsp:cNvPr id="0" name=""/>
        <dsp:cNvSpPr/>
      </dsp:nvSpPr>
      <dsp:spPr>
        <a:xfrm>
          <a:off x="1570411" y="2713897"/>
          <a:ext cx="972912" cy="617799"/>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D8355BD5-DF7C-413B-BA20-63357DD1E0E3}">
      <dsp:nvSpPr>
        <dsp:cNvPr id="0" name=""/>
        <dsp:cNvSpPr/>
      </dsp:nvSpPr>
      <dsp:spPr>
        <a:xfrm>
          <a:off x="1678513" y="2816594"/>
          <a:ext cx="972912" cy="617799"/>
        </a:xfrm>
        <a:prstGeom prst="roundRect">
          <a:avLst>
            <a:gd name="adj" fmla="val 10000"/>
          </a:avLst>
        </a:prstGeom>
        <a:solidFill>
          <a:schemeClr val="bg1">
            <a:lumMod val="9500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solidFill>
                <a:schemeClr val="tx1"/>
              </a:solidFill>
            </a:rPr>
            <a:t>IP 7 c</a:t>
          </a:r>
        </a:p>
      </dsp:txBody>
      <dsp:txXfrm>
        <a:off x="1696608" y="2834689"/>
        <a:ext cx="936722" cy="581609"/>
      </dsp:txXfrm>
    </dsp:sp>
    <dsp:sp modelId="{D43D2E14-BA29-4836-8180-C7EEB8D88274}">
      <dsp:nvSpPr>
        <dsp:cNvPr id="0" name=""/>
        <dsp:cNvSpPr/>
      </dsp:nvSpPr>
      <dsp:spPr>
        <a:xfrm>
          <a:off x="1570411" y="3614652"/>
          <a:ext cx="972912" cy="1278258"/>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9F49CEEC-E3D8-4803-91F2-E60130E76315}">
      <dsp:nvSpPr>
        <dsp:cNvPr id="0" name=""/>
        <dsp:cNvSpPr/>
      </dsp:nvSpPr>
      <dsp:spPr>
        <a:xfrm>
          <a:off x="1678513" y="3717349"/>
          <a:ext cx="972912" cy="1278258"/>
        </a:xfrm>
        <a:prstGeom prst="roundRect">
          <a:avLst>
            <a:gd name="adj" fmla="val 10000"/>
          </a:avLst>
        </a:prstGeom>
        <a:solidFill>
          <a:schemeClr val="bg1">
            <a:lumMod val="9500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100000"/>
            </a:lnSpc>
            <a:spcBef>
              <a:spcPct val="0"/>
            </a:spcBef>
            <a:spcAft>
              <a:spcPts val="0"/>
            </a:spcAft>
          </a:pPr>
          <a:r>
            <a:rPr lang="en-GB" sz="1000" b="1" kern="1200">
              <a:solidFill>
                <a:sysClr val="windowText" lastClr="000000"/>
              </a:solidFill>
            </a:rPr>
            <a:t>SO 1.2: To increase the level of coordination in terms of transport safety</a:t>
          </a:r>
          <a:endParaRPr lang="en-US" sz="1000" b="1" kern="1200">
            <a:solidFill>
              <a:sysClr val="windowText" lastClr="000000"/>
            </a:solidFill>
          </a:endParaRPr>
        </a:p>
      </dsp:txBody>
      <dsp:txXfrm>
        <a:off x="1707009" y="3745845"/>
        <a:ext cx="915920" cy="1221266"/>
      </dsp:txXfrm>
    </dsp:sp>
    <dsp:sp modelId="{910ED7F4-0CDE-46B3-8040-EF2F3C702776}">
      <dsp:nvSpPr>
        <dsp:cNvPr id="0" name=""/>
        <dsp:cNvSpPr/>
      </dsp:nvSpPr>
      <dsp:spPr>
        <a:xfrm>
          <a:off x="3354084" y="912388"/>
          <a:ext cx="972912" cy="617799"/>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A9A32415-D5F9-4B4C-9300-0A40C9D69492}">
      <dsp:nvSpPr>
        <dsp:cNvPr id="0" name=""/>
        <dsp:cNvSpPr/>
      </dsp:nvSpPr>
      <dsp:spPr>
        <a:xfrm>
          <a:off x="3462186" y="1015084"/>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6">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Priority Axis 2</a:t>
          </a:r>
        </a:p>
        <a:p>
          <a:pPr lvl="0" algn="ctr" defTabSz="488950">
            <a:lnSpc>
              <a:spcPct val="100000"/>
            </a:lnSpc>
            <a:spcBef>
              <a:spcPct val="0"/>
            </a:spcBef>
            <a:spcAft>
              <a:spcPts val="0"/>
            </a:spcAft>
          </a:pPr>
          <a:r>
            <a:rPr lang="en-US" sz="1100" b="1" kern="1200"/>
            <a:t>A green region</a:t>
          </a:r>
        </a:p>
      </dsp:txBody>
      <dsp:txXfrm>
        <a:off x="3480281" y="1033179"/>
        <a:ext cx="936722" cy="581609"/>
      </dsp:txXfrm>
    </dsp:sp>
    <dsp:sp modelId="{5E2285E4-6F23-4DC8-AD6A-6947D038FE16}">
      <dsp:nvSpPr>
        <dsp:cNvPr id="0" name=""/>
        <dsp:cNvSpPr/>
      </dsp:nvSpPr>
      <dsp:spPr>
        <a:xfrm>
          <a:off x="3354084" y="1813143"/>
          <a:ext cx="972912" cy="617799"/>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0C5D0290-044E-4719-9431-EBC65C2E2B48}">
      <dsp:nvSpPr>
        <dsp:cNvPr id="0" name=""/>
        <dsp:cNvSpPr/>
      </dsp:nvSpPr>
      <dsp:spPr>
        <a:xfrm>
          <a:off x="3462186" y="1915839"/>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TO 6</a:t>
          </a:r>
        </a:p>
      </dsp:txBody>
      <dsp:txXfrm>
        <a:off x="3480281" y="1933934"/>
        <a:ext cx="936722" cy="581609"/>
      </dsp:txXfrm>
    </dsp:sp>
    <dsp:sp modelId="{531C206A-A717-4E35-BF8B-456CBD082343}">
      <dsp:nvSpPr>
        <dsp:cNvPr id="0" name=""/>
        <dsp:cNvSpPr/>
      </dsp:nvSpPr>
      <dsp:spPr>
        <a:xfrm>
          <a:off x="2759527" y="2713897"/>
          <a:ext cx="972912" cy="617799"/>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0E9AA9B9-1378-413C-B0A6-E1C8CCB0CA66}">
      <dsp:nvSpPr>
        <dsp:cNvPr id="0" name=""/>
        <dsp:cNvSpPr/>
      </dsp:nvSpPr>
      <dsp:spPr>
        <a:xfrm>
          <a:off x="2867628" y="2816594"/>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IP 6 c</a:t>
          </a:r>
        </a:p>
      </dsp:txBody>
      <dsp:txXfrm>
        <a:off x="2885723" y="2834689"/>
        <a:ext cx="936722" cy="581609"/>
      </dsp:txXfrm>
    </dsp:sp>
    <dsp:sp modelId="{23A1E6AD-AF6F-4D71-A2AF-AB35FED4AC51}">
      <dsp:nvSpPr>
        <dsp:cNvPr id="0" name=""/>
        <dsp:cNvSpPr/>
      </dsp:nvSpPr>
      <dsp:spPr>
        <a:xfrm>
          <a:off x="2759527" y="3614652"/>
          <a:ext cx="972912" cy="1447553"/>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4FB15BC0-9464-47C4-AA35-779A6FFBD7BA}">
      <dsp:nvSpPr>
        <dsp:cNvPr id="0" name=""/>
        <dsp:cNvSpPr/>
      </dsp:nvSpPr>
      <dsp:spPr>
        <a:xfrm>
          <a:off x="2867628" y="3717349"/>
          <a:ext cx="972912" cy="1447553"/>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100000"/>
            </a:lnSpc>
            <a:spcBef>
              <a:spcPct val="0"/>
            </a:spcBef>
            <a:spcAft>
              <a:spcPts val="0"/>
            </a:spcAft>
          </a:pPr>
          <a:r>
            <a:rPr lang="en-GB" sz="1000" kern="1200"/>
            <a:t>SO 2.1: To improve the protection and sustainable use of natural heritage and resources and cultural heritage</a:t>
          </a:r>
          <a:endParaRPr lang="en-US" sz="1000" b="0" kern="1200"/>
        </a:p>
      </dsp:txBody>
      <dsp:txXfrm>
        <a:off x="2896124" y="3745845"/>
        <a:ext cx="915920" cy="1390561"/>
      </dsp:txXfrm>
    </dsp:sp>
    <dsp:sp modelId="{8F4B5EC7-4E10-4F62-9551-5B62D26927F0}">
      <dsp:nvSpPr>
        <dsp:cNvPr id="0" name=""/>
        <dsp:cNvSpPr/>
      </dsp:nvSpPr>
      <dsp:spPr>
        <a:xfrm>
          <a:off x="3948642" y="2713897"/>
          <a:ext cx="972912" cy="617799"/>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9E04EB92-ACBF-4031-BE19-58F0DBE200C6}">
      <dsp:nvSpPr>
        <dsp:cNvPr id="0" name=""/>
        <dsp:cNvSpPr/>
      </dsp:nvSpPr>
      <dsp:spPr>
        <a:xfrm>
          <a:off x="4056744" y="2816594"/>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IP 6 d</a:t>
          </a:r>
        </a:p>
      </dsp:txBody>
      <dsp:txXfrm>
        <a:off x="4074839" y="2834689"/>
        <a:ext cx="936722" cy="581609"/>
      </dsp:txXfrm>
    </dsp:sp>
    <dsp:sp modelId="{1631BBE5-1F04-4E2A-BCA4-CD27B3980148}">
      <dsp:nvSpPr>
        <dsp:cNvPr id="0" name=""/>
        <dsp:cNvSpPr/>
      </dsp:nvSpPr>
      <dsp:spPr>
        <a:xfrm>
          <a:off x="3948642" y="3614652"/>
          <a:ext cx="972912" cy="1468027"/>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C5B98E4C-2095-41F4-B628-B87E8A4603FA}">
      <dsp:nvSpPr>
        <dsp:cNvPr id="0" name=""/>
        <dsp:cNvSpPr/>
      </dsp:nvSpPr>
      <dsp:spPr>
        <a:xfrm>
          <a:off x="4056744" y="3717349"/>
          <a:ext cx="972912" cy="1468027"/>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100000"/>
            </a:lnSpc>
            <a:spcBef>
              <a:spcPct val="0"/>
            </a:spcBef>
            <a:spcAft>
              <a:spcPts val="0"/>
            </a:spcAft>
          </a:pPr>
          <a:r>
            <a:rPr lang="en-GB" sz="1000" b="1" kern="1200"/>
            <a:t>SO 2.2: To enhance the sustainable management of the ecosystems from the cross-border area </a:t>
          </a:r>
          <a:endParaRPr lang="en-US" sz="1000" b="1" kern="1200"/>
        </a:p>
      </dsp:txBody>
      <dsp:txXfrm>
        <a:off x="4085240" y="3745845"/>
        <a:ext cx="915920" cy="1411035"/>
      </dsp:txXfrm>
    </dsp:sp>
    <dsp:sp modelId="{79DB3B6B-39D0-4D40-A871-C49B4A16C95F}">
      <dsp:nvSpPr>
        <dsp:cNvPr id="0" name=""/>
        <dsp:cNvSpPr/>
      </dsp:nvSpPr>
      <dsp:spPr>
        <a:xfrm>
          <a:off x="5137758" y="912388"/>
          <a:ext cx="972912" cy="617799"/>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36EFCF8E-B013-4111-B514-D9EFB6EB911D}">
      <dsp:nvSpPr>
        <dsp:cNvPr id="0" name=""/>
        <dsp:cNvSpPr/>
      </dsp:nvSpPr>
      <dsp:spPr>
        <a:xfrm>
          <a:off x="5245859" y="1015084"/>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6">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Priority Axis 3</a:t>
          </a:r>
        </a:p>
        <a:p>
          <a:pPr lvl="0" algn="ctr" defTabSz="488950">
            <a:lnSpc>
              <a:spcPct val="100000"/>
            </a:lnSpc>
            <a:spcBef>
              <a:spcPct val="0"/>
            </a:spcBef>
            <a:spcAft>
              <a:spcPts val="0"/>
            </a:spcAft>
          </a:pPr>
          <a:r>
            <a:rPr lang="en-US" sz="1100" b="1" kern="1200"/>
            <a:t>A safe region</a:t>
          </a:r>
        </a:p>
      </dsp:txBody>
      <dsp:txXfrm>
        <a:off x="5263954" y="1033179"/>
        <a:ext cx="936722" cy="581609"/>
      </dsp:txXfrm>
    </dsp:sp>
    <dsp:sp modelId="{D9224746-AAA0-48E0-BE50-F6BCADE4E248}">
      <dsp:nvSpPr>
        <dsp:cNvPr id="0" name=""/>
        <dsp:cNvSpPr/>
      </dsp:nvSpPr>
      <dsp:spPr>
        <a:xfrm>
          <a:off x="5137758" y="1813143"/>
          <a:ext cx="972912" cy="617799"/>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D47A6815-70CD-432B-B08C-9B9E0D7BAAE0}">
      <dsp:nvSpPr>
        <dsp:cNvPr id="0" name=""/>
        <dsp:cNvSpPr/>
      </dsp:nvSpPr>
      <dsp:spPr>
        <a:xfrm>
          <a:off x="5245859" y="1915839"/>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TO 5</a:t>
          </a:r>
        </a:p>
      </dsp:txBody>
      <dsp:txXfrm>
        <a:off x="5263954" y="1933934"/>
        <a:ext cx="936722" cy="581609"/>
      </dsp:txXfrm>
    </dsp:sp>
    <dsp:sp modelId="{A7409F16-C577-4D8D-A960-53C2B2E2E66C}">
      <dsp:nvSpPr>
        <dsp:cNvPr id="0" name=""/>
        <dsp:cNvSpPr/>
      </dsp:nvSpPr>
      <dsp:spPr>
        <a:xfrm>
          <a:off x="5137758" y="2713897"/>
          <a:ext cx="972912" cy="617799"/>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08F21C94-69EF-4ED6-B9D9-702D93001D6F}">
      <dsp:nvSpPr>
        <dsp:cNvPr id="0" name=""/>
        <dsp:cNvSpPr/>
      </dsp:nvSpPr>
      <dsp:spPr>
        <a:xfrm>
          <a:off x="5245859" y="2816594"/>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IP 5 b</a:t>
          </a:r>
        </a:p>
      </dsp:txBody>
      <dsp:txXfrm>
        <a:off x="5263954" y="2834689"/>
        <a:ext cx="936722" cy="581609"/>
      </dsp:txXfrm>
    </dsp:sp>
    <dsp:sp modelId="{3AA1A814-B2B9-4559-9C1F-8BCF8035699A}">
      <dsp:nvSpPr>
        <dsp:cNvPr id="0" name=""/>
        <dsp:cNvSpPr/>
      </dsp:nvSpPr>
      <dsp:spPr>
        <a:xfrm>
          <a:off x="5137758" y="3614652"/>
          <a:ext cx="972912" cy="1155729"/>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D0F3B0C9-D8B5-4559-B32B-F43325351D70}">
      <dsp:nvSpPr>
        <dsp:cNvPr id="0" name=""/>
        <dsp:cNvSpPr/>
      </dsp:nvSpPr>
      <dsp:spPr>
        <a:xfrm>
          <a:off x="5245859" y="3717349"/>
          <a:ext cx="972912" cy="1155729"/>
        </a:xfrm>
        <a:prstGeom prst="roundRect">
          <a:avLst>
            <a:gd name="adj" fmla="val 10000"/>
          </a:avLst>
        </a:prstGeom>
        <a:solidFill>
          <a:schemeClr val="bg1">
            <a:lumMod val="9500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100000"/>
            </a:lnSpc>
            <a:spcBef>
              <a:spcPct val="0"/>
            </a:spcBef>
            <a:spcAft>
              <a:spcPts val="0"/>
            </a:spcAft>
          </a:pPr>
          <a:r>
            <a:rPr lang="en-GB" sz="1000" b="1" kern="1200">
              <a:solidFill>
                <a:sysClr val="windowText" lastClr="000000"/>
              </a:solidFill>
            </a:rPr>
            <a:t>SO 3.1: To improve joint risk management in the cross-border area </a:t>
          </a:r>
          <a:endParaRPr lang="en-US" sz="1000" b="1" kern="1200">
            <a:solidFill>
              <a:sysClr val="windowText" lastClr="000000"/>
            </a:solidFill>
          </a:endParaRPr>
        </a:p>
      </dsp:txBody>
      <dsp:txXfrm>
        <a:off x="5274355" y="3745845"/>
        <a:ext cx="915920" cy="1098737"/>
      </dsp:txXfrm>
    </dsp:sp>
    <dsp:sp modelId="{9E2D0E26-20F5-42BE-B36A-52192D521E27}">
      <dsp:nvSpPr>
        <dsp:cNvPr id="0" name=""/>
        <dsp:cNvSpPr/>
      </dsp:nvSpPr>
      <dsp:spPr>
        <a:xfrm>
          <a:off x="6326873" y="912388"/>
          <a:ext cx="1221939" cy="617799"/>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697B1153-3CA6-4052-9CC8-D599B864E18A}">
      <dsp:nvSpPr>
        <dsp:cNvPr id="0" name=""/>
        <dsp:cNvSpPr/>
      </dsp:nvSpPr>
      <dsp:spPr>
        <a:xfrm>
          <a:off x="6434974" y="1015084"/>
          <a:ext cx="1221939" cy="617799"/>
        </a:xfrm>
        <a:prstGeom prst="roundRect">
          <a:avLst>
            <a:gd name="adj" fmla="val 10000"/>
          </a:avLst>
        </a:prstGeom>
        <a:solidFill>
          <a:schemeClr val="lt1">
            <a:alpha val="90000"/>
            <a:hueOff val="0"/>
            <a:satOff val="0"/>
            <a:lumOff val="0"/>
            <a:alphaOff val="0"/>
          </a:schemeClr>
        </a:solidFill>
        <a:ln w="9525" cap="flat" cmpd="sng" algn="ctr">
          <a:solidFill>
            <a:schemeClr val="accent6">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Priority Axis 4</a:t>
          </a:r>
          <a:br>
            <a:rPr lang="en-US" sz="1100" b="1" kern="1200"/>
          </a:br>
          <a:r>
            <a:rPr lang="en-US" sz="1100" b="1" kern="1200"/>
            <a:t>A </a:t>
          </a:r>
          <a:r>
            <a:rPr lang="en-GB" sz="1100" b="1" kern="1200"/>
            <a:t>skilled and inclusive region</a:t>
          </a:r>
          <a:endParaRPr lang="en-US" sz="1100" b="1" kern="1200"/>
        </a:p>
      </dsp:txBody>
      <dsp:txXfrm>
        <a:off x="6453069" y="1033179"/>
        <a:ext cx="1185749" cy="581609"/>
      </dsp:txXfrm>
    </dsp:sp>
    <dsp:sp modelId="{71988537-8523-424B-877F-BB9FF9850151}">
      <dsp:nvSpPr>
        <dsp:cNvPr id="0" name=""/>
        <dsp:cNvSpPr/>
      </dsp:nvSpPr>
      <dsp:spPr>
        <a:xfrm>
          <a:off x="6451386" y="1813143"/>
          <a:ext cx="972912" cy="617799"/>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269F521E-4A9D-4CAC-9956-C6D5F7749609}">
      <dsp:nvSpPr>
        <dsp:cNvPr id="0" name=""/>
        <dsp:cNvSpPr/>
      </dsp:nvSpPr>
      <dsp:spPr>
        <a:xfrm>
          <a:off x="6559488" y="1915839"/>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TO8</a:t>
          </a:r>
        </a:p>
      </dsp:txBody>
      <dsp:txXfrm>
        <a:off x="6577583" y="1933934"/>
        <a:ext cx="936722" cy="581609"/>
      </dsp:txXfrm>
    </dsp:sp>
    <dsp:sp modelId="{A69E6BA6-AE46-4ACE-AAD3-01A43215EBB4}">
      <dsp:nvSpPr>
        <dsp:cNvPr id="0" name=""/>
        <dsp:cNvSpPr/>
      </dsp:nvSpPr>
      <dsp:spPr>
        <a:xfrm>
          <a:off x="6451386" y="2713897"/>
          <a:ext cx="972912" cy="617799"/>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23C3AF6C-03B3-40EA-ADCA-69EAA454D1DF}">
      <dsp:nvSpPr>
        <dsp:cNvPr id="0" name=""/>
        <dsp:cNvSpPr/>
      </dsp:nvSpPr>
      <dsp:spPr>
        <a:xfrm>
          <a:off x="6559488" y="2816594"/>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IP i</a:t>
          </a:r>
        </a:p>
      </dsp:txBody>
      <dsp:txXfrm>
        <a:off x="6577583" y="2834689"/>
        <a:ext cx="936722" cy="581609"/>
      </dsp:txXfrm>
    </dsp:sp>
    <dsp:sp modelId="{B4C9CBB8-76A4-4EF7-92BB-3B171E478415}">
      <dsp:nvSpPr>
        <dsp:cNvPr id="0" name=""/>
        <dsp:cNvSpPr/>
      </dsp:nvSpPr>
      <dsp:spPr>
        <a:xfrm>
          <a:off x="6451386" y="3614652"/>
          <a:ext cx="972912" cy="1398098"/>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E7998F9A-09AE-4428-A27B-B12071DA61FC}">
      <dsp:nvSpPr>
        <dsp:cNvPr id="0" name=""/>
        <dsp:cNvSpPr/>
      </dsp:nvSpPr>
      <dsp:spPr>
        <a:xfrm>
          <a:off x="6559488" y="3717349"/>
          <a:ext cx="972912" cy="1398098"/>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100000"/>
            </a:lnSpc>
            <a:spcBef>
              <a:spcPct val="0"/>
            </a:spcBef>
            <a:spcAft>
              <a:spcPts val="0"/>
            </a:spcAft>
          </a:pPr>
          <a:r>
            <a:rPr lang="en-GB" sz="1000" b="1" kern="1200"/>
            <a:t>SO 4.1: To encourage the integration of the cross-border area in terms of employment and labour mobility</a:t>
          </a:r>
          <a:endParaRPr lang="en-US" sz="1000" b="1" kern="1200"/>
        </a:p>
      </dsp:txBody>
      <dsp:txXfrm>
        <a:off x="6587984" y="3745845"/>
        <a:ext cx="915920" cy="1341106"/>
      </dsp:txXfrm>
    </dsp:sp>
    <dsp:sp modelId="{53F25D72-2741-4EE7-8AB9-F0C9A23691CF}">
      <dsp:nvSpPr>
        <dsp:cNvPr id="0" name=""/>
        <dsp:cNvSpPr/>
      </dsp:nvSpPr>
      <dsp:spPr>
        <a:xfrm>
          <a:off x="7765015" y="912388"/>
          <a:ext cx="972912" cy="617799"/>
        </a:xfrm>
        <a:prstGeom prst="roundRect">
          <a:avLst>
            <a:gd name="adj" fmla="val 10000"/>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6C46F372-88B2-4648-A76E-FAD0CB08C45E}">
      <dsp:nvSpPr>
        <dsp:cNvPr id="0" name=""/>
        <dsp:cNvSpPr/>
      </dsp:nvSpPr>
      <dsp:spPr>
        <a:xfrm>
          <a:off x="7873117" y="1015084"/>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6">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Priority Axis 5</a:t>
          </a:r>
        </a:p>
        <a:p>
          <a:pPr lvl="0" algn="ctr" defTabSz="488950">
            <a:lnSpc>
              <a:spcPct val="100000"/>
            </a:lnSpc>
            <a:spcBef>
              <a:spcPct val="0"/>
            </a:spcBef>
            <a:spcAft>
              <a:spcPts val="0"/>
            </a:spcAft>
          </a:pPr>
          <a:r>
            <a:rPr lang="en-US" sz="1100" b="1" kern="1200"/>
            <a:t>An efficient region</a:t>
          </a:r>
        </a:p>
      </dsp:txBody>
      <dsp:txXfrm>
        <a:off x="7891212" y="1033179"/>
        <a:ext cx="936722" cy="581609"/>
      </dsp:txXfrm>
    </dsp:sp>
    <dsp:sp modelId="{F8DE3B20-9E1B-42C4-AB74-EF6F2445F0E2}">
      <dsp:nvSpPr>
        <dsp:cNvPr id="0" name=""/>
        <dsp:cNvSpPr/>
      </dsp:nvSpPr>
      <dsp:spPr>
        <a:xfrm>
          <a:off x="7765015" y="1813143"/>
          <a:ext cx="972912" cy="617799"/>
        </a:xfrm>
        <a:prstGeom prst="roundRect">
          <a:avLst>
            <a:gd name="adj" fmla="val 10000"/>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5747D47C-AF2A-4236-A6AF-FC6CA9B47CC5}">
      <dsp:nvSpPr>
        <dsp:cNvPr id="0" name=""/>
        <dsp:cNvSpPr/>
      </dsp:nvSpPr>
      <dsp:spPr>
        <a:xfrm>
          <a:off x="7873117" y="1915839"/>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1">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TO1 1</a:t>
          </a:r>
        </a:p>
      </dsp:txBody>
      <dsp:txXfrm>
        <a:off x="7891212" y="1933934"/>
        <a:ext cx="936722" cy="581609"/>
      </dsp:txXfrm>
    </dsp:sp>
    <dsp:sp modelId="{78516F67-712F-4BA0-A4F4-EB6DB70F6B4A}">
      <dsp:nvSpPr>
        <dsp:cNvPr id="0" name=""/>
        <dsp:cNvSpPr/>
      </dsp:nvSpPr>
      <dsp:spPr>
        <a:xfrm>
          <a:off x="7765015" y="2713897"/>
          <a:ext cx="972912" cy="617799"/>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F2D5E7CE-EE25-4677-9493-01B9913C0CEA}">
      <dsp:nvSpPr>
        <dsp:cNvPr id="0" name=""/>
        <dsp:cNvSpPr/>
      </dsp:nvSpPr>
      <dsp:spPr>
        <a:xfrm>
          <a:off x="7873117" y="2816594"/>
          <a:ext cx="972912" cy="617799"/>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41910" tIns="41910" rIns="41910" bIns="41910" numCol="1" spcCol="1270" anchor="ctr" anchorCtr="0">
          <a:noAutofit/>
        </a:bodyPr>
        <a:lstStyle/>
        <a:p>
          <a:pPr lvl="0" algn="ctr" defTabSz="488950">
            <a:lnSpc>
              <a:spcPct val="100000"/>
            </a:lnSpc>
            <a:spcBef>
              <a:spcPct val="0"/>
            </a:spcBef>
            <a:spcAft>
              <a:spcPts val="0"/>
            </a:spcAft>
          </a:pPr>
          <a:r>
            <a:rPr lang="en-US" sz="1100" b="1" kern="1200"/>
            <a:t>IP  iv</a:t>
          </a:r>
        </a:p>
      </dsp:txBody>
      <dsp:txXfrm>
        <a:off x="7891212" y="2834689"/>
        <a:ext cx="936722" cy="581609"/>
      </dsp:txXfrm>
    </dsp:sp>
    <dsp:sp modelId="{0532C248-404A-4A92-8FA8-B5A279207D8A}">
      <dsp:nvSpPr>
        <dsp:cNvPr id="0" name=""/>
        <dsp:cNvSpPr/>
      </dsp:nvSpPr>
      <dsp:spPr>
        <a:xfrm>
          <a:off x="7765015" y="3614652"/>
          <a:ext cx="972912" cy="1519292"/>
        </a:xfrm>
        <a:prstGeom prst="roundRect">
          <a:avLst>
            <a:gd name="adj" fmla="val 10000"/>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sp>
    <dsp:sp modelId="{02943C76-B448-4084-AA65-A7587B36ED8B}">
      <dsp:nvSpPr>
        <dsp:cNvPr id="0" name=""/>
        <dsp:cNvSpPr/>
      </dsp:nvSpPr>
      <dsp:spPr>
        <a:xfrm>
          <a:off x="7873117" y="3717349"/>
          <a:ext cx="972912" cy="1519292"/>
        </a:xfrm>
        <a:prstGeom prst="roundRect">
          <a:avLst>
            <a:gd name="adj" fmla="val 10000"/>
          </a:avLst>
        </a:prstGeom>
        <a:solidFill>
          <a:schemeClr val="lt1">
            <a:alpha val="90000"/>
            <a:hueOff val="0"/>
            <a:satOff val="0"/>
            <a:lumOff val="0"/>
            <a:alphaOff val="0"/>
          </a:schemeClr>
        </a:solidFill>
        <a:ln w="9525" cap="flat" cmpd="sng" algn="ctr">
          <a:solidFill>
            <a:schemeClr val="accent2">
              <a:hueOff val="0"/>
              <a:satOff val="0"/>
              <a:lumOff val="0"/>
              <a:alphaOff val="0"/>
            </a:schemeClr>
          </a:solidFill>
          <a:prstDash val="solid"/>
        </a:ln>
        <a:effectLst/>
      </dsp:spPr>
      <dsp:style>
        <a:lnRef idx="1">
          <a:scrgbClr r="0" g="0" b="0"/>
        </a:lnRef>
        <a:fillRef idx="1">
          <a:scrgbClr r="0" g="0" b="0"/>
        </a:fillRef>
        <a:effectRef idx="0">
          <a:scrgbClr r="0" g="0" b="0"/>
        </a:effectRef>
        <a:fontRef idx="minor"/>
      </dsp:style>
      <dsp:txBody>
        <a:bodyPr spcFirstLastPara="0" vert="horz" wrap="square" lIns="38100" tIns="38100" rIns="38100" bIns="38100" numCol="1" spcCol="1270" anchor="ctr" anchorCtr="0">
          <a:noAutofit/>
        </a:bodyPr>
        <a:lstStyle/>
        <a:p>
          <a:pPr lvl="0" algn="ctr" defTabSz="444500">
            <a:lnSpc>
              <a:spcPct val="100000"/>
            </a:lnSpc>
            <a:spcBef>
              <a:spcPct val="0"/>
            </a:spcBef>
            <a:spcAft>
              <a:spcPts val="0"/>
            </a:spcAft>
          </a:pPr>
          <a:r>
            <a:rPr lang="en-GB" sz="1000" b="1" kern="1200"/>
            <a:t>SO 5.1: To increase cooperation capacity and the efficiency of public administrations in a CBC context</a:t>
          </a:r>
          <a:endParaRPr lang="en-US" sz="1000" b="1" kern="1200"/>
        </a:p>
      </dsp:txBody>
      <dsp:txXfrm>
        <a:off x="7901613" y="3745845"/>
        <a:ext cx="915920" cy="146230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AE2AD7B-9860-7645-AFB8-54BED19F52EF}">
      <dsp:nvSpPr>
        <dsp:cNvPr id="0" name=""/>
        <dsp:cNvSpPr/>
      </dsp:nvSpPr>
      <dsp:spPr>
        <a:xfrm>
          <a:off x="850150" y="322"/>
          <a:ext cx="1802903" cy="1081742"/>
        </a:xfrm>
        <a:prstGeom prst="rect">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i="1" kern="1200"/>
            <a:t>1) No new institutions: </a:t>
          </a:r>
          <a:r>
            <a:rPr lang="en-GB" sz="1100" i="1" kern="1200"/>
            <a:t>The strategies must be implemented by the existing organisations within the concerned regions.</a:t>
          </a:r>
          <a:endParaRPr lang="en-US" sz="1100" kern="1200"/>
        </a:p>
      </dsp:txBody>
      <dsp:txXfrm>
        <a:off x="850150" y="322"/>
        <a:ext cx="1802903" cy="1081742"/>
      </dsp:txXfrm>
    </dsp:sp>
    <dsp:sp modelId="{62999295-5AC8-354A-B0BB-5F888651C2A6}">
      <dsp:nvSpPr>
        <dsp:cNvPr id="0" name=""/>
        <dsp:cNvSpPr/>
      </dsp:nvSpPr>
      <dsp:spPr>
        <a:xfrm>
          <a:off x="2833345" y="322"/>
          <a:ext cx="1802903" cy="1081742"/>
        </a:xfrm>
        <a:prstGeom prst="rect">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i="1" kern="1200"/>
            <a:t>2) No new legislation: </a:t>
          </a:r>
          <a:r>
            <a:rPr lang="en-GB" sz="1100" i="1" kern="1200"/>
            <a:t>The “No new legislation” principle is for better linking and coordination of existing policies and also for improving cooperation between different sectors.</a:t>
          </a:r>
          <a:endParaRPr lang="en-US" sz="1100" kern="1200"/>
        </a:p>
      </dsp:txBody>
      <dsp:txXfrm>
        <a:off x="2833345" y="322"/>
        <a:ext cx="1802903" cy="1081742"/>
      </dsp:txXfrm>
    </dsp:sp>
    <dsp:sp modelId="{0A8C7CEA-AA55-3742-A92D-DB5F146CD3E4}">
      <dsp:nvSpPr>
        <dsp:cNvPr id="0" name=""/>
        <dsp:cNvSpPr/>
      </dsp:nvSpPr>
      <dsp:spPr>
        <a:xfrm>
          <a:off x="914397" y="1262355"/>
          <a:ext cx="3657605" cy="1081742"/>
        </a:xfrm>
        <a:prstGeom prst="rect">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en-GB" sz="1100" b="1" i="1" kern="1200"/>
            <a:t>3) No new funding: </a:t>
          </a:r>
          <a:r>
            <a:rPr lang="en-GB" sz="1100" i="1" kern="1200"/>
            <a:t>No new funding has been allocated to the existing EU macro-regional strategies. The principle of “no new funding” requires a better alignment of funding from several existing sources (European Union, national, regional and/or local, public and/or private, established under diverse policy themes and territories), and more efficient use of existing funding available.</a:t>
          </a:r>
          <a:endParaRPr lang="en-US" sz="1100" kern="1200"/>
        </a:p>
      </dsp:txBody>
      <dsp:txXfrm>
        <a:off x="914397" y="1262355"/>
        <a:ext cx="3657605" cy="1081742"/>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default#1">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17E9BD-CD94-483C-976C-013E79575600}">
  <ds:schemaRefs>
    <ds:schemaRef ds:uri="http://schemas.openxmlformats.org/officeDocument/2006/bibliography"/>
  </ds:schemaRefs>
</ds:datastoreItem>
</file>

<file path=customXml/itemProps10.xml><?xml version="1.0" encoding="utf-8"?>
<ds:datastoreItem xmlns:ds="http://schemas.openxmlformats.org/officeDocument/2006/customXml" ds:itemID="{AE0FCAF1-EB8B-4D32-B105-5F339DEA2FEA}">
  <ds:schemaRefs>
    <ds:schemaRef ds:uri="http://schemas.openxmlformats.org/officeDocument/2006/bibliography"/>
  </ds:schemaRefs>
</ds:datastoreItem>
</file>

<file path=customXml/itemProps11.xml><?xml version="1.0" encoding="utf-8"?>
<ds:datastoreItem xmlns:ds="http://schemas.openxmlformats.org/officeDocument/2006/customXml" ds:itemID="{2683249B-89BC-40A5-9513-74C954856A2D}">
  <ds:schemaRefs>
    <ds:schemaRef ds:uri="http://schemas.openxmlformats.org/officeDocument/2006/bibliography"/>
  </ds:schemaRefs>
</ds:datastoreItem>
</file>

<file path=customXml/itemProps12.xml><?xml version="1.0" encoding="utf-8"?>
<ds:datastoreItem xmlns:ds="http://schemas.openxmlformats.org/officeDocument/2006/customXml" ds:itemID="{5E49D496-B2F4-40A9-BCDF-7F004FE11113}">
  <ds:schemaRefs>
    <ds:schemaRef ds:uri="http://schemas.openxmlformats.org/officeDocument/2006/bibliography"/>
  </ds:schemaRefs>
</ds:datastoreItem>
</file>

<file path=customXml/itemProps2.xml><?xml version="1.0" encoding="utf-8"?>
<ds:datastoreItem xmlns:ds="http://schemas.openxmlformats.org/officeDocument/2006/customXml" ds:itemID="{D26DD552-1A0D-4209-833D-1525D959F9D2}">
  <ds:schemaRefs>
    <ds:schemaRef ds:uri="http://schemas.openxmlformats.org/officeDocument/2006/bibliography"/>
  </ds:schemaRefs>
</ds:datastoreItem>
</file>

<file path=customXml/itemProps3.xml><?xml version="1.0" encoding="utf-8"?>
<ds:datastoreItem xmlns:ds="http://schemas.openxmlformats.org/officeDocument/2006/customXml" ds:itemID="{D9DAD1D5-A2A4-42EA-9174-DC40802B3C65}">
  <ds:schemaRefs>
    <ds:schemaRef ds:uri="http://schemas.openxmlformats.org/officeDocument/2006/bibliography"/>
  </ds:schemaRefs>
</ds:datastoreItem>
</file>

<file path=customXml/itemProps4.xml><?xml version="1.0" encoding="utf-8"?>
<ds:datastoreItem xmlns:ds="http://schemas.openxmlformats.org/officeDocument/2006/customXml" ds:itemID="{9B93E721-5635-46B3-AF38-0D0AA2EFF202}">
  <ds:schemaRefs>
    <ds:schemaRef ds:uri="http://schemas.openxmlformats.org/officeDocument/2006/bibliography"/>
  </ds:schemaRefs>
</ds:datastoreItem>
</file>

<file path=customXml/itemProps5.xml><?xml version="1.0" encoding="utf-8"?>
<ds:datastoreItem xmlns:ds="http://schemas.openxmlformats.org/officeDocument/2006/customXml" ds:itemID="{90C32A28-3478-4BF6-A49A-7C5205AAE719}">
  <ds:schemaRefs>
    <ds:schemaRef ds:uri="http://schemas.openxmlformats.org/officeDocument/2006/bibliography"/>
  </ds:schemaRefs>
</ds:datastoreItem>
</file>

<file path=customXml/itemProps6.xml><?xml version="1.0" encoding="utf-8"?>
<ds:datastoreItem xmlns:ds="http://schemas.openxmlformats.org/officeDocument/2006/customXml" ds:itemID="{F3341AE0-7820-4AA5-81A4-95EFA967D84F}">
  <ds:schemaRefs>
    <ds:schemaRef ds:uri="http://schemas.openxmlformats.org/officeDocument/2006/bibliography"/>
  </ds:schemaRefs>
</ds:datastoreItem>
</file>

<file path=customXml/itemProps7.xml><?xml version="1.0" encoding="utf-8"?>
<ds:datastoreItem xmlns:ds="http://schemas.openxmlformats.org/officeDocument/2006/customXml" ds:itemID="{E5FA102C-7BE3-4A1D-B685-C41127174CBB}">
  <ds:schemaRefs>
    <ds:schemaRef ds:uri="http://schemas.openxmlformats.org/officeDocument/2006/bibliography"/>
  </ds:schemaRefs>
</ds:datastoreItem>
</file>

<file path=customXml/itemProps8.xml><?xml version="1.0" encoding="utf-8"?>
<ds:datastoreItem xmlns:ds="http://schemas.openxmlformats.org/officeDocument/2006/customXml" ds:itemID="{B4B24CF2-05AA-4FB4-8D54-9B6C2A562631}">
  <ds:schemaRefs>
    <ds:schemaRef ds:uri="http://schemas.openxmlformats.org/officeDocument/2006/bibliography"/>
  </ds:schemaRefs>
</ds:datastoreItem>
</file>

<file path=customXml/itemProps9.xml><?xml version="1.0" encoding="utf-8"?>
<ds:datastoreItem xmlns:ds="http://schemas.openxmlformats.org/officeDocument/2006/customXml" ds:itemID="{4D0ACCD3-4FD9-4692-9D16-086271410B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265</TotalTime>
  <Pages>283</Pages>
  <Words>66737</Words>
  <Characters>380402</Characters>
  <Application>Microsoft Office Word</Application>
  <DocSecurity>0</DocSecurity>
  <Lines>3170</Lines>
  <Paragraphs>892</Paragraphs>
  <ScaleCrop>false</ScaleCrop>
  <HeadingPairs>
    <vt:vector size="6" baseType="variant">
      <vt:variant>
        <vt:lpstr>Title</vt:lpstr>
      </vt:variant>
      <vt:variant>
        <vt:i4>1</vt:i4>
      </vt:variant>
      <vt:variant>
        <vt:lpstr>Cím</vt:lpstr>
      </vt:variant>
      <vt:variant>
        <vt:i4>1</vt:i4>
      </vt:variant>
      <vt:variant>
        <vt:lpstr>Titre</vt:lpstr>
      </vt:variant>
      <vt:variant>
        <vt:i4>1</vt:i4>
      </vt:variant>
    </vt:vector>
  </HeadingPairs>
  <TitlesOfParts>
    <vt:vector size="3" baseType="lpstr">
      <vt:lpstr/>
      <vt:lpstr/>
      <vt:lpstr/>
    </vt:vector>
  </TitlesOfParts>
  <Company>SNCF</Company>
  <LinksUpToDate>false</LinksUpToDate>
  <CharactersWithSpaces>446247</CharactersWithSpaces>
  <SharedDoc>false</SharedDoc>
  <HLinks>
    <vt:vector size="1362" baseType="variant">
      <vt:variant>
        <vt:i4>1900592</vt:i4>
      </vt:variant>
      <vt:variant>
        <vt:i4>1850</vt:i4>
      </vt:variant>
      <vt:variant>
        <vt:i4>0</vt:i4>
      </vt:variant>
      <vt:variant>
        <vt:i4>5</vt:i4>
      </vt:variant>
      <vt:variant>
        <vt:lpwstr/>
      </vt:variant>
      <vt:variant>
        <vt:lpwstr>_Toc373793999</vt:lpwstr>
      </vt:variant>
      <vt:variant>
        <vt:i4>1900592</vt:i4>
      </vt:variant>
      <vt:variant>
        <vt:i4>1844</vt:i4>
      </vt:variant>
      <vt:variant>
        <vt:i4>0</vt:i4>
      </vt:variant>
      <vt:variant>
        <vt:i4>5</vt:i4>
      </vt:variant>
      <vt:variant>
        <vt:lpwstr/>
      </vt:variant>
      <vt:variant>
        <vt:lpwstr>_Toc373793998</vt:lpwstr>
      </vt:variant>
      <vt:variant>
        <vt:i4>1900592</vt:i4>
      </vt:variant>
      <vt:variant>
        <vt:i4>1838</vt:i4>
      </vt:variant>
      <vt:variant>
        <vt:i4>0</vt:i4>
      </vt:variant>
      <vt:variant>
        <vt:i4>5</vt:i4>
      </vt:variant>
      <vt:variant>
        <vt:lpwstr/>
      </vt:variant>
      <vt:variant>
        <vt:lpwstr>_Toc373793997</vt:lpwstr>
      </vt:variant>
      <vt:variant>
        <vt:i4>1900592</vt:i4>
      </vt:variant>
      <vt:variant>
        <vt:i4>1832</vt:i4>
      </vt:variant>
      <vt:variant>
        <vt:i4>0</vt:i4>
      </vt:variant>
      <vt:variant>
        <vt:i4>5</vt:i4>
      </vt:variant>
      <vt:variant>
        <vt:lpwstr/>
      </vt:variant>
      <vt:variant>
        <vt:lpwstr>_Toc373793996</vt:lpwstr>
      </vt:variant>
      <vt:variant>
        <vt:i4>1900592</vt:i4>
      </vt:variant>
      <vt:variant>
        <vt:i4>1826</vt:i4>
      </vt:variant>
      <vt:variant>
        <vt:i4>0</vt:i4>
      </vt:variant>
      <vt:variant>
        <vt:i4>5</vt:i4>
      </vt:variant>
      <vt:variant>
        <vt:lpwstr/>
      </vt:variant>
      <vt:variant>
        <vt:lpwstr>_Toc373793995</vt:lpwstr>
      </vt:variant>
      <vt:variant>
        <vt:i4>1900592</vt:i4>
      </vt:variant>
      <vt:variant>
        <vt:i4>1820</vt:i4>
      </vt:variant>
      <vt:variant>
        <vt:i4>0</vt:i4>
      </vt:variant>
      <vt:variant>
        <vt:i4>5</vt:i4>
      </vt:variant>
      <vt:variant>
        <vt:lpwstr/>
      </vt:variant>
      <vt:variant>
        <vt:lpwstr>_Toc373793994</vt:lpwstr>
      </vt:variant>
      <vt:variant>
        <vt:i4>1900592</vt:i4>
      </vt:variant>
      <vt:variant>
        <vt:i4>1814</vt:i4>
      </vt:variant>
      <vt:variant>
        <vt:i4>0</vt:i4>
      </vt:variant>
      <vt:variant>
        <vt:i4>5</vt:i4>
      </vt:variant>
      <vt:variant>
        <vt:lpwstr/>
      </vt:variant>
      <vt:variant>
        <vt:lpwstr>_Toc373793993</vt:lpwstr>
      </vt:variant>
      <vt:variant>
        <vt:i4>1900592</vt:i4>
      </vt:variant>
      <vt:variant>
        <vt:i4>1808</vt:i4>
      </vt:variant>
      <vt:variant>
        <vt:i4>0</vt:i4>
      </vt:variant>
      <vt:variant>
        <vt:i4>5</vt:i4>
      </vt:variant>
      <vt:variant>
        <vt:lpwstr/>
      </vt:variant>
      <vt:variant>
        <vt:lpwstr>_Toc373793992</vt:lpwstr>
      </vt:variant>
      <vt:variant>
        <vt:i4>1900592</vt:i4>
      </vt:variant>
      <vt:variant>
        <vt:i4>1802</vt:i4>
      </vt:variant>
      <vt:variant>
        <vt:i4>0</vt:i4>
      </vt:variant>
      <vt:variant>
        <vt:i4>5</vt:i4>
      </vt:variant>
      <vt:variant>
        <vt:lpwstr/>
      </vt:variant>
      <vt:variant>
        <vt:lpwstr>_Toc373793991</vt:lpwstr>
      </vt:variant>
      <vt:variant>
        <vt:i4>1900592</vt:i4>
      </vt:variant>
      <vt:variant>
        <vt:i4>1796</vt:i4>
      </vt:variant>
      <vt:variant>
        <vt:i4>0</vt:i4>
      </vt:variant>
      <vt:variant>
        <vt:i4>5</vt:i4>
      </vt:variant>
      <vt:variant>
        <vt:lpwstr/>
      </vt:variant>
      <vt:variant>
        <vt:lpwstr>_Toc373793990</vt:lpwstr>
      </vt:variant>
      <vt:variant>
        <vt:i4>1835056</vt:i4>
      </vt:variant>
      <vt:variant>
        <vt:i4>1790</vt:i4>
      </vt:variant>
      <vt:variant>
        <vt:i4>0</vt:i4>
      </vt:variant>
      <vt:variant>
        <vt:i4>5</vt:i4>
      </vt:variant>
      <vt:variant>
        <vt:lpwstr/>
      </vt:variant>
      <vt:variant>
        <vt:lpwstr>_Toc373793989</vt:lpwstr>
      </vt:variant>
      <vt:variant>
        <vt:i4>1835056</vt:i4>
      </vt:variant>
      <vt:variant>
        <vt:i4>1784</vt:i4>
      </vt:variant>
      <vt:variant>
        <vt:i4>0</vt:i4>
      </vt:variant>
      <vt:variant>
        <vt:i4>5</vt:i4>
      </vt:variant>
      <vt:variant>
        <vt:lpwstr/>
      </vt:variant>
      <vt:variant>
        <vt:lpwstr>_Toc373793988</vt:lpwstr>
      </vt:variant>
      <vt:variant>
        <vt:i4>1835056</vt:i4>
      </vt:variant>
      <vt:variant>
        <vt:i4>1778</vt:i4>
      </vt:variant>
      <vt:variant>
        <vt:i4>0</vt:i4>
      </vt:variant>
      <vt:variant>
        <vt:i4>5</vt:i4>
      </vt:variant>
      <vt:variant>
        <vt:lpwstr/>
      </vt:variant>
      <vt:variant>
        <vt:lpwstr>_Toc373793987</vt:lpwstr>
      </vt:variant>
      <vt:variant>
        <vt:i4>1835056</vt:i4>
      </vt:variant>
      <vt:variant>
        <vt:i4>1772</vt:i4>
      </vt:variant>
      <vt:variant>
        <vt:i4>0</vt:i4>
      </vt:variant>
      <vt:variant>
        <vt:i4>5</vt:i4>
      </vt:variant>
      <vt:variant>
        <vt:lpwstr/>
      </vt:variant>
      <vt:variant>
        <vt:lpwstr>_Toc373793986</vt:lpwstr>
      </vt:variant>
      <vt:variant>
        <vt:i4>1835056</vt:i4>
      </vt:variant>
      <vt:variant>
        <vt:i4>1766</vt:i4>
      </vt:variant>
      <vt:variant>
        <vt:i4>0</vt:i4>
      </vt:variant>
      <vt:variant>
        <vt:i4>5</vt:i4>
      </vt:variant>
      <vt:variant>
        <vt:lpwstr/>
      </vt:variant>
      <vt:variant>
        <vt:lpwstr>_Toc373793985</vt:lpwstr>
      </vt:variant>
      <vt:variant>
        <vt:i4>1835056</vt:i4>
      </vt:variant>
      <vt:variant>
        <vt:i4>1760</vt:i4>
      </vt:variant>
      <vt:variant>
        <vt:i4>0</vt:i4>
      </vt:variant>
      <vt:variant>
        <vt:i4>5</vt:i4>
      </vt:variant>
      <vt:variant>
        <vt:lpwstr/>
      </vt:variant>
      <vt:variant>
        <vt:lpwstr>_Toc373793984</vt:lpwstr>
      </vt:variant>
      <vt:variant>
        <vt:i4>1835056</vt:i4>
      </vt:variant>
      <vt:variant>
        <vt:i4>1754</vt:i4>
      </vt:variant>
      <vt:variant>
        <vt:i4>0</vt:i4>
      </vt:variant>
      <vt:variant>
        <vt:i4>5</vt:i4>
      </vt:variant>
      <vt:variant>
        <vt:lpwstr/>
      </vt:variant>
      <vt:variant>
        <vt:lpwstr>_Toc373793983</vt:lpwstr>
      </vt:variant>
      <vt:variant>
        <vt:i4>1835056</vt:i4>
      </vt:variant>
      <vt:variant>
        <vt:i4>1748</vt:i4>
      </vt:variant>
      <vt:variant>
        <vt:i4>0</vt:i4>
      </vt:variant>
      <vt:variant>
        <vt:i4>5</vt:i4>
      </vt:variant>
      <vt:variant>
        <vt:lpwstr/>
      </vt:variant>
      <vt:variant>
        <vt:lpwstr>_Toc373793982</vt:lpwstr>
      </vt:variant>
      <vt:variant>
        <vt:i4>1835056</vt:i4>
      </vt:variant>
      <vt:variant>
        <vt:i4>1742</vt:i4>
      </vt:variant>
      <vt:variant>
        <vt:i4>0</vt:i4>
      </vt:variant>
      <vt:variant>
        <vt:i4>5</vt:i4>
      </vt:variant>
      <vt:variant>
        <vt:lpwstr/>
      </vt:variant>
      <vt:variant>
        <vt:lpwstr>_Toc373793981</vt:lpwstr>
      </vt:variant>
      <vt:variant>
        <vt:i4>1835056</vt:i4>
      </vt:variant>
      <vt:variant>
        <vt:i4>1736</vt:i4>
      </vt:variant>
      <vt:variant>
        <vt:i4>0</vt:i4>
      </vt:variant>
      <vt:variant>
        <vt:i4>5</vt:i4>
      </vt:variant>
      <vt:variant>
        <vt:lpwstr/>
      </vt:variant>
      <vt:variant>
        <vt:lpwstr>_Toc373793980</vt:lpwstr>
      </vt:variant>
      <vt:variant>
        <vt:i4>1245232</vt:i4>
      </vt:variant>
      <vt:variant>
        <vt:i4>1730</vt:i4>
      </vt:variant>
      <vt:variant>
        <vt:i4>0</vt:i4>
      </vt:variant>
      <vt:variant>
        <vt:i4>5</vt:i4>
      </vt:variant>
      <vt:variant>
        <vt:lpwstr/>
      </vt:variant>
      <vt:variant>
        <vt:lpwstr>_Toc373793979</vt:lpwstr>
      </vt:variant>
      <vt:variant>
        <vt:i4>1245232</vt:i4>
      </vt:variant>
      <vt:variant>
        <vt:i4>1724</vt:i4>
      </vt:variant>
      <vt:variant>
        <vt:i4>0</vt:i4>
      </vt:variant>
      <vt:variant>
        <vt:i4>5</vt:i4>
      </vt:variant>
      <vt:variant>
        <vt:lpwstr/>
      </vt:variant>
      <vt:variant>
        <vt:lpwstr>_Toc373793978</vt:lpwstr>
      </vt:variant>
      <vt:variant>
        <vt:i4>1245232</vt:i4>
      </vt:variant>
      <vt:variant>
        <vt:i4>1718</vt:i4>
      </vt:variant>
      <vt:variant>
        <vt:i4>0</vt:i4>
      </vt:variant>
      <vt:variant>
        <vt:i4>5</vt:i4>
      </vt:variant>
      <vt:variant>
        <vt:lpwstr/>
      </vt:variant>
      <vt:variant>
        <vt:lpwstr>_Toc373793977</vt:lpwstr>
      </vt:variant>
      <vt:variant>
        <vt:i4>1245232</vt:i4>
      </vt:variant>
      <vt:variant>
        <vt:i4>1712</vt:i4>
      </vt:variant>
      <vt:variant>
        <vt:i4>0</vt:i4>
      </vt:variant>
      <vt:variant>
        <vt:i4>5</vt:i4>
      </vt:variant>
      <vt:variant>
        <vt:lpwstr/>
      </vt:variant>
      <vt:variant>
        <vt:lpwstr>_Toc373793976</vt:lpwstr>
      </vt:variant>
      <vt:variant>
        <vt:i4>1245232</vt:i4>
      </vt:variant>
      <vt:variant>
        <vt:i4>1706</vt:i4>
      </vt:variant>
      <vt:variant>
        <vt:i4>0</vt:i4>
      </vt:variant>
      <vt:variant>
        <vt:i4>5</vt:i4>
      </vt:variant>
      <vt:variant>
        <vt:lpwstr/>
      </vt:variant>
      <vt:variant>
        <vt:lpwstr>_Toc373793975</vt:lpwstr>
      </vt:variant>
      <vt:variant>
        <vt:i4>1245232</vt:i4>
      </vt:variant>
      <vt:variant>
        <vt:i4>1700</vt:i4>
      </vt:variant>
      <vt:variant>
        <vt:i4>0</vt:i4>
      </vt:variant>
      <vt:variant>
        <vt:i4>5</vt:i4>
      </vt:variant>
      <vt:variant>
        <vt:lpwstr/>
      </vt:variant>
      <vt:variant>
        <vt:lpwstr>_Toc373793974</vt:lpwstr>
      </vt:variant>
      <vt:variant>
        <vt:i4>1245232</vt:i4>
      </vt:variant>
      <vt:variant>
        <vt:i4>1694</vt:i4>
      </vt:variant>
      <vt:variant>
        <vt:i4>0</vt:i4>
      </vt:variant>
      <vt:variant>
        <vt:i4>5</vt:i4>
      </vt:variant>
      <vt:variant>
        <vt:lpwstr/>
      </vt:variant>
      <vt:variant>
        <vt:lpwstr>_Toc373793973</vt:lpwstr>
      </vt:variant>
      <vt:variant>
        <vt:i4>1245232</vt:i4>
      </vt:variant>
      <vt:variant>
        <vt:i4>1688</vt:i4>
      </vt:variant>
      <vt:variant>
        <vt:i4>0</vt:i4>
      </vt:variant>
      <vt:variant>
        <vt:i4>5</vt:i4>
      </vt:variant>
      <vt:variant>
        <vt:lpwstr/>
      </vt:variant>
      <vt:variant>
        <vt:lpwstr>_Toc373793972</vt:lpwstr>
      </vt:variant>
      <vt:variant>
        <vt:i4>1245232</vt:i4>
      </vt:variant>
      <vt:variant>
        <vt:i4>1682</vt:i4>
      </vt:variant>
      <vt:variant>
        <vt:i4>0</vt:i4>
      </vt:variant>
      <vt:variant>
        <vt:i4>5</vt:i4>
      </vt:variant>
      <vt:variant>
        <vt:lpwstr/>
      </vt:variant>
      <vt:variant>
        <vt:lpwstr>_Toc373793971</vt:lpwstr>
      </vt:variant>
      <vt:variant>
        <vt:i4>1245232</vt:i4>
      </vt:variant>
      <vt:variant>
        <vt:i4>1676</vt:i4>
      </vt:variant>
      <vt:variant>
        <vt:i4>0</vt:i4>
      </vt:variant>
      <vt:variant>
        <vt:i4>5</vt:i4>
      </vt:variant>
      <vt:variant>
        <vt:lpwstr/>
      </vt:variant>
      <vt:variant>
        <vt:lpwstr>_Toc373793970</vt:lpwstr>
      </vt:variant>
      <vt:variant>
        <vt:i4>1179696</vt:i4>
      </vt:variant>
      <vt:variant>
        <vt:i4>1670</vt:i4>
      </vt:variant>
      <vt:variant>
        <vt:i4>0</vt:i4>
      </vt:variant>
      <vt:variant>
        <vt:i4>5</vt:i4>
      </vt:variant>
      <vt:variant>
        <vt:lpwstr/>
      </vt:variant>
      <vt:variant>
        <vt:lpwstr>_Toc373793969</vt:lpwstr>
      </vt:variant>
      <vt:variant>
        <vt:i4>1179696</vt:i4>
      </vt:variant>
      <vt:variant>
        <vt:i4>1664</vt:i4>
      </vt:variant>
      <vt:variant>
        <vt:i4>0</vt:i4>
      </vt:variant>
      <vt:variant>
        <vt:i4>5</vt:i4>
      </vt:variant>
      <vt:variant>
        <vt:lpwstr/>
      </vt:variant>
      <vt:variant>
        <vt:lpwstr>_Toc373793968</vt:lpwstr>
      </vt:variant>
      <vt:variant>
        <vt:i4>1179696</vt:i4>
      </vt:variant>
      <vt:variant>
        <vt:i4>1658</vt:i4>
      </vt:variant>
      <vt:variant>
        <vt:i4>0</vt:i4>
      </vt:variant>
      <vt:variant>
        <vt:i4>5</vt:i4>
      </vt:variant>
      <vt:variant>
        <vt:lpwstr/>
      </vt:variant>
      <vt:variant>
        <vt:lpwstr>_Toc373793967</vt:lpwstr>
      </vt:variant>
      <vt:variant>
        <vt:i4>1179696</vt:i4>
      </vt:variant>
      <vt:variant>
        <vt:i4>1652</vt:i4>
      </vt:variant>
      <vt:variant>
        <vt:i4>0</vt:i4>
      </vt:variant>
      <vt:variant>
        <vt:i4>5</vt:i4>
      </vt:variant>
      <vt:variant>
        <vt:lpwstr/>
      </vt:variant>
      <vt:variant>
        <vt:lpwstr>_Toc373793966</vt:lpwstr>
      </vt:variant>
      <vt:variant>
        <vt:i4>1179696</vt:i4>
      </vt:variant>
      <vt:variant>
        <vt:i4>1646</vt:i4>
      </vt:variant>
      <vt:variant>
        <vt:i4>0</vt:i4>
      </vt:variant>
      <vt:variant>
        <vt:i4>5</vt:i4>
      </vt:variant>
      <vt:variant>
        <vt:lpwstr/>
      </vt:variant>
      <vt:variant>
        <vt:lpwstr>_Toc373793965</vt:lpwstr>
      </vt:variant>
      <vt:variant>
        <vt:i4>1179696</vt:i4>
      </vt:variant>
      <vt:variant>
        <vt:i4>1640</vt:i4>
      </vt:variant>
      <vt:variant>
        <vt:i4>0</vt:i4>
      </vt:variant>
      <vt:variant>
        <vt:i4>5</vt:i4>
      </vt:variant>
      <vt:variant>
        <vt:lpwstr/>
      </vt:variant>
      <vt:variant>
        <vt:lpwstr>_Toc373793964</vt:lpwstr>
      </vt:variant>
      <vt:variant>
        <vt:i4>1179696</vt:i4>
      </vt:variant>
      <vt:variant>
        <vt:i4>1634</vt:i4>
      </vt:variant>
      <vt:variant>
        <vt:i4>0</vt:i4>
      </vt:variant>
      <vt:variant>
        <vt:i4>5</vt:i4>
      </vt:variant>
      <vt:variant>
        <vt:lpwstr/>
      </vt:variant>
      <vt:variant>
        <vt:lpwstr>_Toc373793963</vt:lpwstr>
      </vt:variant>
      <vt:variant>
        <vt:i4>1179696</vt:i4>
      </vt:variant>
      <vt:variant>
        <vt:i4>1628</vt:i4>
      </vt:variant>
      <vt:variant>
        <vt:i4>0</vt:i4>
      </vt:variant>
      <vt:variant>
        <vt:i4>5</vt:i4>
      </vt:variant>
      <vt:variant>
        <vt:lpwstr/>
      </vt:variant>
      <vt:variant>
        <vt:lpwstr>_Toc373793962</vt:lpwstr>
      </vt:variant>
      <vt:variant>
        <vt:i4>1179696</vt:i4>
      </vt:variant>
      <vt:variant>
        <vt:i4>1622</vt:i4>
      </vt:variant>
      <vt:variant>
        <vt:i4>0</vt:i4>
      </vt:variant>
      <vt:variant>
        <vt:i4>5</vt:i4>
      </vt:variant>
      <vt:variant>
        <vt:lpwstr/>
      </vt:variant>
      <vt:variant>
        <vt:lpwstr>_Toc373793961</vt:lpwstr>
      </vt:variant>
      <vt:variant>
        <vt:i4>1179696</vt:i4>
      </vt:variant>
      <vt:variant>
        <vt:i4>1616</vt:i4>
      </vt:variant>
      <vt:variant>
        <vt:i4>0</vt:i4>
      </vt:variant>
      <vt:variant>
        <vt:i4>5</vt:i4>
      </vt:variant>
      <vt:variant>
        <vt:lpwstr/>
      </vt:variant>
      <vt:variant>
        <vt:lpwstr>_Toc373793960</vt:lpwstr>
      </vt:variant>
      <vt:variant>
        <vt:i4>1114160</vt:i4>
      </vt:variant>
      <vt:variant>
        <vt:i4>1610</vt:i4>
      </vt:variant>
      <vt:variant>
        <vt:i4>0</vt:i4>
      </vt:variant>
      <vt:variant>
        <vt:i4>5</vt:i4>
      </vt:variant>
      <vt:variant>
        <vt:lpwstr/>
      </vt:variant>
      <vt:variant>
        <vt:lpwstr>_Toc373793959</vt:lpwstr>
      </vt:variant>
      <vt:variant>
        <vt:i4>1114160</vt:i4>
      </vt:variant>
      <vt:variant>
        <vt:i4>1604</vt:i4>
      </vt:variant>
      <vt:variant>
        <vt:i4>0</vt:i4>
      </vt:variant>
      <vt:variant>
        <vt:i4>5</vt:i4>
      </vt:variant>
      <vt:variant>
        <vt:lpwstr/>
      </vt:variant>
      <vt:variant>
        <vt:lpwstr>_Toc373793958</vt:lpwstr>
      </vt:variant>
      <vt:variant>
        <vt:i4>1114160</vt:i4>
      </vt:variant>
      <vt:variant>
        <vt:i4>1598</vt:i4>
      </vt:variant>
      <vt:variant>
        <vt:i4>0</vt:i4>
      </vt:variant>
      <vt:variant>
        <vt:i4>5</vt:i4>
      </vt:variant>
      <vt:variant>
        <vt:lpwstr/>
      </vt:variant>
      <vt:variant>
        <vt:lpwstr>_Toc373793957</vt:lpwstr>
      </vt:variant>
      <vt:variant>
        <vt:i4>1114160</vt:i4>
      </vt:variant>
      <vt:variant>
        <vt:i4>1592</vt:i4>
      </vt:variant>
      <vt:variant>
        <vt:i4>0</vt:i4>
      </vt:variant>
      <vt:variant>
        <vt:i4>5</vt:i4>
      </vt:variant>
      <vt:variant>
        <vt:lpwstr/>
      </vt:variant>
      <vt:variant>
        <vt:lpwstr>_Toc373793956</vt:lpwstr>
      </vt:variant>
      <vt:variant>
        <vt:i4>1114160</vt:i4>
      </vt:variant>
      <vt:variant>
        <vt:i4>1586</vt:i4>
      </vt:variant>
      <vt:variant>
        <vt:i4>0</vt:i4>
      </vt:variant>
      <vt:variant>
        <vt:i4>5</vt:i4>
      </vt:variant>
      <vt:variant>
        <vt:lpwstr/>
      </vt:variant>
      <vt:variant>
        <vt:lpwstr>_Toc373793955</vt:lpwstr>
      </vt:variant>
      <vt:variant>
        <vt:i4>1441848</vt:i4>
      </vt:variant>
      <vt:variant>
        <vt:i4>1577</vt:i4>
      </vt:variant>
      <vt:variant>
        <vt:i4>0</vt:i4>
      </vt:variant>
      <vt:variant>
        <vt:i4>5</vt:i4>
      </vt:variant>
      <vt:variant>
        <vt:lpwstr/>
      </vt:variant>
      <vt:variant>
        <vt:lpwstr>_Toc375572916</vt:lpwstr>
      </vt:variant>
      <vt:variant>
        <vt:i4>1441848</vt:i4>
      </vt:variant>
      <vt:variant>
        <vt:i4>1571</vt:i4>
      </vt:variant>
      <vt:variant>
        <vt:i4>0</vt:i4>
      </vt:variant>
      <vt:variant>
        <vt:i4>5</vt:i4>
      </vt:variant>
      <vt:variant>
        <vt:lpwstr/>
      </vt:variant>
      <vt:variant>
        <vt:lpwstr>_Toc375572915</vt:lpwstr>
      </vt:variant>
      <vt:variant>
        <vt:i4>1441848</vt:i4>
      </vt:variant>
      <vt:variant>
        <vt:i4>1565</vt:i4>
      </vt:variant>
      <vt:variant>
        <vt:i4>0</vt:i4>
      </vt:variant>
      <vt:variant>
        <vt:i4>5</vt:i4>
      </vt:variant>
      <vt:variant>
        <vt:lpwstr/>
      </vt:variant>
      <vt:variant>
        <vt:lpwstr>_Toc375572914</vt:lpwstr>
      </vt:variant>
      <vt:variant>
        <vt:i4>1441848</vt:i4>
      </vt:variant>
      <vt:variant>
        <vt:i4>1559</vt:i4>
      </vt:variant>
      <vt:variant>
        <vt:i4>0</vt:i4>
      </vt:variant>
      <vt:variant>
        <vt:i4>5</vt:i4>
      </vt:variant>
      <vt:variant>
        <vt:lpwstr/>
      </vt:variant>
      <vt:variant>
        <vt:lpwstr>_Toc375572913</vt:lpwstr>
      </vt:variant>
      <vt:variant>
        <vt:i4>1441848</vt:i4>
      </vt:variant>
      <vt:variant>
        <vt:i4>1553</vt:i4>
      </vt:variant>
      <vt:variant>
        <vt:i4>0</vt:i4>
      </vt:variant>
      <vt:variant>
        <vt:i4>5</vt:i4>
      </vt:variant>
      <vt:variant>
        <vt:lpwstr/>
      </vt:variant>
      <vt:variant>
        <vt:lpwstr>_Toc375572912</vt:lpwstr>
      </vt:variant>
      <vt:variant>
        <vt:i4>1441848</vt:i4>
      </vt:variant>
      <vt:variant>
        <vt:i4>1547</vt:i4>
      </vt:variant>
      <vt:variant>
        <vt:i4>0</vt:i4>
      </vt:variant>
      <vt:variant>
        <vt:i4>5</vt:i4>
      </vt:variant>
      <vt:variant>
        <vt:lpwstr/>
      </vt:variant>
      <vt:variant>
        <vt:lpwstr>_Toc375572911</vt:lpwstr>
      </vt:variant>
      <vt:variant>
        <vt:i4>1441848</vt:i4>
      </vt:variant>
      <vt:variant>
        <vt:i4>1541</vt:i4>
      </vt:variant>
      <vt:variant>
        <vt:i4>0</vt:i4>
      </vt:variant>
      <vt:variant>
        <vt:i4>5</vt:i4>
      </vt:variant>
      <vt:variant>
        <vt:lpwstr/>
      </vt:variant>
      <vt:variant>
        <vt:lpwstr>_Toc375572910</vt:lpwstr>
      </vt:variant>
      <vt:variant>
        <vt:i4>1507384</vt:i4>
      </vt:variant>
      <vt:variant>
        <vt:i4>1535</vt:i4>
      </vt:variant>
      <vt:variant>
        <vt:i4>0</vt:i4>
      </vt:variant>
      <vt:variant>
        <vt:i4>5</vt:i4>
      </vt:variant>
      <vt:variant>
        <vt:lpwstr/>
      </vt:variant>
      <vt:variant>
        <vt:lpwstr>_Toc375572909</vt:lpwstr>
      </vt:variant>
      <vt:variant>
        <vt:i4>1507384</vt:i4>
      </vt:variant>
      <vt:variant>
        <vt:i4>1529</vt:i4>
      </vt:variant>
      <vt:variant>
        <vt:i4>0</vt:i4>
      </vt:variant>
      <vt:variant>
        <vt:i4>5</vt:i4>
      </vt:variant>
      <vt:variant>
        <vt:lpwstr/>
      </vt:variant>
      <vt:variant>
        <vt:lpwstr>_Toc375572908</vt:lpwstr>
      </vt:variant>
      <vt:variant>
        <vt:i4>1507384</vt:i4>
      </vt:variant>
      <vt:variant>
        <vt:i4>1523</vt:i4>
      </vt:variant>
      <vt:variant>
        <vt:i4>0</vt:i4>
      </vt:variant>
      <vt:variant>
        <vt:i4>5</vt:i4>
      </vt:variant>
      <vt:variant>
        <vt:lpwstr/>
      </vt:variant>
      <vt:variant>
        <vt:lpwstr>_Toc375572907</vt:lpwstr>
      </vt:variant>
      <vt:variant>
        <vt:i4>1507384</vt:i4>
      </vt:variant>
      <vt:variant>
        <vt:i4>1517</vt:i4>
      </vt:variant>
      <vt:variant>
        <vt:i4>0</vt:i4>
      </vt:variant>
      <vt:variant>
        <vt:i4>5</vt:i4>
      </vt:variant>
      <vt:variant>
        <vt:lpwstr/>
      </vt:variant>
      <vt:variant>
        <vt:lpwstr>_Toc375572906</vt:lpwstr>
      </vt:variant>
      <vt:variant>
        <vt:i4>1507384</vt:i4>
      </vt:variant>
      <vt:variant>
        <vt:i4>1511</vt:i4>
      </vt:variant>
      <vt:variant>
        <vt:i4>0</vt:i4>
      </vt:variant>
      <vt:variant>
        <vt:i4>5</vt:i4>
      </vt:variant>
      <vt:variant>
        <vt:lpwstr/>
      </vt:variant>
      <vt:variant>
        <vt:lpwstr>_Toc375572905</vt:lpwstr>
      </vt:variant>
      <vt:variant>
        <vt:i4>1507384</vt:i4>
      </vt:variant>
      <vt:variant>
        <vt:i4>1505</vt:i4>
      </vt:variant>
      <vt:variant>
        <vt:i4>0</vt:i4>
      </vt:variant>
      <vt:variant>
        <vt:i4>5</vt:i4>
      </vt:variant>
      <vt:variant>
        <vt:lpwstr/>
      </vt:variant>
      <vt:variant>
        <vt:lpwstr>_Toc375572904</vt:lpwstr>
      </vt:variant>
      <vt:variant>
        <vt:i4>1507384</vt:i4>
      </vt:variant>
      <vt:variant>
        <vt:i4>1499</vt:i4>
      </vt:variant>
      <vt:variant>
        <vt:i4>0</vt:i4>
      </vt:variant>
      <vt:variant>
        <vt:i4>5</vt:i4>
      </vt:variant>
      <vt:variant>
        <vt:lpwstr/>
      </vt:variant>
      <vt:variant>
        <vt:lpwstr>_Toc375572903</vt:lpwstr>
      </vt:variant>
      <vt:variant>
        <vt:i4>1507384</vt:i4>
      </vt:variant>
      <vt:variant>
        <vt:i4>1493</vt:i4>
      </vt:variant>
      <vt:variant>
        <vt:i4>0</vt:i4>
      </vt:variant>
      <vt:variant>
        <vt:i4>5</vt:i4>
      </vt:variant>
      <vt:variant>
        <vt:lpwstr/>
      </vt:variant>
      <vt:variant>
        <vt:lpwstr>_Toc375572902</vt:lpwstr>
      </vt:variant>
      <vt:variant>
        <vt:i4>1507384</vt:i4>
      </vt:variant>
      <vt:variant>
        <vt:i4>1487</vt:i4>
      </vt:variant>
      <vt:variant>
        <vt:i4>0</vt:i4>
      </vt:variant>
      <vt:variant>
        <vt:i4>5</vt:i4>
      </vt:variant>
      <vt:variant>
        <vt:lpwstr/>
      </vt:variant>
      <vt:variant>
        <vt:lpwstr>_Toc375572901</vt:lpwstr>
      </vt:variant>
      <vt:variant>
        <vt:i4>1507384</vt:i4>
      </vt:variant>
      <vt:variant>
        <vt:i4>1481</vt:i4>
      </vt:variant>
      <vt:variant>
        <vt:i4>0</vt:i4>
      </vt:variant>
      <vt:variant>
        <vt:i4>5</vt:i4>
      </vt:variant>
      <vt:variant>
        <vt:lpwstr/>
      </vt:variant>
      <vt:variant>
        <vt:lpwstr>_Toc375572900</vt:lpwstr>
      </vt:variant>
      <vt:variant>
        <vt:i4>1966137</vt:i4>
      </vt:variant>
      <vt:variant>
        <vt:i4>1475</vt:i4>
      </vt:variant>
      <vt:variant>
        <vt:i4>0</vt:i4>
      </vt:variant>
      <vt:variant>
        <vt:i4>5</vt:i4>
      </vt:variant>
      <vt:variant>
        <vt:lpwstr/>
      </vt:variant>
      <vt:variant>
        <vt:lpwstr>_Toc375572899</vt:lpwstr>
      </vt:variant>
      <vt:variant>
        <vt:i4>1966137</vt:i4>
      </vt:variant>
      <vt:variant>
        <vt:i4>1469</vt:i4>
      </vt:variant>
      <vt:variant>
        <vt:i4>0</vt:i4>
      </vt:variant>
      <vt:variant>
        <vt:i4>5</vt:i4>
      </vt:variant>
      <vt:variant>
        <vt:lpwstr/>
      </vt:variant>
      <vt:variant>
        <vt:lpwstr>_Toc375572898</vt:lpwstr>
      </vt:variant>
      <vt:variant>
        <vt:i4>1966137</vt:i4>
      </vt:variant>
      <vt:variant>
        <vt:i4>1463</vt:i4>
      </vt:variant>
      <vt:variant>
        <vt:i4>0</vt:i4>
      </vt:variant>
      <vt:variant>
        <vt:i4>5</vt:i4>
      </vt:variant>
      <vt:variant>
        <vt:lpwstr/>
      </vt:variant>
      <vt:variant>
        <vt:lpwstr>_Toc375572897</vt:lpwstr>
      </vt:variant>
      <vt:variant>
        <vt:i4>1966137</vt:i4>
      </vt:variant>
      <vt:variant>
        <vt:i4>1457</vt:i4>
      </vt:variant>
      <vt:variant>
        <vt:i4>0</vt:i4>
      </vt:variant>
      <vt:variant>
        <vt:i4>5</vt:i4>
      </vt:variant>
      <vt:variant>
        <vt:lpwstr/>
      </vt:variant>
      <vt:variant>
        <vt:lpwstr>_Toc375572896</vt:lpwstr>
      </vt:variant>
      <vt:variant>
        <vt:i4>1966137</vt:i4>
      </vt:variant>
      <vt:variant>
        <vt:i4>1451</vt:i4>
      </vt:variant>
      <vt:variant>
        <vt:i4>0</vt:i4>
      </vt:variant>
      <vt:variant>
        <vt:i4>5</vt:i4>
      </vt:variant>
      <vt:variant>
        <vt:lpwstr/>
      </vt:variant>
      <vt:variant>
        <vt:lpwstr>_Toc375572895</vt:lpwstr>
      </vt:variant>
      <vt:variant>
        <vt:i4>1966137</vt:i4>
      </vt:variant>
      <vt:variant>
        <vt:i4>1445</vt:i4>
      </vt:variant>
      <vt:variant>
        <vt:i4>0</vt:i4>
      </vt:variant>
      <vt:variant>
        <vt:i4>5</vt:i4>
      </vt:variant>
      <vt:variant>
        <vt:lpwstr/>
      </vt:variant>
      <vt:variant>
        <vt:lpwstr>_Toc375572894</vt:lpwstr>
      </vt:variant>
      <vt:variant>
        <vt:i4>1966137</vt:i4>
      </vt:variant>
      <vt:variant>
        <vt:i4>1439</vt:i4>
      </vt:variant>
      <vt:variant>
        <vt:i4>0</vt:i4>
      </vt:variant>
      <vt:variant>
        <vt:i4>5</vt:i4>
      </vt:variant>
      <vt:variant>
        <vt:lpwstr/>
      </vt:variant>
      <vt:variant>
        <vt:lpwstr>_Toc375572893</vt:lpwstr>
      </vt:variant>
      <vt:variant>
        <vt:i4>1966137</vt:i4>
      </vt:variant>
      <vt:variant>
        <vt:i4>1433</vt:i4>
      </vt:variant>
      <vt:variant>
        <vt:i4>0</vt:i4>
      </vt:variant>
      <vt:variant>
        <vt:i4>5</vt:i4>
      </vt:variant>
      <vt:variant>
        <vt:lpwstr/>
      </vt:variant>
      <vt:variant>
        <vt:lpwstr>_Toc375572892</vt:lpwstr>
      </vt:variant>
      <vt:variant>
        <vt:i4>1966137</vt:i4>
      </vt:variant>
      <vt:variant>
        <vt:i4>1427</vt:i4>
      </vt:variant>
      <vt:variant>
        <vt:i4>0</vt:i4>
      </vt:variant>
      <vt:variant>
        <vt:i4>5</vt:i4>
      </vt:variant>
      <vt:variant>
        <vt:lpwstr/>
      </vt:variant>
      <vt:variant>
        <vt:lpwstr>_Toc375572891</vt:lpwstr>
      </vt:variant>
      <vt:variant>
        <vt:i4>1966137</vt:i4>
      </vt:variant>
      <vt:variant>
        <vt:i4>1421</vt:i4>
      </vt:variant>
      <vt:variant>
        <vt:i4>0</vt:i4>
      </vt:variant>
      <vt:variant>
        <vt:i4>5</vt:i4>
      </vt:variant>
      <vt:variant>
        <vt:lpwstr/>
      </vt:variant>
      <vt:variant>
        <vt:lpwstr>_Toc375572890</vt:lpwstr>
      </vt:variant>
      <vt:variant>
        <vt:i4>2031673</vt:i4>
      </vt:variant>
      <vt:variant>
        <vt:i4>1415</vt:i4>
      </vt:variant>
      <vt:variant>
        <vt:i4>0</vt:i4>
      </vt:variant>
      <vt:variant>
        <vt:i4>5</vt:i4>
      </vt:variant>
      <vt:variant>
        <vt:lpwstr/>
      </vt:variant>
      <vt:variant>
        <vt:lpwstr>_Toc375572889</vt:lpwstr>
      </vt:variant>
      <vt:variant>
        <vt:i4>2031673</vt:i4>
      </vt:variant>
      <vt:variant>
        <vt:i4>1409</vt:i4>
      </vt:variant>
      <vt:variant>
        <vt:i4>0</vt:i4>
      </vt:variant>
      <vt:variant>
        <vt:i4>5</vt:i4>
      </vt:variant>
      <vt:variant>
        <vt:lpwstr/>
      </vt:variant>
      <vt:variant>
        <vt:lpwstr>_Toc375572888</vt:lpwstr>
      </vt:variant>
      <vt:variant>
        <vt:i4>2031673</vt:i4>
      </vt:variant>
      <vt:variant>
        <vt:i4>1403</vt:i4>
      </vt:variant>
      <vt:variant>
        <vt:i4>0</vt:i4>
      </vt:variant>
      <vt:variant>
        <vt:i4>5</vt:i4>
      </vt:variant>
      <vt:variant>
        <vt:lpwstr/>
      </vt:variant>
      <vt:variant>
        <vt:lpwstr>_Toc375572887</vt:lpwstr>
      </vt:variant>
      <vt:variant>
        <vt:i4>2031673</vt:i4>
      </vt:variant>
      <vt:variant>
        <vt:i4>1397</vt:i4>
      </vt:variant>
      <vt:variant>
        <vt:i4>0</vt:i4>
      </vt:variant>
      <vt:variant>
        <vt:i4>5</vt:i4>
      </vt:variant>
      <vt:variant>
        <vt:lpwstr/>
      </vt:variant>
      <vt:variant>
        <vt:lpwstr>_Toc375572886</vt:lpwstr>
      </vt:variant>
      <vt:variant>
        <vt:i4>2031673</vt:i4>
      </vt:variant>
      <vt:variant>
        <vt:i4>1391</vt:i4>
      </vt:variant>
      <vt:variant>
        <vt:i4>0</vt:i4>
      </vt:variant>
      <vt:variant>
        <vt:i4>5</vt:i4>
      </vt:variant>
      <vt:variant>
        <vt:lpwstr/>
      </vt:variant>
      <vt:variant>
        <vt:lpwstr>_Toc375572885</vt:lpwstr>
      </vt:variant>
      <vt:variant>
        <vt:i4>2031673</vt:i4>
      </vt:variant>
      <vt:variant>
        <vt:i4>1385</vt:i4>
      </vt:variant>
      <vt:variant>
        <vt:i4>0</vt:i4>
      </vt:variant>
      <vt:variant>
        <vt:i4>5</vt:i4>
      </vt:variant>
      <vt:variant>
        <vt:lpwstr/>
      </vt:variant>
      <vt:variant>
        <vt:lpwstr>_Toc375572884</vt:lpwstr>
      </vt:variant>
      <vt:variant>
        <vt:i4>2031673</vt:i4>
      </vt:variant>
      <vt:variant>
        <vt:i4>1379</vt:i4>
      </vt:variant>
      <vt:variant>
        <vt:i4>0</vt:i4>
      </vt:variant>
      <vt:variant>
        <vt:i4>5</vt:i4>
      </vt:variant>
      <vt:variant>
        <vt:lpwstr/>
      </vt:variant>
      <vt:variant>
        <vt:lpwstr>_Toc375572883</vt:lpwstr>
      </vt:variant>
      <vt:variant>
        <vt:i4>2031673</vt:i4>
      </vt:variant>
      <vt:variant>
        <vt:i4>1373</vt:i4>
      </vt:variant>
      <vt:variant>
        <vt:i4>0</vt:i4>
      </vt:variant>
      <vt:variant>
        <vt:i4>5</vt:i4>
      </vt:variant>
      <vt:variant>
        <vt:lpwstr/>
      </vt:variant>
      <vt:variant>
        <vt:lpwstr>_Toc375572882</vt:lpwstr>
      </vt:variant>
      <vt:variant>
        <vt:i4>2031673</vt:i4>
      </vt:variant>
      <vt:variant>
        <vt:i4>1367</vt:i4>
      </vt:variant>
      <vt:variant>
        <vt:i4>0</vt:i4>
      </vt:variant>
      <vt:variant>
        <vt:i4>5</vt:i4>
      </vt:variant>
      <vt:variant>
        <vt:lpwstr/>
      </vt:variant>
      <vt:variant>
        <vt:lpwstr>_Toc375572881</vt:lpwstr>
      </vt:variant>
      <vt:variant>
        <vt:i4>2031673</vt:i4>
      </vt:variant>
      <vt:variant>
        <vt:i4>1361</vt:i4>
      </vt:variant>
      <vt:variant>
        <vt:i4>0</vt:i4>
      </vt:variant>
      <vt:variant>
        <vt:i4>5</vt:i4>
      </vt:variant>
      <vt:variant>
        <vt:lpwstr/>
      </vt:variant>
      <vt:variant>
        <vt:lpwstr>_Toc375572880</vt:lpwstr>
      </vt:variant>
      <vt:variant>
        <vt:i4>1048633</vt:i4>
      </vt:variant>
      <vt:variant>
        <vt:i4>1355</vt:i4>
      </vt:variant>
      <vt:variant>
        <vt:i4>0</vt:i4>
      </vt:variant>
      <vt:variant>
        <vt:i4>5</vt:i4>
      </vt:variant>
      <vt:variant>
        <vt:lpwstr/>
      </vt:variant>
      <vt:variant>
        <vt:lpwstr>_Toc375572879</vt:lpwstr>
      </vt:variant>
      <vt:variant>
        <vt:i4>1048633</vt:i4>
      </vt:variant>
      <vt:variant>
        <vt:i4>1349</vt:i4>
      </vt:variant>
      <vt:variant>
        <vt:i4>0</vt:i4>
      </vt:variant>
      <vt:variant>
        <vt:i4>5</vt:i4>
      </vt:variant>
      <vt:variant>
        <vt:lpwstr/>
      </vt:variant>
      <vt:variant>
        <vt:lpwstr>_Toc375572878</vt:lpwstr>
      </vt:variant>
      <vt:variant>
        <vt:i4>1048633</vt:i4>
      </vt:variant>
      <vt:variant>
        <vt:i4>1343</vt:i4>
      </vt:variant>
      <vt:variant>
        <vt:i4>0</vt:i4>
      </vt:variant>
      <vt:variant>
        <vt:i4>5</vt:i4>
      </vt:variant>
      <vt:variant>
        <vt:lpwstr/>
      </vt:variant>
      <vt:variant>
        <vt:lpwstr>_Toc375572877</vt:lpwstr>
      </vt:variant>
      <vt:variant>
        <vt:i4>1048633</vt:i4>
      </vt:variant>
      <vt:variant>
        <vt:i4>1337</vt:i4>
      </vt:variant>
      <vt:variant>
        <vt:i4>0</vt:i4>
      </vt:variant>
      <vt:variant>
        <vt:i4>5</vt:i4>
      </vt:variant>
      <vt:variant>
        <vt:lpwstr/>
      </vt:variant>
      <vt:variant>
        <vt:lpwstr>_Toc375572876</vt:lpwstr>
      </vt:variant>
      <vt:variant>
        <vt:i4>1048633</vt:i4>
      </vt:variant>
      <vt:variant>
        <vt:i4>1331</vt:i4>
      </vt:variant>
      <vt:variant>
        <vt:i4>0</vt:i4>
      </vt:variant>
      <vt:variant>
        <vt:i4>5</vt:i4>
      </vt:variant>
      <vt:variant>
        <vt:lpwstr/>
      </vt:variant>
      <vt:variant>
        <vt:lpwstr>_Toc375572875</vt:lpwstr>
      </vt:variant>
      <vt:variant>
        <vt:i4>1048633</vt:i4>
      </vt:variant>
      <vt:variant>
        <vt:i4>1325</vt:i4>
      </vt:variant>
      <vt:variant>
        <vt:i4>0</vt:i4>
      </vt:variant>
      <vt:variant>
        <vt:i4>5</vt:i4>
      </vt:variant>
      <vt:variant>
        <vt:lpwstr/>
      </vt:variant>
      <vt:variant>
        <vt:lpwstr>_Toc375572874</vt:lpwstr>
      </vt:variant>
      <vt:variant>
        <vt:i4>1048633</vt:i4>
      </vt:variant>
      <vt:variant>
        <vt:i4>1319</vt:i4>
      </vt:variant>
      <vt:variant>
        <vt:i4>0</vt:i4>
      </vt:variant>
      <vt:variant>
        <vt:i4>5</vt:i4>
      </vt:variant>
      <vt:variant>
        <vt:lpwstr/>
      </vt:variant>
      <vt:variant>
        <vt:lpwstr>_Toc375572873</vt:lpwstr>
      </vt:variant>
      <vt:variant>
        <vt:i4>1048633</vt:i4>
      </vt:variant>
      <vt:variant>
        <vt:i4>1313</vt:i4>
      </vt:variant>
      <vt:variant>
        <vt:i4>0</vt:i4>
      </vt:variant>
      <vt:variant>
        <vt:i4>5</vt:i4>
      </vt:variant>
      <vt:variant>
        <vt:lpwstr/>
      </vt:variant>
      <vt:variant>
        <vt:lpwstr>_Toc375572872</vt:lpwstr>
      </vt:variant>
      <vt:variant>
        <vt:i4>1376304</vt:i4>
      </vt:variant>
      <vt:variant>
        <vt:i4>1304</vt:i4>
      </vt:variant>
      <vt:variant>
        <vt:i4>0</vt:i4>
      </vt:variant>
      <vt:variant>
        <vt:i4>5</vt:i4>
      </vt:variant>
      <vt:variant>
        <vt:lpwstr/>
      </vt:variant>
      <vt:variant>
        <vt:lpwstr>_Toc373793910</vt:lpwstr>
      </vt:variant>
      <vt:variant>
        <vt:i4>1310768</vt:i4>
      </vt:variant>
      <vt:variant>
        <vt:i4>1298</vt:i4>
      </vt:variant>
      <vt:variant>
        <vt:i4>0</vt:i4>
      </vt:variant>
      <vt:variant>
        <vt:i4>5</vt:i4>
      </vt:variant>
      <vt:variant>
        <vt:lpwstr/>
      </vt:variant>
      <vt:variant>
        <vt:lpwstr>_Toc373793909</vt:lpwstr>
      </vt:variant>
      <vt:variant>
        <vt:i4>1310768</vt:i4>
      </vt:variant>
      <vt:variant>
        <vt:i4>1292</vt:i4>
      </vt:variant>
      <vt:variant>
        <vt:i4>0</vt:i4>
      </vt:variant>
      <vt:variant>
        <vt:i4>5</vt:i4>
      </vt:variant>
      <vt:variant>
        <vt:lpwstr/>
      </vt:variant>
      <vt:variant>
        <vt:lpwstr>_Toc373793908</vt:lpwstr>
      </vt:variant>
      <vt:variant>
        <vt:i4>1310768</vt:i4>
      </vt:variant>
      <vt:variant>
        <vt:i4>1286</vt:i4>
      </vt:variant>
      <vt:variant>
        <vt:i4>0</vt:i4>
      </vt:variant>
      <vt:variant>
        <vt:i4>5</vt:i4>
      </vt:variant>
      <vt:variant>
        <vt:lpwstr/>
      </vt:variant>
      <vt:variant>
        <vt:lpwstr>_Toc373793907</vt:lpwstr>
      </vt:variant>
      <vt:variant>
        <vt:i4>1310768</vt:i4>
      </vt:variant>
      <vt:variant>
        <vt:i4>1280</vt:i4>
      </vt:variant>
      <vt:variant>
        <vt:i4>0</vt:i4>
      </vt:variant>
      <vt:variant>
        <vt:i4>5</vt:i4>
      </vt:variant>
      <vt:variant>
        <vt:lpwstr/>
      </vt:variant>
      <vt:variant>
        <vt:lpwstr>_Toc373793906</vt:lpwstr>
      </vt:variant>
      <vt:variant>
        <vt:i4>1310768</vt:i4>
      </vt:variant>
      <vt:variant>
        <vt:i4>1274</vt:i4>
      </vt:variant>
      <vt:variant>
        <vt:i4>0</vt:i4>
      </vt:variant>
      <vt:variant>
        <vt:i4>5</vt:i4>
      </vt:variant>
      <vt:variant>
        <vt:lpwstr/>
      </vt:variant>
      <vt:variant>
        <vt:lpwstr>_Toc373793905</vt:lpwstr>
      </vt:variant>
      <vt:variant>
        <vt:i4>1310768</vt:i4>
      </vt:variant>
      <vt:variant>
        <vt:i4>1268</vt:i4>
      </vt:variant>
      <vt:variant>
        <vt:i4>0</vt:i4>
      </vt:variant>
      <vt:variant>
        <vt:i4>5</vt:i4>
      </vt:variant>
      <vt:variant>
        <vt:lpwstr/>
      </vt:variant>
      <vt:variant>
        <vt:lpwstr>_Toc373793904</vt:lpwstr>
      </vt:variant>
      <vt:variant>
        <vt:i4>1310768</vt:i4>
      </vt:variant>
      <vt:variant>
        <vt:i4>1262</vt:i4>
      </vt:variant>
      <vt:variant>
        <vt:i4>0</vt:i4>
      </vt:variant>
      <vt:variant>
        <vt:i4>5</vt:i4>
      </vt:variant>
      <vt:variant>
        <vt:lpwstr/>
      </vt:variant>
      <vt:variant>
        <vt:lpwstr>_Toc373793903</vt:lpwstr>
      </vt:variant>
      <vt:variant>
        <vt:i4>1310768</vt:i4>
      </vt:variant>
      <vt:variant>
        <vt:i4>1256</vt:i4>
      </vt:variant>
      <vt:variant>
        <vt:i4>0</vt:i4>
      </vt:variant>
      <vt:variant>
        <vt:i4>5</vt:i4>
      </vt:variant>
      <vt:variant>
        <vt:lpwstr/>
      </vt:variant>
      <vt:variant>
        <vt:lpwstr>_Toc373793902</vt:lpwstr>
      </vt:variant>
      <vt:variant>
        <vt:i4>1310768</vt:i4>
      </vt:variant>
      <vt:variant>
        <vt:i4>1250</vt:i4>
      </vt:variant>
      <vt:variant>
        <vt:i4>0</vt:i4>
      </vt:variant>
      <vt:variant>
        <vt:i4>5</vt:i4>
      </vt:variant>
      <vt:variant>
        <vt:lpwstr/>
      </vt:variant>
      <vt:variant>
        <vt:lpwstr>_Toc373793901</vt:lpwstr>
      </vt:variant>
      <vt:variant>
        <vt:i4>1310768</vt:i4>
      </vt:variant>
      <vt:variant>
        <vt:i4>1244</vt:i4>
      </vt:variant>
      <vt:variant>
        <vt:i4>0</vt:i4>
      </vt:variant>
      <vt:variant>
        <vt:i4>5</vt:i4>
      </vt:variant>
      <vt:variant>
        <vt:lpwstr/>
      </vt:variant>
      <vt:variant>
        <vt:lpwstr>_Toc373793900</vt:lpwstr>
      </vt:variant>
      <vt:variant>
        <vt:i4>1900593</vt:i4>
      </vt:variant>
      <vt:variant>
        <vt:i4>1238</vt:i4>
      </vt:variant>
      <vt:variant>
        <vt:i4>0</vt:i4>
      </vt:variant>
      <vt:variant>
        <vt:i4>5</vt:i4>
      </vt:variant>
      <vt:variant>
        <vt:lpwstr/>
      </vt:variant>
      <vt:variant>
        <vt:lpwstr>_Toc373793899</vt:lpwstr>
      </vt:variant>
      <vt:variant>
        <vt:i4>1900593</vt:i4>
      </vt:variant>
      <vt:variant>
        <vt:i4>1232</vt:i4>
      </vt:variant>
      <vt:variant>
        <vt:i4>0</vt:i4>
      </vt:variant>
      <vt:variant>
        <vt:i4>5</vt:i4>
      </vt:variant>
      <vt:variant>
        <vt:lpwstr/>
      </vt:variant>
      <vt:variant>
        <vt:lpwstr>_Toc373793898</vt:lpwstr>
      </vt:variant>
      <vt:variant>
        <vt:i4>1900593</vt:i4>
      </vt:variant>
      <vt:variant>
        <vt:i4>1226</vt:i4>
      </vt:variant>
      <vt:variant>
        <vt:i4>0</vt:i4>
      </vt:variant>
      <vt:variant>
        <vt:i4>5</vt:i4>
      </vt:variant>
      <vt:variant>
        <vt:lpwstr/>
      </vt:variant>
      <vt:variant>
        <vt:lpwstr>_Toc373793897</vt:lpwstr>
      </vt:variant>
      <vt:variant>
        <vt:i4>1900593</vt:i4>
      </vt:variant>
      <vt:variant>
        <vt:i4>1220</vt:i4>
      </vt:variant>
      <vt:variant>
        <vt:i4>0</vt:i4>
      </vt:variant>
      <vt:variant>
        <vt:i4>5</vt:i4>
      </vt:variant>
      <vt:variant>
        <vt:lpwstr/>
      </vt:variant>
      <vt:variant>
        <vt:lpwstr>_Toc373793896</vt:lpwstr>
      </vt:variant>
      <vt:variant>
        <vt:i4>1900593</vt:i4>
      </vt:variant>
      <vt:variant>
        <vt:i4>1214</vt:i4>
      </vt:variant>
      <vt:variant>
        <vt:i4>0</vt:i4>
      </vt:variant>
      <vt:variant>
        <vt:i4>5</vt:i4>
      </vt:variant>
      <vt:variant>
        <vt:lpwstr/>
      </vt:variant>
      <vt:variant>
        <vt:lpwstr>_Toc373793895</vt:lpwstr>
      </vt:variant>
      <vt:variant>
        <vt:i4>1900593</vt:i4>
      </vt:variant>
      <vt:variant>
        <vt:i4>1208</vt:i4>
      </vt:variant>
      <vt:variant>
        <vt:i4>0</vt:i4>
      </vt:variant>
      <vt:variant>
        <vt:i4>5</vt:i4>
      </vt:variant>
      <vt:variant>
        <vt:lpwstr/>
      </vt:variant>
      <vt:variant>
        <vt:lpwstr>_Toc373793894</vt:lpwstr>
      </vt:variant>
      <vt:variant>
        <vt:i4>1900593</vt:i4>
      </vt:variant>
      <vt:variant>
        <vt:i4>1202</vt:i4>
      </vt:variant>
      <vt:variant>
        <vt:i4>0</vt:i4>
      </vt:variant>
      <vt:variant>
        <vt:i4>5</vt:i4>
      </vt:variant>
      <vt:variant>
        <vt:lpwstr/>
      </vt:variant>
      <vt:variant>
        <vt:lpwstr>_Toc373793893</vt:lpwstr>
      </vt:variant>
      <vt:variant>
        <vt:i4>1900593</vt:i4>
      </vt:variant>
      <vt:variant>
        <vt:i4>1196</vt:i4>
      </vt:variant>
      <vt:variant>
        <vt:i4>0</vt:i4>
      </vt:variant>
      <vt:variant>
        <vt:i4>5</vt:i4>
      </vt:variant>
      <vt:variant>
        <vt:lpwstr/>
      </vt:variant>
      <vt:variant>
        <vt:lpwstr>_Toc373793892</vt:lpwstr>
      </vt:variant>
      <vt:variant>
        <vt:i4>1900593</vt:i4>
      </vt:variant>
      <vt:variant>
        <vt:i4>1190</vt:i4>
      </vt:variant>
      <vt:variant>
        <vt:i4>0</vt:i4>
      </vt:variant>
      <vt:variant>
        <vt:i4>5</vt:i4>
      </vt:variant>
      <vt:variant>
        <vt:lpwstr/>
      </vt:variant>
      <vt:variant>
        <vt:lpwstr>_Toc373793891</vt:lpwstr>
      </vt:variant>
      <vt:variant>
        <vt:i4>1900593</vt:i4>
      </vt:variant>
      <vt:variant>
        <vt:i4>1184</vt:i4>
      </vt:variant>
      <vt:variant>
        <vt:i4>0</vt:i4>
      </vt:variant>
      <vt:variant>
        <vt:i4>5</vt:i4>
      </vt:variant>
      <vt:variant>
        <vt:lpwstr/>
      </vt:variant>
      <vt:variant>
        <vt:lpwstr>_Toc373793890</vt:lpwstr>
      </vt:variant>
      <vt:variant>
        <vt:i4>1835057</vt:i4>
      </vt:variant>
      <vt:variant>
        <vt:i4>1178</vt:i4>
      </vt:variant>
      <vt:variant>
        <vt:i4>0</vt:i4>
      </vt:variant>
      <vt:variant>
        <vt:i4>5</vt:i4>
      </vt:variant>
      <vt:variant>
        <vt:lpwstr/>
      </vt:variant>
      <vt:variant>
        <vt:lpwstr>_Toc373793889</vt:lpwstr>
      </vt:variant>
      <vt:variant>
        <vt:i4>1835057</vt:i4>
      </vt:variant>
      <vt:variant>
        <vt:i4>1172</vt:i4>
      </vt:variant>
      <vt:variant>
        <vt:i4>0</vt:i4>
      </vt:variant>
      <vt:variant>
        <vt:i4>5</vt:i4>
      </vt:variant>
      <vt:variant>
        <vt:lpwstr/>
      </vt:variant>
      <vt:variant>
        <vt:lpwstr>_Toc373793888</vt:lpwstr>
      </vt:variant>
      <vt:variant>
        <vt:i4>1835057</vt:i4>
      </vt:variant>
      <vt:variant>
        <vt:i4>1166</vt:i4>
      </vt:variant>
      <vt:variant>
        <vt:i4>0</vt:i4>
      </vt:variant>
      <vt:variant>
        <vt:i4>5</vt:i4>
      </vt:variant>
      <vt:variant>
        <vt:lpwstr/>
      </vt:variant>
      <vt:variant>
        <vt:lpwstr>_Toc373793887</vt:lpwstr>
      </vt:variant>
      <vt:variant>
        <vt:i4>1835057</vt:i4>
      </vt:variant>
      <vt:variant>
        <vt:i4>1160</vt:i4>
      </vt:variant>
      <vt:variant>
        <vt:i4>0</vt:i4>
      </vt:variant>
      <vt:variant>
        <vt:i4>5</vt:i4>
      </vt:variant>
      <vt:variant>
        <vt:lpwstr/>
      </vt:variant>
      <vt:variant>
        <vt:lpwstr>_Toc373793886</vt:lpwstr>
      </vt:variant>
      <vt:variant>
        <vt:i4>1835057</vt:i4>
      </vt:variant>
      <vt:variant>
        <vt:i4>1154</vt:i4>
      </vt:variant>
      <vt:variant>
        <vt:i4>0</vt:i4>
      </vt:variant>
      <vt:variant>
        <vt:i4>5</vt:i4>
      </vt:variant>
      <vt:variant>
        <vt:lpwstr/>
      </vt:variant>
      <vt:variant>
        <vt:lpwstr>_Toc373793885</vt:lpwstr>
      </vt:variant>
      <vt:variant>
        <vt:i4>1835057</vt:i4>
      </vt:variant>
      <vt:variant>
        <vt:i4>1148</vt:i4>
      </vt:variant>
      <vt:variant>
        <vt:i4>0</vt:i4>
      </vt:variant>
      <vt:variant>
        <vt:i4>5</vt:i4>
      </vt:variant>
      <vt:variant>
        <vt:lpwstr/>
      </vt:variant>
      <vt:variant>
        <vt:lpwstr>_Toc373793884</vt:lpwstr>
      </vt:variant>
      <vt:variant>
        <vt:i4>1835057</vt:i4>
      </vt:variant>
      <vt:variant>
        <vt:i4>1142</vt:i4>
      </vt:variant>
      <vt:variant>
        <vt:i4>0</vt:i4>
      </vt:variant>
      <vt:variant>
        <vt:i4>5</vt:i4>
      </vt:variant>
      <vt:variant>
        <vt:lpwstr/>
      </vt:variant>
      <vt:variant>
        <vt:lpwstr>_Toc373793883</vt:lpwstr>
      </vt:variant>
      <vt:variant>
        <vt:i4>1835057</vt:i4>
      </vt:variant>
      <vt:variant>
        <vt:i4>1136</vt:i4>
      </vt:variant>
      <vt:variant>
        <vt:i4>0</vt:i4>
      </vt:variant>
      <vt:variant>
        <vt:i4>5</vt:i4>
      </vt:variant>
      <vt:variant>
        <vt:lpwstr/>
      </vt:variant>
      <vt:variant>
        <vt:lpwstr>_Toc373793882</vt:lpwstr>
      </vt:variant>
      <vt:variant>
        <vt:i4>1835057</vt:i4>
      </vt:variant>
      <vt:variant>
        <vt:i4>1130</vt:i4>
      </vt:variant>
      <vt:variant>
        <vt:i4>0</vt:i4>
      </vt:variant>
      <vt:variant>
        <vt:i4>5</vt:i4>
      </vt:variant>
      <vt:variant>
        <vt:lpwstr/>
      </vt:variant>
      <vt:variant>
        <vt:lpwstr>_Toc373793881</vt:lpwstr>
      </vt:variant>
      <vt:variant>
        <vt:i4>1835057</vt:i4>
      </vt:variant>
      <vt:variant>
        <vt:i4>1124</vt:i4>
      </vt:variant>
      <vt:variant>
        <vt:i4>0</vt:i4>
      </vt:variant>
      <vt:variant>
        <vt:i4>5</vt:i4>
      </vt:variant>
      <vt:variant>
        <vt:lpwstr/>
      </vt:variant>
      <vt:variant>
        <vt:lpwstr>_Toc373793880</vt:lpwstr>
      </vt:variant>
      <vt:variant>
        <vt:i4>1245233</vt:i4>
      </vt:variant>
      <vt:variant>
        <vt:i4>1118</vt:i4>
      </vt:variant>
      <vt:variant>
        <vt:i4>0</vt:i4>
      </vt:variant>
      <vt:variant>
        <vt:i4>5</vt:i4>
      </vt:variant>
      <vt:variant>
        <vt:lpwstr/>
      </vt:variant>
      <vt:variant>
        <vt:lpwstr>_Toc373793879</vt:lpwstr>
      </vt:variant>
      <vt:variant>
        <vt:i4>1245233</vt:i4>
      </vt:variant>
      <vt:variant>
        <vt:i4>1112</vt:i4>
      </vt:variant>
      <vt:variant>
        <vt:i4>0</vt:i4>
      </vt:variant>
      <vt:variant>
        <vt:i4>5</vt:i4>
      </vt:variant>
      <vt:variant>
        <vt:lpwstr/>
      </vt:variant>
      <vt:variant>
        <vt:lpwstr>_Toc373793878</vt:lpwstr>
      </vt:variant>
      <vt:variant>
        <vt:i4>1245233</vt:i4>
      </vt:variant>
      <vt:variant>
        <vt:i4>1106</vt:i4>
      </vt:variant>
      <vt:variant>
        <vt:i4>0</vt:i4>
      </vt:variant>
      <vt:variant>
        <vt:i4>5</vt:i4>
      </vt:variant>
      <vt:variant>
        <vt:lpwstr/>
      </vt:variant>
      <vt:variant>
        <vt:lpwstr>_Toc373793877</vt:lpwstr>
      </vt:variant>
      <vt:variant>
        <vt:i4>1245233</vt:i4>
      </vt:variant>
      <vt:variant>
        <vt:i4>1100</vt:i4>
      </vt:variant>
      <vt:variant>
        <vt:i4>0</vt:i4>
      </vt:variant>
      <vt:variant>
        <vt:i4>5</vt:i4>
      </vt:variant>
      <vt:variant>
        <vt:lpwstr/>
      </vt:variant>
      <vt:variant>
        <vt:lpwstr>_Toc373793876</vt:lpwstr>
      </vt:variant>
      <vt:variant>
        <vt:i4>1245233</vt:i4>
      </vt:variant>
      <vt:variant>
        <vt:i4>1094</vt:i4>
      </vt:variant>
      <vt:variant>
        <vt:i4>0</vt:i4>
      </vt:variant>
      <vt:variant>
        <vt:i4>5</vt:i4>
      </vt:variant>
      <vt:variant>
        <vt:lpwstr/>
      </vt:variant>
      <vt:variant>
        <vt:lpwstr>_Toc373793875</vt:lpwstr>
      </vt:variant>
      <vt:variant>
        <vt:i4>1245233</vt:i4>
      </vt:variant>
      <vt:variant>
        <vt:i4>1088</vt:i4>
      </vt:variant>
      <vt:variant>
        <vt:i4>0</vt:i4>
      </vt:variant>
      <vt:variant>
        <vt:i4>5</vt:i4>
      </vt:variant>
      <vt:variant>
        <vt:lpwstr/>
      </vt:variant>
      <vt:variant>
        <vt:lpwstr>_Toc373793874</vt:lpwstr>
      </vt:variant>
      <vt:variant>
        <vt:i4>1245233</vt:i4>
      </vt:variant>
      <vt:variant>
        <vt:i4>1082</vt:i4>
      </vt:variant>
      <vt:variant>
        <vt:i4>0</vt:i4>
      </vt:variant>
      <vt:variant>
        <vt:i4>5</vt:i4>
      </vt:variant>
      <vt:variant>
        <vt:lpwstr/>
      </vt:variant>
      <vt:variant>
        <vt:lpwstr>_Toc373793873</vt:lpwstr>
      </vt:variant>
      <vt:variant>
        <vt:i4>1245233</vt:i4>
      </vt:variant>
      <vt:variant>
        <vt:i4>1076</vt:i4>
      </vt:variant>
      <vt:variant>
        <vt:i4>0</vt:i4>
      </vt:variant>
      <vt:variant>
        <vt:i4>5</vt:i4>
      </vt:variant>
      <vt:variant>
        <vt:lpwstr/>
      </vt:variant>
      <vt:variant>
        <vt:lpwstr>_Toc373793872</vt:lpwstr>
      </vt:variant>
      <vt:variant>
        <vt:i4>1245233</vt:i4>
      </vt:variant>
      <vt:variant>
        <vt:i4>1070</vt:i4>
      </vt:variant>
      <vt:variant>
        <vt:i4>0</vt:i4>
      </vt:variant>
      <vt:variant>
        <vt:i4>5</vt:i4>
      </vt:variant>
      <vt:variant>
        <vt:lpwstr/>
      </vt:variant>
      <vt:variant>
        <vt:lpwstr>_Toc373793871</vt:lpwstr>
      </vt:variant>
      <vt:variant>
        <vt:i4>1245233</vt:i4>
      </vt:variant>
      <vt:variant>
        <vt:i4>1064</vt:i4>
      </vt:variant>
      <vt:variant>
        <vt:i4>0</vt:i4>
      </vt:variant>
      <vt:variant>
        <vt:i4>5</vt:i4>
      </vt:variant>
      <vt:variant>
        <vt:lpwstr/>
      </vt:variant>
      <vt:variant>
        <vt:lpwstr>_Toc373793870</vt:lpwstr>
      </vt:variant>
      <vt:variant>
        <vt:i4>1179697</vt:i4>
      </vt:variant>
      <vt:variant>
        <vt:i4>1058</vt:i4>
      </vt:variant>
      <vt:variant>
        <vt:i4>0</vt:i4>
      </vt:variant>
      <vt:variant>
        <vt:i4>5</vt:i4>
      </vt:variant>
      <vt:variant>
        <vt:lpwstr/>
      </vt:variant>
      <vt:variant>
        <vt:lpwstr>_Toc373793869</vt:lpwstr>
      </vt:variant>
      <vt:variant>
        <vt:i4>1179697</vt:i4>
      </vt:variant>
      <vt:variant>
        <vt:i4>1052</vt:i4>
      </vt:variant>
      <vt:variant>
        <vt:i4>0</vt:i4>
      </vt:variant>
      <vt:variant>
        <vt:i4>5</vt:i4>
      </vt:variant>
      <vt:variant>
        <vt:lpwstr/>
      </vt:variant>
      <vt:variant>
        <vt:lpwstr>_Toc373793868</vt:lpwstr>
      </vt:variant>
      <vt:variant>
        <vt:i4>1179697</vt:i4>
      </vt:variant>
      <vt:variant>
        <vt:i4>1046</vt:i4>
      </vt:variant>
      <vt:variant>
        <vt:i4>0</vt:i4>
      </vt:variant>
      <vt:variant>
        <vt:i4>5</vt:i4>
      </vt:variant>
      <vt:variant>
        <vt:lpwstr/>
      </vt:variant>
      <vt:variant>
        <vt:lpwstr>_Toc373793867</vt:lpwstr>
      </vt:variant>
      <vt:variant>
        <vt:i4>1179697</vt:i4>
      </vt:variant>
      <vt:variant>
        <vt:i4>1040</vt:i4>
      </vt:variant>
      <vt:variant>
        <vt:i4>0</vt:i4>
      </vt:variant>
      <vt:variant>
        <vt:i4>5</vt:i4>
      </vt:variant>
      <vt:variant>
        <vt:lpwstr/>
      </vt:variant>
      <vt:variant>
        <vt:lpwstr>_Toc373793866</vt:lpwstr>
      </vt:variant>
      <vt:variant>
        <vt:i4>1179697</vt:i4>
      </vt:variant>
      <vt:variant>
        <vt:i4>1034</vt:i4>
      </vt:variant>
      <vt:variant>
        <vt:i4>0</vt:i4>
      </vt:variant>
      <vt:variant>
        <vt:i4>5</vt:i4>
      </vt:variant>
      <vt:variant>
        <vt:lpwstr/>
      </vt:variant>
      <vt:variant>
        <vt:lpwstr>_Toc373793865</vt:lpwstr>
      </vt:variant>
      <vt:variant>
        <vt:i4>1179697</vt:i4>
      </vt:variant>
      <vt:variant>
        <vt:i4>1028</vt:i4>
      </vt:variant>
      <vt:variant>
        <vt:i4>0</vt:i4>
      </vt:variant>
      <vt:variant>
        <vt:i4>5</vt:i4>
      </vt:variant>
      <vt:variant>
        <vt:lpwstr/>
      </vt:variant>
      <vt:variant>
        <vt:lpwstr>_Toc373793864</vt:lpwstr>
      </vt:variant>
      <vt:variant>
        <vt:i4>1179697</vt:i4>
      </vt:variant>
      <vt:variant>
        <vt:i4>1022</vt:i4>
      </vt:variant>
      <vt:variant>
        <vt:i4>0</vt:i4>
      </vt:variant>
      <vt:variant>
        <vt:i4>5</vt:i4>
      </vt:variant>
      <vt:variant>
        <vt:lpwstr/>
      </vt:variant>
      <vt:variant>
        <vt:lpwstr>_Toc373793863</vt:lpwstr>
      </vt:variant>
      <vt:variant>
        <vt:i4>1179697</vt:i4>
      </vt:variant>
      <vt:variant>
        <vt:i4>1016</vt:i4>
      </vt:variant>
      <vt:variant>
        <vt:i4>0</vt:i4>
      </vt:variant>
      <vt:variant>
        <vt:i4>5</vt:i4>
      </vt:variant>
      <vt:variant>
        <vt:lpwstr/>
      </vt:variant>
      <vt:variant>
        <vt:lpwstr>_Toc373793862</vt:lpwstr>
      </vt:variant>
      <vt:variant>
        <vt:i4>1179697</vt:i4>
      </vt:variant>
      <vt:variant>
        <vt:i4>1010</vt:i4>
      </vt:variant>
      <vt:variant>
        <vt:i4>0</vt:i4>
      </vt:variant>
      <vt:variant>
        <vt:i4>5</vt:i4>
      </vt:variant>
      <vt:variant>
        <vt:lpwstr/>
      </vt:variant>
      <vt:variant>
        <vt:lpwstr>_Toc373793861</vt:lpwstr>
      </vt:variant>
      <vt:variant>
        <vt:i4>1179697</vt:i4>
      </vt:variant>
      <vt:variant>
        <vt:i4>1004</vt:i4>
      </vt:variant>
      <vt:variant>
        <vt:i4>0</vt:i4>
      </vt:variant>
      <vt:variant>
        <vt:i4>5</vt:i4>
      </vt:variant>
      <vt:variant>
        <vt:lpwstr/>
      </vt:variant>
      <vt:variant>
        <vt:lpwstr>_Toc373793860</vt:lpwstr>
      </vt:variant>
      <vt:variant>
        <vt:i4>1114161</vt:i4>
      </vt:variant>
      <vt:variant>
        <vt:i4>998</vt:i4>
      </vt:variant>
      <vt:variant>
        <vt:i4>0</vt:i4>
      </vt:variant>
      <vt:variant>
        <vt:i4>5</vt:i4>
      </vt:variant>
      <vt:variant>
        <vt:lpwstr/>
      </vt:variant>
      <vt:variant>
        <vt:lpwstr>_Toc373793859</vt:lpwstr>
      </vt:variant>
      <vt:variant>
        <vt:i4>1114161</vt:i4>
      </vt:variant>
      <vt:variant>
        <vt:i4>992</vt:i4>
      </vt:variant>
      <vt:variant>
        <vt:i4>0</vt:i4>
      </vt:variant>
      <vt:variant>
        <vt:i4>5</vt:i4>
      </vt:variant>
      <vt:variant>
        <vt:lpwstr/>
      </vt:variant>
      <vt:variant>
        <vt:lpwstr>_Toc373793858</vt:lpwstr>
      </vt:variant>
      <vt:variant>
        <vt:i4>1114161</vt:i4>
      </vt:variant>
      <vt:variant>
        <vt:i4>986</vt:i4>
      </vt:variant>
      <vt:variant>
        <vt:i4>0</vt:i4>
      </vt:variant>
      <vt:variant>
        <vt:i4>5</vt:i4>
      </vt:variant>
      <vt:variant>
        <vt:lpwstr/>
      </vt:variant>
      <vt:variant>
        <vt:lpwstr>_Toc373793857</vt:lpwstr>
      </vt:variant>
      <vt:variant>
        <vt:i4>1114161</vt:i4>
      </vt:variant>
      <vt:variant>
        <vt:i4>980</vt:i4>
      </vt:variant>
      <vt:variant>
        <vt:i4>0</vt:i4>
      </vt:variant>
      <vt:variant>
        <vt:i4>5</vt:i4>
      </vt:variant>
      <vt:variant>
        <vt:lpwstr/>
      </vt:variant>
      <vt:variant>
        <vt:lpwstr>_Toc373793856</vt:lpwstr>
      </vt:variant>
      <vt:variant>
        <vt:i4>5373958</vt:i4>
      </vt:variant>
      <vt:variant>
        <vt:i4>933</vt:i4>
      </vt:variant>
      <vt:variant>
        <vt:i4>0</vt:i4>
      </vt:variant>
      <vt:variant>
        <vt:i4>5</vt:i4>
      </vt:variant>
      <vt:variant>
        <vt:lpwstr>http://preview.grid.unep.ch/</vt:lpwstr>
      </vt:variant>
      <vt:variant>
        <vt:lpwstr/>
      </vt:variant>
      <vt:variant>
        <vt:i4>4325457</vt:i4>
      </vt:variant>
      <vt:variant>
        <vt:i4>900</vt:i4>
      </vt:variant>
      <vt:variant>
        <vt:i4>0</vt:i4>
      </vt:variant>
      <vt:variant>
        <vt:i4>5</vt:i4>
      </vt:variant>
      <vt:variant>
        <vt:lpwstr>http://en.wikipedia.org/w/index.php?title=The_Eastern_Plain&amp;action=edit&amp;redlink=1</vt:lpwstr>
      </vt:variant>
      <vt:variant>
        <vt:lpwstr/>
      </vt:variant>
      <vt:variant>
        <vt:i4>65597</vt:i4>
      </vt:variant>
      <vt:variant>
        <vt:i4>897</vt:i4>
      </vt:variant>
      <vt:variant>
        <vt:i4>0</vt:i4>
      </vt:variant>
      <vt:variant>
        <vt:i4>5</vt:i4>
      </vt:variant>
      <vt:variant>
        <vt:lpwstr>http://en.wikipedia.org/w/index.php?title=Olt-Arge%C5%9F_Plain&amp;action=edit&amp;redlink=1</vt:lpwstr>
      </vt:variant>
      <vt:variant>
        <vt:lpwstr/>
      </vt:variant>
      <vt:variant>
        <vt:i4>7864361</vt:i4>
      </vt:variant>
      <vt:variant>
        <vt:i4>894</vt:i4>
      </vt:variant>
      <vt:variant>
        <vt:i4>0</vt:i4>
      </vt:variant>
      <vt:variant>
        <vt:i4>5</vt:i4>
      </vt:variant>
      <vt:variant>
        <vt:lpwstr>http://en.wikipedia.org/wiki/Energy</vt:lpwstr>
      </vt:variant>
      <vt:variant>
        <vt:lpwstr/>
      </vt:variant>
      <vt:variant>
        <vt:i4>2162784</vt:i4>
      </vt:variant>
      <vt:variant>
        <vt:i4>882</vt:i4>
      </vt:variant>
      <vt:variant>
        <vt:i4>0</vt:i4>
      </vt:variant>
      <vt:variant>
        <vt:i4>5</vt:i4>
      </vt:variant>
      <vt:variant>
        <vt:lpwstr>http://en.wikipedia.org/wiki/Energy_in_Russia</vt:lpwstr>
      </vt:variant>
      <vt:variant>
        <vt:lpwstr/>
      </vt:variant>
      <vt:variant>
        <vt:i4>2818119</vt:i4>
      </vt:variant>
      <vt:variant>
        <vt:i4>873</vt:i4>
      </vt:variant>
      <vt:variant>
        <vt:i4>0</vt:i4>
      </vt:variant>
      <vt:variant>
        <vt:i4>5</vt:i4>
      </vt:variant>
      <vt:variant>
        <vt:lpwstr>http://en.wikipedia.org/wiki/Vratsa_Province</vt:lpwstr>
      </vt:variant>
      <vt:variant>
        <vt:lpwstr/>
      </vt:variant>
      <vt:variant>
        <vt:i4>5177457</vt:i4>
      </vt:variant>
      <vt:variant>
        <vt:i4>870</vt:i4>
      </vt:variant>
      <vt:variant>
        <vt:i4>0</vt:i4>
      </vt:variant>
      <vt:variant>
        <vt:i4>5</vt:i4>
      </vt:variant>
      <vt:variant>
        <vt:lpwstr>http://en.wikipedia.org/w/index.php?title=Electricity_sector_in_Romania&amp;action=edit&amp;redlink=1</vt:lpwstr>
      </vt:variant>
      <vt:variant>
        <vt:lpwstr/>
      </vt:variant>
      <vt:variant>
        <vt:i4>1376312</vt:i4>
      </vt:variant>
      <vt:variant>
        <vt:i4>422</vt:i4>
      </vt:variant>
      <vt:variant>
        <vt:i4>0</vt:i4>
      </vt:variant>
      <vt:variant>
        <vt:i4>5</vt:i4>
      </vt:variant>
      <vt:variant>
        <vt:lpwstr/>
      </vt:variant>
      <vt:variant>
        <vt:lpwstr>_Toc373794169</vt:lpwstr>
      </vt:variant>
      <vt:variant>
        <vt:i4>1376312</vt:i4>
      </vt:variant>
      <vt:variant>
        <vt:i4>416</vt:i4>
      </vt:variant>
      <vt:variant>
        <vt:i4>0</vt:i4>
      </vt:variant>
      <vt:variant>
        <vt:i4>5</vt:i4>
      </vt:variant>
      <vt:variant>
        <vt:lpwstr/>
      </vt:variant>
      <vt:variant>
        <vt:lpwstr>_Toc373794168</vt:lpwstr>
      </vt:variant>
      <vt:variant>
        <vt:i4>1376312</vt:i4>
      </vt:variant>
      <vt:variant>
        <vt:i4>410</vt:i4>
      </vt:variant>
      <vt:variant>
        <vt:i4>0</vt:i4>
      </vt:variant>
      <vt:variant>
        <vt:i4>5</vt:i4>
      </vt:variant>
      <vt:variant>
        <vt:lpwstr/>
      </vt:variant>
      <vt:variant>
        <vt:lpwstr>_Toc373794167</vt:lpwstr>
      </vt:variant>
      <vt:variant>
        <vt:i4>1376312</vt:i4>
      </vt:variant>
      <vt:variant>
        <vt:i4>404</vt:i4>
      </vt:variant>
      <vt:variant>
        <vt:i4>0</vt:i4>
      </vt:variant>
      <vt:variant>
        <vt:i4>5</vt:i4>
      </vt:variant>
      <vt:variant>
        <vt:lpwstr/>
      </vt:variant>
      <vt:variant>
        <vt:lpwstr>_Toc373794166</vt:lpwstr>
      </vt:variant>
      <vt:variant>
        <vt:i4>1376312</vt:i4>
      </vt:variant>
      <vt:variant>
        <vt:i4>398</vt:i4>
      </vt:variant>
      <vt:variant>
        <vt:i4>0</vt:i4>
      </vt:variant>
      <vt:variant>
        <vt:i4>5</vt:i4>
      </vt:variant>
      <vt:variant>
        <vt:lpwstr/>
      </vt:variant>
      <vt:variant>
        <vt:lpwstr>_Toc373794165</vt:lpwstr>
      </vt:variant>
      <vt:variant>
        <vt:i4>1376312</vt:i4>
      </vt:variant>
      <vt:variant>
        <vt:i4>392</vt:i4>
      </vt:variant>
      <vt:variant>
        <vt:i4>0</vt:i4>
      </vt:variant>
      <vt:variant>
        <vt:i4>5</vt:i4>
      </vt:variant>
      <vt:variant>
        <vt:lpwstr/>
      </vt:variant>
      <vt:variant>
        <vt:lpwstr>_Toc373794164</vt:lpwstr>
      </vt:variant>
      <vt:variant>
        <vt:i4>1376312</vt:i4>
      </vt:variant>
      <vt:variant>
        <vt:i4>386</vt:i4>
      </vt:variant>
      <vt:variant>
        <vt:i4>0</vt:i4>
      </vt:variant>
      <vt:variant>
        <vt:i4>5</vt:i4>
      </vt:variant>
      <vt:variant>
        <vt:lpwstr/>
      </vt:variant>
      <vt:variant>
        <vt:lpwstr>_Toc373794163</vt:lpwstr>
      </vt:variant>
      <vt:variant>
        <vt:i4>1376312</vt:i4>
      </vt:variant>
      <vt:variant>
        <vt:i4>380</vt:i4>
      </vt:variant>
      <vt:variant>
        <vt:i4>0</vt:i4>
      </vt:variant>
      <vt:variant>
        <vt:i4>5</vt:i4>
      </vt:variant>
      <vt:variant>
        <vt:lpwstr/>
      </vt:variant>
      <vt:variant>
        <vt:lpwstr>_Toc373794162</vt:lpwstr>
      </vt:variant>
      <vt:variant>
        <vt:i4>1376312</vt:i4>
      </vt:variant>
      <vt:variant>
        <vt:i4>374</vt:i4>
      </vt:variant>
      <vt:variant>
        <vt:i4>0</vt:i4>
      </vt:variant>
      <vt:variant>
        <vt:i4>5</vt:i4>
      </vt:variant>
      <vt:variant>
        <vt:lpwstr/>
      </vt:variant>
      <vt:variant>
        <vt:lpwstr>_Toc373794161</vt:lpwstr>
      </vt:variant>
      <vt:variant>
        <vt:i4>1376312</vt:i4>
      </vt:variant>
      <vt:variant>
        <vt:i4>368</vt:i4>
      </vt:variant>
      <vt:variant>
        <vt:i4>0</vt:i4>
      </vt:variant>
      <vt:variant>
        <vt:i4>5</vt:i4>
      </vt:variant>
      <vt:variant>
        <vt:lpwstr/>
      </vt:variant>
      <vt:variant>
        <vt:lpwstr>_Toc373794160</vt:lpwstr>
      </vt:variant>
      <vt:variant>
        <vt:i4>1441848</vt:i4>
      </vt:variant>
      <vt:variant>
        <vt:i4>362</vt:i4>
      </vt:variant>
      <vt:variant>
        <vt:i4>0</vt:i4>
      </vt:variant>
      <vt:variant>
        <vt:i4>5</vt:i4>
      </vt:variant>
      <vt:variant>
        <vt:lpwstr/>
      </vt:variant>
      <vt:variant>
        <vt:lpwstr>_Toc373794159</vt:lpwstr>
      </vt:variant>
      <vt:variant>
        <vt:i4>1441848</vt:i4>
      </vt:variant>
      <vt:variant>
        <vt:i4>356</vt:i4>
      </vt:variant>
      <vt:variant>
        <vt:i4>0</vt:i4>
      </vt:variant>
      <vt:variant>
        <vt:i4>5</vt:i4>
      </vt:variant>
      <vt:variant>
        <vt:lpwstr/>
      </vt:variant>
      <vt:variant>
        <vt:lpwstr>_Toc373794158</vt:lpwstr>
      </vt:variant>
      <vt:variant>
        <vt:i4>1441848</vt:i4>
      </vt:variant>
      <vt:variant>
        <vt:i4>350</vt:i4>
      </vt:variant>
      <vt:variant>
        <vt:i4>0</vt:i4>
      </vt:variant>
      <vt:variant>
        <vt:i4>5</vt:i4>
      </vt:variant>
      <vt:variant>
        <vt:lpwstr/>
      </vt:variant>
      <vt:variant>
        <vt:lpwstr>_Toc373794157</vt:lpwstr>
      </vt:variant>
      <vt:variant>
        <vt:i4>1441848</vt:i4>
      </vt:variant>
      <vt:variant>
        <vt:i4>344</vt:i4>
      </vt:variant>
      <vt:variant>
        <vt:i4>0</vt:i4>
      </vt:variant>
      <vt:variant>
        <vt:i4>5</vt:i4>
      </vt:variant>
      <vt:variant>
        <vt:lpwstr/>
      </vt:variant>
      <vt:variant>
        <vt:lpwstr>_Toc373794156</vt:lpwstr>
      </vt:variant>
      <vt:variant>
        <vt:i4>1441848</vt:i4>
      </vt:variant>
      <vt:variant>
        <vt:i4>338</vt:i4>
      </vt:variant>
      <vt:variant>
        <vt:i4>0</vt:i4>
      </vt:variant>
      <vt:variant>
        <vt:i4>5</vt:i4>
      </vt:variant>
      <vt:variant>
        <vt:lpwstr/>
      </vt:variant>
      <vt:variant>
        <vt:lpwstr>_Toc373794155</vt:lpwstr>
      </vt:variant>
      <vt:variant>
        <vt:i4>1441848</vt:i4>
      </vt:variant>
      <vt:variant>
        <vt:i4>332</vt:i4>
      </vt:variant>
      <vt:variant>
        <vt:i4>0</vt:i4>
      </vt:variant>
      <vt:variant>
        <vt:i4>5</vt:i4>
      </vt:variant>
      <vt:variant>
        <vt:lpwstr/>
      </vt:variant>
      <vt:variant>
        <vt:lpwstr>_Toc373794154</vt:lpwstr>
      </vt:variant>
      <vt:variant>
        <vt:i4>1441848</vt:i4>
      </vt:variant>
      <vt:variant>
        <vt:i4>326</vt:i4>
      </vt:variant>
      <vt:variant>
        <vt:i4>0</vt:i4>
      </vt:variant>
      <vt:variant>
        <vt:i4>5</vt:i4>
      </vt:variant>
      <vt:variant>
        <vt:lpwstr/>
      </vt:variant>
      <vt:variant>
        <vt:lpwstr>_Toc373794153</vt:lpwstr>
      </vt:variant>
      <vt:variant>
        <vt:i4>1441848</vt:i4>
      </vt:variant>
      <vt:variant>
        <vt:i4>320</vt:i4>
      </vt:variant>
      <vt:variant>
        <vt:i4>0</vt:i4>
      </vt:variant>
      <vt:variant>
        <vt:i4>5</vt:i4>
      </vt:variant>
      <vt:variant>
        <vt:lpwstr/>
      </vt:variant>
      <vt:variant>
        <vt:lpwstr>_Toc373794152</vt:lpwstr>
      </vt:variant>
      <vt:variant>
        <vt:i4>1441848</vt:i4>
      </vt:variant>
      <vt:variant>
        <vt:i4>314</vt:i4>
      </vt:variant>
      <vt:variant>
        <vt:i4>0</vt:i4>
      </vt:variant>
      <vt:variant>
        <vt:i4>5</vt:i4>
      </vt:variant>
      <vt:variant>
        <vt:lpwstr/>
      </vt:variant>
      <vt:variant>
        <vt:lpwstr>_Toc373794151</vt:lpwstr>
      </vt:variant>
      <vt:variant>
        <vt:i4>1441848</vt:i4>
      </vt:variant>
      <vt:variant>
        <vt:i4>308</vt:i4>
      </vt:variant>
      <vt:variant>
        <vt:i4>0</vt:i4>
      </vt:variant>
      <vt:variant>
        <vt:i4>5</vt:i4>
      </vt:variant>
      <vt:variant>
        <vt:lpwstr/>
      </vt:variant>
      <vt:variant>
        <vt:lpwstr>_Toc373794150</vt:lpwstr>
      </vt:variant>
      <vt:variant>
        <vt:i4>1507384</vt:i4>
      </vt:variant>
      <vt:variant>
        <vt:i4>302</vt:i4>
      </vt:variant>
      <vt:variant>
        <vt:i4>0</vt:i4>
      </vt:variant>
      <vt:variant>
        <vt:i4>5</vt:i4>
      </vt:variant>
      <vt:variant>
        <vt:lpwstr/>
      </vt:variant>
      <vt:variant>
        <vt:lpwstr>_Toc373794149</vt:lpwstr>
      </vt:variant>
      <vt:variant>
        <vt:i4>1507384</vt:i4>
      </vt:variant>
      <vt:variant>
        <vt:i4>296</vt:i4>
      </vt:variant>
      <vt:variant>
        <vt:i4>0</vt:i4>
      </vt:variant>
      <vt:variant>
        <vt:i4>5</vt:i4>
      </vt:variant>
      <vt:variant>
        <vt:lpwstr/>
      </vt:variant>
      <vt:variant>
        <vt:lpwstr>_Toc373794148</vt:lpwstr>
      </vt:variant>
      <vt:variant>
        <vt:i4>1507384</vt:i4>
      </vt:variant>
      <vt:variant>
        <vt:i4>290</vt:i4>
      </vt:variant>
      <vt:variant>
        <vt:i4>0</vt:i4>
      </vt:variant>
      <vt:variant>
        <vt:i4>5</vt:i4>
      </vt:variant>
      <vt:variant>
        <vt:lpwstr/>
      </vt:variant>
      <vt:variant>
        <vt:lpwstr>_Toc373794147</vt:lpwstr>
      </vt:variant>
      <vt:variant>
        <vt:i4>1507384</vt:i4>
      </vt:variant>
      <vt:variant>
        <vt:i4>284</vt:i4>
      </vt:variant>
      <vt:variant>
        <vt:i4>0</vt:i4>
      </vt:variant>
      <vt:variant>
        <vt:i4>5</vt:i4>
      </vt:variant>
      <vt:variant>
        <vt:lpwstr/>
      </vt:variant>
      <vt:variant>
        <vt:lpwstr>_Toc373794146</vt:lpwstr>
      </vt:variant>
      <vt:variant>
        <vt:i4>1507384</vt:i4>
      </vt:variant>
      <vt:variant>
        <vt:i4>278</vt:i4>
      </vt:variant>
      <vt:variant>
        <vt:i4>0</vt:i4>
      </vt:variant>
      <vt:variant>
        <vt:i4>5</vt:i4>
      </vt:variant>
      <vt:variant>
        <vt:lpwstr/>
      </vt:variant>
      <vt:variant>
        <vt:lpwstr>_Toc373794145</vt:lpwstr>
      </vt:variant>
      <vt:variant>
        <vt:i4>1507384</vt:i4>
      </vt:variant>
      <vt:variant>
        <vt:i4>272</vt:i4>
      </vt:variant>
      <vt:variant>
        <vt:i4>0</vt:i4>
      </vt:variant>
      <vt:variant>
        <vt:i4>5</vt:i4>
      </vt:variant>
      <vt:variant>
        <vt:lpwstr/>
      </vt:variant>
      <vt:variant>
        <vt:lpwstr>_Toc373794144</vt:lpwstr>
      </vt:variant>
      <vt:variant>
        <vt:i4>1507384</vt:i4>
      </vt:variant>
      <vt:variant>
        <vt:i4>266</vt:i4>
      </vt:variant>
      <vt:variant>
        <vt:i4>0</vt:i4>
      </vt:variant>
      <vt:variant>
        <vt:i4>5</vt:i4>
      </vt:variant>
      <vt:variant>
        <vt:lpwstr/>
      </vt:variant>
      <vt:variant>
        <vt:lpwstr>_Toc373794143</vt:lpwstr>
      </vt:variant>
      <vt:variant>
        <vt:i4>1507384</vt:i4>
      </vt:variant>
      <vt:variant>
        <vt:i4>260</vt:i4>
      </vt:variant>
      <vt:variant>
        <vt:i4>0</vt:i4>
      </vt:variant>
      <vt:variant>
        <vt:i4>5</vt:i4>
      </vt:variant>
      <vt:variant>
        <vt:lpwstr/>
      </vt:variant>
      <vt:variant>
        <vt:lpwstr>_Toc373794142</vt:lpwstr>
      </vt:variant>
      <vt:variant>
        <vt:i4>1507384</vt:i4>
      </vt:variant>
      <vt:variant>
        <vt:i4>254</vt:i4>
      </vt:variant>
      <vt:variant>
        <vt:i4>0</vt:i4>
      </vt:variant>
      <vt:variant>
        <vt:i4>5</vt:i4>
      </vt:variant>
      <vt:variant>
        <vt:lpwstr/>
      </vt:variant>
      <vt:variant>
        <vt:lpwstr>_Toc373794141</vt:lpwstr>
      </vt:variant>
      <vt:variant>
        <vt:i4>1507384</vt:i4>
      </vt:variant>
      <vt:variant>
        <vt:i4>248</vt:i4>
      </vt:variant>
      <vt:variant>
        <vt:i4>0</vt:i4>
      </vt:variant>
      <vt:variant>
        <vt:i4>5</vt:i4>
      </vt:variant>
      <vt:variant>
        <vt:lpwstr/>
      </vt:variant>
      <vt:variant>
        <vt:lpwstr>_Toc373794140</vt:lpwstr>
      </vt:variant>
      <vt:variant>
        <vt:i4>1048632</vt:i4>
      </vt:variant>
      <vt:variant>
        <vt:i4>242</vt:i4>
      </vt:variant>
      <vt:variant>
        <vt:i4>0</vt:i4>
      </vt:variant>
      <vt:variant>
        <vt:i4>5</vt:i4>
      </vt:variant>
      <vt:variant>
        <vt:lpwstr/>
      </vt:variant>
      <vt:variant>
        <vt:lpwstr>_Toc373794139</vt:lpwstr>
      </vt:variant>
      <vt:variant>
        <vt:i4>1048632</vt:i4>
      </vt:variant>
      <vt:variant>
        <vt:i4>236</vt:i4>
      </vt:variant>
      <vt:variant>
        <vt:i4>0</vt:i4>
      </vt:variant>
      <vt:variant>
        <vt:i4>5</vt:i4>
      </vt:variant>
      <vt:variant>
        <vt:lpwstr/>
      </vt:variant>
      <vt:variant>
        <vt:lpwstr>_Toc373794138</vt:lpwstr>
      </vt:variant>
      <vt:variant>
        <vt:i4>1048632</vt:i4>
      </vt:variant>
      <vt:variant>
        <vt:i4>230</vt:i4>
      </vt:variant>
      <vt:variant>
        <vt:i4>0</vt:i4>
      </vt:variant>
      <vt:variant>
        <vt:i4>5</vt:i4>
      </vt:variant>
      <vt:variant>
        <vt:lpwstr/>
      </vt:variant>
      <vt:variant>
        <vt:lpwstr>_Toc373794137</vt:lpwstr>
      </vt:variant>
      <vt:variant>
        <vt:i4>1048632</vt:i4>
      </vt:variant>
      <vt:variant>
        <vt:i4>224</vt:i4>
      </vt:variant>
      <vt:variant>
        <vt:i4>0</vt:i4>
      </vt:variant>
      <vt:variant>
        <vt:i4>5</vt:i4>
      </vt:variant>
      <vt:variant>
        <vt:lpwstr/>
      </vt:variant>
      <vt:variant>
        <vt:lpwstr>_Toc373794136</vt:lpwstr>
      </vt:variant>
      <vt:variant>
        <vt:i4>1048632</vt:i4>
      </vt:variant>
      <vt:variant>
        <vt:i4>218</vt:i4>
      </vt:variant>
      <vt:variant>
        <vt:i4>0</vt:i4>
      </vt:variant>
      <vt:variant>
        <vt:i4>5</vt:i4>
      </vt:variant>
      <vt:variant>
        <vt:lpwstr/>
      </vt:variant>
      <vt:variant>
        <vt:lpwstr>_Toc373794135</vt:lpwstr>
      </vt:variant>
      <vt:variant>
        <vt:i4>1048632</vt:i4>
      </vt:variant>
      <vt:variant>
        <vt:i4>212</vt:i4>
      </vt:variant>
      <vt:variant>
        <vt:i4>0</vt:i4>
      </vt:variant>
      <vt:variant>
        <vt:i4>5</vt:i4>
      </vt:variant>
      <vt:variant>
        <vt:lpwstr/>
      </vt:variant>
      <vt:variant>
        <vt:lpwstr>_Toc373794134</vt:lpwstr>
      </vt:variant>
      <vt:variant>
        <vt:i4>1048632</vt:i4>
      </vt:variant>
      <vt:variant>
        <vt:i4>206</vt:i4>
      </vt:variant>
      <vt:variant>
        <vt:i4>0</vt:i4>
      </vt:variant>
      <vt:variant>
        <vt:i4>5</vt:i4>
      </vt:variant>
      <vt:variant>
        <vt:lpwstr/>
      </vt:variant>
      <vt:variant>
        <vt:lpwstr>_Toc373794133</vt:lpwstr>
      </vt:variant>
      <vt:variant>
        <vt:i4>1048632</vt:i4>
      </vt:variant>
      <vt:variant>
        <vt:i4>200</vt:i4>
      </vt:variant>
      <vt:variant>
        <vt:i4>0</vt:i4>
      </vt:variant>
      <vt:variant>
        <vt:i4>5</vt:i4>
      </vt:variant>
      <vt:variant>
        <vt:lpwstr/>
      </vt:variant>
      <vt:variant>
        <vt:lpwstr>_Toc373794132</vt:lpwstr>
      </vt:variant>
      <vt:variant>
        <vt:i4>1048632</vt:i4>
      </vt:variant>
      <vt:variant>
        <vt:i4>194</vt:i4>
      </vt:variant>
      <vt:variant>
        <vt:i4>0</vt:i4>
      </vt:variant>
      <vt:variant>
        <vt:i4>5</vt:i4>
      </vt:variant>
      <vt:variant>
        <vt:lpwstr/>
      </vt:variant>
      <vt:variant>
        <vt:lpwstr>_Toc373794131</vt:lpwstr>
      </vt:variant>
      <vt:variant>
        <vt:i4>1048632</vt:i4>
      </vt:variant>
      <vt:variant>
        <vt:i4>188</vt:i4>
      </vt:variant>
      <vt:variant>
        <vt:i4>0</vt:i4>
      </vt:variant>
      <vt:variant>
        <vt:i4>5</vt:i4>
      </vt:variant>
      <vt:variant>
        <vt:lpwstr/>
      </vt:variant>
      <vt:variant>
        <vt:lpwstr>_Toc373794130</vt:lpwstr>
      </vt:variant>
      <vt:variant>
        <vt:i4>1114168</vt:i4>
      </vt:variant>
      <vt:variant>
        <vt:i4>182</vt:i4>
      </vt:variant>
      <vt:variant>
        <vt:i4>0</vt:i4>
      </vt:variant>
      <vt:variant>
        <vt:i4>5</vt:i4>
      </vt:variant>
      <vt:variant>
        <vt:lpwstr/>
      </vt:variant>
      <vt:variant>
        <vt:lpwstr>_Toc373794129</vt:lpwstr>
      </vt:variant>
      <vt:variant>
        <vt:i4>1114168</vt:i4>
      </vt:variant>
      <vt:variant>
        <vt:i4>176</vt:i4>
      </vt:variant>
      <vt:variant>
        <vt:i4>0</vt:i4>
      </vt:variant>
      <vt:variant>
        <vt:i4>5</vt:i4>
      </vt:variant>
      <vt:variant>
        <vt:lpwstr/>
      </vt:variant>
      <vt:variant>
        <vt:lpwstr>_Toc373794128</vt:lpwstr>
      </vt:variant>
      <vt:variant>
        <vt:i4>1114168</vt:i4>
      </vt:variant>
      <vt:variant>
        <vt:i4>170</vt:i4>
      </vt:variant>
      <vt:variant>
        <vt:i4>0</vt:i4>
      </vt:variant>
      <vt:variant>
        <vt:i4>5</vt:i4>
      </vt:variant>
      <vt:variant>
        <vt:lpwstr/>
      </vt:variant>
      <vt:variant>
        <vt:lpwstr>_Toc373794127</vt:lpwstr>
      </vt:variant>
      <vt:variant>
        <vt:i4>1114168</vt:i4>
      </vt:variant>
      <vt:variant>
        <vt:i4>164</vt:i4>
      </vt:variant>
      <vt:variant>
        <vt:i4>0</vt:i4>
      </vt:variant>
      <vt:variant>
        <vt:i4>5</vt:i4>
      </vt:variant>
      <vt:variant>
        <vt:lpwstr/>
      </vt:variant>
      <vt:variant>
        <vt:lpwstr>_Toc373794126</vt:lpwstr>
      </vt:variant>
      <vt:variant>
        <vt:i4>1114168</vt:i4>
      </vt:variant>
      <vt:variant>
        <vt:i4>158</vt:i4>
      </vt:variant>
      <vt:variant>
        <vt:i4>0</vt:i4>
      </vt:variant>
      <vt:variant>
        <vt:i4>5</vt:i4>
      </vt:variant>
      <vt:variant>
        <vt:lpwstr/>
      </vt:variant>
      <vt:variant>
        <vt:lpwstr>_Toc373794125</vt:lpwstr>
      </vt:variant>
      <vt:variant>
        <vt:i4>1114168</vt:i4>
      </vt:variant>
      <vt:variant>
        <vt:i4>152</vt:i4>
      </vt:variant>
      <vt:variant>
        <vt:i4>0</vt:i4>
      </vt:variant>
      <vt:variant>
        <vt:i4>5</vt:i4>
      </vt:variant>
      <vt:variant>
        <vt:lpwstr/>
      </vt:variant>
      <vt:variant>
        <vt:lpwstr>_Toc373794124</vt:lpwstr>
      </vt:variant>
      <vt:variant>
        <vt:i4>1114168</vt:i4>
      </vt:variant>
      <vt:variant>
        <vt:i4>146</vt:i4>
      </vt:variant>
      <vt:variant>
        <vt:i4>0</vt:i4>
      </vt:variant>
      <vt:variant>
        <vt:i4>5</vt:i4>
      </vt:variant>
      <vt:variant>
        <vt:lpwstr/>
      </vt:variant>
      <vt:variant>
        <vt:lpwstr>_Toc373794123</vt:lpwstr>
      </vt:variant>
      <vt:variant>
        <vt:i4>1114168</vt:i4>
      </vt:variant>
      <vt:variant>
        <vt:i4>140</vt:i4>
      </vt:variant>
      <vt:variant>
        <vt:i4>0</vt:i4>
      </vt:variant>
      <vt:variant>
        <vt:i4>5</vt:i4>
      </vt:variant>
      <vt:variant>
        <vt:lpwstr/>
      </vt:variant>
      <vt:variant>
        <vt:lpwstr>_Toc373794122</vt:lpwstr>
      </vt:variant>
      <vt:variant>
        <vt:i4>1114168</vt:i4>
      </vt:variant>
      <vt:variant>
        <vt:i4>134</vt:i4>
      </vt:variant>
      <vt:variant>
        <vt:i4>0</vt:i4>
      </vt:variant>
      <vt:variant>
        <vt:i4>5</vt:i4>
      </vt:variant>
      <vt:variant>
        <vt:lpwstr/>
      </vt:variant>
      <vt:variant>
        <vt:lpwstr>_Toc373794121</vt:lpwstr>
      </vt:variant>
      <vt:variant>
        <vt:i4>1114168</vt:i4>
      </vt:variant>
      <vt:variant>
        <vt:i4>128</vt:i4>
      </vt:variant>
      <vt:variant>
        <vt:i4>0</vt:i4>
      </vt:variant>
      <vt:variant>
        <vt:i4>5</vt:i4>
      </vt:variant>
      <vt:variant>
        <vt:lpwstr/>
      </vt:variant>
      <vt:variant>
        <vt:lpwstr>_Toc373794120</vt:lpwstr>
      </vt:variant>
      <vt:variant>
        <vt:i4>1179704</vt:i4>
      </vt:variant>
      <vt:variant>
        <vt:i4>122</vt:i4>
      </vt:variant>
      <vt:variant>
        <vt:i4>0</vt:i4>
      </vt:variant>
      <vt:variant>
        <vt:i4>5</vt:i4>
      </vt:variant>
      <vt:variant>
        <vt:lpwstr/>
      </vt:variant>
      <vt:variant>
        <vt:lpwstr>_Toc373794119</vt:lpwstr>
      </vt:variant>
      <vt:variant>
        <vt:i4>1179704</vt:i4>
      </vt:variant>
      <vt:variant>
        <vt:i4>116</vt:i4>
      </vt:variant>
      <vt:variant>
        <vt:i4>0</vt:i4>
      </vt:variant>
      <vt:variant>
        <vt:i4>5</vt:i4>
      </vt:variant>
      <vt:variant>
        <vt:lpwstr/>
      </vt:variant>
      <vt:variant>
        <vt:lpwstr>_Toc373794118</vt:lpwstr>
      </vt:variant>
      <vt:variant>
        <vt:i4>1179704</vt:i4>
      </vt:variant>
      <vt:variant>
        <vt:i4>110</vt:i4>
      </vt:variant>
      <vt:variant>
        <vt:i4>0</vt:i4>
      </vt:variant>
      <vt:variant>
        <vt:i4>5</vt:i4>
      </vt:variant>
      <vt:variant>
        <vt:lpwstr/>
      </vt:variant>
      <vt:variant>
        <vt:lpwstr>_Toc373794117</vt:lpwstr>
      </vt:variant>
      <vt:variant>
        <vt:i4>1179704</vt:i4>
      </vt:variant>
      <vt:variant>
        <vt:i4>104</vt:i4>
      </vt:variant>
      <vt:variant>
        <vt:i4>0</vt:i4>
      </vt:variant>
      <vt:variant>
        <vt:i4>5</vt:i4>
      </vt:variant>
      <vt:variant>
        <vt:lpwstr/>
      </vt:variant>
      <vt:variant>
        <vt:lpwstr>_Toc373794116</vt:lpwstr>
      </vt:variant>
      <vt:variant>
        <vt:i4>1179704</vt:i4>
      </vt:variant>
      <vt:variant>
        <vt:i4>98</vt:i4>
      </vt:variant>
      <vt:variant>
        <vt:i4>0</vt:i4>
      </vt:variant>
      <vt:variant>
        <vt:i4>5</vt:i4>
      </vt:variant>
      <vt:variant>
        <vt:lpwstr/>
      </vt:variant>
      <vt:variant>
        <vt:lpwstr>_Toc373794115</vt:lpwstr>
      </vt:variant>
      <vt:variant>
        <vt:i4>1179704</vt:i4>
      </vt:variant>
      <vt:variant>
        <vt:i4>92</vt:i4>
      </vt:variant>
      <vt:variant>
        <vt:i4>0</vt:i4>
      </vt:variant>
      <vt:variant>
        <vt:i4>5</vt:i4>
      </vt:variant>
      <vt:variant>
        <vt:lpwstr/>
      </vt:variant>
      <vt:variant>
        <vt:lpwstr>_Toc373794114</vt:lpwstr>
      </vt:variant>
      <vt:variant>
        <vt:i4>1179704</vt:i4>
      </vt:variant>
      <vt:variant>
        <vt:i4>86</vt:i4>
      </vt:variant>
      <vt:variant>
        <vt:i4>0</vt:i4>
      </vt:variant>
      <vt:variant>
        <vt:i4>5</vt:i4>
      </vt:variant>
      <vt:variant>
        <vt:lpwstr/>
      </vt:variant>
      <vt:variant>
        <vt:lpwstr>_Toc373794113</vt:lpwstr>
      </vt:variant>
      <vt:variant>
        <vt:i4>1179704</vt:i4>
      </vt:variant>
      <vt:variant>
        <vt:i4>80</vt:i4>
      </vt:variant>
      <vt:variant>
        <vt:i4>0</vt:i4>
      </vt:variant>
      <vt:variant>
        <vt:i4>5</vt:i4>
      </vt:variant>
      <vt:variant>
        <vt:lpwstr/>
      </vt:variant>
      <vt:variant>
        <vt:lpwstr>_Toc373794112</vt:lpwstr>
      </vt:variant>
      <vt:variant>
        <vt:i4>1179704</vt:i4>
      </vt:variant>
      <vt:variant>
        <vt:i4>74</vt:i4>
      </vt:variant>
      <vt:variant>
        <vt:i4>0</vt:i4>
      </vt:variant>
      <vt:variant>
        <vt:i4>5</vt:i4>
      </vt:variant>
      <vt:variant>
        <vt:lpwstr/>
      </vt:variant>
      <vt:variant>
        <vt:lpwstr>_Toc373794111</vt:lpwstr>
      </vt:variant>
      <vt:variant>
        <vt:i4>1179704</vt:i4>
      </vt:variant>
      <vt:variant>
        <vt:i4>68</vt:i4>
      </vt:variant>
      <vt:variant>
        <vt:i4>0</vt:i4>
      </vt:variant>
      <vt:variant>
        <vt:i4>5</vt:i4>
      </vt:variant>
      <vt:variant>
        <vt:lpwstr/>
      </vt:variant>
      <vt:variant>
        <vt:lpwstr>_Toc373794110</vt:lpwstr>
      </vt:variant>
      <vt:variant>
        <vt:i4>1245240</vt:i4>
      </vt:variant>
      <vt:variant>
        <vt:i4>62</vt:i4>
      </vt:variant>
      <vt:variant>
        <vt:i4>0</vt:i4>
      </vt:variant>
      <vt:variant>
        <vt:i4>5</vt:i4>
      </vt:variant>
      <vt:variant>
        <vt:lpwstr/>
      </vt:variant>
      <vt:variant>
        <vt:lpwstr>_Toc373794109</vt:lpwstr>
      </vt:variant>
      <vt:variant>
        <vt:i4>1245240</vt:i4>
      </vt:variant>
      <vt:variant>
        <vt:i4>56</vt:i4>
      </vt:variant>
      <vt:variant>
        <vt:i4>0</vt:i4>
      </vt:variant>
      <vt:variant>
        <vt:i4>5</vt:i4>
      </vt:variant>
      <vt:variant>
        <vt:lpwstr/>
      </vt:variant>
      <vt:variant>
        <vt:lpwstr>_Toc373794108</vt:lpwstr>
      </vt:variant>
      <vt:variant>
        <vt:i4>1245240</vt:i4>
      </vt:variant>
      <vt:variant>
        <vt:i4>50</vt:i4>
      </vt:variant>
      <vt:variant>
        <vt:i4>0</vt:i4>
      </vt:variant>
      <vt:variant>
        <vt:i4>5</vt:i4>
      </vt:variant>
      <vt:variant>
        <vt:lpwstr/>
      </vt:variant>
      <vt:variant>
        <vt:lpwstr>_Toc373794107</vt:lpwstr>
      </vt:variant>
      <vt:variant>
        <vt:i4>1245240</vt:i4>
      </vt:variant>
      <vt:variant>
        <vt:i4>44</vt:i4>
      </vt:variant>
      <vt:variant>
        <vt:i4>0</vt:i4>
      </vt:variant>
      <vt:variant>
        <vt:i4>5</vt:i4>
      </vt:variant>
      <vt:variant>
        <vt:lpwstr/>
      </vt:variant>
      <vt:variant>
        <vt:lpwstr>_Toc373794106</vt:lpwstr>
      </vt:variant>
      <vt:variant>
        <vt:i4>1245240</vt:i4>
      </vt:variant>
      <vt:variant>
        <vt:i4>38</vt:i4>
      </vt:variant>
      <vt:variant>
        <vt:i4>0</vt:i4>
      </vt:variant>
      <vt:variant>
        <vt:i4>5</vt:i4>
      </vt:variant>
      <vt:variant>
        <vt:lpwstr/>
      </vt:variant>
      <vt:variant>
        <vt:lpwstr>_Toc373794105</vt:lpwstr>
      </vt:variant>
      <vt:variant>
        <vt:i4>1245240</vt:i4>
      </vt:variant>
      <vt:variant>
        <vt:i4>32</vt:i4>
      </vt:variant>
      <vt:variant>
        <vt:i4>0</vt:i4>
      </vt:variant>
      <vt:variant>
        <vt:i4>5</vt:i4>
      </vt:variant>
      <vt:variant>
        <vt:lpwstr/>
      </vt:variant>
      <vt:variant>
        <vt:lpwstr>_Toc373794104</vt:lpwstr>
      </vt:variant>
      <vt:variant>
        <vt:i4>1245240</vt:i4>
      </vt:variant>
      <vt:variant>
        <vt:i4>26</vt:i4>
      </vt:variant>
      <vt:variant>
        <vt:i4>0</vt:i4>
      </vt:variant>
      <vt:variant>
        <vt:i4>5</vt:i4>
      </vt:variant>
      <vt:variant>
        <vt:lpwstr/>
      </vt:variant>
      <vt:variant>
        <vt:lpwstr>_Toc373794103</vt:lpwstr>
      </vt:variant>
      <vt:variant>
        <vt:i4>1245240</vt:i4>
      </vt:variant>
      <vt:variant>
        <vt:i4>20</vt:i4>
      </vt:variant>
      <vt:variant>
        <vt:i4>0</vt:i4>
      </vt:variant>
      <vt:variant>
        <vt:i4>5</vt:i4>
      </vt:variant>
      <vt:variant>
        <vt:lpwstr/>
      </vt:variant>
      <vt:variant>
        <vt:lpwstr>_Toc373794102</vt:lpwstr>
      </vt:variant>
      <vt:variant>
        <vt:i4>1245240</vt:i4>
      </vt:variant>
      <vt:variant>
        <vt:i4>14</vt:i4>
      </vt:variant>
      <vt:variant>
        <vt:i4>0</vt:i4>
      </vt:variant>
      <vt:variant>
        <vt:i4>5</vt:i4>
      </vt:variant>
      <vt:variant>
        <vt:lpwstr/>
      </vt:variant>
      <vt:variant>
        <vt:lpwstr>_Toc373794101</vt:lpwstr>
      </vt:variant>
      <vt:variant>
        <vt:i4>1245240</vt:i4>
      </vt:variant>
      <vt:variant>
        <vt:i4>8</vt:i4>
      </vt:variant>
      <vt:variant>
        <vt:i4>0</vt:i4>
      </vt:variant>
      <vt:variant>
        <vt:i4>5</vt:i4>
      </vt:variant>
      <vt:variant>
        <vt:lpwstr/>
      </vt:variant>
      <vt:variant>
        <vt:lpwstr>_Toc373794100</vt:lpwstr>
      </vt:variant>
      <vt:variant>
        <vt:i4>1703993</vt:i4>
      </vt:variant>
      <vt:variant>
        <vt:i4>2</vt:i4>
      </vt:variant>
      <vt:variant>
        <vt:i4>0</vt:i4>
      </vt:variant>
      <vt:variant>
        <vt:i4>5</vt:i4>
      </vt:variant>
      <vt:variant>
        <vt:lpwstr/>
      </vt:variant>
      <vt:variant>
        <vt:lpwstr>_Toc373794099</vt:lpwstr>
      </vt:variant>
      <vt:variant>
        <vt:i4>262157</vt:i4>
      </vt:variant>
      <vt:variant>
        <vt:i4>9</vt:i4>
      </vt:variant>
      <vt:variant>
        <vt:i4>0</vt:i4>
      </vt:variant>
      <vt:variant>
        <vt:i4>5</vt:i4>
      </vt:variant>
      <vt:variant>
        <vt:lpwstr>http://epp.eurostat.ec.europa.eu/tgm/refreshTableAction.do?tab=table&amp;plugin=1&amp;pcode=tsdcc310&amp;language=en</vt:lpwstr>
      </vt:variant>
      <vt:variant>
        <vt:lpwstr/>
      </vt:variant>
      <vt:variant>
        <vt:i4>327692</vt:i4>
      </vt:variant>
      <vt:variant>
        <vt:i4>6</vt:i4>
      </vt:variant>
      <vt:variant>
        <vt:i4>0</vt:i4>
      </vt:variant>
      <vt:variant>
        <vt:i4>5</vt:i4>
      </vt:variant>
      <vt:variant>
        <vt:lpwstr>http://epp.eurostat.ec.europa.eu/tgm/refreshTableAction.do?tab=table&amp;plugin=0&amp;pcode=tsdcc210&amp;language=en</vt:lpwstr>
      </vt:variant>
      <vt:variant>
        <vt:lpwstr/>
      </vt:variant>
      <vt:variant>
        <vt:i4>1048702</vt:i4>
      </vt:variant>
      <vt:variant>
        <vt:i4>3</vt:i4>
      </vt:variant>
      <vt:variant>
        <vt:i4>0</vt:i4>
      </vt:variant>
      <vt:variant>
        <vt:i4>5</vt:i4>
      </vt:variant>
      <vt:variant>
        <vt:lpwstr>http://ec.europa.eu/maritimeaffairs/documentation/studies/documents/romania_climate_change_en.pdf</vt:lpwstr>
      </vt:variant>
      <vt:variant>
        <vt:lpwstr/>
      </vt:variant>
      <vt:variant>
        <vt:i4>1048702</vt:i4>
      </vt:variant>
      <vt:variant>
        <vt:i4>0</vt:i4>
      </vt:variant>
      <vt:variant>
        <vt:i4>0</vt:i4>
      </vt:variant>
      <vt:variant>
        <vt:i4>5</vt:i4>
      </vt:variant>
      <vt:variant>
        <vt:lpwstr>http://ec.europa.eu/maritimeaffairs/documentation/studies/documents/romania_climate_change_en.pdf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Sabin</dc:creator>
  <cp:lastModifiedBy>%USERNAME%</cp:lastModifiedBy>
  <cp:revision>8</cp:revision>
  <cp:lastPrinted>2014-09-09T06:22:00Z</cp:lastPrinted>
  <dcterms:created xsi:type="dcterms:W3CDTF">2014-06-20T13:26:00Z</dcterms:created>
  <dcterms:modified xsi:type="dcterms:W3CDTF">2014-09-09T06:31:00Z</dcterms:modified>
</cp:coreProperties>
</file>